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11"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 2012</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TILE SHOP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24130</wp:posOffset>
            </wp:positionV>
            <wp:extent cx="54286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386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001-35629</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80" w:type="dxa"/>
            <w:vAlign w:val="bottom"/>
          </w:tcPr>
          <w:p>
            <w:pPr>
              <w:jc w:val="center"/>
              <w:ind w:right="750"/>
              <w:spacing w:after="0"/>
              <w:rPr>
                <w:sz w:val="20"/>
                <w:szCs w:val="20"/>
                <w:color w:val="auto"/>
              </w:rPr>
            </w:pPr>
            <w:r>
              <w:rPr>
                <w:rFonts w:ascii="Arial" w:cs="Arial" w:eastAsia="Arial" w:hAnsi="Arial"/>
                <w:sz w:val="18"/>
                <w:szCs w:val="18"/>
                <w:color w:val="auto"/>
                <w:w w:val="91"/>
              </w:rPr>
              <w:t>45-5538095</w:t>
            </w:r>
          </w:p>
        </w:tc>
      </w:tr>
      <w:tr>
        <w:trPr>
          <w:trHeight w:val="195"/>
        </w:trPr>
        <w:tc>
          <w:tcPr>
            <w:tcW w:w="3700" w:type="dxa"/>
            <w:vAlign w:val="bottom"/>
            <w:tcBorders>
              <w:top w:val="single" w:sz="8" w:color="auto"/>
            </w:tcBorders>
          </w:tcPr>
          <w:p>
            <w:pPr>
              <w:ind w:left="880"/>
              <w:spacing w:after="0" w:line="195" w:lineRule="exact"/>
              <w:rPr>
                <w:sz w:val="20"/>
                <w:szCs w:val="20"/>
                <w:color w:val="auto"/>
              </w:rPr>
            </w:pPr>
            <w:r>
              <w:rPr>
                <w:rFonts w:ascii="Arial" w:cs="Arial" w:eastAsia="Arial" w:hAnsi="Arial"/>
                <w:sz w:val="18"/>
                <w:szCs w:val="18"/>
                <w:color w:val="auto"/>
              </w:rPr>
              <w:t>(State or other jurisdiction</w:t>
            </w:r>
          </w:p>
        </w:tc>
        <w:tc>
          <w:tcPr>
            <w:tcW w:w="140" w:type="dxa"/>
            <w:vAlign w:val="bottom"/>
          </w:tcPr>
          <w:p>
            <w:pPr>
              <w:spacing w:after="0"/>
              <w:rPr>
                <w:sz w:val="16"/>
                <w:szCs w:val="16"/>
                <w:color w:val="auto"/>
              </w:rPr>
            </w:pPr>
          </w:p>
        </w:tc>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(Commission File</w:t>
            </w:r>
          </w:p>
        </w:tc>
        <w:tc>
          <w:tcPr>
            <w:tcW w:w="14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tcPr>
          <w:p>
            <w:pPr>
              <w:jc w:val="center"/>
              <w:ind w:right="77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700" w:type="dxa"/>
            <w:vAlign w:val="bottom"/>
          </w:tcPr>
          <w:p>
            <w:pPr>
              <w:jc w:val="center"/>
              <w:spacing w:after="0"/>
              <w:rPr>
                <w:sz w:val="20"/>
                <w:szCs w:val="20"/>
                <w:color w:val="auto"/>
              </w:rPr>
            </w:pPr>
            <w:r>
              <w:rPr>
                <w:rFonts w:ascii="Arial" w:cs="Arial" w:eastAsia="Arial" w:hAnsi="Arial"/>
                <w:sz w:val="18"/>
                <w:szCs w:val="18"/>
                <w:color w:val="auto"/>
                <w:w w:val="95"/>
              </w:rPr>
              <w:t>of incorporation)</w:t>
            </w:r>
          </w:p>
        </w:tc>
        <w:tc>
          <w:tcPr>
            <w:tcW w:w="140" w:type="dxa"/>
            <w:vAlign w:val="bottom"/>
          </w:tcPr>
          <w:p>
            <w:pPr>
              <w:spacing w:after="0"/>
              <w:rPr>
                <w:sz w:val="20"/>
                <w:szCs w:val="20"/>
                <w:color w:val="auto"/>
              </w:rPr>
            </w:pPr>
          </w:p>
        </w:tc>
        <w:tc>
          <w:tcPr>
            <w:tcW w:w="4700" w:type="dxa"/>
            <w:vAlign w:val="bottom"/>
            <w:gridSpan w:val="3"/>
          </w:tcPr>
          <w:p>
            <w:pPr>
              <w:jc w:val="center"/>
              <w:ind w:right="980"/>
              <w:spacing w:after="0"/>
              <w:rPr>
                <w:sz w:val="20"/>
                <w:szCs w:val="20"/>
                <w:color w:val="auto"/>
              </w:rPr>
            </w:pPr>
            <w:r>
              <w:rPr>
                <w:rFonts w:ascii="Arial" w:cs="Arial" w:eastAsia="Arial" w:hAnsi="Arial"/>
                <w:sz w:val="18"/>
                <w:szCs w:val="18"/>
                <w:color w:val="auto"/>
                <w:w w:val="91"/>
              </w:rPr>
              <w:t>Number)</w:t>
            </w:r>
          </w:p>
        </w:tc>
        <w:tc>
          <w:tcPr>
            <w:tcW w:w="2880" w:type="dxa"/>
            <w:vAlign w:val="bottom"/>
          </w:tcPr>
          <w:p>
            <w:pPr>
              <w:jc w:val="center"/>
              <w:ind w:right="77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37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8"/>
                <w:szCs w:val="18"/>
                <w:color w:val="auto"/>
                <w:w w:val="90"/>
              </w:rPr>
              <w:t>14000 Carlson Parkway, Plymouth, Minnesota 55441</w:t>
            </w:r>
          </w:p>
        </w:tc>
        <w:tc>
          <w:tcPr>
            <w:tcW w:w="2880" w:type="dxa"/>
            <w:vAlign w:val="bottom"/>
            <w:tcBorders>
              <w:bottom w:val="single" w:sz="8" w:color="auto"/>
            </w:tcBorders>
          </w:tcPr>
          <w:p>
            <w:pPr>
              <w:spacing w:after="0"/>
              <w:rPr>
                <w:sz w:val="24"/>
                <w:szCs w:val="24"/>
                <w:color w:val="auto"/>
              </w:rPr>
            </w:pPr>
          </w:p>
        </w:tc>
      </w:tr>
      <w:tr>
        <w:trPr>
          <w:trHeight w:val="237"/>
        </w:trPr>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0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80" w:type="dxa"/>
            <w:vAlign w:val="bottom"/>
          </w:tcPr>
          <w:p>
            <w:pPr>
              <w:spacing w:after="0"/>
              <w:rPr>
                <w:sz w:val="20"/>
                <w:szCs w:val="20"/>
                <w:color w:val="auto"/>
              </w:rPr>
            </w:pPr>
          </w:p>
        </w:tc>
      </w:tr>
      <w:tr>
        <w:trPr>
          <w:trHeight w:val="432"/>
        </w:trPr>
        <w:tc>
          <w:tcPr>
            <w:tcW w:w="37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right"/>
              <w:ind w:right="1190"/>
              <w:spacing w:after="0"/>
              <w:rPr>
                <w:sz w:val="20"/>
                <w:szCs w:val="20"/>
                <w:color w:val="auto"/>
              </w:rPr>
            </w:pPr>
            <w:r>
              <w:rPr>
                <w:rFonts w:ascii="Arial" w:cs="Arial" w:eastAsia="Arial" w:hAnsi="Arial"/>
                <w:sz w:val="18"/>
                <w:szCs w:val="18"/>
                <w:color w:val="auto"/>
              </w:rPr>
              <w:t>(763) 852-2901</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224"/>
        </w:trPr>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00" w:type="dxa"/>
            <w:vAlign w:val="bottom"/>
            <w:gridSpan w:val="3"/>
          </w:tcPr>
          <w:p>
            <w:pPr>
              <w:jc w:val="center"/>
              <w:ind w:right="300"/>
              <w:spacing w:after="0"/>
              <w:rPr>
                <w:sz w:val="20"/>
                <w:szCs w:val="20"/>
                <w:color w:val="auto"/>
              </w:rPr>
            </w:pPr>
            <w:r>
              <w:rPr>
                <w:rFonts w:ascii="Arial" w:cs="Arial" w:eastAsia="Arial" w:hAnsi="Arial"/>
                <w:sz w:val="18"/>
                <w:szCs w:val="18"/>
                <w:color w:val="auto"/>
                <w:w w:val="89"/>
              </w:rPr>
              <w:t>(Registrant’s telephone number, including area code)</w:t>
            </w:r>
          </w:p>
        </w:tc>
        <w:tc>
          <w:tcPr>
            <w:tcW w:w="2880" w:type="dxa"/>
            <w:vAlign w:val="bottom"/>
          </w:tcPr>
          <w:p>
            <w:pPr>
              <w:spacing w:after="0"/>
              <w:rPr>
                <w:sz w:val="19"/>
                <w:szCs w:val="19"/>
                <w:color w:val="auto"/>
              </w:rPr>
            </w:pPr>
          </w:p>
        </w:tc>
      </w:tr>
      <w:tr>
        <w:trPr>
          <w:trHeight w:val="431"/>
        </w:trPr>
        <w:tc>
          <w:tcPr>
            <w:tcW w:w="3700" w:type="dxa"/>
            <w:vAlign w:val="bottom"/>
          </w:tcPr>
          <w:p>
            <w:pPr>
              <w:spacing w:after="0"/>
              <w:rPr>
                <w:sz w:val="24"/>
                <w:szCs w:val="24"/>
                <w:color w:val="auto"/>
              </w:rPr>
            </w:pPr>
          </w:p>
        </w:tc>
        <w:tc>
          <w:tcPr>
            <w:tcW w:w="3860" w:type="dxa"/>
            <w:vAlign w:val="bottom"/>
            <w:gridSpan w:val="2"/>
          </w:tcPr>
          <w:p>
            <w:pPr>
              <w:jc w:val="right"/>
              <w:ind w:right="730"/>
              <w:spacing w:after="0"/>
              <w:rPr>
                <w:sz w:val="20"/>
                <w:szCs w:val="20"/>
                <w:color w:val="auto"/>
              </w:rPr>
            </w:pPr>
            <w:r>
              <w:rPr>
                <w:rFonts w:ascii="Arial" w:cs="Arial" w:eastAsia="Arial" w:hAnsi="Arial"/>
                <w:sz w:val="18"/>
                <w:szCs w:val="18"/>
                <w:color w:val="auto"/>
              </w:rPr>
              <w:t>_______________________</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§14d-2(b))</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spacing w:after="0"/>
        <w:tabs>
          <w:tab w:leader="none" w:pos="12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November 1, 2012, Tile Shop Holdings, Inc. issued a press release announcing its financial results for the quarter ending September 30, 2012. A copy of the press release is furnished as Exhibit 99.1 to this Current Report on Form 8-K and is incorporated herein by reference.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on this Current Report on Form 8-K, including Exhibit 99.1, shall not be deemed “filed” for the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except as shall be expressly set forth by specific reference in such a filing.</w:t>
      </w:r>
    </w:p>
    <w:p>
      <w:pPr>
        <w:spacing w:after="0" w:line="18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99.1 Press Release of Tile Shop Holdings, Inc., dated November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 on November 1, 2012.</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TILE SHOP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C. Clayton</w:t>
            </w:r>
          </w:p>
        </w:tc>
        <w:tc>
          <w:tcPr>
            <w:tcW w:w="1140" w:type="dxa"/>
            <w:vAlign w:val="bottom"/>
          </w:tcPr>
          <w:p>
            <w:pPr>
              <w:spacing w:after="0"/>
              <w:rPr>
                <w:sz w:val="20"/>
                <w:szCs w:val="20"/>
                <w:color w:val="auto"/>
              </w:rPr>
            </w:pPr>
          </w:p>
        </w:tc>
      </w:tr>
      <w:tr>
        <w:trPr>
          <w:trHeight w:val="195"/>
        </w:trPr>
        <w:tc>
          <w:tcPr>
            <w:tcW w:w="63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Timothy C. Clayton</w:t>
            </w:r>
          </w:p>
        </w:tc>
        <w:tc>
          <w:tcPr>
            <w:tcW w:w="1140" w:type="dxa"/>
            <w:vAlign w:val="bottom"/>
          </w:tcPr>
          <w:p>
            <w:pPr>
              <w:spacing w:after="0"/>
              <w:rPr>
                <w:sz w:val="16"/>
                <w:szCs w:val="16"/>
                <w:color w:val="auto"/>
              </w:rPr>
            </w:pPr>
          </w:p>
        </w:tc>
      </w:t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40" w:type="dxa"/>
            <w:vAlign w:val="bottom"/>
          </w:tcPr>
          <w:p>
            <w:pPr>
              <w:spacing w:after="0"/>
              <w:rPr>
                <w:sz w:val="20"/>
                <w:szCs w:val="20"/>
                <w:color w:val="auto"/>
              </w:rPr>
            </w:pPr>
          </w:p>
        </w:tc>
      </w:tr>
      <w:tr>
        <w:trPr>
          <w:trHeight w:val="648"/>
        </w:trPr>
        <w:tc>
          <w:tcPr>
            <w:tcW w:w="63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243205</wp:posOffset>
            </wp:positionV>
            <wp:extent cx="1955165" cy="582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55165" cy="5829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TILE SHOP REPORTS THIRD QUARTER 2012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Net Sales Increased 19.4%</w:t>
      </w:r>
      <w:r>
        <w:rPr>
          <w:rFonts w:ascii="Arial" w:cs="Arial" w:eastAsia="Arial" w:hAnsi="Arial"/>
          <w:sz w:val="18"/>
          <w:szCs w:val="18"/>
          <w:color w:val="auto"/>
        </w:rPr>
        <w:t xml:space="preserve">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5.9% Comparable-Store Sales Growth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Company On Target To Open 13 Stores By Year End —</w:t>
      </w:r>
    </w:p>
    <w:p>
      <w:pPr>
        <w:spacing w:after="0" w:line="33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PLYMOUTH, MN, November 1, 2012 – Tile Shop Holdings, Inc. (NASDAQ: TTS), a specialty retailer of manufactured and natural stone tiles, setting and maintenance materials, and related accessories, today announced results for its third quarter ended September 30, 2012.</w:t>
      </w:r>
    </w:p>
    <w:p>
      <w:pPr>
        <w:spacing w:after="0" w:line="1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Robert Rucker, Chief Executive Officer, stated, “Our financial results for the third quarter, our first as a public company, were driven by strong sales growth including a 5.9% same store sales increase along with the opening of one new store during the third quarter, putting the Company on target to reach its goal of 66 stores by the end of the year. We intend to fund our anticipated growth with internally generated cash flow. Our model of direct sourcing, exceptional customer service, strategically located stores and a proven distribution center model allows us to operate at high margins within this growing industry.”</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increased 19.4% to $44.3 million for the quarter ended September 30, 2012 compared with $37.1 million for the comparable quarter last year. The increase in sales was partially driven by an increase in comparable-store sales growth of 5.9%, adding $2.2 million in net sales, and incremental net sales of $5.0 million from the opening of new stores.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quarter, Adjusted EBITDA was $11.2 million, compared to $9.3 million in the same period of the prior year, an increase of $1.9 million, or 19.9%. Adjusted EBITDA as a percentage of sales improved 0.1% to 25.3% from 25.2%. The following is a reconciliation of Adjusted EBITDA to net income, the nearest comparable GAAP financial measure.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280" w:type="dxa"/>
            <w:vAlign w:val="bottom"/>
          </w:tcPr>
          <w:p>
            <w:pPr>
              <w:spacing w:after="0"/>
              <w:rPr>
                <w:sz w:val="19"/>
                <w:szCs w:val="19"/>
                <w:color w:val="auto"/>
              </w:rPr>
            </w:pPr>
          </w:p>
        </w:tc>
        <w:tc>
          <w:tcPr>
            <w:tcW w:w="21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5"/>
          </w:tcPr>
          <w:p>
            <w:pPr>
              <w:ind w:left="4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26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i w:val="1"/>
                <w:iCs w:val="1"/>
                <w:color w:val="auto"/>
              </w:rPr>
              <w:t>($ in thousands)</w:t>
            </w: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9,842</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6,602</w:t>
            </w:r>
          </w:p>
        </w:tc>
        <w:tc>
          <w:tcPr>
            <w:tcW w:w="3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30,631</w:t>
            </w:r>
          </w:p>
        </w:tc>
        <w:tc>
          <w:tcPr>
            <w:tcW w:w="32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24,687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626</w:t>
            </w: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(4,722)</w:t>
            </w: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(4,299)</w:t>
            </w:r>
          </w:p>
        </w:tc>
        <w:tc>
          <w:tcPr>
            <w:tcW w:w="4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52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2,750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2,121</w:t>
            </w: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7,543</w:t>
            </w: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6,158</w:t>
            </w:r>
          </w:p>
        </w:tc>
        <w:tc>
          <w:tcPr>
            <w:tcW w:w="0" w:type="dxa"/>
            <w:vAlign w:val="bottom"/>
          </w:tcPr>
          <w:p>
            <w:pPr>
              <w:spacing w:after="0"/>
              <w:rPr>
                <w:sz w:val="1"/>
                <w:szCs w:val="1"/>
                <w:color w:val="auto"/>
              </w:rPr>
            </w:pPr>
          </w:p>
        </w:tc>
      </w:tr>
      <w:tr>
        <w:trPr>
          <w:trHeight w:val="216"/>
        </w:trPr>
        <w:tc>
          <w:tcPr>
            <w:tcW w:w="52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compensation expense</w:t>
            </w:r>
          </w:p>
        </w:tc>
        <w:tc>
          <w:tcPr>
            <w:tcW w:w="2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2,624</w:t>
            </w: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374</w:t>
            </w:r>
          </w:p>
        </w:tc>
        <w:tc>
          <w:tcPr>
            <w:tcW w:w="2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3,898</w:t>
            </w:r>
          </w:p>
        </w:tc>
        <w:tc>
          <w:tcPr>
            <w:tcW w:w="4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30"/>
        </w:trPr>
        <w:tc>
          <w:tcPr>
            <w:tcW w:w="526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263</w:t>
            </w:r>
          </w:p>
        </w:tc>
        <w:tc>
          <w:tcPr>
            <w:tcW w:w="42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tcBorders>
              <w:top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11,207</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9,347</w:t>
            </w:r>
          </w:p>
        </w:tc>
        <w:tc>
          <w:tcPr>
            <w:tcW w:w="34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38,662</w:t>
            </w:r>
          </w:p>
        </w:tc>
        <w:tc>
          <w:tcPr>
            <w:tcW w:w="32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32,687</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5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For the quarter, the Company opened one new store, bringing the total company-operated stores to 62 as of September 30, 2012, as compared with 53 stores at September 30, 2011.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GAAP basis, net income for the quarter was $9.8 million, compared to $6.6 million in the comparable prior year period. GAAP earnings per diluted share totaled $0.27 for the quarter, compared to $0.21 for the same period of the prior year. Net income for the quarter ended September 30, 2012 included non-recurring deferred compensation expense of $2.6 million expense and a tax benefit of $5.3 million related to our merger with JWC Acquisition Corp. and the related conversion from a pass-through entity to a "C" corporation for tax purposes.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pro–forma basis, excluding the non-recurring deferred compensation expense of $2.6 million and including an adjustment for income taxes as if the Company had been a "C" corporation at the beginning of each period (at an assumed combined effective tax rate of 42%), net income for the quarter would have been $4.5 million, up from a pro-forma $4.1 million a year ago. Pro-forma diluted earnings per share increased 10% to $0.11 from $0.10, based on 42.6 million weighted-average diluted shares outstanding.</w:t>
      </w:r>
    </w:p>
    <w:p>
      <w:pPr>
        <w:sectPr>
          <w:pgSz w:w="11900" w:h="16838" w:orient="portrait"/>
          <w:cols w:equalWidth="0" w:num="1">
            <w:col w:w="11420"/>
          </w:cols>
          <w:pgMar w:left="240" w:top="881"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in thousands, except per share data)</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Pro forma net income before income taxes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 forma benefit (provision) for income taxes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 forma net income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28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5"/>
        </w:trPr>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9,842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6,602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30,631</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24,687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2,624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3,897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966</w:t>
            </w:r>
          </w:p>
        </w:tc>
        <w:tc>
          <w:tcPr>
            <w:tcW w:w="40" w:type="dxa"/>
            <w:vAlign w:val="bottom"/>
          </w:tcPr>
          <w:p>
            <w:pPr>
              <w:spacing w:after="0"/>
              <w:rPr>
                <w:sz w:val="18"/>
                <w:szCs w:val="18"/>
                <w:color w:val="auto"/>
              </w:rPr>
            </w:pPr>
          </w:p>
        </w:tc>
      </w:tr>
      <w:tr>
        <w:trPr>
          <w:trHeight w:val="244"/>
        </w:trPr>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(4,722)</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(4,299)</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40" w:type="dxa"/>
            <w:vAlign w:val="bottom"/>
          </w:tcPr>
          <w:p>
            <w:pPr>
              <w:spacing w:after="0"/>
              <w:rPr>
                <w:sz w:val="21"/>
                <w:szCs w:val="21"/>
                <w:color w:val="auto"/>
              </w:rPr>
            </w:pPr>
          </w:p>
        </w:tc>
      </w:tr>
      <w:tr>
        <w:trPr>
          <w:trHeight w:val="195"/>
        </w:trPr>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7,744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7,128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30,229</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26,232</w:t>
            </w:r>
          </w:p>
        </w:tc>
        <w:tc>
          <w:tcPr>
            <w:tcW w:w="40" w:type="dxa"/>
            <w:vAlign w:val="bottom"/>
          </w:tcPr>
          <w:p>
            <w:pPr>
              <w:spacing w:after="0"/>
              <w:rPr>
                <w:sz w:val="16"/>
                <w:szCs w:val="16"/>
                <w:color w:val="auto"/>
              </w:rPr>
            </w:pPr>
          </w:p>
        </w:tc>
      </w:tr>
      <w:tr>
        <w:trPr>
          <w:trHeight w:val="244"/>
        </w:trPr>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(3,253)</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(2,993)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(12,696)</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(11,018)</w:t>
            </w:r>
          </w:p>
        </w:tc>
      </w:tr>
      <w:tr>
        <w:trPr>
          <w:trHeight w:val="223"/>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15,214</w:t>
            </w:r>
          </w:p>
        </w:tc>
        <w:tc>
          <w:tcPr>
            <w:tcW w:w="40" w:type="dxa"/>
            <w:vAlign w:val="bottom"/>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-899795</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-616585</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-325120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540" w:space="720"/>
            <w:col w:w="6160"/>
          </w:cols>
          <w:pgMar w:left="240" w:top="881"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6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Pro forma weighted average basic shares outstanding</w:t>
            </w:r>
          </w:p>
        </w:tc>
        <w:tc>
          <w:tcPr>
            <w:tcW w:w="9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42,536,387</w:t>
            </w:r>
          </w:p>
        </w:tc>
        <w:tc>
          <w:tcPr>
            <w:tcW w:w="4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42,534,884</w:t>
            </w:r>
          </w:p>
        </w:tc>
        <w:tc>
          <w:tcPr>
            <w:tcW w:w="4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42,535,391</w:t>
            </w:r>
          </w:p>
        </w:tc>
        <w:tc>
          <w:tcPr>
            <w:tcW w:w="4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42,534,884</w:t>
            </w:r>
          </w:p>
        </w:tc>
      </w:tr>
      <w:tr>
        <w:trPr>
          <w:trHeight w:val="216"/>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Pro forma weighted average diluted shares outstanding</w:t>
            </w:r>
          </w:p>
        </w:tc>
        <w:tc>
          <w:tcPr>
            <w:tcW w:w="920" w:type="dxa"/>
            <w:vAlign w:val="bottom"/>
            <w:shd w:val="clear" w:color="auto" w:fill="CCFFCC"/>
          </w:tcPr>
          <w:p>
            <w:pPr>
              <w:spacing w:after="0"/>
              <w:rPr>
                <w:sz w:val="18"/>
                <w:szCs w:val="18"/>
                <w:color w:val="auto"/>
              </w:rPr>
            </w:pPr>
          </w:p>
        </w:tc>
        <w:tc>
          <w:tcPr>
            <w:tcW w:w="11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42,537,444</w:t>
            </w:r>
          </w:p>
        </w:tc>
        <w:tc>
          <w:tcPr>
            <w:tcW w:w="460" w:type="dxa"/>
            <w:vAlign w:val="bottom"/>
            <w:shd w:val="clear" w:color="auto" w:fill="CCFFCC"/>
          </w:tcPr>
          <w:p>
            <w:pPr>
              <w:spacing w:after="0"/>
              <w:rPr>
                <w:sz w:val="18"/>
                <w:szCs w:val="18"/>
                <w:color w:val="auto"/>
              </w:rPr>
            </w:pPr>
          </w:p>
        </w:tc>
        <w:tc>
          <w:tcPr>
            <w:tcW w:w="11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42,534,884</w:t>
            </w:r>
          </w:p>
        </w:tc>
        <w:tc>
          <w:tcPr>
            <w:tcW w:w="440" w:type="dxa"/>
            <w:vAlign w:val="bottom"/>
            <w:shd w:val="clear" w:color="auto" w:fill="CCFFCC"/>
          </w:tcPr>
          <w:p>
            <w:pPr>
              <w:spacing w:after="0"/>
              <w:rPr>
                <w:sz w:val="18"/>
                <w:szCs w:val="18"/>
                <w:color w:val="auto"/>
              </w:rPr>
            </w:pP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42,535,391</w:t>
            </w:r>
          </w:p>
        </w:tc>
        <w:tc>
          <w:tcPr>
            <w:tcW w:w="440" w:type="dxa"/>
            <w:vAlign w:val="bottom"/>
            <w:shd w:val="clear" w:color="auto" w:fill="CCFFCC"/>
          </w:tcPr>
          <w:p>
            <w:pPr>
              <w:spacing w:after="0"/>
              <w:rPr>
                <w:sz w:val="18"/>
                <w:szCs w:val="18"/>
                <w:color w:val="auto"/>
              </w:rPr>
            </w:pP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42,534,884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Pro forma basic earnings per share</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0.11</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0.10</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0.41</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0.36</w:t>
            </w:r>
          </w:p>
        </w:tc>
      </w:tr>
      <w:tr>
        <w:trPr>
          <w:trHeight w:val="216"/>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Pro forma diluted earnings per share</w:t>
            </w:r>
          </w:p>
        </w:tc>
        <w:tc>
          <w:tcPr>
            <w:tcW w:w="9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0.11</w:t>
            </w:r>
          </w:p>
        </w:tc>
        <w:tc>
          <w:tcPr>
            <w:tcW w:w="4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0.10</w:t>
            </w:r>
          </w:p>
        </w:tc>
        <w:tc>
          <w:tcPr>
            <w:tcW w:w="4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0.41</w:t>
            </w:r>
          </w:p>
        </w:tc>
        <w:tc>
          <w:tcPr>
            <w:tcW w:w="4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0.36</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2012 net sales improved 18.6% to $136.5 million compared with $115.0 million for the comparable period last year. Comparable-store sales growth for the nine months was 5.5%.</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for the nine months ended September 30, 2012 increased 18.3%, to $38.7 million, compared to $32.7 million in the same period of the prior year.</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Income from operations for the first nine months of 2012 was $26.9 million, compared to $25.5 million in the same period of 2011. Excluding non-recurring deferred compensation expense in both periods income from operations grew 16.4% to $30.8 million from $26.5 million for the nine months of 2011.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host a conference call via live webcast for investors and other interested parties beginning at 5:00 p.m. Eastern Time on Thursday, November 1, 2012. The call will be hosted by William E. Watts, Chairman, Robert Rucker, Chief Executive Officer, and Tim Clayton, Chief Financial Officer.</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Participants may access the live webcast by visiting the Company’s investor relations website at www.tileshop.com. The call can also be accessed by dialing</w:t>
      </w:r>
    </w:p>
    <w:p>
      <w:pPr>
        <w:spacing w:after="0" w:line="46" w:lineRule="exact"/>
        <w:rPr>
          <w:sz w:val="20"/>
          <w:szCs w:val="20"/>
          <w:color w:val="auto"/>
        </w:rPr>
      </w:pPr>
    </w:p>
    <w:p>
      <w:pPr>
        <w:jc w:val="both"/>
        <w:ind w:firstLine="8"/>
        <w:spacing w:after="0" w:line="254" w:lineRule="auto"/>
        <w:tabs>
          <w:tab w:leader="none" w:pos="456" w:val="left"/>
        </w:tabs>
        <w:numPr>
          <w:ilvl w:val="0"/>
          <w:numId w:val="2"/>
        </w:numPr>
        <w:rPr>
          <w:rFonts w:ascii="Arial" w:cs="Arial" w:eastAsia="Arial" w:hAnsi="Arial"/>
          <w:sz w:val="18"/>
          <w:szCs w:val="18"/>
          <w:color w:val="auto"/>
        </w:rPr>
      </w:pPr>
      <w:r>
        <w:rPr>
          <w:rFonts w:ascii="Arial" w:cs="Arial" w:eastAsia="Arial" w:hAnsi="Arial"/>
          <w:sz w:val="18"/>
          <w:szCs w:val="18"/>
          <w:color w:val="auto"/>
        </w:rPr>
        <w:t>941-4776, or (480) 629-9714 for international participants. The replay of the call will be available from approximately 8:00 p.m. Eastern Time on November 1, 2012 through midnight Eastern Time on November 15, 2012. To access the replay, the domestic dial-in number is (877) 870-5176, the international dial-in number is (858) 384-5517, and the passcode is 4573759. The archive of the webcast will be available on the Company’s Web site for a limited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Tile Shop Holdings and The Tile Shop</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Tile Shop Holdings is the parent company of The Tile Shop. Tile Shop Holdings’ common stock is listed on the NASDAQ Global Market under the ticker symbol “TTS” and its warrants trade on the OTCBB under the symbol “TTSAW.”</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Tile Shop is a specialty retailer of manufactured and natural stone tiles, setting and maintenance materials, and related accessories in the United States. The Tile Shop offers a wide selection of products, attractive prices, and exceptional customer service in an extensive showroom setting. The Tile Shop operates 62 stores in 20 states, with an average size of 23,000 square feet. The Tile Shop also sells its products on its website, www.tileshop.com.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calculate Adjusted EBITDA by taking net income calculated in accordance with GAAP, and adding interest expense, income taxes, depreciation and amortization, and stock-based compensation. Adjusted EBITDA margin is equal to Adjusted EBITDA divided by net sales. We believe that this non-GAAP measures of financial results provide useful information to management and investors regarding certain financial and business trends relating to our financial condition and results of operations. Our management uses this non-GAAP measure to compare our performance to that of prior periods for trend analyses, for purposes of determining management incentive compensation, and for budgeting and planning purposes. This measure is used in monthly financial reports prepared for management and our board of directors. We believe that the use of this non-GAAP financial measure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management does not consider these non-GAAP measures in isolation or as an alternative to financial measures determined in accordance with GAAP. The principal limitation of this non-GAAP financial measure is that it excludes significant expenses and income that are required by GAAP to be recorded in our consolidated financial statements. In addition, it is subject to inherent limitations as it reflects the exercise of judgments by management about which expenses and income are excluded or included in determining this non-GAAP financial measure.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includes “forward looking statements” within the meaning of the “safe harbor” provisions of the United States Private Securities Litigation Reform Act of 1995. Forward-looking statements may be identified by the use of words such as “anticipate”, “believe”, “expect”, “estimate”, “plan”, “outlook”, and “project” and other similar expressions that predict or indicate future events or trends or that are not statements of historical matters. These forward looking statements include any statements regarding the Company’s strategic and operational plans. Forward looking statements should not be read as a guarantee of future performance or results, and will not necessarily be accurate indications of the times at, or by, which such performance or results will be achieved. Forward 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 looking statements. The Company does not intend, and undertakes no duty, to update this information to reflect future events or circumstances. Investors are referred to the most recent reports filed with the SEC by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Investors and Media: Brad Cohen: 763-852-2988 investorrelations@tileshop.com</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receivables, net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Note receivable from member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asset - current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current assets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 receivable from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Condensed Consolidated Balance Sheets</w:t>
      </w:r>
    </w:p>
    <w:p>
      <w:pPr>
        <w:spacing w:after="0" w:line="2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(unaudited)</w:t>
      </w:r>
    </w:p>
    <w:p>
      <w:pPr>
        <w:spacing w:after="0" w:line="235" w:lineRule="exact"/>
        <w:rPr>
          <w:sz w:val="20"/>
          <w:szCs w:val="20"/>
          <w:color w:val="auto"/>
        </w:rPr>
      </w:pPr>
    </w:p>
    <w:tbl>
      <w:tblPr>
        <w:tblLayout w:type="fixed"/>
        <w:tblInd w:w="3840" w:type="dxa"/>
        <w:tblCellMar>
          <w:top w:w="0" w:type="dxa"/>
          <w:left w:w="0" w:type="dxa"/>
          <w:bottom w:w="0" w:type="dxa"/>
          <w:right w:w="0" w:type="dxa"/>
        </w:tblCellMar>
      </w:tblPr>
      <w:tr>
        <w:trPr>
          <w:trHeight w:val="234"/>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September 30, 2012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2011</w:t>
            </w:r>
          </w:p>
        </w:tc>
        <w:tc>
          <w:tcPr>
            <w:tcW w:w="20" w:type="dxa"/>
            <w:vAlign w:val="bottom"/>
          </w:tcPr>
          <w:p>
            <w:pPr>
              <w:spacing w:after="0"/>
              <w:rPr>
                <w:sz w:val="20"/>
                <w:szCs w:val="20"/>
                <w:color w:val="auto"/>
              </w:rPr>
            </w:pPr>
          </w:p>
        </w:tc>
      </w:tr>
      <w:tr>
        <w:trPr>
          <w:trHeight w:val="844"/>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5,960,648</w:t>
            </w: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6,283,477</w:t>
            </w:r>
          </w:p>
        </w:tc>
        <w:tc>
          <w:tcPr>
            <w:tcW w:w="2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1,096,958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738,814</w:t>
            </w:r>
          </w:p>
        </w:tc>
        <w:tc>
          <w:tcPr>
            <w:tcW w:w="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40,662,276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43,743,872</w:t>
            </w:r>
          </w:p>
        </w:tc>
        <w:tc>
          <w:tcPr>
            <w:tcW w:w="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7,450,564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3,838,402</w:t>
            </w:r>
          </w:p>
        </w:tc>
        <w:tc>
          <w:tcPr>
            <w:tcW w:w="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1,205,134</w:t>
            </w:r>
          </w:p>
        </w:tc>
        <w:tc>
          <w:tcPr>
            <w:tcW w:w="20" w:type="dxa"/>
            <w:vAlign w:val="bottom"/>
          </w:tcPr>
          <w:p>
            <w:pPr>
              <w:spacing w:after="0"/>
              <w:rPr>
                <w:sz w:val="18"/>
                <w:szCs w:val="18"/>
                <w:color w:val="auto"/>
              </w:rPr>
            </w:pPr>
          </w:p>
        </w:tc>
      </w:tr>
      <w:tr>
        <w:trPr>
          <w:trHeight w:val="230"/>
        </w:trPr>
        <w:tc>
          <w:tcPr>
            <w:tcW w:w="36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5,216,960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428,766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381,631</w:t>
            </w:r>
          </w:p>
        </w:tc>
        <w:tc>
          <w:tcPr>
            <w:tcW w:w="20" w:type="dxa"/>
            <w:vAlign w:val="bottom"/>
          </w:tcPr>
          <w:p>
            <w:pPr>
              <w:spacing w:after="0"/>
              <w:rPr>
                <w:sz w:val="20"/>
                <w:szCs w:val="20"/>
                <w:color w:val="auto"/>
              </w:rPr>
            </w:pPr>
          </w:p>
        </w:tc>
      </w:tr>
      <w:tr>
        <w:trPr>
          <w:trHeight w:val="195"/>
        </w:trPr>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61,816,172</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56,191,330</w:t>
            </w:r>
          </w:p>
        </w:tc>
        <w:tc>
          <w:tcPr>
            <w:tcW w:w="20" w:type="dxa"/>
            <w:vAlign w:val="bottom"/>
          </w:tcPr>
          <w:p>
            <w:pPr>
              <w:spacing w:after="0"/>
              <w:rPr>
                <w:sz w:val="16"/>
                <w:szCs w:val="16"/>
                <w:color w:val="auto"/>
              </w:rPr>
            </w:pPr>
          </w:p>
        </w:tc>
      </w:tr>
      <w:tr>
        <w:trPr>
          <w:trHeight w:val="216"/>
        </w:trPr>
        <w:tc>
          <w:tcPr>
            <w:tcW w:w="360" w:type="dxa"/>
            <w:vAlign w:val="bottom"/>
          </w:tcPr>
          <w:p>
            <w:pPr>
              <w:spacing w:after="0"/>
              <w:rPr>
                <w:sz w:val="18"/>
                <w:szCs w:val="18"/>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71,302,603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62,065,287</w:t>
            </w:r>
          </w:p>
        </w:tc>
        <w:tc>
          <w:tcPr>
            <w:tcW w:w="2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27,906,640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360" w:type="dxa"/>
            <w:vAlign w:val="bottom"/>
          </w:tcPr>
          <w:p>
            <w:pPr>
              <w:spacing w:after="0"/>
              <w:rPr>
                <w:sz w:val="20"/>
                <w:szCs w:val="20"/>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804,466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748,876</w:t>
            </w:r>
          </w:p>
        </w:tc>
        <w:tc>
          <w:tcPr>
            <w:tcW w:w="20" w:type="dxa"/>
            <w:vAlign w:val="bottom"/>
          </w:tcPr>
          <w:p>
            <w:pPr>
              <w:spacing w:after="0"/>
              <w:rPr>
                <w:sz w:val="20"/>
                <w:szCs w:val="20"/>
                <w:color w:val="auto"/>
              </w:rPr>
            </w:pPr>
          </w:p>
        </w:tc>
      </w:tr>
      <w:tr>
        <w:trPr>
          <w:trHeight w:val="223"/>
        </w:trPr>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161,829,881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119,005,493</w:t>
            </w:r>
          </w:p>
        </w:tc>
        <w:tc>
          <w:tcPr>
            <w:tcW w:w="20" w:type="dxa"/>
            <w:vAlign w:val="bottom"/>
            <w:tcBorders>
              <w:bottom w:val="single" w:sz="8" w:color="auto"/>
            </w:tcBorders>
          </w:tcPr>
          <w:p>
            <w:pPr>
              <w:spacing w:after="0"/>
              <w:rPr>
                <w:sz w:val="19"/>
                <w:szCs w:val="19"/>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-2263140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-1988820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-1714500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-1440180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-1165860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-882650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-599440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-325120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40" w:space="720"/>
            <w:col w:w="726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79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15,639,145</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10,317,497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Current portion of long term debt</w:t>
            </w:r>
          </w:p>
        </w:tc>
        <w:tc>
          <w:tcPr>
            <w:tcW w:w="3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360,000</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Accrued wages and salaries</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2,541,262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Other accrued liabilities</w:t>
            </w:r>
          </w:p>
        </w:tc>
        <w:tc>
          <w:tcPr>
            <w:tcW w:w="3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4,350,768</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3,399,474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Current portion of capital lease obligation</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225,399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Current portion of promissory note including accrued interest</w:t>
            </w:r>
          </w:p>
        </w:tc>
        <w:tc>
          <w:tcPr>
            <w:tcW w:w="3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3,805,846</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Deferred compensation</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6,014,470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Distributions payable to members</w:t>
            </w:r>
          </w:p>
        </w:tc>
        <w:tc>
          <w:tcPr>
            <w:tcW w:w="36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4,251,346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32,936,890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21,339,022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1,085,000</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1,479,460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1,654,448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Deferred rent</w:t>
            </w:r>
          </w:p>
        </w:tc>
        <w:tc>
          <w:tcPr>
            <w:tcW w:w="3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17,751,439</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15,583,409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Promissory note</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66,271,111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Deferred compensation and other liabilities</w:t>
            </w:r>
          </w:p>
        </w:tc>
        <w:tc>
          <w:tcPr>
            <w:tcW w:w="360" w:type="dxa"/>
            <w:vAlign w:val="bottom"/>
            <w:shd w:val="clear" w:color="auto" w:fill="CCFFCC"/>
          </w:tcPr>
          <w:p>
            <w:pPr>
              <w:spacing w:after="0"/>
              <w:rPr>
                <w:sz w:val="19"/>
                <w:szCs w:val="19"/>
                <w:color w:val="auto"/>
              </w:rPr>
            </w:pPr>
          </w:p>
        </w:tc>
        <w:tc>
          <w:tcPr>
            <w:tcW w:w="1320" w:type="dxa"/>
            <w:vAlign w:val="bottom"/>
            <w:gridSpan w:val="2"/>
            <w:shd w:val="clear" w:color="auto" w:fill="CCFFC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2,836,683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119,523,900</w:t>
            </w:r>
          </w:p>
        </w:tc>
        <w:tc>
          <w:tcPr>
            <w:tcW w:w="160" w:type="dxa"/>
            <w:vAlign w:val="bottom"/>
            <w:tcBorders>
              <w:bottom w:val="single" w:sz="8" w:color="CCFFCC"/>
            </w:tcBorders>
          </w:tcPr>
          <w:p>
            <w:pPr>
              <w:spacing w:after="0"/>
              <w:rPr>
                <w:sz w:val="18"/>
                <w:szCs w:val="18"/>
                <w:color w:val="auto"/>
              </w:rPr>
            </w:pPr>
          </w:p>
        </w:tc>
        <w:tc>
          <w:tcPr>
            <w:tcW w:w="160" w:type="dxa"/>
            <w:vAlign w:val="bottom"/>
            <w:tcBorders>
              <w:bottom w:val="single" w:sz="8" w:color="CCFFC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43,858,562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Common stock, par value 0.0001; authorized: 50,000,000 shares; issued: 42,891,985 shares</w:t>
            </w:r>
          </w:p>
        </w:tc>
        <w:tc>
          <w:tcPr>
            <w:tcW w:w="3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4,289</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18,983,991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8,174,685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Treasury units</w:t>
            </w:r>
          </w:p>
        </w:tc>
        <w:tc>
          <w:tcPr>
            <w:tcW w:w="3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(261,168)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23,317,701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67,230,214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42,305,981</w:t>
            </w:r>
          </w:p>
        </w:tc>
        <w:tc>
          <w:tcPr>
            <w:tcW w:w="1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75,146,931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161,829,881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119,005,493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Condensed Consolidated Statements of Income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(unaudited)</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CCFFC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44,288,400</w:t>
            </w:r>
          </w:p>
        </w:tc>
        <w:tc>
          <w:tcPr>
            <w:tcW w:w="340" w:type="dxa"/>
            <w:vAlign w:val="bottom"/>
            <w:shd w:val="clear" w:color="auto" w:fill="CCFFCC"/>
          </w:tcPr>
          <w:p>
            <w:pPr>
              <w:spacing w:after="0"/>
              <w:rPr>
                <w:sz w:val="18"/>
                <w:szCs w:val="18"/>
                <w:color w:val="auto"/>
              </w:rPr>
            </w:pP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37,083,846</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136,463,028</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80" w:type="dxa"/>
            <w:vAlign w:val="bottom"/>
            <w:shd w:val="clear" w:color="auto" w:fill="CCFFCC"/>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115,014,677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12,196,858</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9,872,598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37,025,108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30,297,496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32,091,542</w:t>
            </w:r>
          </w:p>
        </w:tc>
        <w:tc>
          <w:tcPr>
            <w:tcW w:w="34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27,211,248</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99,437,920</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84,717,181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23,899,183</w:t>
            </w:r>
          </w:p>
        </w:tc>
        <w:tc>
          <w:tcPr>
            <w:tcW w:w="4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19,992,329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68,605,613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58,224,776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Deferred compensation expense</w:t>
            </w: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2,623,739</w:t>
            </w:r>
          </w:p>
        </w:tc>
        <w:tc>
          <w:tcPr>
            <w:tcW w:w="34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373,542</w:t>
            </w:r>
          </w:p>
        </w:tc>
        <w:tc>
          <w:tcPr>
            <w:tcW w:w="2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3,896,799</w:t>
            </w:r>
          </w:p>
        </w:tc>
        <w:tc>
          <w:tcPr>
            <w:tcW w:w="14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966,439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5,568,620</w:t>
            </w:r>
          </w:p>
        </w:tc>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6,845,377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26,935,508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25,525,966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450,406</w:t>
            </w:r>
          </w:p>
        </w:tc>
        <w:tc>
          <w:tcPr>
            <w:tcW w:w="3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97,498</w:t>
            </w: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626,023</w:t>
            </w:r>
          </w:p>
        </w:tc>
        <w:tc>
          <w:tcPr>
            <w:tcW w:w="1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296,839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1,386</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23,052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5,119,600</w:t>
            </w:r>
          </w:p>
        </w:tc>
        <w:tc>
          <w:tcPr>
            <w:tcW w:w="34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6,754,840</w:t>
            </w:r>
          </w:p>
        </w:tc>
        <w:tc>
          <w:tcPr>
            <w:tcW w:w="2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32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26,332,537</w:t>
            </w:r>
          </w:p>
        </w:tc>
        <w:tc>
          <w:tcPr>
            <w:tcW w:w="1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25,265,243</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4,722,486</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(153,172)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4,298,866</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(578,603)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9,842,086</w:t>
            </w:r>
          </w:p>
        </w:tc>
        <w:tc>
          <w:tcPr>
            <w:tcW w:w="340" w:type="dxa"/>
            <w:vAlign w:val="bottom"/>
            <w:tcBorders>
              <w:top w:val="single" w:sz="8" w:color="CCFFCC"/>
              <w:bottom w:val="single" w:sz="8" w:color="CCFFCC"/>
            </w:tcBorders>
            <w:shd w:val="clear" w:color="auto" w:fill="CCFFCC"/>
          </w:tcPr>
          <w:p>
            <w:pPr>
              <w:spacing w:after="0"/>
              <w:rPr>
                <w:sz w:val="19"/>
                <w:szCs w:val="19"/>
                <w:color w:val="auto"/>
              </w:rPr>
            </w:pPr>
          </w:p>
        </w:tc>
        <w:tc>
          <w:tcPr>
            <w:tcW w:w="480" w:type="dxa"/>
            <w:vAlign w:val="bottom"/>
            <w:tcBorders>
              <w:top w:val="single" w:sz="8" w:color="auto"/>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6,601,668</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30,631,403</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480" w:type="dxa"/>
            <w:vAlign w:val="bottom"/>
            <w:tcBorders>
              <w:top w:val="single" w:sz="8" w:color="auto"/>
              <w:bottom w:val="single" w:sz="8" w:color="auto"/>
            </w:tcBorders>
            <w:shd w:val="clear" w:color="auto" w:fill="CCFFCC"/>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24,686,640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basic shares outstanding</w:t>
            </w:r>
          </w:p>
        </w:tc>
        <w:tc>
          <w:tcPr>
            <w:tcW w:w="3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36,581,888</w:t>
            </w:r>
          </w:p>
        </w:tc>
        <w:tc>
          <w:tcPr>
            <w:tcW w:w="4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32,000,000</w:t>
            </w: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33,544,079</w:t>
            </w:r>
          </w:p>
        </w:tc>
        <w:tc>
          <w:tcPr>
            <w:tcW w:w="1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32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36,698,014</w:t>
            </w:r>
          </w:p>
        </w:tc>
        <w:tc>
          <w:tcPr>
            <w:tcW w:w="4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32,000,000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33,578,702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0.27</w:t>
            </w: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0.21</w:t>
            </w:r>
          </w:p>
        </w:tc>
        <w:tc>
          <w:tcPr>
            <w:tcW w:w="4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0.91</w:t>
            </w:r>
          </w:p>
        </w:tc>
        <w:tc>
          <w:tcPr>
            <w:tcW w:w="620" w:type="dxa"/>
            <w:vAlign w:val="bottom"/>
            <w:gridSpan w:val="2"/>
            <w:shd w:val="clear" w:color="auto" w:fill="CCFFCC"/>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0.27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0.21</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0.91</w:t>
            </w:r>
          </w:p>
        </w:tc>
        <w:tc>
          <w:tcPr>
            <w:tcW w:w="6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gridSpan w:val="3"/>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4"/>
          </w:tcPr>
          <w:p>
            <w:pPr>
              <w:spacing w:after="0"/>
              <w:rPr>
                <w:sz w:val="20"/>
                <w:szCs w:val="20"/>
                <w:color w:val="auto"/>
              </w:rPr>
            </w:pPr>
            <w:r>
              <w:rPr>
                <w:rFonts w:ascii="Arial" w:cs="Arial" w:eastAsia="Arial" w:hAnsi="Arial"/>
                <w:sz w:val="18"/>
                <w:szCs w:val="18"/>
                <w:b w:val="1"/>
                <w:bCs w:val="1"/>
                <w:color w:val="auto"/>
                <w:w w:val="91"/>
              </w:rPr>
              <w:t>Pro forma computation - conversion to C Corporation for income tax purposes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Historical income before income taxes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5,119,600</w:t>
            </w:r>
          </w:p>
        </w:tc>
        <w:tc>
          <w:tcPr>
            <w:tcW w:w="340" w:type="dxa"/>
            <w:vAlign w:val="bottom"/>
            <w:shd w:val="clear" w:color="auto" w:fill="CCFFCC"/>
          </w:tcPr>
          <w:p>
            <w:pPr>
              <w:spacing w:after="0"/>
              <w:rPr>
                <w:sz w:val="18"/>
                <w:szCs w:val="18"/>
                <w:color w:val="auto"/>
              </w:rPr>
            </w:pP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6,754,840</w:t>
            </w:r>
          </w:p>
        </w:tc>
        <w:tc>
          <w:tcPr>
            <w:tcW w:w="200" w:type="dxa"/>
            <w:vAlign w:val="bottom"/>
            <w:shd w:val="clear" w:color="auto" w:fill="CCFFCC"/>
          </w:tcPr>
          <w:p>
            <w:pPr>
              <w:spacing w:after="0"/>
              <w:rPr>
                <w:sz w:val="18"/>
                <w:szCs w:val="18"/>
                <w:color w:val="auto"/>
              </w:rPr>
            </w:pPr>
          </w:p>
        </w:tc>
        <w:tc>
          <w:tcPr>
            <w:tcW w:w="4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26,332,537</w:t>
            </w:r>
          </w:p>
        </w:tc>
        <w:tc>
          <w:tcPr>
            <w:tcW w:w="620" w:type="dxa"/>
            <w:vAlign w:val="bottom"/>
            <w:gridSpan w:val="2"/>
            <w:shd w:val="clear" w:color="auto" w:fill="CCFFCC"/>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25,265,243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 forma benefit (provision) for income taxes</w:t>
            </w:r>
          </w:p>
        </w:tc>
        <w:tc>
          <w:tcPr>
            <w:tcW w:w="3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(2,150,232)</w:t>
            </w:r>
          </w:p>
        </w:tc>
        <w:tc>
          <w:tcPr>
            <w:tcW w:w="4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(2,837,033)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(11,059,666)</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(10,611,402)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 forma net income</w:t>
            </w: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2,969,368</w:t>
            </w:r>
          </w:p>
        </w:tc>
        <w:tc>
          <w:tcPr>
            <w:tcW w:w="340" w:type="dxa"/>
            <w:vAlign w:val="bottom"/>
            <w:tcBorders>
              <w:top w:val="single" w:sz="8" w:color="CCFFCC"/>
              <w:bottom w:val="single" w:sz="8" w:color="CCFFCC"/>
            </w:tcBorders>
            <w:shd w:val="clear" w:color="auto" w:fill="CCFFCC"/>
          </w:tcPr>
          <w:p>
            <w:pPr>
              <w:spacing w:after="0"/>
              <w:rPr>
                <w:sz w:val="19"/>
                <w:szCs w:val="19"/>
                <w:color w:val="auto"/>
              </w:rPr>
            </w:pPr>
          </w:p>
        </w:tc>
        <w:tc>
          <w:tcPr>
            <w:tcW w:w="480" w:type="dxa"/>
            <w:vAlign w:val="bottom"/>
            <w:tcBorders>
              <w:top w:val="single" w:sz="8" w:color="auto"/>
              <w:bottom w:val="single" w:sz="8" w:color="auto"/>
            </w:tcBorders>
            <w:shd w:val="clear" w:color="auto" w:fill="CCFFCC"/>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3,917,807</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15,272,871</w:t>
            </w: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480" w:type="dxa"/>
            <w:vAlign w:val="bottom"/>
            <w:tcBorders>
              <w:top w:val="single" w:sz="8" w:color="auto"/>
              <w:bottom w:val="single" w:sz="8" w:color="auto"/>
            </w:tcBorders>
            <w:shd w:val="clear" w:color="auto" w:fill="CCFFCC"/>
          </w:tcPr>
          <w:p>
            <w:pPr>
              <w:jc w:val="right"/>
              <w:ind w:right="3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14,653,841</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Pro forma weighted average basic shares outstanding</w:t>
            </w:r>
          </w:p>
        </w:tc>
        <w:tc>
          <w:tcPr>
            <w:tcW w:w="3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42,536,387</w:t>
            </w:r>
          </w:p>
        </w:tc>
        <w:tc>
          <w:tcPr>
            <w:tcW w:w="4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42,534,884</w:t>
            </w:r>
          </w:p>
        </w:tc>
        <w:tc>
          <w:tcPr>
            <w:tcW w:w="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42,535,391</w:t>
            </w:r>
          </w:p>
        </w:tc>
        <w:tc>
          <w:tcPr>
            <w:tcW w:w="14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42,534,884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Pro forma weighted average diluted shares outstanding</w:t>
            </w:r>
          </w:p>
        </w:tc>
        <w:tc>
          <w:tcPr>
            <w:tcW w:w="32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42,537,444</w:t>
            </w:r>
          </w:p>
        </w:tc>
        <w:tc>
          <w:tcPr>
            <w:tcW w:w="4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42,534,884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42,535,391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42,534,884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8"/>
                <w:szCs w:val="18"/>
                <w:color w:val="auto"/>
              </w:rPr>
              <w:t>Pro forma basic earnings per share</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0.07</w:t>
            </w: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0.09</w:t>
            </w:r>
          </w:p>
        </w:tc>
        <w:tc>
          <w:tcPr>
            <w:tcW w:w="4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0.36</w:t>
            </w:r>
          </w:p>
        </w:tc>
        <w:tc>
          <w:tcPr>
            <w:tcW w:w="620" w:type="dxa"/>
            <w:vAlign w:val="bottom"/>
            <w:gridSpan w:val="2"/>
            <w:shd w:val="clear" w:color="auto" w:fill="CCFFCC"/>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 forma diluted earnings per share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0.07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0.09</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0.36</w:t>
            </w:r>
          </w:p>
        </w:tc>
        <w:tc>
          <w:tcPr>
            <w:tcW w:w="6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87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2019-12-09T21:04:22Z</dcterms:created>
  <dcterms:modified xsi:type="dcterms:W3CDTF">2019-12-09T21:04:22Z</dcterms:modified>
</cp:coreProperties>
</file>