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104"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jc w:val="center"/>
        <w:spacing w:after="0" w:line="211" w:lineRule="auto"/>
        <w:rPr>
          <w:sz w:val="20"/>
          <w:szCs w:val="20"/>
          <w:color w:val="auto"/>
        </w:rPr>
      </w:pPr>
      <w:r>
        <w:rPr>
          <w:rFonts w:ascii="Times New Roman" w:cs="Times New Roman" w:eastAsia="Times New Roman" w:hAnsi="Times New Roman"/>
          <w:sz w:val="18"/>
          <w:szCs w:val="18"/>
          <w:b w:val="1"/>
          <w:bCs w:val="1"/>
          <w:color w:val="auto"/>
        </w:rPr>
        <w:t>or</w:t>
      </w:r>
    </w:p>
    <w:p>
      <w:pPr>
        <w:ind w:left="4360" w:right="4240" w:hanging="4352"/>
        <w:spacing w:after="0" w:line="262" w:lineRule="auto"/>
        <w:tabs>
          <w:tab w:leader="none" w:pos="256"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001-35629</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5" w:lineRule="exact"/>
        <w:rPr>
          <w:sz w:val="24"/>
          <w:szCs w:val="24"/>
          <w:color w:val="auto"/>
        </w:rPr>
      </w:pPr>
    </w:p>
    <w:p>
      <w:pPr>
        <w:ind w:left="2460"/>
        <w:spacing w:after="0"/>
        <w:tabs>
          <w:tab w:leader="none" w:pos="798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45-5538095</w:t>
      </w:r>
    </w:p>
    <w:p>
      <w:pPr>
        <w:ind w:left="660"/>
        <w:spacing w:after="0"/>
        <w:tabs>
          <w:tab w:leader="none" w:pos="7100" w:val="left"/>
        </w:tabs>
        <w:rPr>
          <w:sz w:val="20"/>
          <w:szCs w:val="20"/>
          <w:color w:val="auto"/>
        </w:rPr>
      </w:pPr>
      <w:r>
        <w:rPr>
          <w:rFonts w:ascii="Times New Roman" w:cs="Times New Roman" w:eastAsia="Times New Roman" w:hAnsi="Times New Roman"/>
          <w:sz w:val="18"/>
          <w:szCs w:val="18"/>
          <w:color w:val="auto"/>
        </w:rPr>
        <w:t>(State or other jurisdiction of incorporation or organization)</w:t>
      </w:r>
      <w:r>
        <w:rPr>
          <w:sz w:val="20"/>
          <w:szCs w:val="20"/>
          <w:color w:val="auto"/>
        </w:rPr>
        <w:tab/>
      </w:r>
      <w:r>
        <w:rPr>
          <w:rFonts w:ascii="Times New Roman" w:cs="Times New Roman" w:eastAsia="Times New Roman" w:hAnsi="Times New Roman"/>
          <w:sz w:val="18"/>
          <w:szCs w:val="18"/>
          <w:color w:val="auto"/>
        </w:rPr>
        <w:t>(I.R.S. Employer Identification No.)</w:t>
      </w:r>
    </w:p>
    <w:p>
      <w:pPr>
        <w:spacing w:after="0" w:line="12"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14000 Carlson Parkway, Plymouth, Minnesota 55441</w:t>
      </w:r>
    </w:p>
    <w:p>
      <w:pPr>
        <w:spacing w:after="0" w:line="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ind w:left="5060"/>
        <w:spacing w:after="0" w:line="219" w:lineRule="auto"/>
        <w:rPr>
          <w:sz w:val="20"/>
          <w:szCs w:val="20"/>
          <w:color w:val="auto"/>
        </w:rPr>
      </w:pPr>
      <w:r>
        <w:rPr>
          <w:rFonts w:ascii="Times New Roman" w:cs="Times New Roman" w:eastAsia="Times New Roman" w:hAnsi="Times New Roman"/>
          <w:sz w:val="18"/>
          <w:szCs w:val="18"/>
          <w:b w:val="1"/>
          <w:bCs w:val="1"/>
          <w:color w:val="auto"/>
        </w:rPr>
        <w:t>(763) 852-2950</w:t>
      </w:r>
    </w:p>
    <w:p>
      <w:pPr>
        <w:ind w:left="3720"/>
        <w:spacing w:after="0" w:line="219" w:lineRule="auto"/>
        <w:rPr>
          <w:sz w:val="20"/>
          <w:szCs w:val="20"/>
          <w:color w:val="auto"/>
        </w:rPr>
      </w:pPr>
      <w:r>
        <w:rPr>
          <w:rFonts w:ascii="Times New Roman" w:cs="Times New Roman" w:eastAsia="Times New Roman" w:hAnsi="Times New Roman"/>
          <w:sz w:val="18"/>
          <w:szCs w:val="18"/>
          <w:color w:val="auto"/>
        </w:rPr>
        <w:t>(Registrant’s telephone number, including area code)</w:t>
      </w:r>
    </w:p>
    <w:p>
      <w:pPr>
        <w:ind w:left="35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216" w:right="339" w:bottom="1440" w:gutter="0" w:footer="0" w:header="0"/>
        </w:sectPr>
      </w:pPr>
    </w:p>
    <w:p>
      <w:pPr>
        <w:spacing w:after="0" w:line="3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Common Stock, $0.0001 par value</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18"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TTSH</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18"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p>
      <w:pPr>
        <w:spacing w:after="0" w:line="84" w:lineRule="exact"/>
        <w:rPr>
          <w:sz w:val="24"/>
          <w:szCs w:val="24"/>
          <w:color w:val="auto"/>
        </w:rPr>
      </w:pPr>
    </w:p>
    <w:p>
      <w:pPr>
        <w:sectPr>
          <w:pgSz w:w="11900" w:h="16838" w:orient="portrait"/>
          <w:cols w:equalWidth="0" w:num="3">
            <w:col w:w="4260" w:space="720"/>
            <w:col w:w="1820" w:space="720"/>
            <w:col w:w="3720"/>
          </w:cols>
          <w:pgMar w:left="320" w:top="216" w:right="33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jc w:val="center"/>
        <w:ind w:right="40"/>
        <w:spacing w:after="0" w:line="233" w:lineRule="auto"/>
        <w:rPr>
          <w:sz w:val="20"/>
          <w:szCs w:val="20"/>
          <w:color w:val="auto"/>
        </w:rPr>
      </w:pPr>
      <w:r>
        <w:rPr>
          <w:rFonts w:ascii="Times New Roman" w:cs="Times New Roman" w:eastAsia="Times New Roman" w:hAnsi="Times New Roman"/>
          <w:sz w:val="18"/>
          <w:szCs w:val="18"/>
          <w:b w:val="1"/>
          <w:bCs w:val="1"/>
          <w:color w:val="auto"/>
        </w:rPr>
        <w:t>None</w:t>
      </w:r>
    </w:p>
    <w:p>
      <w:pPr>
        <w:ind w:right="2600"/>
        <w:spacing w:after="0" w:line="25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240"/>
        <w:spacing w:after="0" w:line="20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2" w:lineRule="exact"/>
        <w:rPr>
          <w:sz w:val="24"/>
          <w:szCs w:val="24"/>
          <w:color w:val="auto"/>
        </w:rPr>
      </w:pPr>
    </w:p>
    <w:p>
      <w:pPr>
        <w:ind w:right="120"/>
        <w:spacing w:after="0" w:line="24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16" w:right="339" w:bottom="1440" w:gutter="0" w:footer="0" w:header="0"/>
          <w:type w:val="continuous"/>
        </w:sectPr>
      </w:pPr>
    </w:p>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9" w:lineRule="exact"/>
        <w:rPr>
          <w:sz w:val="24"/>
          <w:szCs w:val="24"/>
          <w:color w:val="auto"/>
        </w:rPr>
      </w:pPr>
    </w:p>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29"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5"/>
          <w:szCs w:val="15"/>
          <w:color w:val="auto"/>
        </w:rPr>
        <w:t>☒</w:t>
      </w:r>
    </w:p>
    <w:p>
      <w:pPr>
        <w:spacing w:after="0" w:line="46"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04" w:lineRule="exact"/>
        <w:rPr>
          <w:sz w:val="24"/>
          <w:szCs w:val="24"/>
          <w:color w:val="auto"/>
        </w:rPr>
      </w:pPr>
    </w:p>
    <w:p>
      <w:pPr>
        <w:sectPr>
          <w:pgSz w:w="11900" w:h="16838" w:orient="portrait"/>
          <w:cols w:equalWidth="0" w:num="2">
            <w:col w:w="5440" w:space="720"/>
            <w:col w:w="5080"/>
          </w:cols>
          <w:pgMar w:left="320" w:top="216" w:right="339" w:bottom="1440" w:gutter="0" w:footer="0" w:header="0"/>
          <w:type w:val="continuous"/>
        </w:sectPr>
      </w:pPr>
    </w:p>
    <w:p>
      <w:pPr>
        <w:ind w:right="580"/>
        <w:spacing w:after="0" w:line="20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8" w:lineRule="exact"/>
        <w:rPr>
          <w:sz w:val="24"/>
          <w:szCs w:val="24"/>
          <w:color w:val="auto"/>
        </w:rPr>
      </w:pPr>
    </w:p>
    <w:p>
      <w:pPr>
        <w:ind w:right="220"/>
        <w:spacing w:after="0" w:line="20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62" w:lineRule="exact"/>
        <w:rPr>
          <w:sz w:val="24"/>
          <w:szCs w:val="24"/>
          <w:color w:val="auto"/>
        </w:rPr>
      </w:pPr>
    </w:p>
    <w:p>
      <w:pPr>
        <w:ind w:right="300"/>
        <w:spacing w:after="0" w:line="206"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62" w:lineRule="exact"/>
        <w:rPr>
          <w:sz w:val="24"/>
          <w:szCs w:val="24"/>
          <w:color w:val="auto"/>
        </w:rPr>
      </w:pPr>
    </w:p>
    <w:p>
      <w:pPr>
        <w:ind w:right="320"/>
        <w:spacing w:after="0" w:line="199"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6"/>
          <w:szCs w:val="16"/>
          <w:color w:val="auto"/>
        </w:rPr>
        <w:t>☐</w:t>
      </w:r>
    </w:p>
    <w:p>
      <w:pPr>
        <w:spacing w:after="0" w:line="2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49" w:lineRule="exact"/>
        <w:rPr>
          <w:sz w:val="24"/>
          <w:szCs w:val="24"/>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computed by reference to the price at which the common equity was last sold as of the last business day of the registrant’s most recently completed second fiscal quarter was approximately: $156,987,761.</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February 26, 2024, the registrant had 44,510,779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0"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Certain information required by Part III is incorporated by reference from the Company’s definitive Proxy Statement for the Annual Meeting of Stockholders, or an amendment to this Form 10-K, which the Company intends to file with the SEC within 120 days after the fiscal year end covered by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708660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08" w:right="9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1074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auto"/>
              </w:rPr>
              <w:t>TILE SHOP HOLDINGS, INC. FORM 10-K</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300" w:type="dxa"/>
            <w:vAlign w:val="bottom"/>
            <w:gridSpan w:val="12"/>
          </w:tcPr>
          <w:p>
            <w:pPr>
              <w:ind w:left="280"/>
              <w:spacing w:after="0"/>
              <w:rPr>
                <w:sz w:val="20"/>
                <w:szCs w:val="20"/>
                <w:color w:val="auto"/>
              </w:rPr>
            </w:pPr>
            <w:r>
              <w:rPr>
                <w:rFonts w:ascii="Times New Roman" w:cs="Times New Roman" w:eastAsia="Times New Roman" w:hAnsi="Times New Roman"/>
                <w:sz w:val="18"/>
                <w:szCs w:val="18"/>
                <w:color w:val="auto"/>
              </w:rPr>
              <w:t>TABLE OF CONTENTS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40" w:type="dxa"/>
            <w:vAlign w:val="bottom"/>
            <w:tcBorders>
              <w:right w:val="single" w:sz="8" w:color="CCEEFF"/>
            </w:tcBorders>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PART I</w:t>
            </w: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0" w:type="dxa"/>
            <w:vAlign w:val="bottom"/>
            <w:tcBorders>
              <w:lef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1080" w:type="dxa"/>
            <w:vAlign w:val="bottom"/>
            <w:gridSpan w:val="5"/>
          </w:tcPr>
          <w:p>
            <w:pPr>
              <w:spacing w:after="0" w:line="162" w:lineRule="exact"/>
              <w:rPr>
                <w:sz w:val="20"/>
                <w:szCs w:val="20"/>
                <w:color w:val="auto"/>
              </w:rPr>
            </w:pPr>
            <w:r>
              <w:rPr>
                <w:rFonts w:ascii="Times New Roman" w:cs="Times New Roman" w:eastAsia="Times New Roman" w:hAnsi="Times New Roman"/>
                <w:sz w:val="18"/>
                <w:szCs w:val="18"/>
                <w:color w:val="0000FF"/>
              </w:rPr>
              <w:t>ITEM 1</w:t>
            </w:r>
            <w:r>
              <w:rPr>
                <w:rFonts w:ascii="Times New Roman" w:cs="Times New Roman" w:eastAsia="Times New Roman" w:hAnsi="Times New Roman"/>
                <w:sz w:val="18"/>
                <w:szCs w:val="18"/>
                <w:color w:val="000000"/>
              </w:rPr>
              <w:t>.</w:t>
            </w:r>
          </w:p>
        </w:tc>
        <w:tc>
          <w:tcPr>
            <w:tcW w:w="9400" w:type="dxa"/>
            <w:vAlign w:val="bottom"/>
            <w:gridSpan w:val="23"/>
          </w:tcPr>
          <w:p>
            <w:pPr>
              <w:spacing w:after="0" w:line="162" w:lineRule="exact"/>
              <w:rPr>
                <w:sz w:val="20"/>
                <w:szCs w:val="20"/>
                <w:color w:val="auto"/>
              </w:rPr>
            </w:pPr>
            <w:r>
              <w:rPr>
                <w:rFonts w:ascii="Times New Roman" w:cs="Times New Roman" w:eastAsia="Times New Roman" w:hAnsi="Times New Roman"/>
                <w:sz w:val="18"/>
                <w:szCs w:val="18"/>
                <w:color w:val="0000FF"/>
              </w:rPr>
              <w:t>BUSINESS</w:t>
            </w: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5"/>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ITEM 1A</w:t>
            </w:r>
            <w:r>
              <w:rPr>
                <w:rFonts w:ascii="Times New Roman" w:cs="Times New Roman" w:eastAsia="Times New Roman" w:hAnsi="Times New Roman"/>
                <w:sz w:val="18"/>
                <w:szCs w:val="18"/>
                <w:color w:val="000000"/>
              </w:rPr>
              <w:t>.</w:t>
            </w:r>
          </w:p>
        </w:tc>
        <w:tc>
          <w:tcPr>
            <w:tcW w:w="9400" w:type="dxa"/>
            <w:vAlign w:val="bottom"/>
            <w:gridSpan w:val="23"/>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RISK FACTORS</w:t>
            </w: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0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0" w:type="dxa"/>
            <w:vAlign w:val="bottom"/>
          </w:tcPr>
          <w:p>
            <w:pPr>
              <w:spacing w:after="0"/>
              <w:rPr>
                <w:sz w:val="14"/>
                <w:szCs w:val="14"/>
                <w:color w:val="auto"/>
              </w:rPr>
            </w:pPr>
          </w:p>
        </w:tc>
        <w:tc>
          <w:tcPr>
            <w:tcW w:w="1080" w:type="dxa"/>
            <w:vAlign w:val="bottom"/>
            <w:gridSpan w:val="5"/>
          </w:tcPr>
          <w:p>
            <w:pPr>
              <w:spacing w:after="0" w:line="162" w:lineRule="exact"/>
              <w:rPr>
                <w:sz w:val="20"/>
                <w:szCs w:val="20"/>
                <w:color w:val="auto"/>
              </w:rPr>
            </w:pPr>
            <w:r>
              <w:rPr>
                <w:rFonts w:ascii="Times New Roman" w:cs="Times New Roman" w:eastAsia="Times New Roman" w:hAnsi="Times New Roman"/>
                <w:sz w:val="18"/>
                <w:szCs w:val="18"/>
                <w:color w:val="0000FF"/>
              </w:rPr>
              <w:t>ITEM 1B</w:t>
            </w:r>
            <w:r>
              <w:rPr>
                <w:rFonts w:ascii="Times New Roman" w:cs="Times New Roman" w:eastAsia="Times New Roman" w:hAnsi="Times New Roman"/>
                <w:sz w:val="18"/>
                <w:szCs w:val="18"/>
                <w:color w:val="000000"/>
              </w:rPr>
              <w:t>.</w:t>
            </w:r>
          </w:p>
        </w:tc>
        <w:tc>
          <w:tcPr>
            <w:tcW w:w="9400" w:type="dxa"/>
            <w:vAlign w:val="bottom"/>
            <w:gridSpan w:val="23"/>
          </w:tcPr>
          <w:p>
            <w:pPr>
              <w:spacing w:after="0" w:line="162" w:lineRule="exact"/>
              <w:rPr>
                <w:sz w:val="20"/>
                <w:szCs w:val="20"/>
                <w:color w:val="auto"/>
              </w:rPr>
            </w:pPr>
            <w:r>
              <w:rPr>
                <w:rFonts w:ascii="Times New Roman" w:cs="Times New Roman" w:eastAsia="Times New Roman" w:hAnsi="Times New Roman"/>
                <w:sz w:val="18"/>
                <w:szCs w:val="18"/>
                <w:color w:val="0000FF"/>
              </w:rPr>
              <w:t>UNRESOLVED STAFF COMMENTS</w:t>
            </w: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300" w:type="dxa"/>
            <w:vAlign w:val="bottom"/>
            <w:tcBorders>
              <w:lef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60" w:type="dxa"/>
            <w:vAlign w:val="bottom"/>
            <w:shd w:val="clear" w:color="auto" w:fill="CCEEFF"/>
          </w:tcPr>
          <w:p>
            <w:pPr>
              <w:spacing w:after="0"/>
              <w:rPr>
                <w:sz w:val="14"/>
                <w:szCs w:val="14"/>
                <w:color w:val="auto"/>
              </w:rPr>
            </w:pPr>
          </w:p>
        </w:tc>
        <w:tc>
          <w:tcPr>
            <w:tcW w:w="740" w:type="dxa"/>
            <w:vAlign w:val="bottom"/>
            <w:gridSpan w:val="3"/>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w w:val="97"/>
              </w:rPr>
              <w:t>ITEM 1C.</w:t>
            </w:r>
          </w:p>
        </w:tc>
        <w:tc>
          <w:tcPr>
            <w:tcW w:w="340" w:type="dxa"/>
            <w:vAlign w:val="bottom"/>
            <w:tcBorders>
              <w:right w:val="single" w:sz="8" w:color="CCEEFF"/>
            </w:tcBorders>
            <w:gridSpan w:val="2"/>
            <w:shd w:val="clear" w:color="auto" w:fill="CCEEFF"/>
          </w:tcPr>
          <w:p>
            <w:pPr>
              <w:spacing w:after="0"/>
              <w:rPr>
                <w:sz w:val="14"/>
                <w:szCs w:val="14"/>
                <w:color w:val="auto"/>
              </w:rPr>
            </w:pPr>
          </w:p>
        </w:tc>
        <w:tc>
          <w:tcPr>
            <w:tcW w:w="9400" w:type="dxa"/>
            <w:vAlign w:val="bottom"/>
            <w:gridSpan w:val="23"/>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CYBERSECURITY</w:t>
            </w: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 w:type="dxa"/>
            <w:vAlign w:val="bottom"/>
            <w:tcBorders>
              <w:top w:val="single" w:sz="8" w:color="CCEEFF"/>
            </w:tcBorders>
          </w:tcPr>
          <w:p>
            <w:pPr>
              <w:spacing w:after="0"/>
              <w:rPr>
                <w:sz w:val="14"/>
                <w:szCs w:val="14"/>
                <w:color w:val="auto"/>
              </w:rPr>
            </w:pPr>
          </w:p>
        </w:tc>
        <w:tc>
          <w:tcPr>
            <w:tcW w:w="740" w:type="dxa"/>
            <w:vAlign w:val="bottom"/>
            <w:tcBorders>
              <w:top w:val="single" w:sz="8" w:color="0000FF"/>
            </w:tcBorders>
            <w:gridSpan w:val="3"/>
          </w:tcPr>
          <w:p>
            <w:pPr>
              <w:spacing w:after="0" w:line="162" w:lineRule="exact"/>
              <w:rPr>
                <w:sz w:val="20"/>
                <w:szCs w:val="20"/>
                <w:color w:val="auto"/>
              </w:rPr>
            </w:pPr>
            <w:r>
              <w:rPr>
                <w:rFonts w:ascii="Times New Roman" w:cs="Times New Roman" w:eastAsia="Times New Roman" w:hAnsi="Times New Roman"/>
                <w:sz w:val="18"/>
                <w:szCs w:val="18"/>
                <w:color w:val="0000FF"/>
              </w:rPr>
              <w:t>ITEM 2</w:t>
            </w:r>
            <w:r>
              <w:rPr>
                <w:rFonts w:ascii="Times New Roman" w:cs="Times New Roman" w:eastAsia="Times New Roman" w:hAnsi="Times New Roman"/>
                <w:sz w:val="18"/>
                <w:szCs w:val="18"/>
                <w:color w:val="000000"/>
              </w:rPr>
              <w:t>.</w:t>
            </w:r>
          </w:p>
        </w:tc>
        <w:tc>
          <w:tcPr>
            <w:tcW w:w="340" w:type="dxa"/>
            <w:vAlign w:val="bottom"/>
            <w:tcBorders>
              <w:top w:val="single" w:sz="8" w:color="CCEEFF"/>
            </w:tcBorders>
            <w:gridSpan w:val="2"/>
          </w:tcPr>
          <w:p>
            <w:pPr>
              <w:spacing w:after="0"/>
              <w:rPr>
                <w:sz w:val="14"/>
                <w:szCs w:val="14"/>
                <w:color w:val="auto"/>
              </w:rPr>
            </w:pPr>
          </w:p>
        </w:tc>
        <w:tc>
          <w:tcPr>
            <w:tcW w:w="1480" w:type="dxa"/>
            <w:vAlign w:val="bottom"/>
            <w:tcBorders>
              <w:top w:val="single" w:sz="8" w:color="0000FF"/>
            </w:tcBorders>
            <w:gridSpan w:val="5"/>
          </w:tcPr>
          <w:p>
            <w:pPr>
              <w:spacing w:after="0" w:line="162" w:lineRule="exact"/>
              <w:rPr>
                <w:sz w:val="20"/>
                <w:szCs w:val="20"/>
                <w:color w:val="auto"/>
              </w:rPr>
            </w:pPr>
            <w:r>
              <w:rPr>
                <w:rFonts w:ascii="Times New Roman" w:cs="Times New Roman" w:eastAsia="Times New Roman" w:hAnsi="Times New Roman"/>
                <w:sz w:val="18"/>
                <w:szCs w:val="18"/>
                <w:color w:val="0000FF"/>
              </w:rPr>
              <w:t>PROPERTIES</w:t>
            </w:r>
          </w:p>
        </w:tc>
        <w:tc>
          <w:tcPr>
            <w:tcW w:w="7920" w:type="dxa"/>
            <w:vAlign w:val="bottom"/>
            <w:tcBorders>
              <w:top w:val="single" w:sz="8" w:color="CCEEFF"/>
            </w:tcBorders>
            <w:gridSpan w:val="18"/>
          </w:tcPr>
          <w:p>
            <w:pPr>
              <w:spacing w:after="0"/>
              <w:rPr>
                <w:sz w:val="14"/>
                <w:szCs w:val="14"/>
                <w:color w:val="auto"/>
              </w:rPr>
            </w:pPr>
          </w:p>
        </w:tc>
        <w:tc>
          <w:tcPr>
            <w:tcW w:w="500" w:type="dxa"/>
            <w:vAlign w:val="bottom"/>
            <w:tcBorders>
              <w:top w:val="single" w:sz="8" w:color="CCEEFF"/>
            </w:tcBorders>
          </w:tcPr>
          <w:p>
            <w:pPr>
              <w:jc w:val="right"/>
              <w:spacing w:after="0" w:line="162"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5"/>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ITEM 3</w:t>
            </w:r>
            <w:r>
              <w:rPr>
                <w:rFonts w:ascii="Times New Roman" w:cs="Times New Roman" w:eastAsia="Times New Roman" w:hAnsi="Times New Roman"/>
                <w:sz w:val="18"/>
                <w:szCs w:val="18"/>
                <w:color w:val="000000"/>
              </w:rPr>
              <w:t>.</w:t>
            </w:r>
          </w:p>
        </w:tc>
        <w:tc>
          <w:tcPr>
            <w:tcW w:w="9400" w:type="dxa"/>
            <w:vAlign w:val="bottom"/>
            <w:gridSpan w:val="23"/>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LEGAL PROCEEDINGS</w:t>
            </w: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30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60" w:type="dxa"/>
            <w:vAlign w:val="bottom"/>
          </w:tcPr>
          <w:p>
            <w:pPr>
              <w:spacing w:after="0"/>
              <w:rPr>
                <w:sz w:val="14"/>
                <w:szCs w:val="14"/>
                <w:color w:val="auto"/>
              </w:rPr>
            </w:pPr>
          </w:p>
        </w:tc>
        <w:tc>
          <w:tcPr>
            <w:tcW w:w="1080" w:type="dxa"/>
            <w:vAlign w:val="bottom"/>
            <w:gridSpan w:val="5"/>
          </w:tcPr>
          <w:p>
            <w:pPr>
              <w:spacing w:after="0" w:line="162" w:lineRule="exact"/>
              <w:rPr>
                <w:sz w:val="20"/>
                <w:szCs w:val="20"/>
                <w:color w:val="auto"/>
              </w:rPr>
            </w:pPr>
            <w:r>
              <w:rPr>
                <w:rFonts w:ascii="Times New Roman" w:cs="Times New Roman" w:eastAsia="Times New Roman" w:hAnsi="Times New Roman"/>
                <w:sz w:val="18"/>
                <w:szCs w:val="18"/>
                <w:color w:val="0000FF"/>
              </w:rPr>
              <w:t>ITEM 4</w:t>
            </w:r>
            <w:r>
              <w:rPr>
                <w:rFonts w:ascii="Times New Roman" w:cs="Times New Roman" w:eastAsia="Times New Roman" w:hAnsi="Times New Roman"/>
                <w:sz w:val="18"/>
                <w:szCs w:val="18"/>
                <w:color w:val="000000"/>
              </w:rPr>
              <w:t>.</w:t>
            </w:r>
          </w:p>
        </w:tc>
        <w:tc>
          <w:tcPr>
            <w:tcW w:w="9400" w:type="dxa"/>
            <w:vAlign w:val="bottom"/>
            <w:gridSpan w:val="23"/>
          </w:tcPr>
          <w:p>
            <w:pPr>
              <w:spacing w:after="0" w:line="162" w:lineRule="exact"/>
              <w:rPr>
                <w:sz w:val="20"/>
                <w:szCs w:val="20"/>
                <w:color w:val="auto"/>
              </w:rPr>
            </w:pPr>
            <w:r>
              <w:rPr>
                <w:rFonts w:ascii="Times New Roman" w:cs="Times New Roman" w:eastAsia="Times New Roman" w:hAnsi="Times New Roman"/>
                <w:sz w:val="18"/>
                <w:szCs w:val="18"/>
                <w:color w:val="0000FF"/>
              </w:rPr>
              <w:t>MINE SAFETY DISCLOSURES</w:t>
            </w: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0" w:type="dxa"/>
            <w:vAlign w:val="bottom"/>
            <w:shd w:val="clear" w:color="auto" w:fill="CCEEFF"/>
          </w:tcPr>
          <w:p>
            <w:pPr>
              <w:spacing w:after="0"/>
              <w:rPr>
                <w:sz w:val="16"/>
                <w:szCs w:val="16"/>
                <w:color w:val="auto"/>
              </w:rPr>
            </w:pPr>
          </w:p>
        </w:tc>
        <w:tc>
          <w:tcPr>
            <w:tcW w:w="560" w:type="dxa"/>
            <w:vAlign w:val="bottom"/>
            <w:tcBorders>
              <w:top w:val="single" w:sz="8" w:color="0000FF"/>
            </w:tcBorders>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600" w:type="dxa"/>
            <w:vAlign w:val="bottom"/>
            <w:tcBorders>
              <w:top w:val="single" w:sz="8" w:color="0000FF"/>
            </w:tcBorders>
            <w:shd w:val="clear" w:color="auto" w:fill="CCEEFF"/>
          </w:tcPr>
          <w:p>
            <w:pPr>
              <w:spacing w:after="0"/>
              <w:rPr>
                <w:sz w:val="16"/>
                <w:szCs w:val="16"/>
                <w:color w:val="auto"/>
              </w:rPr>
            </w:pPr>
          </w:p>
        </w:tc>
        <w:tc>
          <w:tcPr>
            <w:tcW w:w="260" w:type="dxa"/>
            <w:vAlign w:val="bottom"/>
            <w:tcBorders>
              <w:top w:val="single" w:sz="8" w:color="0000FF"/>
            </w:tcBorders>
            <w:shd w:val="clear" w:color="auto" w:fill="CCEEFF"/>
          </w:tcPr>
          <w:p>
            <w:pPr>
              <w:spacing w:after="0"/>
              <w:rPr>
                <w:sz w:val="16"/>
                <w:szCs w:val="16"/>
                <w:color w:val="auto"/>
              </w:rPr>
            </w:pPr>
          </w:p>
        </w:tc>
        <w:tc>
          <w:tcPr>
            <w:tcW w:w="200" w:type="dxa"/>
            <w:vAlign w:val="bottom"/>
            <w:tcBorders>
              <w:top w:val="single" w:sz="8" w:color="0000FF"/>
              <w:right w:val="single" w:sz="8" w:color="CCEEFF"/>
            </w:tcBorders>
            <w:shd w:val="clear" w:color="auto" w:fill="CCEEFF"/>
          </w:tcPr>
          <w:p>
            <w:pPr>
              <w:spacing w:after="0"/>
              <w:rPr>
                <w:sz w:val="16"/>
                <w:szCs w:val="16"/>
                <w:color w:val="auto"/>
              </w:rPr>
            </w:pPr>
          </w:p>
        </w:tc>
        <w:tc>
          <w:tcPr>
            <w:tcW w:w="200" w:type="dxa"/>
            <w:vAlign w:val="bottom"/>
            <w:tcBorders>
              <w:top w:val="single" w:sz="8" w:color="0000FF"/>
            </w:tcBorders>
            <w:shd w:val="clear" w:color="auto" w:fill="CCEEFF"/>
          </w:tcPr>
          <w:p>
            <w:pPr>
              <w:spacing w:after="0"/>
              <w:rPr>
                <w:sz w:val="16"/>
                <w:szCs w:val="16"/>
                <w:color w:val="auto"/>
              </w:rPr>
            </w:pPr>
          </w:p>
        </w:tc>
        <w:tc>
          <w:tcPr>
            <w:tcW w:w="220" w:type="dxa"/>
            <w:vAlign w:val="bottom"/>
            <w:tcBorders>
              <w:top w:val="single" w:sz="8" w:color="0000FF"/>
            </w:tcBorders>
            <w:shd w:val="clear" w:color="auto" w:fill="CCEEFF"/>
          </w:tcPr>
          <w:p>
            <w:pPr>
              <w:spacing w:after="0"/>
              <w:rPr>
                <w:sz w:val="16"/>
                <w:szCs w:val="16"/>
                <w:color w:val="auto"/>
              </w:rPr>
            </w:pPr>
          </w:p>
        </w:tc>
        <w:tc>
          <w:tcPr>
            <w:tcW w:w="400" w:type="dxa"/>
            <w:vAlign w:val="bottom"/>
            <w:tcBorders>
              <w:top w:val="single" w:sz="8" w:color="0000FF"/>
            </w:tcBorders>
            <w:shd w:val="clear" w:color="auto" w:fill="CCEEFF"/>
          </w:tcPr>
          <w:p>
            <w:pPr>
              <w:spacing w:after="0"/>
              <w:rPr>
                <w:sz w:val="16"/>
                <w:szCs w:val="16"/>
                <w:color w:val="auto"/>
              </w:rPr>
            </w:pPr>
          </w:p>
        </w:tc>
        <w:tc>
          <w:tcPr>
            <w:tcW w:w="300" w:type="dxa"/>
            <w:vAlign w:val="bottom"/>
            <w:tcBorders>
              <w:top w:val="single" w:sz="8" w:color="0000FF"/>
              <w:left w:val="single" w:sz="8" w:color="CCEEFF"/>
            </w:tcBorders>
            <w:shd w:val="clear" w:color="auto" w:fill="CCEEFF"/>
          </w:tcPr>
          <w:p>
            <w:pPr>
              <w:spacing w:after="0"/>
              <w:rPr>
                <w:sz w:val="16"/>
                <w:szCs w:val="16"/>
                <w:color w:val="auto"/>
              </w:rPr>
            </w:pPr>
          </w:p>
        </w:tc>
        <w:tc>
          <w:tcPr>
            <w:tcW w:w="260" w:type="dxa"/>
            <w:vAlign w:val="bottom"/>
            <w:tcBorders>
              <w:top w:val="single" w:sz="8" w:color="0000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4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auto"/>
              </w:rPr>
              <w:t>PART II</w:t>
            </w: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5"/>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ITEM 5</w:t>
            </w:r>
            <w:r>
              <w:rPr>
                <w:rFonts w:ascii="Times New Roman" w:cs="Times New Roman" w:eastAsia="Times New Roman" w:hAnsi="Times New Roman"/>
                <w:sz w:val="18"/>
                <w:szCs w:val="18"/>
                <w:color w:val="000000"/>
              </w:rPr>
              <w:t>.</w:t>
            </w:r>
          </w:p>
        </w:tc>
        <w:tc>
          <w:tcPr>
            <w:tcW w:w="9400" w:type="dxa"/>
            <w:vAlign w:val="bottom"/>
            <w:gridSpan w:val="23"/>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MARKET FOR THE REGISTRANT’S COMMON EQUITY, RELATED STOCKHOLDER MATTERS AND ISSUER</w:t>
            </w: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0000FF"/>
              <w:bottom w:val="single" w:sz="8" w:color="CCEEFF"/>
            </w:tcBorders>
            <w:shd w:val="clear" w:color="auto" w:fill="CCEEFF"/>
          </w:tcPr>
          <w:p>
            <w:pPr>
              <w:spacing w:after="0"/>
              <w:rPr>
                <w:sz w:val="16"/>
                <w:szCs w:val="16"/>
                <w:color w:val="auto"/>
              </w:rPr>
            </w:pPr>
          </w:p>
        </w:tc>
        <w:tc>
          <w:tcPr>
            <w:tcW w:w="100" w:type="dxa"/>
            <w:vAlign w:val="bottom"/>
            <w:tcBorders>
              <w:top w:val="single" w:sz="8" w:color="CCEEFF"/>
              <w:left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left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3100" w:type="dxa"/>
            <w:vAlign w:val="bottom"/>
            <w:tcBorders>
              <w:top w:val="single" w:sz="8" w:color="0000FF"/>
              <w:bottom w:val="single" w:sz="8" w:color="0000FF"/>
            </w:tcBorders>
            <w:gridSpan w:val="11"/>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w w:val="99"/>
              </w:rPr>
              <w:t>PURCHASES OF EQUITY SECURITIES</w:t>
            </w:r>
          </w:p>
        </w:tc>
        <w:tc>
          <w:tcPr>
            <w:tcW w:w="5600" w:type="dxa"/>
            <w:vAlign w:val="bottom"/>
            <w:tcBorders>
              <w:top w:val="single" w:sz="8" w:color="0000FF"/>
              <w:bottom w:val="single" w:sz="8" w:color="CCEEFF"/>
            </w:tcBorders>
            <w:gridSpan w:val="9"/>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560" w:type="dxa"/>
            <w:vAlign w:val="bottom"/>
            <w:tcBorders>
              <w:bottom w:val="single" w:sz="8" w:color="0000FF"/>
            </w:tcBorders>
          </w:tcPr>
          <w:p>
            <w:pPr>
              <w:spacing w:after="0" w:line="162" w:lineRule="exact"/>
              <w:rPr>
                <w:sz w:val="20"/>
                <w:szCs w:val="20"/>
                <w:color w:val="auto"/>
              </w:rPr>
            </w:pPr>
            <w:r>
              <w:rPr>
                <w:rFonts w:ascii="Times New Roman" w:cs="Times New Roman" w:eastAsia="Times New Roman" w:hAnsi="Times New Roman"/>
                <w:sz w:val="18"/>
                <w:szCs w:val="18"/>
                <w:color w:val="0000FF"/>
                <w:w w:val="83"/>
              </w:rPr>
              <w:t>ITEM 6.</w:t>
            </w:r>
          </w:p>
        </w:tc>
        <w:tc>
          <w:tcPr>
            <w:tcW w:w="520" w:type="dxa"/>
            <w:vAlign w:val="bottom"/>
            <w:gridSpan w:val="4"/>
          </w:tcPr>
          <w:p>
            <w:pPr>
              <w:spacing w:after="0"/>
              <w:rPr>
                <w:sz w:val="14"/>
                <w:szCs w:val="14"/>
                <w:color w:val="auto"/>
              </w:rPr>
            </w:pPr>
          </w:p>
        </w:tc>
        <w:tc>
          <w:tcPr>
            <w:tcW w:w="1060" w:type="dxa"/>
            <w:vAlign w:val="bottom"/>
            <w:tcBorders>
              <w:bottom w:val="single" w:sz="8" w:color="0000FF"/>
            </w:tcBorders>
            <w:gridSpan w:val="3"/>
          </w:tcPr>
          <w:p>
            <w:pPr>
              <w:spacing w:after="0" w:line="162" w:lineRule="exact"/>
              <w:rPr>
                <w:sz w:val="20"/>
                <w:szCs w:val="20"/>
                <w:color w:val="auto"/>
              </w:rPr>
            </w:pPr>
            <w:r>
              <w:rPr>
                <w:rFonts w:ascii="Times New Roman" w:cs="Times New Roman" w:eastAsia="Times New Roman" w:hAnsi="Times New Roman"/>
                <w:sz w:val="18"/>
                <w:szCs w:val="18"/>
                <w:color w:val="0000FF"/>
                <w:w w:val="97"/>
              </w:rPr>
              <w:t>[RESERVED]</w:t>
            </w:r>
          </w:p>
        </w:tc>
        <w:tc>
          <w:tcPr>
            <w:tcW w:w="8340" w:type="dxa"/>
            <w:vAlign w:val="bottom"/>
            <w:gridSpan w:val="20"/>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5"/>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ITEM 7</w:t>
            </w:r>
            <w:r>
              <w:rPr>
                <w:rFonts w:ascii="Times New Roman" w:cs="Times New Roman" w:eastAsia="Times New Roman" w:hAnsi="Times New Roman"/>
                <w:sz w:val="18"/>
                <w:szCs w:val="18"/>
                <w:color w:val="000000"/>
              </w:rPr>
              <w:t>.</w:t>
            </w:r>
          </w:p>
        </w:tc>
        <w:tc>
          <w:tcPr>
            <w:tcW w:w="9400" w:type="dxa"/>
            <w:vAlign w:val="bottom"/>
            <w:gridSpan w:val="23"/>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300" w:type="dxa"/>
            <w:vAlign w:val="bottom"/>
            <w:tcBorders>
              <w:lef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60" w:type="dxa"/>
            <w:vAlign w:val="bottom"/>
          </w:tcPr>
          <w:p>
            <w:pPr>
              <w:spacing w:after="0"/>
              <w:rPr>
                <w:sz w:val="14"/>
                <w:szCs w:val="14"/>
                <w:color w:val="auto"/>
              </w:rPr>
            </w:pPr>
          </w:p>
        </w:tc>
        <w:tc>
          <w:tcPr>
            <w:tcW w:w="1080" w:type="dxa"/>
            <w:vAlign w:val="bottom"/>
            <w:gridSpan w:val="5"/>
          </w:tcPr>
          <w:p>
            <w:pPr>
              <w:spacing w:after="0" w:line="162" w:lineRule="exact"/>
              <w:rPr>
                <w:sz w:val="20"/>
                <w:szCs w:val="20"/>
                <w:color w:val="auto"/>
              </w:rPr>
            </w:pPr>
            <w:r>
              <w:rPr>
                <w:rFonts w:ascii="Times New Roman" w:cs="Times New Roman" w:eastAsia="Times New Roman" w:hAnsi="Times New Roman"/>
                <w:sz w:val="18"/>
                <w:szCs w:val="18"/>
                <w:color w:val="0000FF"/>
              </w:rPr>
              <w:t>ITEM 7A.</w:t>
            </w:r>
          </w:p>
        </w:tc>
        <w:tc>
          <w:tcPr>
            <w:tcW w:w="9400" w:type="dxa"/>
            <w:vAlign w:val="bottom"/>
            <w:gridSpan w:val="23"/>
          </w:tcPr>
          <w:p>
            <w:pPr>
              <w:spacing w:after="0" w:line="16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 w:type="dxa"/>
            <w:vAlign w:val="bottom"/>
            <w:shd w:val="clear" w:color="auto" w:fill="CCEEFF"/>
          </w:tcPr>
          <w:p>
            <w:pPr>
              <w:spacing w:after="0"/>
              <w:rPr>
                <w:sz w:val="14"/>
                <w:szCs w:val="14"/>
                <w:color w:val="auto"/>
              </w:rPr>
            </w:pPr>
          </w:p>
        </w:tc>
        <w:tc>
          <w:tcPr>
            <w:tcW w:w="740" w:type="dxa"/>
            <w:vAlign w:val="bottom"/>
            <w:tcBorders>
              <w:top w:val="single" w:sz="8" w:color="0000FF"/>
            </w:tcBorders>
            <w:gridSpan w:val="3"/>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ITEM 8</w:t>
            </w:r>
            <w:r>
              <w:rPr>
                <w:rFonts w:ascii="Times New Roman" w:cs="Times New Roman" w:eastAsia="Times New Roman" w:hAnsi="Times New Roman"/>
                <w:sz w:val="18"/>
                <w:szCs w:val="18"/>
                <w:color w:val="000000"/>
              </w:rPr>
              <w:t>.</w:t>
            </w:r>
          </w:p>
        </w:tc>
        <w:tc>
          <w:tcPr>
            <w:tcW w:w="340" w:type="dxa"/>
            <w:vAlign w:val="bottom"/>
            <w:tcBorders>
              <w:right w:val="single" w:sz="8" w:color="CCEEFF"/>
            </w:tcBorders>
            <w:gridSpan w:val="2"/>
            <w:shd w:val="clear" w:color="auto" w:fill="CCEEFF"/>
          </w:tcPr>
          <w:p>
            <w:pPr>
              <w:spacing w:after="0"/>
              <w:rPr>
                <w:sz w:val="14"/>
                <w:szCs w:val="14"/>
                <w:color w:val="auto"/>
              </w:rPr>
            </w:pPr>
          </w:p>
        </w:tc>
        <w:tc>
          <w:tcPr>
            <w:tcW w:w="6140" w:type="dxa"/>
            <w:vAlign w:val="bottom"/>
            <w:tcBorders>
              <w:top w:val="single" w:sz="8" w:color="0000FF"/>
            </w:tcBorders>
            <w:gridSpan w:val="16"/>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3260" w:type="dxa"/>
            <w:vAlign w:val="bottom"/>
            <w:gridSpan w:val="7"/>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300" w:type="dxa"/>
            <w:vAlign w:val="bottom"/>
            <w:tcBorders>
              <w:lef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0" w:type="dxa"/>
            <w:vAlign w:val="bottom"/>
          </w:tcPr>
          <w:p>
            <w:pPr>
              <w:spacing w:after="0"/>
              <w:rPr>
                <w:sz w:val="14"/>
                <w:szCs w:val="14"/>
                <w:color w:val="auto"/>
              </w:rPr>
            </w:pPr>
          </w:p>
        </w:tc>
        <w:tc>
          <w:tcPr>
            <w:tcW w:w="1080" w:type="dxa"/>
            <w:vAlign w:val="bottom"/>
            <w:gridSpan w:val="5"/>
          </w:tcPr>
          <w:p>
            <w:pPr>
              <w:spacing w:after="0" w:line="162" w:lineRule="exact"/>
              <w:rPr>
                <w:sz w:val="20"/>
                <w:szCs w:val="20"/>
                <w:color w:val="auto"/>
              </w:rPr>
            </w:pPr>
            <w:r>
              <w:rPr>
                <w:rFonts w:ascii="Times New Roman" w:cs="Times New Roman" w:eastAsia="Times New Roman" w:hAnsi="Times New Roman"/>
                <w:sz w:val="18"/>
                <w:szCs w:val="18"/>
                <w:color w:val="0000FF"/>
              </w:rPr>
              <w:t>ITEM 9</w:t>
            </w:r>
            <w:r>
              <w:rPr>
                <w:rFonts w:ascii="Times New Roman" w:cs="Times New Roman" w:eastAsia="Times New Roman" w:hAnsi="Times New Roman"/>
                <w:sz w:val="18"/>
                <w:szCs w:val="18"/>
                <w:color w:val="000000"/>
              </w:rPr>
              <w:t>.</w:t>
            </w:r>
          </w:p>
        </w:tc>
        <w:tc>
          <w:tcPr>
            <w:tcW w:w="9400" w:type="dxa"/>
            <w:vAlign w:val="bottom"/>
            <w:gridSpan w:val="23"/>
          </w:tcPr>
          <w:p>
            <w:pPr>
              <w:spacing w:after="0" w:line="162"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300" w:type="dxa"/>
            <w:vAlign w:val="bottom"/>
            <w:tcBorders>
              <w:lef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5"/>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ITEM 9A</w:t>
            </w:r>
            <w:r>
              <w:rPr>
                <w:rFonts w:ascii="Times New Roman" w:cs="Times New Roman" w:eastAsia="Times New Roman" w:hAnsi="Times New Roman"/>
                <w:sz w:val="18"/>
                <w:szCs w:val="18"/>
                <w:color w:val="000000"/>
              </w:rPr>
              <w:t>.</w:t>
            </w:r>
          </w:p>
        </w:tc>
        <w:tc>
          <w:tcPr>
            <w:tcW w:w="9400" w:type="dxa"/>
            <w:vAlign w:val="bottom"/>
            <w:gridSpan w:val="23"/>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CONTROLS AND PROCEDURES</w:t>
            </w: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300" w:type="dxa"/>
            <w:vAlign w:val="bottom"/>
            <w:tcBorders>
              <w:lef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0" w:type="dxa"/>
            <w:vAlign w:val="bottom"/>
          </w:tcPr>
          <w:p>
            <w:pPr>
              <w:spacing w:after="0"/>
              <w:rPr>
                <w:sz w:val="14"/>
                <w:szCs w:val="14"/>
                <w:color w:val="auto"/>
              </w:rPr>
            </w:pPr>
          </w:p>
        </w:tc>
        <w:tc>
          <w:tcPr>
            <w:tcW w:w="1080" w:type="dxa"/>
            <w:vAlign w:val="bottom"/>
            <w:gridSpan w:val="5"/>
          </w:tcPr>
          <w:p>
            <w:pPr>
              <w:spacing w:after="0" w:line="162" w:lineRule="exact"/>
              <w:rPr>
                <w:sz w:val="20"/>
                <w:szCs w:val="20"/>
                <w:color w:val="auto"/>
              </w:rPr>
            </w:pPr>
            <w:r>
              <w:rPr>
                <w:rFonts w:ascii="Times New Roman" w:cs="Times New Roman" w:eastAsia="Times New Roman" w:hAnsi="Times New Roman"/>
                <w:sz w:val="18"/>
                <w:szCs w:val="18"/>
                <w:color w:val="0000FF"/>
              </w:rPr>
              <w:t>ITEM 9B</w:t>
            </w:r>
            <w:r>
              <w:rPr>
                <w:rFonts w:ascii="Times New Roman" w:cs="Times New Roman" w:eastAsia="Times New Roman" w:hAnsi="Times New Roman"/>
                <w:sz w:val="18"/>
                <w:szCs w:val="18"/>
                <w:color w:val="000000"/>
              </w:rPr>
              <w:t>.</w:t>
            </w:r>
          </w:p>
        </w:tc>
        <w:tc>
          <w:tcPr>
            <w:tcW w:w="9400" w:type="dxa"/>
            <w:vAlign w:val="bottom"/>
            <w:gridSpan w:val="23"/>
          </w:tcPr>
          <w:p>
            <w:pPr>
              <w:spacing w:after="0" w:line="162" w:lineRule="exact"/>
              <w:rPr>
                <w:sz w:val="20"/>
                <w:szCs w:val="20"/>
                <w:color w:val="auto"/>
              </w:rPr>
            </w:pPr>
            <w:r>
              <w:rPr>
                <w:rFonts w:ascii="Times New Roman" w:cs="Times New Roman" w:eastAsia="Times New Roman" w:hAnsi="Times New Roman"/>
                <w:sz w:val="18"/>
                <w:szCs w:val="18"/>
                <w:color w:val="0000FF"/>
              </w:rPr>
              <w:t>OTHER INFORMATION</w:t>
            </w: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6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5"/>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ITEM 9C.</w:t>
            </w:r>
          </w:p>
        </w:tc>
        <w:tc>
          <w:tcPr>
            <w:tcW w:w="9400" w:type="dxa"/>
            <w:vAlign w:val="bottom"/>
            <w:gridSpan w:val="23"/>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0" w:type="dxa"/>
            <w:vAlign w:val="bottom"/>
            <w:tcBorders>
              <w:top w:val="single" w:sz="8" w:color="CCEEFF"/>
            </w:tcBorders>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60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860" w:type="dxa"/>
            <w:vAlign w:val="bottom"/>
            <w:tcBorders>
              <w:top w:val="single" w:sz="8" w:color="0000FF"/>
            </w:tcBorders>
          </w:tcPr>
          <w:p>
            <w:pPr>
              <w:spacing w:after="0"/>
              <w:rPr>
                <w:sz w:val="16"/>
                <w:szCs w:val="16"/>
                <w:color w:val="auto"/>
              </w:rPr>
            </w:pPr>
          </w:p>
        </w:tc>
        <w:tc>
          <w:tcPr>
            <w:tcW w:w="48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114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820" w:type="dxa"/>
            <w:vAlign w:val="bottom"/>
            <w:tcBorders>
              <w:top w:val="single" w:sz="8" w:color="0000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40" w:type="dxa"/>
            <w:vAlign w:val="bottom"/>
            <w:tcBorders>
              <w:right w:val="single" w:sz="8" w:color="CCEEFF"/>
            </w:tcBorders>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PART III</w:t>
            </w: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0" w:type="dxa"/>
            <w:vAlign w:val="bottom"/>
            <w:tcBorders>
              <w:lef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1080" w:type="dxa"/>
            <w:vAlign w:val="bottom"/>
            <w:gridSpan w:val="5"/>
          </w:tcPr>
          <w:p>
            <w:pPr>
              <w:spacing w:after="0" w:line="162" w:lineRule="exact"/>
              <w:rPr>
                <w:sz w:val="20"/>
                <w:szCs w:val="20"/>
                <w:color w:val="auto"/>
              </w:rPr>
            </w:pPr>
            <w:r>
              <w:rPr>
                <w:rFonts w:ascii="Times New Roman" w:cs="Times New Roman" w:eastAsia="Times New Roman" w:hAnsi="Times New Roman"/>
                <w:sz w:val="18"/>
                <w:szCs w:val="18"/>
                <w:color w:val="0000FF"/>
              </w:rPr>
              <w:t>ITEM 10</w:t>
            </w:r>
            <w:r>
              <w:rPr>
                <w:rFonts w:ascii="Times New Roman" w:cs="Times New Roman" w:eastAsia="Times New Roman" w:hAnsi="Times New Roman"/>
                <w:sz w:val="18"/>
                <w:szCs w:val="18"/>
                <w:color w:val="000000"/>
              </w:rPr>
              <w:t>.</w:t>
            </w:r>
          </w:p>
        </w:tc>
        <w:tc>
          <w:tcPr>
            <w:tcW w:w="9400" w:type="dxa"/>
            <w:vAlign w:val="bottom"/>
            <w:gridSpan w:val="23"/>
          </w:tcPr>
          <w:p>
            <w:pPr>
              <w:spacing w:after="0" w:line="162"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300" w:type="dxa"/>
            <w:vAlign w:val="bottom"/>
            <w:tcBorders>
              <w:lef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w w:val="87"/>
              </w:rPr>
              <w:t>ITEM 11.</w:t>
            </w:r>
          </w:p>
        </w:tc>
        <w:tc>
          <w:tcPr>
            <w:tcW w:w="420" w:type="dxa"/>
            <w:vAlign w:val="bottom"/>
            <w:tcBorders>
              <w:left w:val="single" w:sz="8" w:color="CCEEFF"/>
              <w:right w:val="single" w:sz="8" w:color="CCEEFF"/>
            </w:tcBorders>
            <w:gridSpan w:val="3"/>
            <w:shd w:val="clear" w:color="auto" w:fill="CCEEFF"/>
          </w:tcPr>
          <w:p>
            <w:pPr>
              <w:spacing w:after="0"/>
              <w:rPr>
                <w:sz w:val="14"/>
                <w:szCs w:val="14"/>
                <w:color w:val="auto"/>
              </w:rPr>
            </w:pPr>
          </w:p>
        </w:tc>
        <w:tc>
          <w:tcPr>
            <w:tcW w:w="9400" w:type="dxa"/>
            <w:vAlign w:val="bottom"/>
            <w:gridSpan w:val="23"/>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EXECUTIVE COMPENSATION</w:t>
            </w: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300" w:type="dxa"/>
            <w:vAlign w:val="bottom"/>
            <w:tcBorders>
              <w:lef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0" w:type="dxa"/>
            <w:vAlign w:val="bottom"/>
          </w:tcPr>
          <w:p>
            <w:pPr>
              <w:spacing w:after="0"/>
              <w:rPr>
                <w:sz w:val="14"/>
                <w:szCs w:val="14"/>
                <w:color w:val="auto"/>
              </w:rPr>
            </w:pPr>
          </w:p>
        </w:tc>
        <w:tc>
          <w:tcPr>
            <w:tcW w:w="1080" w:type="dxa"/>
            <w:vAlign w:val="bottom"/>
            <w:gridSpan w:val="5"/>
          </w:tcPr>
          <w:p>
            <w:pPr>
              <w:spacing w:after="0" w:line="162" w:lineRule="exact"/>
              <w:rPr>
                <w:sz w:val="20"/>
                <w:szCs w:val="20"/>
                <w:color w:val="auto"/>
              </w:rPr>
            </w:pPr>
            <w:r>
              <w:rPr>
                <w:rFonts w:ascii="Times New Roman" w:cs="Times New Roman" w:eastAsia="Times New Roman" w:hAnsi="Times New Roman"/>
                <w:sz w:val="18"/>
                <w:szCs w:val="18"/>
                <w:color w:val="0000FF"/>
              </w:rPr>
              <w:t>ITEM 12</w:t>
            </w:r>
            <w:r>
              <w:rPr>
                <w:rFonts w:ascii="Times New Roman" w:cs="Times New Roman" w:eastAsia="Times New Roman" w:hAnsi="Times New Roman"/>
                <w:sz w:val="18"/>
                <w:szCs w:val="18"/>
                <w:color w:val="000000"/>
              </w:rPr>
              <w:t>.</w:t>
            </w:r>
          </w:p>
        </w:tc>
        <w:tc>
          <w:tcPr>
            <w:tcW w:w="9400" w:type="dxa"/>
            <w:vAlign w:val="bottom"/>
            <w:gridSpan w:val="23"/>
          </w:tcPr>
          <w:p>
            <w:pPr>
              <w:spacing w:after="0" w:line="162"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w:t>
            </w: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60" w:type="dxa"/>
            <w:vAlign w:val="bottom"/>
            <w:tcBorders>
              <w:top w:val="single" w:sz="8" w:color="0000FF"/>
            </w:tcBorders>
            <w:gridSpan w:val="19"/>
          </w:tcPr>
          <w:p>
            <w:pPr>
              <w:spacing w:after="0" w:line="169" w:lineRule="exact"/>
              <w:rPr>
                <w:sz w:val="20"/>
                <w:szCs w:val="20"/>
                <w:color w:val="auto"/>
              </w:rPr>
            </w:pPr>
            <w:r>
              <w:rPr>
                <w:rFonts w:ascii="Times New Roman" w:cs="Times New Roman" w:eastAsia="Times New Roman" w:hAnsi="Times New Roman"/>
                <w:sz w:val="18"/>
                <w:szCs w:val="18"/>
                <w:color w:val="0000FF"/>
              </w:rPr>
              <w:t>STOCKHOLDER MATTERS</w:t>
            </w:r>
          </w:p>
        </w:tc>
        <w:tc>
          <w:tcPr>
            <w:tcW w:w="1340" w:type="dxa"/>
            <w:vAlign w:val="bottom"/>
            <w:gridSpan w:val="4"/>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6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5"/>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ITEM 13</w:t>
            </w:r>
            <w:r>
              <w:rPr>
                <w:rFonts w:ascii="Times New Roman" w:cs="Times New Roman" w:eastAsia="Times New Roman" w:hAnsi="Times New Roman"/>
                <w:sz w:val="18"/>
                <w:szCs w:val="18"/>
                <w:color w:val="000000"/>
              </w:rPr>
              <w:t>.</w:t>
            </w:r>
          </w:p>
        </w:tc>
        <w:tc>
          <w:tcPr>
            <w:tcW w:w="9400" w:type="dxa"/>
            <w:vAlign w:val="bottom"/>
            <w:gridSpan w:val="23"/>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300" w:type="dxa"/>
            <w:vAlign w:val="bottom"/>
            <w:tcBorders>
              <w:lef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60" w:type="dxa"/>
            <w:vAlign w:val="bottom"/>
          </w:tcPr>
          <w:p>
            <w:pPr>
              <w:spacing w:after="0"/>
              <w:rPr>
                <w:sz w:val="14"/>
                <w:szCs w:val="14"/>
                <w:color w:val="auto"/>
              </w:rPr>
            </w:pPr>
          </w:p>
        </w:tc>
        <w:tc>
          <w:tcPr>
            <w:tcW w:w="1080" w:type="dxa"/>
            <w:vAlign w:val="bottom"/>
            <w:gridSpan w:val="5"/>
          </w:tcPr>
          <w:p>
            <w:pPr>
              <w:spacing w:after="0" w:line="162" w:lineRule="exact"/>
              <w:rPr>
                <w:sz w:val="20"/>
                <w:szCs w:val="20"/>
                <w:color w:val="auto"/>
              </w:rPr>
            </w:pPr>
            <w:r>
              <w:rPr>
                <w:rFonts w:ascii="Times New Roman" w:cs="Times New Roman" w:eastAsia="Times New Roman" w:hAnsi="Times New Roman"/>
                <w:sz w:val="18"/>
                <w:szCs w:val="18"/>
                <w:color w:val="0000FF"/>
              </w:rPr>
              <w:t>ITEM 14</w:t>
            </w:r>
            <w:r>
              <w:rPr>
                <w:rFonts w:ascii="Times New Roman" w:cs="Times New Roman" w:eastAsia="Times New Roman" w:hAnsi="Times New Roman"/>
                <w:sz w:val="18"/>
                <w:szCs w:val="18"/>
                <w:color w:val="000000"/>
              </w:rPr>
              <w:t>.</w:t>
            </w:r>
          </w:p>
        </w:tc>
        <w:tc>
          <w:tcPr>
            <w:tcW w:w="9400" w:type="dxa"/>
            <w:vAlign w:val="bottom"/>
            <w:gridSpan w:val="23"/>
          </w:tcPr>
          <w:p>
            <w:pPr>
              <w:spacing w:after="0" w:line="162"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0" w:type="dxa"/>
            <w:vAlign w:val="bottom"/>
            <w:shd w:val="clear" w:color="auto" w:fill="CCEEFF"/>
          </w:tcPr>
          <w:p>
            <w:pPr>
              <w:spacing w:after="0"/>
              <w:rPr>
                <w:sz w:val="16"/>
                <w:szCs w:val="16"/>
                <w:color w:val="auto"/>
              </w:rPr>
            </w:pPr>
          </w:p>
        </w:tc>
        <w:tc>
          <w:tcPr>
            <w:tcW w:w="560" w:type="dxa"/>
            <w:vAlign w:val="bottom"/>
            <w:tcBorders>
              <w:top w:val="single" w:sz="8" w:color="0000FF"/>
            </w:tcBorders>
            <w:shd w:val="clear" w:color="auto" w:fill="CCEEFF"/>
          </w:tcPr>
          <w:p>
            <w:pPr>
              <w:spacing w:after="0"/>
              <w:rPr>
                <w:sz w:val="16"/>
                <w:szCs w:val="16"/>
                <w:color w:val="auto"/>
              </w:rPr>
            </w:pPr>
          </w:p>
        </w:tc>
        <w:tc>
          <w:tcPr>
            <w:tcW w:w="100" w:type="dxa"/>
            <w:vAlign w:val="bottom"/>
            <w:tcBorders>
              <w:top w:val="single" w:sz="8" w:color="0000FF"/>
              <w:left w:val="single" w:sz="8" w:color="CCEEFF"/>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600" w:type="dxa"/>
            <w:vAlign w:val="bottom"/>
            <w:tcBorders>
              <w:top w:val="single" w:sz="8" w:color="0000FF"/>
            </w:tcBorders>
            <w:shd w:val="clear" w:color="auto" w:fill="CCEEFF"/>
          </w:tcPr>
          <w:p>
            <w:pPr>
              <w:spacing w:after="0"/>
              <w:rPr>
                <w:sz w:val="16"/>
                <w:szCs w:val="16"/>
                <w:color w:val="auto"/>
              </w:rPr>
            </w:pPr>
          </w:p>
        </w:tc>
        <w:tc>
          <w:tcPr>
            <w:tcW w:w="260" w:type="dxa"/>
            <w:vAlign w:val="bottom"/>
            <w:tcBorders>
              <w:top w:val="single" w:sz="8" w:color="0000FF"/>
            </w:tcBorders>
            <w:shd w:val="clear" w:color="auto" w:fill="CCEEFF"/>
          </w:tcPr>
          <w:p>
            <w:pPr>
              <w:spacing w:after="0"/>
              <w:rPr>
                <w:sz w:val="16"/>
                <w:szCs w:val="16"/>
                <w:color w:val="auto"/>
              </w:rPr>
            </w:pPr>
          </w:p>
        </w:tc>
        <w:tc>
          <w:tcPr>
            <w:tcW w:w="200" w:type="dxa"/>
            <w:vAlign w:val="bottom"/>
            <w:tcBorders>
              <w:top w:val="single" w:sz="8" w:color="0000FF"/>
              <w:right w:val="single" w:sz="8" w:color="CCEEFF"/>
            </w:tcBorders>
            <w:shd w:val="clear" w:color="auto" w:fill="CCEEFF"/>
          </w:tcPr>
          <w:p>
            <w:pPr>
              <w:spacing w:after="0"/>
              <w:rPr>
                <w:sz w:val="16"/>
                <w:szCs w:val="16"/>
                <w:color w:val="auto"/>
              </w:rPr>
            </w:pPr>
          </w:p>
        </w:tc>
        <w:tc>
          <w:tcPr>
            <w:tcW w:w="200" w:type="dxa"/>
            <w:vAlign w:val="bottom"/>
            <w:tcBorders>
              <w:top w:val="single" w:sz="8" w:color="0000FF"/>
            </w:tcBorders>
            <w:shd w:val="clear" w:color="auto" w:fill="CCEEFF"/>
          </w:tcPr>
          <w:p>
            <w:pPr>
              <w:spacing w:after="0"/>
              <w:rPr>
                <w:sz w:val="16"/>
                <w:szCs w:val="16"/>
                <w:color w:val="auto"/>
              </w:rPr>
            </w:pPr>
          </w:p>
        </w:tc>
        <w:tc>
          <w:tcPr>
            <w:tcW w:w="220" w:type="dxa"/>
            <w:vAlign w:val="bottom"/>
            <w:tcBorders>
              <w:top w:val="single" w:sz="8" w:color="0000FF"/>
            </w:tcBorders>
            <w:shd w:val="clear" w:color="auto" w:fill="CCEEFF"/>
          </w:tcPr>
          <w:p>
            <w:pPr>
              <w:spacing w:after="0"/>
              <w:rPr>
                <w:sz w:val="16"/>
                <w:szCs w:val="16"/>
                <w:color w:val="auto"/>
              </w:rPr>
            </w:pPr>
          </w:p>
        </w:tc>
        <w:tc>
          <w:tcPr>
            <w:tcW w:w="400" w:type="dxa"/>
            <w:vAlign w:val="bottom"/>
            <w:tcBorders>
              <w:top w:val="single" w:sz="8" w:color="0000FF"/>
            </w:tcBorders>
            <w:shd w:val="clear" w:color="auto" w:fill="CCEEFF"/>
          </w:tcPr>
          <w:p>
            <w:pPr>
              <w:spacing w:after="0"/>
              <w:rPr>
                <w:sz w:val="16"/>
                <w:szCs w:val="16"/>
                <w:color w:val="auto"/>
              </w:rPr>
            </w:pPr>
          </w:p>
        </w:tc>
        <w:tc>
          <w:tcPr>
            <w:tcW w:w="300" w:type="dxa"/>
            <w:vAlign w:val="bottom"/>
            <w:tcBorders>
              <w:top w:val="single" w:sz="8" w:color="0000FF"/>
              <w:left w:val="single" w:sz="8" w:color="CCEEFF"/>
            </w:tcBorders>
            <w:shd w:val="clear" w:color="auto" w:fill="CCEEFF"/>
          </w:tcPr>
          <w:p>
            <w:pPr>
              <w:spacing w:after="0"/>
              <w:rPr>
                <w:sz w:val="16"/>
                <w:szCs w:val="16"/>
                <w:color w:val="auto"/>
              </w:rPr>
            </w:pPr>
          </w:p>
        </w:tc>
        <w:tc>
          <w:tcPr>
            <w:tcW w:w="260" w:type="dxa"/>
            <w:vAlign w:val="bottom"/>
            <w:tcBorders>
              <w:top w:val="single" w:sz="8" w:color="0000FF"/>
            </w:tcBorders>
            <w:shd w:val="clear" w:color="auto" w:fill="CCEEFF"/>
          </w:tcPr>
          <w:p>
            <w:pPr>
              <w:spacing w:after="0"/>
              <w:rPr>
                <w:sz w:val="16"/>
                <w:szCs w:val="16"/>
                <w:color w:val="auto"/>
              </w:rPr>
            </w:pPr>
          </w:p>
        </w:tc>
        <w:tc>
          <w:tcPr>
            <w:tcW w:w="160" w:type="dxa"/>
            <w:vAlign w:val="bottom"/>
            <w:tcBorders>
              <w:top w:val="single" w:sz="8" w:color="0000FF"/>
            </w:tcBorders>
            <w:shd w:val="clear" w:color="auto" w:fill="CCEEFF"/>
          </w:tcPr>
          <w:p>
            <w:pPr>
              <w:spacing w:after="0"/>
              <w:rPr>
                <w:sz w:val="16"/>
                <w:szCs w:val="16"/>
                <w:color w:val="auto"/>
              </w:rPr>
            </w:pPr>
          </w:p>
        </w:tc>
        <w:tc>
          <w:tcPr>
            <w:tcW w:w="220" w:type="dxa"/>
            <w:vAlign w:val="bottom"/>
            <w:tcBorders>
              <w:top w:val="single" w:sz="8" w:color="0000FF"/>
            </w:tcBorders>
            <w:shd w:val="clear" w:color="auto" w:fill="CCEEFF"/>
          </w:tcPr>
          <w:p>
            <w:pPr>
              <w:spacing w:after="0"/>
              <w:rPr>
                <w:sz w:val="16"/>
                <w:szCs w:val="16"/>
                <w:color w:val="auto"/>
              </w:rPr>
            </w:pPr>
          </w:p>
        </w:tc>
        <w:tc>
          <w:tcPr>
            <w:tcW w:w="280" w:type="dxa"/>
            <w:vAlign w:val="bottom"/>
            <w:tcBorders>
              <w:top w:val="single" w:sz="8" w:color="0000FF"/>
            </w:tcBorders>
            <w:shd w:val="clear" w:color="auto" w:fill="CCEEFF"/>
          </w:tcPr>
          <w:p>
            <w:pPr>
              <w:spacing w:after="0"/>
              <w:rPr>
                <w:sz w:val="16"/>
                <w:szCs w:val="16"/>
                <w:color w:val="auto"/>
              </w:rPr>
            </w:pPr>
          </w:p>
        </w:tc>
        <w:tc>
          <w:tcPr>
            <w:tcW w:w="860" w:type="dxa"/>
            <w:vAlign w:val="bottom"/>
            <w:tcBorders>
              <w:top w:val="single" w:sz="8" w:color="0000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4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auto"/>
              </w:rPr>
              <w:t>PART IV</w:t>
            </w: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5"/>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ITEM 15.</w:t>
            </w:r>
          </w:p>
        </w:tc>
        <w:tc>
          <w:tcPr>
            <w:tcW w:w="9400" w:type="dxa"/>
            <w:vAlign w:val="bottom"/>
            <w:gridSpan w:val="23"/>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300" w:type="dxa"/>
            <w:vAlign w:val="bottom"/>
            <w:tcBorders>
              <w:lef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60" w:type="dxa"/>
            <w:vAlign w:val="bottom"/>
          </w:tcPr>
          <w:p>
            <w:pPr>
              <w:spacing w:after="0"/>
              <w:rPr>
                <w:sz w:val="14"/>
                <w:szCs w:val="14"/>
                <w:color w:val="auto"/>
              </w:rPr>
            </w:pPr>
          </w:p>
        </w:tc>
        <w:tc>
          <w:tcPr>
            <w:tcW w:w="1080" w:type="dxa"/>
            <w:vAlign w:val="bottom"/>
            <w:gridSpan w:val="5"/>
          </w:tcPr>
          <w:p>
            <w:pPr>
              <w:spacing w:after="0" w:line="162" w:lineRule="exact"/>
              <w:rPr>
                <w:sz w:val="20"/>
                <w:szCs w:val="20"/>
                <w:color w:val="auto"/>
              </w:rPr>
            </w:pPr>
            <w:r>
              <w:rPr>
                <w:rFonts w:ascii="Times New Roman" w:cs="Times New Roman" w:eastAsia="Times New Roman" w:hAnsi="Times New Roman"/>
                <w:sz w:val="18"/>
                <w:szCs w:val="18"/>
                <w:color w:val="0000FF"/>
              </w:rPr>
              <w:t>ITEM 16.</w:t>
            </w:r>
          </w:p>
        </w:tc>
        <w:tc>
          <w:tcPr>
            <w:tcW w:w="9400" w:type="dxa"/>
            <w:vAlign w:val="bottom"/>
            <w:gridSpan w:val="23"/>
          </w:tcPr>
          <w:p>
            <w:pPr>
              <w:spacing w:after="0" w:line="162" w:lineRule="exact"/>
              <w:rPr>
                <w:sz w:val="20"/>
                <w:szCs w:val="20"/>
                <w:color w:val="auto"/>
              </w:rPr>
            </w:pPr>
            <w:r>
              <w:rPr>
                <w:rFonts w:ascii="Times New Roman" w:cs="Times New Roman" w:eastAsia="Times New Roman" w:hAnsi="Times New Roman"/>
                <w:sz w:val="18"/>
                <w:szCs w:val="18"/>
                <w:color w:val="0000FF"/>
              </w:rPr>
              <w:t>FORM 10-K SUMMARY</w:t>
            </w: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0" w:type="dxa"/>
            <w:vAlign w:val="bottom"/>
            <w:shd w:val="clear" w:color="auto" w:fill="CCEEFF"/>
          </w:tcPr>
          <w:p>
            <w:pPr>
              <w:spacing w:after="0"/>
              <w:rPr>
                <w:sz w:val="16"/>
                <w:szCs w:val="16"/>
                <w:color w:val="auto"/>
              </w:rPr>
            </w:pPr>
          </w:p>
        </w:tc>
        <w:tc>
          <w:tcPr>
            <w:tcW w:w="560" w:type="dxa"/>
            <w:vAlign w:val="bottom"/>
            <w:tcBorders>
              <w:top w:val="single" w:sz="8" w:color="0000FF"/>
            </w:tcBorders>
            <w:shd w:val="clear" w:color="auto" w:fill="CCEEFF"/>
          </w:tcPr>
          <w:p>
            <w:pPr>
              <w:spacing w:after="0"/>
              <w:rPr>
                <w:sz w:val="16"/>
                <w:szCs w:val="16"/>
                <w:color w:val="auto"/>
              </w:rPr>
            </w:pPr>
          </w:p>
        </w:tc>
        <w:tc>
          <w:tcPr>
            <w:tcW w:w="100" w:type="dxa"/>
            <w:vAlign w:val="bottom"/>
            <w:tcBorders>
              <w:top w:val="single" w:sz="8" w:color="0000FF"/>
              <w:left w:val="single" w:sz="8" w:color="CCEEFF"/>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600" w:type="dxa"/>
            <w:vAlign w:val="bottom"/>
            <w:tcBorders>
              <w:top w:val="single" w:sz="8" w:color="0000FF"/>
            </w:tcBorders>
            <w:shd w:val="clear" w:color="auto" w:fill="CCEEFF"/>
          </w:tcPr>
          <w:p>
            <w:pPr>
              <w:spacing w:after="0"/>
              <w:rPr>
                <w:sz w:val="16"/>
                <w:szCs w:val="16"/>
                <w:color w:val="auto"/>
              </w:rPr>
            </w:pPr>
          </w:p>
        </w:tc>
        <w:tc>
          <w:tcPr>
            <w:tcW w:w="260" w:type="dxa"/>
            <w:vAlign w:val="bottom"/>
            <w:tcBorders>
              <w:top w:val="single" w:sz="8" w:color="0000FF"/>
            </w:tcBorders>
            <w:shd w:val="clear" w:color="auto" w:fill="CCEEFF"/>
          </w:tcPr>
          <w:p>
            <w:pPr>
              <w:spacing w:after="0"/>
              <w:rPr>
                <w:sz w:val="16"/>
                <w:szCs w:val="16"/>
                <w:color w:val="auto"/>
              </w:rPr>
            </w:pPr>
          </w:p>
        </w:tc>
        <w:tc>
          <w:tcPr>
            <w:tcW w:w="200" w:type="dxa"/>
            <w:vAlign w:val="bottom"/>
            <w:tcBorders>
              <w:top w:val="single" w:sz="8" w:color="0000FF"/>
              <w:right w:val="single" w:sz="8" w:color="CCEEFF"/>
            </w:tcBorders>
            <w:shd w:val="clear" w:color="auto" w:fill="CCEEFF"/>
          </w:tcPr>
          <w:p>
            <w:pPr>
              <w:spacing w:after="0"/>
              <w:rPr>
                <w:sz w:val="16"/>
                <w:szCs w:val="16"/>
                <w:color w:val="auto"/>
              </w:rPr>
            </w:pPr>
          </w:p>
        </w:tc>
        <w:tc>
          <w:tcPr>
            <w:tcW w:w="200" w:type="dxa"/>
            <w:vAlign w:val="bottom"/>
            <w:tcBorders>
              <w:top w:val="single" w:sz="8" w:color="0000FF"/>
            </w:tcBorders>
            <w:shd w:val="clear" w:color="auto" w:fill="CCEEFF"/>
          </w:tcPr>
          <w:p>
            <w:pPr>
              <w:spacing w:after="0"/>
              <w:rPr>
                <w:sz w:val="16"/>
                <w:szCs w:val="16"/>
                <w:color w:val="auto"/>
              </w:rPr>
            </w:pPr>
          </w:p>
        </w:tc>
        <w:tc>
          <w:tcPr>
            <w:tcW w:w="220" w:type="dxa"/>
            <w:vAlign w:val="bottom"/>
            <w:tcBorders>
              <w:top w:val="single" w:sz="8" w:color="0000FF"/>
            </w:tcBorders>
            <w:shd w:val="clear" w:color="auto" w:fill="CCEEFF"/>
          </w:tcPr>
          <w:p>
            <w:pPr>
              <w:spacing w:after="0"/>
              <w:rPr>
                <w:sz w:val="16"/>
                <w:szCs w:val="16"/>
                <w:color w:val="auto"/>
              </w:rPr>
            </w:pPr>
          </w:p>
        </w:tc>
        <w:tc>
          <w:tcPr>
            <w:tcW w:w="400" w:type="dxa"/>
            <w:vAlign w:val="bottom"/>
            <w:tcBorders>
              <w:top w:val="single" w:sz="8" w:color="0000FF"/>
            </w:tcBorders>
            <w:shd w:val="clear" w:color="auto" w:fill="CCEEFF"/>
          </w:tcPr>
          <w:p>
            <w:pPr>
              <w:spacing w:after="0"/>
              <w:rPr>
                <w:sz w:val="16"/>
                <w:szCs w:val="16"/>
                <w:color w:val="auto"/>
              </w:rPr>
            </w:pPr>
          </w:p>
        </w:tc>
        <w:tc>
          <w:tcPr>
            <w:tcW w:w="300" w:type="dxa"/>
            <w:vAlign w:val="bottom"/>
            <w:tcBorders>
              <w:lef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40" w:type="dxa"/>
            <w:vAlign w:val="bottom"/>
            <w:gridSpan w:val="6"/>
          </w:tcPr>
          <w:p>
            <w:pPr>
              <w:spacing w:after="0" w:line="162"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65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0" w:type="dxa"/>
            <w:vAlign w:val="bottom"/>
            <w:tcBorders>
              <w:top w:val="single" w:sz="8" w:color="0000FF"/>
            </w:tcBorders>
            <w:shd w:val="clear" w:color="auto" w:fill="CCEEFF"/>
          </w:tcPr>
          <w:p>
            <w:pPr>
              <w:spacing w:after="0"/>
              <w:rPr>
                <w:sz w:val="16"/>
                <w:szCs w:val="16"/>
                <w:color w:val="auto"/>
              </w:rPr>
            </w:pPr>
          </w:p>
        </w:tc>
        <w:tc>
          <w:tcPr>
            <w:tcW w:w="560" w:type="dxa"/>
            <w:vAlign w:val="bottom"/>
            <w:tcBorders>
              <w:top w:val="single" w:sz="8" w:color="0000FF"/>
            </w:tcBorders>
            <w:shd w:val="clear" w:color="auto" w:fill="CCEEFF"/>
          </w:tcPr>
          <w:p>
            <w:pPr>
              <w:spacing w:after="0"/>
              <w:rPr>
                <w:sz w:val="16"/>
                <w:szCs w:val="16"/>
                <w:color w:val="auto"/>
              </w:rPr>
            </w:pPr>
          </w:p>
        </w:tc>
        <w:tc>
          <w:tcPr>
            <w:tcW w:w="100" w:type="dxa"/>
            <w:vAlign w:val="bottom"/>
            <w:tcBorders>
              <w:top w:val="single" w:sz="8" w:color="0000FF"/>
              <w:left w:val="single" w:sz="8" w:color="CCEEFF"/>
            </w:tcBorders>
            <w:shd w:val="clear" w:color="auto" w:fill="CCEEFF"/>
          </w:tcPr>
          <w:p>
            <w:pPr>
              <w:spacing w:after="0"/>
              <w:rPr>
                <w:sz w:val="16"/>
                <w:szCs w:val="16"/>
                <w:color w:val="auto"/>
              </w:rPr>
            </w:pPr>
          </w:p>
        </w:tc>
        <w:tc>
          <w:tcPr>
            <w:tcW w:w="80" w:type="dxa"/>
            <w:vAlign w:val="bottom"/>
            <w:tcBorders>
              <w:top w:val="single" w:sz="8" w:color="0000FF"/>
              <w:left w:val="single" w:sz="8" w:color="CCEE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0" w:type="dxa"/>
            <w:vAlign w:val="bottom"/>
            <w:tcBorders>
              <w:lef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107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POWER OF ATTORNEY</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1"/>
        </w:trPr>
        <w:tc>
          <w:tcPr>
            <w:tcW w:w="26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The Tile Shop, LLC (“The Tile Shop”) was founded in 1985 and Tile Shop Holdings, Inc. (“Holdings,” and together with its wholly owned subsidiaries, including The Tile Shop, the “Company” or “we”) was incorporated in Delaware in June 2012. We are a specialty retailer of natural stone, man-made and luxury vinyl tiles, setting and maintenance materials, and related accessories in the United States. Our assortment includes over 6,000 products from around the world. Natural stone products include marble, travertine, granite, quartz, sandstone, slate, and onyx tiles. Man-made products include ceramic, porcelain, glass, cement, wood look, metal and luxury vinyl tile. The majority of our tile products are sold under our proprietary Rush River and Fired Earth brand names. We purchase our tile products, accessories and tools directly from our global network of suppliers. We manufacture our own setting and maintenance materials, such as thinset, grout and sealer, under our Superior brand name, as well as work with other suppliers to manufacture private label products. As of December 31, 2023, we operated 142 stores in 31 states and the District of Columbia, with an average size of approximately 20,000 square feet.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long-term vendor relationships, together with our design,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believe that we are a leading retailer of natural stone, man-made and luxury vinyl tiles, setting and maintenance materials, and related accessories in the United States.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2023, we reported net sales and income from operations of $377.1 million and $16.2 million, respectively. Our 2022 and 2021 net sales were</w:t>
      </w:r>
    </w:p>
    <w:p>
      <w:pPr>
        <w:spacing w:after="0" w:line="16" w:lineRule="exact"/>
        <w:rPr>
          <w:sz w:val="20"/>
          <w:szCs w:val="20"/>
          <w:color w:val="auto"/>
        </w:rPr>
      </w:pPr>
    </w:p>
    <w:p>
      <w:pPr>
        <w:ind w:right="200"/>
        <w:spacing w:after="0" w:line="233" w:lineRule="auto"/>
        <w:rPr>
          <w:sz w:val="20"/>
          <w:szCs w:val="20"/>
          <w:color w:val="auto"/>
        </w:rPr>
      </w:pPr>
      <w:r>
        <w:rPr>
          <w:rFonts w:ascii="Times New Roman" w:cs="Times New Roman" w:eastAsia="Times New Roman" w:hAnsi="Times New Roman"/>
          <w:sz w:val="18"/>
          <w:szCs w:val="18"/>
          <w:color w:val="auto"/>
        </w:rPr>
        <w:t>$394.7 million and $370.7 million, respectively, and our 2022 and 2021 income from operations was $22.6 million and $20.6 million, respectively. As of December 31, 2023 and 2022, we had total assets of $316.7 million and $345.8 million,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following factors differentiate us from our competitors and position us to continue to grow our specialty retailer business.</w:t>
      </w:r>
    </w:p>
    <w:p>
      <w:pPr>
        <w:spacing w:after="0" w:line="183"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Broad Product Assortment at Attractive Prices – </w:t>
      </w:r>
      <w:r>
        <w:rPr>
          <w:rFonts w:ascii="Times New Roman" w:cs="Times New Roman" w:eastAsia="Times New Roman" w:hAnsi="Times New Roman"/>
          <w:sz w:val="18"/>
          <w:szCs w:val="18"/>
          <w:color w:val="auto"/>
        </w:rPr>
        <w:t>We offer over 6,000 natural stone, man-made and luxury vinyl tile products, setting and maintenance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accessories, and tools. We are able to maintain competitive prices by purchasing tile and accessories directly from producers and manufacturing our own setting and maintenance materials.</w:t>
      </w:r>
    </w:p>
    <w:p>
      <w:pPr>
        <w:spacing w:after="0" w:line="156"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Customer Service and Satisfaction – </w:t>
      </w:r>
      <w:r>
        <w:rPr>
          <w:rFonts w:ascii="Times New Roman" w:cs="Times New Roman" w:eastAsia="Times New Roman" w:hAnsi="Times New Roman"/>
          <w:sz w:val="18"/>
          <w:szCs w:val="18"/>
          <w:color w:val="auto"/>
        </w:rPr>
        <w:t>Our sales personnel are highly-trained and knowledgeable about the technical and design aspects of our products.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we provide one-on-one installation training as required to meet customer needs. We accept returns up to two months following the date of the sale, with no restocking fees.</w:t>
      </w:r>
    </w:p>
    <w:p>
      <w:pPr>
        <w:spacing w:after="0" w:line="154"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Inspiring Customer Experience – </w:t>
      </w:r>
      <w:r>
        <w:rPr>
          <w:rFonts w:ascii="Times New Roman" w:cs="Times New Roman" w:eastAsia="Times New Roman" w:hAnsi="Times New Roman"/>
          <w:sz w:val="18"/>
          <w:szCs w:val="18"/>
          <w:color w:val="auto"/>
        </w:rPr>
        <w:t>In each store, our products are brought to life by showcasing a broad array of the items we offer in up to 50 different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vignettes of bathrooms, kitchens, fireplaces, foyers, and other distinct spaces. Our stores are spacious, well-lit, and organized by product type to simplify our customers’ shopping experience.</w:t>
      </w:r>
    </w:p>
    <w:p>
      <w:pPr>
        <w:spacing w:after="0" w:line="156"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Global Sourcing Capabilities – </w:t>
      </w:r>
      <w:r>
        <w:rPr>
          <w:rFonts w:ascii="Times New Roman" w:cs="Times New Roman" w:eastAsia="Times New Roman" w:hAnsi="Times New Roman"/>
          <w:sz w:val="18"/>
          <w:szCs w:val="18"/>
          <w:color w:val="auto"/>
        </w:rPr>
        <w:t>We have long-standing relationships with our tile suppliers throughout the world and work with them to design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exclusively for us. We believe that these direct relationships differentiate us from our competitors.</w:t>
      </w:r>
    </w:p>
    <w:p>
      <w:pPr>
        <w:spacing w:after="0" w:line="118"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Proprietary Branding – </w:t>
      </w:r>
      <w:r>
        <w:rPr>
          <w:rFonts w:ascii="Times New Roman" w:cs="Times New Roman" w:eastAsia="Times New Roman" w:hAnsi="Times New Roman"/>
          <w:sz w:val="18"/>
          <w:szCs w:val="18"/>
          <w:color w:val="auto"/>
        </w:rPr>
        <w:t>We sell the majority of our products under our proprietary brand names, which helps us to differentiate our products from those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competitors. We offer products across a range of price points and quality levels, which allows us to target discrete market segments and to appeal to diverse groups of customers.</w:t>
      </w:r>
    </w:p>
    <w:p>
      <w:pPr>
        <w:spacing w:after="0" w:line="154"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Centralized Distribution System – </w:t>
      </w:r>
      <w:r>
        <w:rPr>
          <w:rFonts w:ascii="Times New Roman" w:cs="Times New Roman" w:eastAsia="Times New Roman" w:hAnsi="Times New Roman"/>
          <w:sz w:val="18"/>
          <w:szCs w:val="18"/>
          <w:color w:val="auto"/>
        </w:rPr>
        <w:t>We service our store locations from five distribution centers. Our distribution centers, located in Michigan, Oklahoma,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Jersey, Virginia, and Wisconsin, are located to cost effectively service our existing stores.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Plan</w:t>
      </w:r>
    </w:p>
    <w:p>
      <w:pPr>
        <w:spacing w:after="0" w:line="189"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We are committed to carrying an outstanding assortment, offering unsurpassed customer service, and showcasing excellence within our industry. These principles have always been core to our strategy and will continue to be as we move into 2024.</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our 2024 strategy include:</w:t>
      </w:r>
    </w:p>
    <w:p>
      <w:pPr>
        <w:spacing w:after="0" w:line="183"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People First – </w:t>
      </w:r>
      <w:r>
        <w:rPr>
          <w:rFonts w:ascii="Times New Roman" w:cs="Times New Roman" w:eastAsia="Times New Roman" w:hAnsi="Times New Roman"/>
          <w:sz w:val="18"/>
          <w:szCs w:val="18"/>
          <w:color w:val="auto"/>
        </w:rPr>
        <w:t>We pride ourselves on offering the best service in our industry, and our employees are the key to our success. We are committed to investing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training and development programs to further enhance the skill sets of all employees. We are also continuing to take steps to improve engagement, communication and collaboration across our teams.</w:t>
      </w:r>
    </w:p>
    <w:p>
      <w:pPr>
        <w:spacing w:after="0" w:line="154"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Focused Retail Execution – </w:t>
      </w:r>
      <w:r>
        <w:rPr>
          <w:rFonts w:ascii="Times New Roman" w:cs="Times New Roman" w:eastAsia="Times New Roman" w:hAnsi="Times New Roman"/>
          <w:sz w:val="18"/>
          <w:szCs w:val="18"/>
          <w:color w:val="auto"/>
        </w:rPr>
        <w:t>We believe profitable growth is tied to our ability to leverage best practices and technology to improve productivity in each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store locations. We have defined critical success measures, tactics to drive improvement in each area of focus, and reporting processes to monitor progress.</w:t>
      </w:r>
    </w:p>
    <w:p>
      <w:pPr>
        <w:spacing w:after="0" w:line="156" w:lineRule="exact"/>
        <w:rPr>
          <w:sz w:val="20"/>
          <w:szCs w:val="20"/>
          <w:color w:val="auto"/>
        </w:rPr>
      </w:pPr>
    </w:p>
    <w:p>
      <w:pPr>
        <w:ind w:right="34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Supply Chain – </w:t>
      </w:r>
      <w:r>
        <w:rPr>
          <w:rFonts w:ascii="Times New Roman" w:cs="Times New Roman" w:eastAsia="Times New Roman" w:hAnsi="Times New Roman"/>
          <w:sz w:val="18"/>
          <w:szCs w:val="18"/>
          <w:color w:val="auto"/>
        </w:rPr>
        <w:t>We strive to increase efficiencies within our distribution channels and transparency of product availability throughout our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center and store locations. This enhances our ability to provide the best service in our industry and deliver products our customers desire wherever they may need them.</w:t>
      </w:r>
    </w:p>
    <w:p>
      <w:pPr>
        <w:spacing w:after="0" w:line="154" w:lineRule="exact"/>
        <w:rPr>
          <w:sz w:val="20"/>
          <w:szCs w:val="20"/>
          <w:color w:val="auto"/>
        </w:rPr>
      </w:pPr>
    </w:p>
    <w:p>
      <w:pPr>
        <w:ind w:right="200"/>
        <w:spacing w:after="0" w:line="237" w:lineRule="auto"/>
        <w:rPr>
          <w:sz w:val="20"/>
          <w:szCs w:val="20"/>
          <w:color w:val="auto"/>
        </w:rPr>
      </w:pPr>
      <w:r>
        <w:rPr>
          <w:rFonts w:ascii="Times New Roman" w:cs="Times New Roman" w:eastAsia="Times New Roman" w:hAnsi="Times New Roman"/>
          <w:sz w:val="18"/>
          <w:szCs w:val="18"/>
          <w:i w:val="1"/>
          <w:iCs w:val="1"/>
          <w:color w:val="auto"/>
        </w:rPr>
        <w:t>Assortment Management –</w:t>
      </w:r>
      <w:r>
        <w:rPr>
          <w:rFonts w:ascii="Times New Roman" w:cs="Times New Roman" w:eastAsia="Times New Roman" w:hAnsi="Times New Roman"/>
          <w:sz w:val="18"/>
          <w:szCs w:val="18"/>
          <w:color w:val="auto"/>
        </w:rPr>
        <w:t>We curate an industry leading assortment, which is a foundational aspect of our strategy. Our assortment includes good, better,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best options for our customers within each of the product categories we carry in our stores and online. We continue to focus on maintaining an assortment that differentiates our brand.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Model</w:t>
      </w:r>
    </w:p>
    <w:p>
      <w:pPr>
        <w:spacing w:after="0" w:line="189"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We principally sell our products directly to homeowners and professionals. With regard to individual customers, we believe that, due to the average cost and relative infrequency of a tile purchase, many of our individual customers conduct extensive research using multiple channels before making a purchase decision. Our sales strategy emphasizes customer service by providing comprehensive and convenient educational tools on our website and in our stores for our customers to learn about our products and the tile installation process. Our website contains a broad range of information regarding our tile products, setting and maintenance materials, and accessories. Customers can order samples, view catalogs, or purchase products from our stores or online. Customers can choose to have their purchases delivered or picked up at one of our stores. We believe this strategy also positions us well with professional customers who are influenced by the preferences of individual homeowners.</w:t>
      </w:r>
    </w:p>
    <w:p>
      <w:pPr>
        <w:spacing w:after="0" w:line="158"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Our stores are designed to emphasize our products in a visually appealing showroom format. Our average store is approximately 20,000 square feet, with a majority of the square footage devoted to the showroom. Several thousand square feet is used for warehouse space, which is used primarily to hold customer orders waiting to be picked up or delivered. Our stores are typically accessible from major roadways and have significant visibility to passing traffic. We can adapt to a range of existing buildings, whether free-standing or in shopping centers. All of our stores are leased.</w:t>
      </w:r>
    </w:p>
    <w:p>
      <w:pPr>
        <w:spacing w:after="0" w:line="158"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Unlike many of our competitors, we devote a substantial portion of our store space to showrooms, including samples of our products and up to 50 different vignettes of bathrooms, kitchens, fireplaces, foyers, and other distinct spaces that showcase our products. Our showrooms are designed to provide our customers with a better understanding of how to integrate various types of tile in order to create an attractive presentation in their homes.</w:t>
      </w:r>
    </w:p>
    <w:p>
      <w:pPr>
        <w:spacing w:after="0" w:line="157"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18"/>
          <w:szCs w:val="18"/>
          <w:color w:val="auto"/>
        </w:rPr>
        <w:t>A staffing model for a typical store consists of a manager, an assistant manager, sales associates, and a warehouse leader. Our store managers are responsible for store operations and for overseeing our customers’ shopping experience. We offer financing to customers through a line of credit provided by a third-party consumer finance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89" w:lineRule="exact"/>
        <w:rPr>
          <w:sz w:val="20"/>
          <w:szCs w:val="20"/>
          <w:color w:val="auto"/>
        </w:rPr>
      </w:pPr>
    </w:p>
    <w:p>
      <w:pPr>
        <w:jc w:val="both"/>
        <w:ind w:right="800"/>
        <w:spacing w:after="0" w:line="242" w:lineRule="auto"/>
        <w:rPr>
          <w:sz w:val="20"/>
          <w:szCs w:val="20"/>
          <w:color w:val="auto"/>
        </w:rPr>
      </w:pPr>
      <w:r>
        <w:rPr>
          <w:rFonts w:ascii="Times New Roman" w:cs="Times New Roman" w:eastAsia="Times New Roman" w:hAnsi="Times New Roman"/>
          <w:sz w:val="18"/>
          <w:szCs w:val="18"/>
          <w:color w:val="auto"/>
        </w:rPr>
        <w:t>We utilize a variety of marketing strategies and programs to acquire and retain customers, including both consumers and trade professionals. Our advertising primarily consists of digital media, direct marketing, including email and postal mail, in store events, and mobile advertisements. We continually test and learn from new media and adjust our programs based on performance.</w:t>
      </w:r>
    </w:p>
    <w:p>
      <w:pPr>
        <w:spacing w:after="0" w:line="157"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color w:val="auto"/>
        </w:rPr>
        <w:t>Our website, TileShop.com, supports desktop, tablet, and mobile devices and is designed for consumers, trade professionals and industry stakeholders to learn about our brand, our value propositions, and our product assortment and installation techniques, and to look up our store locations and account information. On social media, #TheTileShop provides current and prospective customers a high level of brand engagement and enables customers to share their finished projects in our inspiration gallery.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89" w:lineRule="exact"/>
        <w:rPr>
          <w:sz w:val="20"/>
          <w:szCs w:val="20"/>
          <w:color w:val="auto"/>
        </w:rPr>
      </w:pPr>
    </w:p>
    <w:p>
      <w:pPr>
        <w:ind w:right="260"/>
        <w:spacing w:after="0" w:line="232" w:lineRule="auto"/>
        <w:rPr>
          <w:sz w:val="20"/>
          <w:szCs w:val="20"/>
          <w:color w:val="auto"/>
        </w:rPr>
      </w:pPr>
      <w:r>
        <w:rPr>
          <w:rFonts w:ascii="Times New Roman" w:cs="Times New Roman" w:eastAsia="Times New Roman" w:hAnsi="Times New Roman"/>
          <w:sz w:val="18"/>
          <w:szCs w:val="18"/>
          <w:color w:val="auto"/>
        </w:rPr>
        <w:t>We offer an extensive and complete assortment of natural stone, man-made and luxury vinyl tile products, sourced directly from our suppliers. Natural stone products include marble, travertine, granite, quartz, sandstone, slate, and onyx tiles. Man-made products include ceramic, porcelain, glass, cement, wood look, metal and luxury vinyl tile. Our wide assortment of accessories, including trim pieces, mosaics, pencils, listellos, and other unique products, encourages our customers to make a fashion statement with their tile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5" w:lineRule="exact"/>
        <w:rPr>
          <w:sz w:val="20"/>
          <w:szCs w:val="20"/>
          <w:color w:val="auto"/>
        </w:rPr>
      </w:pPr>
    </w:p>
    <w:p>
      <w:pPr>
        <w:ind w:right="180"/>
        <w:spacing w:after="0" w:line="233" w:lineRule="auto"/>
        <w:rPr>
          <w:sz w:val="20"/>
          <w:szCs w:val="20"/>
          <w:color w:val="auto"/>
        </w:rPr>
      </w:pPr>
      <w:r>
        <w:rPr>
          <w:rFonts w:ascii="Times New Roman" w:cs="Times New Roman" w:eastAsia="Times New Roman" w:hAnsi="Times New Roman"/>
          <w:sz w:val="18"/>
          <w:szCs w:val="18"/>
          <w:color w:val="auto"/>
        </w:rPr>
        <w:t>project and helps us to deliver a high level of customer satisfaction and drive repeat business. We also offer a broad range of setting and maintenance materials, such as thinset, grout, sealers, and accessories, including installation tools, shower and bath shelves, drains, and similar products. We also offer customers delivery service through third-party freight providers. We sell most of our products under our proprietary brand names, including Superior Adhesives &amp; Chemicals, Superior Tools &amp; Supplies, Rush River, and Fired Earth. In total, we offer over 6,000 different tile products, setting and maintenance materials, and accessory products. The percentage of our net sales represented by each product category was as follows for the years ended December 31, 2023 and 2022:</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7"/>
                <w:szCs w:val="17"/>
                <w:color w:val="auto"/>
              </w:rPr>
            </w:pPr>
          </w:p>
        </w:tc>
        <w:tc>
          <w:tcPr>
            <w:tcW w:w="368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21"/>
        </w:trPr>
        <w:tc>
          <w:tcPr>
            <w:tcW w:w="756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r>
      <w:tr>
        <w:trPr>
          <w:trHeight w:val="183"/>
        </w:trPr>
        <w:tc>
          <w:tcPr>
            <w:tcW w:w="75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Man-made tiles</w:t>
            </w:r>
          </w:p>
        </w:tc>
        <w:tc>
          <w:tcPr>
            <w:tcW w:w="1760" w:type="dxa"/>
            <w:vAlign w:val="bottom"/>
            <w:shd w:val="clear" w:color="auto" w:fill="CCEEFF"/>
          </w:tcPr>
          <w:p>
            <w:pPr>
              <w:jc w:val="right"/>
              <w:ind w:right="230"/>
              <w:spacing w:after="0" w:line="182" w:lineRule="exact"/>
              <w:rPr>
                <w:sz w:val="20"/>
                <w:szCs w:val="20"/>
                <w:color w:val="auto"/>
              </w:rPr>
            </w:pPr>
            <w:r>
              <w:rPr>
                <w:rFonts w:ascii="Times New Roman" w:cs="Times New Roman" w:eastAsia="Times New Roman" w:hAnsi="Times New Roman"/>
                <w:sz w:val="18"/>
                <w:szCs w:val="18"/>
                <w:color w:val="auto"/>
              </w:rPr>
              <w:t>54 %</w:t>
            </w: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310"/>
              <w:spacing w:after="0" w:line="182" w:lineRule="exact"/>
              <w:rPr>
                <w:sz w:val="20"/>
                <w:szCs w:val="20"/>
                <w:color w:val="auto"/>
              </w:rPr>
            </w:pPr>
            <w:r>
              <w:rPr>
                <w:rFonts w:ascii="Times New Roman" w:cs="Times New Roman" w:eastAsia="Times New Roman" w:hAnsi="Times New Roman"/>
                <w:sz w:val="18"/>
                <w:szCs w:val="18"/>
                <w:color w:val="auto"/>
              </w:rPr>
              <w:t>51 %</w:t>
            </w:r>
          </w:p>
        </w:tc>
      </w:tr>
      <w:tr>
        <w:trPr>
          <w:trHeight w:val="189"/>
        </w:trPr>
        <w:tc>
          <w:tcPr>
            <w:tcW w:w="75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Natural stone tiles</w:t>
            </w:r>
          </w:p>
        </w:tc>
        <w:tc>
          <w:tcPr>
            <w:tcW w:w="1760" w:type="dxa"/>
            <w:vAlign w:val="bottom"/>
          </w:tcPr>
          <w:p>
            <w:pPr>
              <w:jc w:val="right"/>
              <w:ind w:right="450"/>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6"/>
                <w:szCs w:val="16"/>
                <w:color w:val="auto"/>
              </w:rPr>
            </w:pPr>
          </w:p>
        </w:tc>
        <w:tc>
          <w:tcPr>
            <w:tcW w:w="1760" w:type="dxa"/>
            <w:vAlign w:val="bottom"/>
          </w:tcPr>
          <w:p>
            <w:pPr>
              <w:jc w:val="right"/>
              <w:ind w:right="530"/>
              <w:spacing w:after="0" w:line="189" w:lineRule="exact"/>
              <w:rPr>
                <w:sz w:val="20"/>
                <w:szCs w:val="20"/>
                <w:color w:val="auto"/>
              </w:rPr>
            </w:pPr>
            <w:r>
              <w:rPr>
                <w:rFonts w:ascii="Times New Roman" w:cs="Times New Roman" w:eastAsia="Times New Roman" w:hAnsi="Times New Roman"/>
                <w:sz w:val="18"/>
                <w:szCs w:val="18"/>
                <w:color w:val="auto"/>
              </w:rPr>
              <w:t>25</w:t>
            </w:r>
          </w:p>
        </w:tc>
      </w:tr>
      <w:tr>
        <w:trPr>
          <w:trHeight w:val="189"/>
        </w:trPr>
        <w:tc>
          <w:tcPr>
            <w:tcW w:w="75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Setting and maintenance materials</w:t>
            </w:r>
          </w:p>
        </w:tc>
        <w:tc>
          <w:tcPr>
            <w:tcW w:w="1760" w:type="dxa"/>
            <w:vAlign w:val="bottom"/>
            <w:shd w:val="clear" w:color="auto" w:fill="CCEEFF"/>
          </w:tcPr>
          <w:p>
            <w:pPr>
              <w:jc w:val="right"/>
              <w:ind w:right="450"/>
              <w:spacing w:after="0" w:line="189" w:lineRule="exact"/>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530"/>
              <w:spacing w:after="0" w:line="189" w:lineRule="exact"/>
              <w:rPr>
                <w:sz w:val="20"/>
                <w:szCs w:val="20"/>
                <w:color w:val="auto"/>
              </w:rPr>
            </w:pPr>
            <w:r>
              <w:rPr>
                <w:rFonts w:ascii="Times New Roman" w:cs="Times New Roman" w:eastAsia="Times New Roman" w:hAnsi="Times New Roman"/>
                <w:sz w:val="18"/>
                <w:szCs w:val="18"/>
                <w:color w:val="auto"/>
              </w:rPr>
              <w:t>15</w:t>
            </w:r>
          </w:p>
        </w:tc>
      </w:tr>
      <w:tr>
        <w:trPr>
          <w:trHeight w:val="189"/>
        </w:trPr>
        <w:tc>
          <w:tcPr>
            <w:tcW w:w="75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Accessories</w:t>
            </w:r>
          </w:p>
        </w:tc>
        <w:tc>
          <w:tcPr>
            <w:tcW w:w="1760" w:type="dxa"/>
            <w:vAlign w:val="bottom"/>
          </w:tcPr>
          <w:p>
            <w:pPr>
              <w:jc w:val="right"/>
              <w:ind w:right="450"/>
              <w:spacing w:after="0" w:line="189" w:lineRule="exact"/>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6"/>
                <w:szCs w:val="16"/>
                <w:color w:val="auto"/>
              </w:rPr>
            </w:pPr>
          </w:p>
        </w:tc>
        <w:tc>
          <w:tcPr>
            <w:tcW w:w="1760" w:type="dxa"/>
            <w:vAlign w:val="bottom"/>
          </w:tcPr>
          <w:p>
            <w:pPr>
              <w:jc w:val="right"/>
              <w:ind w:right="530"/>
              <w:spacing w:after="0" w:line="189" w:lineRule="exact"/>
              <w:rPr>
                <w:sz w:val="20"/>
                <w:szCs w:val="20"/>
                <w:color w:val="auto"/>
              </w:rPr>
            </w:pPr>
            <w:r>
              <w:rPr>
                <w:rFonts w:ascii="Times New Roman" w:cs="Times New Roman" w:eastAsia="Times New Roman" w:hAnsi="Times New Roman"/>
                <w:sz w:val="18"/>
                <w:szCs w:val="18"/>
                <w:color w:val="auto"/>
              </w:rPr>
              <w:t>7</w:t>
            </w:r>
          </w:p>
        </w:tc>
      </w:tr>
      <w:tr>
        <w:trPr>
          <w:trHeight w:val="189"/>
        </w:trPr>
        <w:tc>
          <w:tcPr>
            <w:tcW w:w="75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Delivery service</w:t>
            </w:r>
          </w:p>
        </w:tc>
        <w:tc>
          <w:tcPr>
            <w:tcW w:w="1760" w:type="dxa"/>
            <w:vAlign w:val="bottom"/>
            <w:tcBorders>
              <w:bottom w:val="single" w:sz="8" w:color="auto"/>
            </w:tcBorders>
            <w:shd w:val="clear" w:color="auto" w:fill="CCEEFF"/>
          </w:tcPr>
          <w:p>
            <w:pPr>
              <w:jc w:val="right"/>
              <w:ind w:right="450"/>
              <w:spacing w:after="0" w:line="189" w:lineRule="exact"/>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right"/>
              <w:ind w:right="530"/>
              <w:spacing w:after="0" w:line="189" w:lineRule="exact"/>
              <w:rPr>
                <w:sz w:val="20"/>
                <w:szCs w:val="20"/>
                <w:color w:val="auto"/>
              </w:rPr>
            </w:pPr>
            <w:r>
              <w:rPr>
                <w:rFonts w:ascii="Times New Roman" w:cs="Times New Roman" w:eastAsia="Times New Roman" w:hAnsi="Times New Roman"/>
                <w:sz w:val="18"/>
                <w:szCs w:val="18"/>
                <w:color w:val="auto"/>
              </w:rPr>
              <w:t>2</w:t>
            </w:r>
          </w:p>
        </w:tc>
      </w:tr>
      <w:tr>
        <w:trPr>
          <w:trHeight w:val="183"/>
        </w:trPr>
        <w:tc>
          <w:tcPr>
            <w:tcW w:w="7560" w:type="dxa"/>
            <w:vAlign w:val="bottom"/>
          </w:tcPr>
          <w:p>
            <w:pPr>
              <w:spacing w:after="0"/>
              <w:rPr>
                <w:sz w:val="15"/>
                <w:szCs w:val="15"/>
                <w:color w:val="auto"/>
              </w:rPr>
            </w:pPr>
          </w:p>
        </w:tc>
        <w:tc>
          <w:tcPr>
            <w:tcW w:w="1760" w:type="dxa"/>
            <w:vAlign w:val="bottom"/>
            <w:tcBorders>
              <w:bottom w:val="single" w:sz="8" w:color="auto"/>
            </w:tcBorders>
          </w:tcPr>
          <w:p>
            <w:pPr>
              <w:jc w:val="right"/>
              <w:ind w:right="230"/>
              <w:spacing w:after="0" w:line="182" w:lineRule="exact"/>
              <w:rPr>
                <w:sz w:val="20"/>
                <w:szCs w:val="20"/>
                <w:color w:val="auto"/>
              </w:rPr>
            </w:pPr>
            <w:r>
              <w:rPr>
                <w:rFonts w:ascii="Times New Roman" w:cs="Times New Roman" w:eastAsia="Times New Roman" w:hAnsi="Times New Roman"/>
                <w:sz w:val="18"/>
                <w:szCs w:val="18"/>
                <w:color w:val="auto"/>
              </w:rPr>
              <w:t>100 %</w:t>
            </w:r>
          </w:p>
        </w:tc>
        <w:tc>
          <w:tcPr>
            <w:tcW w:w="160" w:type="dxa"/>
            <w:vAlign w:val="bottom"/>
          </w:tcPr>
          <w:p>
            <w:pPr>
              <w:spacing w:after="0"/>
              <w:rPr>
                <w:sz w:val="15"/>
                <w:szCs w:val="15"/>
                <w:color w:val="auto"/>
              </w:rPr>
            </w:pPr>
          </w:p>
        </w:tc>
        <w:tc>
          <w:tcPr>
            <w:tcW w:w="1760" w:type="dxa"/>
            <w:vAlign w:val="bottom"/>
            <w:tcBorders>
              <w:bottom w:val="single" w:sz="8" w:color="auto"/>
            </w:tcBorders>
          </w:tcPr>
          <w:p>
            <w:pPr>
              <w:jc w:val="right"/>
              <w:ind w:right="310"/>
              <w:spacing w:after="0" w:line="182" w:lineRule="exact"/>
              <w:rPr>
                <w:sz w:val="20"/>
                <w:szCs w:val="20"/>
                <w:color w:val="auto"/>
              </w:rPr>
            </w:pPr>
            <w:r>
              <w:rPr>
                <w:rFonts w:ascii="Times New Roman" w:cs="Times New Roman" w:eastAsia="Times New Roman" w:hAnsi="Times New Roman"/>
                <w:sz w:val="18"/>
                <w:szCs w:val="18"/>
                <w:color w:val="auto"/>
              </w:rPr>
              <w:t>100 %</w:t>
            </w:r>
          </w:p>
        </w:tc>
      </w:tr>
      <w:tr>
        <w:trPr>
          <w:trHeight w:val="20"/>
        </w:trPr>
        <w:tc>
          <w:tcPr>
            <w:tcW w:w="75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long-standing relationships with our suppliers throughout the world and work with them to design and manufacture products exclusively for us.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these direct relationships differentiate us from our competitors.</w:t>
      </w:r>
    </w:p>
    <w:p>
      <w:pPr>
        <w:spacing w:after="0" w:line="151"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We currently purchase tile products from approximately 190 different suppliers. Our top ten tile suppliers accounted for 51% of our purchases in 2023. Our largest supplier accounted for 14% of our total purchases in 2023. We believe that alternative and competitive suppliers are available for many of our products. The percentage of our total purchases from the following continents was as follows for the years ended December 31, 2023 and 2022:</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7"/>
                <w:szCs w:val="17"/>
                <w:color w:val="auto"/>
              </w:rPr>
            </w:pPr>
          </w:p>
        </w:tc>
        <w:tc>
          <w:tcPr>
            <w:tcW w:w="368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21"/>
        </w:trPr>
        <w:tc>
          <w:tcPr>
            <w:tcW w:w="756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r>
      <w:tr>
        <w:trPr>
          <w:trHeight w:val="183"/>
        </w:trPr>
        <w:tc>
          <w:tcPr>
            <w:tcW w:w="75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North America</w:t>
            </w:r>
          </w:p>
        </w:tc>
        <w:tc>
          <w:tcPr>
            <w:tcW w:w="1760" w:type="dxa"/>
            <w:vAlign w:val="bottom"/>
            <w:shd w:val="clear" w:color="auto" w:fill="CCEEFF"/>
          </w:tcPr>
          <w:p>
            <w:pPr>
              <w:jc w:val="right"/>
              <w:ind w:right="230"/>
              <w:spacing w:after="0" w:line="182" w:lineRule="exact"/>
              <w:rPr>
                <w:sz w:val="20"/>
                <w:szCs w:val="20"/>
                <w:color w:val="auto"/>
              </w:rPr>
            </w:pPr>
            <w:r>
              <w:rPr>
                <w:rFonts w:ascii="Times New Roman" w:cs="Times New Roman" w:eastAsia="Times New Roman" w:hAnsi="Times New Roman"/>
                <w:sz w:val="18"/>
                <w:szCs w:val="18"/>
                <w:color w:val="auto"/>
              </w:rPr>
              <w:t>46 %</w:t>
            </w: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310"/>
              <w:spacing w:after="0" w:line="182" w:lineRule="exact"/>
              <w:rPr>
                <w:sz w:val="20"/>
                <w:szCs w:val="20"/>
                <w:color w:val="auto"/>
              </w:rPr>
            </w:pPr>
            <w:r>
              <w:rPr>
                <w:rFonts w:ascii="Times New Roman" w:cs="Times New Roman" w:eastAsia="Times New Roman" w:hAnsi="Times New Roman"/>
                <w:sz w:val="18"/>
                <w:szCs w:val="18"/>
                <w:color w:val="auto"/>
              </w:rPr>
              <w:t>34 %</w:t>
            </w:r>
          </w:p>
        </w:tc>
      </w:tr>
      <w:tr>
        <w:trPr>
          <w:trHeight w:val="189"/>
        </w:trPr>
        <w:tc>
          <w:tcPr>
            <w:tcW w:w="75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Europe</w:t>
            </w:r>
          </w:p>
        </w:tc>
        <w:tc>
          <w:tcPr>
            <w:tcW w:w="1760" w:type="dxa"/>
            <w:vAlign w:val="bottom"/>
          </w:tcPr>
          <w:p>
            <w:pPr>
              <w:jc w:val="right"/>
              <w:ind w:right="450"/>
              <w:spacing w:after="0" w:line="189" w:lineRule="exact"/>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6"/>
                <w:szCs w:val="16"/>
                <w:color w:val="auto"/>
              </w:rPr>
            </w:pPr>
          </w:p>
        </w:tc>
        <w:tc>
          <w:tcPr>
            <w:tcW w:w="1760" w:type="dxa"/>
            <w:vAlign w:val="bottom"/>
          </w:tcPr>
          <w:p>
            <w:pPr>
              <w:jc w:val="right"/>
              <w:ind w:right="530"/>
              <w:spacing w:after="0" w:line="189" w:lineRule="exact"/>
              <w:rPr>
                <w:sz w:val="20"/>
                <w:szCs w:val="20"/>
                <w:color w:val="auto"/>
              </w:rPr>
            </w:pPr>
            <w:r>
              <w:rPr>
                <w:rFonts w:ascii="Times New Roman" w:cs="Times New Roman" w:eastAsia="Times New Roman" w:hAnsi="Times New Roman"/>
                <w:sz w:val="18"/>
                <w:szCs w:val="18"/>
                <w:color w:val="auto"/>
              </w:rPr>
              <w:t>37</w:t>
            </w:r>
          </w:p>
        </w:tc>
      </w:tr>
      <w:tr>
        <w:trPr>
          <w:trHeight w:val="189"/>
        </w:trPr>
        <w:tc>
          <w:tcPr>
            <w:tcW w:w="75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Asia</w:t>
            </w:r>
          </w:p>
        </w:tc>
        <w:tc>
          <w:tcPr>
            <w:tcW w:w="1760" w:type="dxa"/>
            <w:vAlign w:val="bottom"/>
            <w:shd w:val="clear" w:color="auto" w:fill="CCEEFF"/>
          </w:tcPr>
          <w:p>
            <w:pPr>
              <w:jc w:val="right"/>
              <w:ind w:right="450"/>
              <w:spacing w:after="0" w:line="189" w:lineRule="exact"/>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530"/>
              <w:spacing w:after="0" w:line="189" w:lineRule="exact"/>
              <w:rPr>
                <w:sz w:val="20"/>
                <w:szCs w:val="20"/>
                <w:color w:val="auto"/>
              </w:rPr>
            </w:pPr>
            <w:r>
              <w:rPr>
                <w:rFonts w:ascii="Times New Roman" w:cs="Times New Roman" w:eastAsia="Times New Roman" w:hAnsi="Times New Roman"/>
                <w:sz w:val="18"/>
                <w:szCs w:val="18"/>
                <w:color w:val="auto"/>
              </w:rPr>
              <w:t>24</w:t>
            </w:r>
          </w:p>
        </w:tc>
      </w:tr>
      <w:tr>
        <w:trPr>
          <w:trHeight w:val="189"/>
        </w:trPr>
        <w:tc>
          <w:tcPr>
            <w:tcW w:w="75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South America</w:t>
            </w:r>
          </w:p>
        </w:tc>
        <w:tc>
          <w:tcPr>
            <w:tcW w:w="1760" w:type="dxa"/>
            <w:vAlign w:val="bottom"/>
          </w:tcPr>
          <w:p>
            <w:pPr>
              <w:jc w:val="right"/>
              <w:ind w:right="45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6"/>
                <w:szCs w:val="16"/>
                <w:color w:val="auto"/>
              </w:rPr>
            </w:pPr>
          </w:p>
        </w:tc>
        <w:tc>
          <w:tcPr>
            <w:tcW w:w="1760" w:type="dxa"/>
            <w:vAlign w:val="bottom"/>
          </w:tcPr>
          <w:p>
            <w:pPr>
              <w:jc w:val="right"/>
              <w:ind w:right="530"/>
              <w:spacing w:after="0" w:line="189" w:lineRule="exact"/>
              <w:rPr>
                <w:sz w:val="20"/>
                <w:szCs w:val="20"/>
                <w:color w:val="auto"/>
              </w:rPr>
            </w:pPr>
            <w:r>
              <w:rPr>
                <w:rFonts w:ascii="Times New Roman" w:cs="Times New Roman" w:eastAsia="Times New Roman" w:hAnsi="Times New Roman"/>
                <w:sz w:val="18"/>
                <w:szCs w:val="18"/>
                <w:color w:val="auto"/>
              </w:rPr>
              <w:t>4</w:t>
            </w:r>
          </w:p>
        </w:tc>
      </w:tr>
      <w:tr>
        <w:trPr>
          <w:trHeight w:val="189"/>
        </w:trPr>
        <w:tc>
          <w:tcPr>
            <w:tcW w:w="75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Africa</w:t>
            </w:r>
          </w:p>
        </w:tc>
        <w:tc>
          <w:tcPr>
            <w:tcW w:w="1760" w:type="dxa"/>
            <w:vAlign w:val="bottom"/>
            <w:tcBorders>
              <w:bottom w:val="single" w:sz="8" w:color="auto"/>
            </w:tcBorders>
            <w:shd w:val="clear" w:color="auto" w:fill="CCEEFF"/>
          </w:tcPr>
          <w:p>
            <w:pPr>
              <w:jc w:val="right"/>
              <w:ind w:right="450"/>
              <w:spacing w:after="0" w:line="189" w:lineRule="exact"/>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right"/>
              <w:ind w:right="530"/>
              <w:spacing w:after="0" w:line="189" w:lineRule="exact"/>
              <w:rPr>
                <w:sz w:val="20"/>
                <w:szCs w:val="20"/>
                <w:color w:val="auto"/>
              </w:rPr>
            </w:pPr>
            <w:r>
              <w:rPr>
                <w:rFonts w:ascii="Times New Roman" w:cs="Times New Roman" w:eastAsia="Times New Roman" w:hAnsi="Times New Roman"/>
                <w:sz w:val="18"/>
                <w:szCs w:val="18"/>
                <w:color w:val="auto"/>
              </w:rPr>
              <w:t>1</w:t>
            </w:r>
          </w:p>
        </w:tc>
      </w:tr>
      <w:tr>
        <w:trPr>
          <w:trHeight w:val="183"/>
        </w:trPr>
        <w:tc>
          <w:tcPr>
            <w:tcW w:w="7560" w:type="dxa"/>
            <w:vAlign w:val="bottom"/>
          </w:tcPr>
          <w:p>
            <w:pPr>
              <w:spacing w:after="0"/>
              <w:rPr>
                <w:sz w:val="15"/>
                <w:szCs w:val="15"/>
                <w:color w:val="auto"/>
              </w:rPr>
            </w:pPr>
          </w:p>
        </w:tc>
        <w:tc>
          <w:tcPr>
            <w:tcW w:w="1760" w:type="dxa"/>
            <w:vAlign w:val="bottom"/>
            <w:tcBorders>
              <w:bottom w:val="single" w:sz="8" w:color="auto"/>
            </w:tcBorders>
          </w:tcPr>
          <w:p>
            <w:pPr>
              <w:jc w:val="right"/>
              <w:ind w:right="230"/>
              <w:spacing w:after="0" w:line="182" w:lineRule="exact"/>
              <w:rPr>
                <w:sz w:val="20"/>
                <w:szCs w:val="20"/>
                <w:color w:val="auto"/>
              </w:rPr>
            </w:pPr>
            <w:r>
              <w:rPr>
                <w:rFonts w:ascii="Times New Roman" w:cs="Times New Roman" w:eastAsia="Times New Roman" w:hAnsi="Times New Roman"/>
                <w:sz w:val="18"/>
                <w:szCs w:val="18"/>
                <w:color w:val="auto"/>
              </w:rPr>
              <w:t>100 %</w:t>
            </w:r>
          </w:p>
        </w:tc>
        <w:tc>
          <w:tcPr>
            <w:tcW w:w="160" w:type="dxa"/>
            <w:vAlign w:val="bottom"/>
          </w:tcPr>
          <w:p>
            <w:pPr>
              <w:spacing w:after="0"/>
              <w:rPr>
                <w:sz w:val="15"/>
                <w:szCs w:val="15"/>
                <w:color w:val="auto"/>
              </w:rPr>
            </w:pPr>
          </w:p>
        </w:tc>
        <w:tc>
          <w:tcPr>
            <w:tcW w:w="1760" w:type="dxa"/>
            <w:vAlign w:val="bottom"/>
            <w:tcBorders>
              <w:bottom w:val="single" w:sz="8" w:color="auto"/>
            </w:tcBorders>
          </w:tcPr>
          <w:p>
            <w:pPr>
              <w:jc w:val="right"/>
              <w:ind w:right="310"/>
              <w:spacing w:after="0" w:line="182" w:lineRule="exact"/>
              <w:rPr>
                <w:sz w:val="20"/>
                <w:szCs w:val="20"/>
                <w:color w:val="auto"/>
              </w:rPr>
            </w:pPr>
            <w:r>
              <w:rPr>
                <w:rFonts w:ascii="Times New Roman" w:cs="Times New Roman" w:eastAsia="Times New Roman" w:hAnsi="Times New Roman"/>
                <w:sz w:val="18"/>
                <w:szCs w:val="18"/>
                <w:color w:val="auto"/>
              </w:rPr>
              <w:t>100 %</w:t>
            </w:r>
          </w:p>
        </w:tc>
      </w:tr>
      <w:tr>
        <w:trPr>
          <w:trHeight w:val="20"/>
        </w:trPr>
        <w:tc>
          <w:tcPr>
            <w:tcW w:w="75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right="180"/>
        <w:spacing w:after="0" w:line="233" w:lineRule="auto"/>
        <w:rPr>
          <w:sz w:val="20"/>
          <w:szCs w:val="20"/>
          <w:color w:val="auto"/>
        </w:rPr>
      </w:pPr>
      <w:r>
        <w:rPr>
          <w:rFonts w:ascii="Times New Roman" w:cs="Times New Roman" w:eastAsia="Times New Roman" w:hAnsi="Times New Roman"/>
          <w:sz w:val="18"/>
          <w:szCs w:val="18"/>
          <w:color w:val="auto"/>
        </w:rPr>
        <w:t>Our inventory balance decreased by $27.3 million from $121.0 million to $93.7 million as of December 31, 2022 and December 31, 2023, respectively. The decrease in inventory is due to steps taken to reduce inventory quantities as well as a decrease in inventory costs stemming from a reduction in ocean freight rates and steps taken to shift sourcing of certain products in our assortment to lower cost suppliers. The decrease in the percentage of purchases from European and Asian suppliers is primarily due to the decrease in inventory quantities purchased as well as the decrease in cost. The volume of inventory purchased from North American suppliers remained relatively consistent year-over-year; however, the percentage of overall purchases from North American suppliers increased given the decrease in overall purchases from 2022 to 2023.</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and Order Fulfillment</w:t>
      </w:r>
    </w:p>
    <w:p>
      <w:pPr>
        <w:spacing w:after="0" w:line="189"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18"/>
          <w:szCs w:val="18"/>
          <w:color w:val="auto"/>
        </w:rPr>
        <w:t>We take possession of our products in the country of origin and arrange for transportation to our five distribution centers located in Michigan, Oklahoma, New Jersey, Virginia and Wisconsin. We also manufacture many of our setting and maintenance materials in Michigan, Oklahoma, Virginia, and Wisconsin. We maintain a large inventory of products in order to quickly fulfill customer orders.</w:t>
      </w:r>
    </w:p>
    <w:p>
      <w:pPr>
        <w:spacing w:after="0" w:line="15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fulfill customer orders primarily by shipping our products to our stores where customers can either pick them up or arrange for home delivery. We continue to evaluate logistics alternatives to best serve our store base and our customers.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ind w:right="180"/>
        <w:spacing w:after="0" w:line="230" w:lineRule="auto"/>
        <w:rPr>
          <w:sz w:val="20"/>
          <w:szCs w:val="20"/>
          <w:color w:val="auto"/>
        </w:rPr>
      </w:pPr>
      <w:r>
        <w:rPr>
          <w:rFonts w:ascii="Times New Roman" w:cs="Times New Roman" w:eastAsia="Times New Roman" w:hAnsi="Times New Roman"/>
          <w:sz w:val="18"/>
          <w:szCs w:val="18"/>
          <w:color w:val="auto"/>
        </w:rPr>
        <w:t>The retail tile market is highly-fragmented. We compete directly with regional and local specialty retailers of tile, factory-direct stores, a large number of privately-owned, single-site stores, and online-only competitors. In addition, we compete with large national home improvement centers that offer a wide range of home improvement products, including flooring. We also compete indirectly with companies that sell other types of floor coverings, including wood floors, carpet, and vinyl. The barriers of entry into the retail tile industry are relatively low and new or existing tile retailers could enter our markets and increase the competition that we face. Many</w:t>
      </w: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5"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of our competitors enjoy competitive advantages over us, such as greater name recognition, longer operating histories, more varied product offerings, and greater financial, technical, and other resources.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key competitive factors in the retail tile industry include:</w:t>
      </w:r>
    </w:p>
    <w:p>
      <w:pPr>
        <w:spacing w:after="0" w:line="185" w:lineRule="exact"/>
        <w:rPr>
          <w:sz w:val="20"/>
          <w:szCs w:val="20"/>
          <w:color w:val="auto"/>
        </w:rPr>
      </w:pPr>
    </w:p>
    <w:p>
      <w:pPr>
        <w:ind w:left="660" w:right="9060"/>
        <w:spacing w:after="0" w:line="238" w:lineRule="auto"/>
        <w:rPr>
          <w:sz w:val="20"/>
          <w:szCs w:val="20"/>
          <w:color w:val="auto"/>
        </w:rPr>
      </w:pPr>
      <w:r>
        <w:rPr>
          <w:rFonts w:ascii="Times New Roman" w:cs="Times New Roman" w:eastAsia="Times New Roman" w:hAnsi="Times New Roman"/>
          <w:sz w:val="17"/>
          <w:szCs w:val="17"/>
          <w:color w:val="auto"/>
        </w:rPr>
        <w:t>product assortment; product presentation; customer service; store location;</w:t>
      </w:r>
    </w:p>
    <w:p>
      <w:pPr>
        <w:ind w:left="660" w:right="8500"/>
        <w:spacing w:after="0" w:line="233" w:lineRule="auto"/>
        <w:rPr>
          <w:sz w:val="20"/>
          <w:szCs w:val="20"/>
          <w:color w:val="auto"/>
        </w:rPr>
      </w:pPr>
      <w:r>
        <w:rPr>
          <w:rFonts w:ascii="Times New Roman" w:cs="Times New Roman" w:eastAsia="Times New Roman" w:hAnsi="Times New Roman"/>
          <w:sz w:val="18"/>
          <w:szCs w:val="18"/>
          <w:color w:val="auto"/>
        </w:rPr>
        <w:t>availability of inventory; and price.</w:t>
      </w:r>
    </w:p>
    <w:p>
      <w:pPr>
        <w:spacing w:after="0" w:line="307"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18"/>
          <w:szCs w:val="18"/>
          <w:color w:val="auto"/>
        </w:rPr>
        <w:t>We believe that we compete favorably with respect to each of these factors by providing a highly diverse selection of products to our customers, at an attractive value, in appealing and convenient store locations, with exceptional customer service and on-site instructional opportunities. Further, while some larger factory-direct competitors manufacture their own products, many of our competitors do not maintain their own inventory and instead purchase their tile from domestic manufacturers or distributors when they receive an order from a customer. We also believe that we offer a broader range of products and stronger in-store customer support than these competitors.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89"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8"/>
          <w:szCs w:val="18"/>
          <w:color w:val="auto"/>
        </w:rPr>
        <w:t>We believe that our employees are our strongest competitive advantage and the high-quality service that they provide sets us apart from others in our industry. As of December 31, 2023, we had 1,308 employees, 1,136 of whom were full-time and none who were represented by a union. This includes 964 employees who work in our stores, 125 who work in corporate, store support, infrastructure or similar functions, and 219 who work in our distribution and manufacturing facilities.</w:t>
      </w:r>
    </w:p>
    <w:p>
      <w:pPr>
        <w:spacing w:after="0" w:line="158" w:lineRule="exact"/>
        <w:rPr>
          <w:sz w:val="20"/>
          <w:szCs w:val="20"/>
          <w:color w:val="auto"/>
        </w:rPr>
      </w:pPr>
    </w:p>
    <w:p>
      <w:pPr>
        <w:ind w:right="400"/>
        <w:spacing w:after="0" w:line="232" w:lineRule="auto"/>
        <w:rPr>
          <w:sz w:val="20"/>
          <w:szCs w:val="20"/>
          <w:color w:val="auto"/>
        </w:rPr>
      </w:pPr>
      <w:r>
        <w:rPr>
          <w:rFonts w:ascii="Times New Roman" w:cs="Times New Roman" w:eastAsia="Times New Roman" w:hAnsi="Times New Roman"/>
          <w:sz w:val="18"/>
          <w:szCs w:val="18"/>
          <w:color w:val="auto"/>
        </w:rPr>
        <w:t>The Company’s Board of Directors (the “Board” or “Board of Directors”), through its Compensation Committee, provides oversight of human capital matters, including the Company’s diversity and inclusion initiatives, which promote equity across the organization. The Compensation Committee and Board periodically review the composition of our workforce and promote practices to hire from a diverse pool of candidates. The Compensation Committee and Board also review the Company’s compensation and benefits programs, as well as management development and succession planning practices and strategies.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human capital objectives are to attract, develop and retain people who are committed to our goal of providing the best service in our industry.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support these objectives, our human resources programs seek to:</w:t>
      </w:r>
    </w:p>
    <w:p>
      <w:pPr>
        <w:spacing w:after="0" w:line="165" w:lineRule="exact"/>
        <w:rPr>
          <w:sz w:val="20"/>
          <w:szCs w:val="20"/>
          <w:color w:val="auto"/>
        </w:rPr>
      </w:pPr>
    </w:p>
    <w:p>
      <w:pPr>
        <w:ind w:left="660"/>
        <w:spacing w:after="0" w:line="230" w:lineRule="auto"/>
        <w:rPr>
          <w:sz w:val="20"/>
          <w:szCs w:val="20"/>
          <w:color w:val="auto"/>
        </w:rPr>
      </w:pPr>
      <w:r>
        <w:rPr>
          <w:rFonts w:ascii="Times New Roman" w:cs="Times New Roman" w:eastAsia="Times New Roman" w:hAnsi="Times New Roman"/>
          <w:sz w:val="18"/>
          <w:szCs w:val="18"/>
          <w:color w:val="auto"/>
        </w:rPr>
        <w:t>Reward our employees through highly competitive total compensation and benefit programs designed to reward exceptional performance, promote teamwork and support our employees’ total wellbeing.</w:t>
      </w:r>
    </w:p>
    <w:p>
      <w:pPr>
        <w:spacing w:after="0" w:line="1" w:lineRule="exact"/>
        <w:rPr>
          <w:sz w:val="20"/>
          <w:szCs w:val="20"/>
          <w:color w:val="auto"/>
        </w:rPr>
      </w:pPr>
    </w:p>
    <w:p>
      <w:pPr>
        <w:ind w:left="660" w:right="700"/>
        <w:spacing w:after="0" w:line="219" w:lineRule="auto"/>
        <w:rPr>
          <w:sz w:val="20"/>
          <w:szCs w:val="20"/>
          <w:color w:val="auto"/>
        </w:rPr>
      </w:pPr>
      <w:r>
        <w:rPr>
          <w:rFonts w:ascii="Times New Roman" w:cs="Times New Roman" w:eastAsia="Times New Roman" w:hAnsi="Times New Roman"/>
          <w:sz w:val="18"/>
          <w:szCs w:val="18"/>
          <w:color w:val="auto"/>
        </w:rPr>
        <w:t>Provide development opportunities to enhance sales skills, product knowledge, exposure to the latest design trends, safety, teamwork and leadership.</w:t>
      </w:r>
    </w:p>
    <w:p>
      <w:pPr>
        <w:ind w:left="340"/>
        <w:spacing w:after="0"/>
        <w:rPr>
          <w:sz w:val="20"/>
          <w:szCs w:val="20"/>
          <w:color w:val="auto"/>
        </w:rPr>
      </w:pPr>
      <w:r>
        <w:rPr>
          <w:rFonts w:ascii="Times New Roman" w:cs="Times New Roman" w:eastAsia="Times New Roman" w:hAnsi="Times New Roman"/>
          <w:sz w:val="18"/>
          <w:szCs w:val="18"/>
          <w:color w:val="auto"/>
        </w:rPr>
        <w:t>Enhance our culture through efforts aimed at making our workplace more diverse, engaging, equitable and inclusive.</w:t>
      </w:r>
    </w:p>
    <w:p>
      <w:pPr>
        <w:spacing w:after="0" w:line="165" w:lineRule="exact"/>
        <w:rPr>
          <w:sz w:val="20"/>
          <w:szCs w:val="20"/>
          <w:color w:val="auto"/>
        </w:rPr>
      </w:pPr>
    </w:p>
    <w:p>
      <w:pPr>
        <w:jc w:val="both"/>
        <w:ind w:right="100"/>
        <w:spacing w:after="0" w:line="236" w:lineRule="auto"/>
        <w:rPr>
          <w:sz w:val="20"/>
          <w:szCs w:val="20"/>
          <w:color w:val="auto"/>
        </w:rPr>
      </w:pPr>
      <w:r>
        <w:rPr>
          <w:rFonts w:ascii="Times New Roman" w:cs="Times New Roman" w:eastAsia="Times New Roman" w:hAnsi="Times New Roman"/>
          <w:sz w:val="18"/>
          <w:szCs w:val="18"/>
          <w:color w:val="auto"/>
        </w:rPr>
        <w:t>We believe that building a strong and diverse workforce is a significant contributor to our success. Creating a culture that embraces diversity and inclusion is the key to a collaborative and winning team culture. To achieve this goal, we seek diverse talent internally and externally in an effort to achieve broader diverse representation throughout our organization. We also promote inclusion through our training and development programs.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Trademarks</w:t>
      </w:r>
    </w:p>
    <w:p>
      <w:pPr>
        <w:spacing w:after="0" w:line="189" w:lineRule="exact"/>
        <w:rPr>
          <w:sz w:val="20"/>
          <w:szCs w:val="20"/>
          <w:color w:val="auto"/>
        </w:rPr>
      </w:pPr>
    </w:p>
    <w:p>
      <w:pPr>
        <w:jc w:val="both"/>
        <w:ind w:right="280"/>
        <w:spacing w:after="0" w:line="242" w:lineRule="auto"/>
        <w:rPr>
          <w:sz w:val="20"/>
          <w:szCs w:val="20"/>
          <w:color w:val="auto"/>
        </w:rPr>
      </w:pPr>
      <w:r>
        <w:rPr>
          <w:rFonts w:ascii="Times New Roman" w:cs="Times New Roman" w:eastAsia="Times New Roman" w:hAnsi="Times New Roman"/>
          <w:sz w:val="18"/>
          <w:szCs w:val="18"/>
          <w:color w:val="auto"/>
        </w:rPr>
        <w:t>We have registered and unregistered trademarks for all of our brands, including 25 registered trademarks. We regard our intellectual property as having significant value, and our brands are an important factor in the marketing of our products. Accordingly, we have taken, and continue to take, appropriate steps to protect our intellectual property.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89"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7"/>
          <w:szCs w:val="17"/>
          <w:color w:val="auto"/>
        </w:rPr>
        <w:t>We are subject to extensive and varied federal, state and local government regulation in the jurisdictions in which we operate, including laws and regulations relating to our relationships with our employees, public health and safety, zoning, and fire codes. We operate each of our stores, offices, and distribution and manufacturing facilities in accordance with standards and procedures designed to comply with applicable laws, codes, and regulations.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8"/>
          <w:szCs w:val="18"/>
          <w:color w:val="auto"/>
        </w:rPr>
        <w:t>Our operations and properties are also subject to federal, state and local laws and regulations relating to the use, storage, handling, generation, transportation, treatment, emission, release, discharge and disposal of hazardous materials, substances, and wastes and relating to the investigation and cleanup of contaminated properties, including off-site disposal locations. We do not incur significant costs complying with environmental laws and regulations. However, we could be subject to material costs, liabilities, or claims relating to environmental compliance in the future, especially in the event of changes in existing laws and regulations or in their interpretation.</w:t>
      </w:r>
    </w:p>
    <w:p>
      <w:pPr>
        <w:spacing w:after="0" w:line="16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Products that we import into the United States are subject to laws and regulations imposed in conjunction with such importation, including those issued and enforced by U.S. Customs and Border Protection. We work closely with our suppliers to ensure compliance with the applicable laws and regulations in these areas.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about Geographic Areas</w:t>
      </w:r>
    </w:p>
    <w:p>
      <w:pPr>
        <w:spacing w:after="0" w:line="18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A majority of our revenues and profits are generated within the United States and nearly all of our long-lived assets are located within the United States as well. We have also established a sourcing office based in China.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9"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18"/>
          <w:szCs w:val="18"/>
          <w:color w:val="auto"/>
        </w:rPr>
        <w:t xml:space="preserve">We are subject to the reporting requirements of the Securities Exchange Act of 1934, as amended (the “Exchange Act”). The Exchange Act requires us to file periodic reports, proxy statements and other information with the Securities and Exchange Commission (“SEC”). The SEC maintains a website that contains reports, proxy and information statements, and other information regarding issuers that file electronically with the SEC. These materials may be obtained electronically by accessing the SEC’s website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7"/>
          <w:szCs w:val="17"/>
          <w:color w:val="auto"/>
        </w:rPr>
        <w:t xml:space="preserve">We maintain a website at </w:t>
      </w:r>
      <w:r>
        <w:rPr>
          <w:rFonts w:ascii="Times New Roman" w:cs="Times New Roman" w:eastAsia="Times New Roman" w:hAnsi="Times New Roman"/>
          <w:sz w:val="17"/>
          <w:szCs w:val="17"/>
          <w:u w:val="single" w:color="auto"/>
          <w:color w:val="auto"/>
        </w:rPr>
        <w:t>www.tileshop.com</w:t>
      </w:r>
      <w:r>
        <w:rPr>
          <w:rFonts w:ascii="Times New Roman" w:cs="Times New Roman" w:eastAsia="Times New Roman" w:hAnsi="Times New Roman"/>
          <w:sz w:val="17"/>
          <w:szCs w:val="17"/>
          <w:color w:val="auto"/>
        </w:rPr>
        <w:t>. Information contained on or accessible through our website is not a part of, and is not incorporated by reference into, this Form 10-K or any other report or document we file with the SEC. Any reference to our website is intended to be an inactive textual reference only. We make our annual reports on Form 10-K, quarterly reports on Form 10-Q, current reports on Form 8-K and amendments to those reports available on our website, free of charge, as soon as reasonably practicable after such reports have been filed with or furnished to the SEC. Our Code of Business Conduct and Ethics, as well as any waivers from and amendments to the Code of Business Conduct and Ethics, is also posted on our website.</w:t>
      </w:r>
    </w:p>
    <w:p>
      <w:pPr>
        <w:spacing w:after="0" w:line="151"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color w:val="auto"/>
        </w:rPr>
        <w:t xml:space="preserve">We intend to use the investor relations section of our website, </w:t>
      </w:r>
      <w:r>
        <w:rPr>
          <w:rFonts w:ascii="Times New Roman" w:cs="Times New Roman" w:eastAsia="Times New Roman" w:hAnsi="Times New Roman"/>
          <w:sz w:val="18"/>
          <w:szCs w:val="18"/>
          <w:u w:val="single" w:color="auto"/>
          <w:color w:val="auto"/>
        </w:rPr>
        <w:t>investors.tileshop.com,</w:t>
      </w:r>
      <w:r>
        <w:rPr>
          <w:rFonts w:ascii="Times New Roman" w:cs="Times New Roman" w:eastAsia="Times New Roman" w:hAnsi="Times New Roman"/>
          <w:sz w:val="18"/>
          <w:szCs w:val="18"/>
          <w:color w:val="auto"/>
        </w:rPr>
        <w:t xml:space="preserve"> as a means of disclosing material non-public information and for complying with our disclosure obligations under SEC Regulation FD. Such disclosures will be included on our website under the heading News and Events. Accordingly, investors should monitor such portions of our website, in addition to following our press releases, SEC filings and public conference calls and webcasts.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8"/>
          <w:szCs w:val="18"/>
          <w:color w:val="auto"/>
        </w:rPr>
        <w:t>The following are material factors known to us that could adversely affect our business, financial condition, or operating results, as well as adversely affect the value of an investment in our common stock. These risks could cause our actual results to differ materially from our historical experience and from results predicted by forward-looking statements. All forward-looking statements made by us are qualified by the risks described below. Disclosures of risks should not be interpreted to imply that the risks have not already materialized, and there may be additional risks that are not presently material or known. You should carefully consider each of the following risks and all other information set forth in this report.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Growth Strategy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grow and remain profitable may be limited by direct or indirect competition in the highly-competitive retail tile industry.</w:t>
      </w:r>
    </w:p>
    <w:p>
      <w:pPr>
        <w:spacing w:after="0" w:line="189"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8"/>
          <w:szCs w:val="18"/>
          <w:color w:val="auto"/>
        </w:rPr>
        <w:t>The retail tile industry in the United States is highly competitive. Participants in the tile industry compete primarily based on product variety, customer service, store location, and price. There can be no assurance that we will be able to continue to compete favorably with our competitors in these areas. Our store competitors include large national home centers, regional and local specialty retailers of tile, factory-direct stores, privately-owned, single-site stores and online-only competitors. We also compete indirectly with companies that sell other types of floor coverings, including wood floors, carpet, and vinyl sheet. In the past, we have faced periods of heightened competition that materially affected our results of operations. Certain of our competitors have greater name recognition, longer operating histories, more varied product offerings, and substantially greater financial and other resources than us. Accordingly, we may face periods of intense competition in the future that could have a material adverse effect on our planned growth and future results of operations. Moreover, the barriers to entry into the retail tile industry are relatively low. New or existing retailers could enter our markets and increase the competition that we face. In addition, manufacturers and suppliers of tile and related products, including those whose products we currently sell, could enter the United States retail tile market and start directly competing with us. Further,</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5"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color w:val="auto"/>
        </w:rPr>
        <w:t>the retail industry in general is subject to rapid technological change, which may increase the amount of capital we spend in the future as we work to sustain and grow our technological infrastructure and digital commerce capabilities in order to remain competitive. Competition in existing and new markets may also prevent or delay our ability to gain relative market share. Any of the developments described above could have a material adverse effect on our planned growth and future results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by us to successfully anticipate consumer trends may lead to loss of consumer acceptance of our products, resulting in reduced revenues.</w:t>
      </w:r>
    </w:p>
    <w:p>
      <w:pPr>
        <w:spacing w:after="0" w:line="189"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Our success depends on our ability to anticipate and respond to changing trends in the tile industry and consumer demands in a timely manner. If we fail to identify and respond to emerging trends, consumer acceptance of our merchandise and our image with current or potential customers may be harmed, which could reduce our revenue potential. Additionally, if we misjudge market trends, we may significantly overstock unpopular products and be forced to reduce the sales price of such products, which would have a negative impact on our gross profit and cash flow. Conversely, shortages of products that prove popular, or increases in our pricing as a result of general product shortages, supply chain disruptions and inflationary cost pressure, could cause customers to seek alternative sources of such products, as well as other products they may have purchased from us, which could also reduce our revenues.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effectively manage our online sales, our reputation and operating results may be harmed.</w:t>
      </w:r>
    </w:p>
    <w:p>
      <w:pPr>
        <w:spacing w:after="0" w:line="189"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18"/>
          <w:szCs w:val="18"/>
          <w:color w:val="auto"/>
        </w:rPr>
        <w:t>Consumers are increasingly embracing shopping online and through mobile commerce applications. Any failure on our part to provide an attractive, reliable and user-friendly digital platform that offers a wide assortment of merchandise and meets the changing expectations of online shoppers could place us at a competitive disadvantage, result in the loss of e-commerce and other sales, harm our reputation with consumers, and have a material adverse impact on the growth of our e-commerce business and on our business and results of operations. We are vulnerable to certain risks and uncertainties associated with our e-commerce operations, including changes in required technology interfaces, website downtime and other technical failures, costs and technical issues for upgrades of our website software, computer viruses, changes in applicable federal and state regulations, security breaches and consumer privacy concerns. If not managed, these risks could adversely impact our operating results.</w:t>
      </w:r>
    </w:p>
    <w:p>
      <w:pPr>
        <w:spacing w:after="0" w:line="154" w:lineRule="exact"/>
        <w:rPr>
          <w:sz w:val="20"/>
          <w:szCs w:val="20"/>
          <w:color w:val="auto"/>
        </w:rPr>
      </w:pPr>
    </w:p>
    <w:p>
      <w:pPr>
        <w:ind w:right="6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successfully manage the challenges that our planned growth poses or encounter unexpected difficulties during our expansion, our revenues and profitability could be materially adversely affected.</w:t>
      </w:r>
    </w:p>
    <w:p>
      <w:pPr>
        <w:spacing w:after="0" w:line="117"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color w:val="auto"/>
        </w:rPr>
        <w:t>One of our long-term objectives is to increase revenue and profitability through market share gains. Our ability to achieve market share growth, however, is contingent upon our ability to open new stores and achieve operating results in new stores at the same level as our similarly situated current stores. There can be no assurance that we will be able to open stores in new markets at the rate required to achieve market leadership in such markets, identify and obtain favorable store sites, arrange favorable leases for stores, obtain governmental and other third-party consents, permits, and licenses needed to open or operate stores in a timely manner, train and hire a sufficient number of qualified managers for new stores, attract a strong customer base and brand familiarity in new markets, or successfully compete with established retail tile stores in the new markets that we enter. Failure to open new stores in an effective and cost-efficient manner could place us at a competitive disadvantage as compared to retailers who are more adept than us at managing these challenges, which, in turn, could negatively affect our overall operating results.</w:t>
      </w:r>
    </w:p>
    <w:p>
      <w:pPr>
        <w:spacing w:after="0" w:line="157"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intend to open additional stores in both our existing markets and new markets, which poses both the possibility of diminishing sales by existing stores in our existing markets and the risk of a slow ramp-up period for stores in new markets.</w:t>
      </w:r>
    </w:p>
    <w:p>
      <w:pPr>
        <w:spacing w:after="0" w:line="145"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In future periods, we intend to open additional stores in new and existing markets. Because our stores typically draw customers from their local areas, additional stores may draw customers away from nearby existing stores and may cause comparable store sales performance at those existing stores to decline, which may adversely affect our overall operating results. Additionally, stores in new markets typically have a ramp-up period before sales become steady enough for such stores to be profitable. Our ability to open additional stores will be dependent on our ability to promote and/or recruit enough qualified store managers, assistant store managers, and sales associates. The time and effort required to train and supervise a large number of new managers and associates and integrate them into our culture may divert resources from our existing stores. If we are unable to profitably open additional stores in both new and existing markets and limit the adverse impact of those new stores on existing stores, our comparable store sales and overall operating results may be reduced during the implementation of our expansion strategy.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expansion will be dependent upon, and limited by, the availability of adequate capital.</w:t>
      </w:r>
    </w:p>
    <w:p>
      <w:pPr>
        <w:spacing w:after="0" w:line="175"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18"/>
          <w:szCs w:val="18"/>
          <w:color w:val="auto"/>
        </w:rPr>
        <w:t>Our expansion strategy will require adequate capital for, among other purposes, opening new stores, distribution centers, and manufacturing facilities, as well as entering new markets. Such expenditures will include researching real estate and consumer markets, leases, inventory, property and equipment costs, integration of new stores and markets into company-wide systems and programs, and other costs associated with new stores and market entry expenses and growth. If cash generated internally is insufficient to fund capital requirements, we will require additional debt or equity financing. Adequate financing may not be available or, if available, may not be available on terms satisfactory to us. In addition, our credit facility may limit the amount of capital expenditures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5"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that we may make annually, depending on our ability to satisfy applicable financial and other covenants. If we fail to obtain sufficient additional capital in the future or we are unable to make capital expenditures under our credit facility, we could be forced to curtail our expansion strategies by reducing or delaying capital expenditures relating to new stores and new market entry. As a result, there can be no assurance that we will be able to fund our current plans for the opening of new stores or entry into new markets.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the effectiveness of our marketing strategy.</w:t>
      </w:r>
    </w:p>
    <w:p>
      <w:pPr>
        <w:spacing w:after="0" w:line="189"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We believe that our growth was achieved in part through the effectiveness of our marketing strategy, which uses a variety of marketing channels, tactics and methods to reach a qualified audience. Our diversified strategy includes traditional media advertising in print and direct mail, digital media through online advertising, social media marketing, search engine optimization, email marketing, influencer marketing and content marketing, which involves creating and distributing brand content such as blogs and videos. In addition, our limited use of discount and promotional offers could fail to attract customers, resulting in a decrease in store traffic. If our marketing strategies fail to draw customers in the future, or if the cost of advertising or other marketing materials increases significantly, we could experience declines in our net sales and operating results.</w:t>
      </w:r>
    </w:p>
    <w:p>
      <w:pPr>
        <w:spacing w:after="0" w:line="160"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8"/>
          <w:szCs w:val="18"/>
          <w:color w:val="auto"/>
        </w:rPr>
        <w:t>In addition, there has been a substantial increase in the use of social media platforms by consumers. Negative commentary regarding us or the products we sell may be posted on social media platforms or other electronic means at any time and may be adverse to our reputation or business. Customers value readily available information and often act on such information without further investigation and without regard to its accuracy. Any harm to us or the products we sell may be immediate without allowing us an opportunity for redress or correction.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and Financial Condition</w:t>
      </w:r>
    </w:p>
    <w:p>
      <w:pPr>
        <w:spacing w:after="0" w:line="18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Numerous economic factors, including inflation, our exposure to the U.S. housing industry, and an economic recession or downturn, or a downturn in the U.S. housing industry, could adversely affect us.</w:t>
      </w:r>
    </w:p>
    <w:p>
      <w:pPr>
        <w:spacing w:after="0" w:line="145"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The U.S. and global economy, as well as our business and results of operations, may be negatively impacted by a variety of factors, including inflation, interest rate increases, supply chain and labor disruptions, unemployment rates, banking instability, geopolitical events and uncertainty, such as the Ukraine-Russia conflict and Israel-Hamas war, any U.S. government shutdown, any downgrades in the U.S. government’s sovereign credit rating, public health crises and an economic downturn or recession. In particular, our results of operations are sensitive to changes in macroeconomic conditions that affect consumer spending, including discretionary spending, especially as a substantial portion of the products we offer are products that consumers may view as discretionary items rather than necessities. Difficult macroeconomic conditions also affect our customers’ ability to obtain consumer credit. In recent years, high inflation has negatively impacted consumer confidence and discretionary spending; in addition, the U.S. Federal Reserve raised interest rates several times in response to concerns about such inflation. The impact of inflation and increased interest rates on various areas of our business, including labor and product costs and interest expenses, has negatively impacted our business, financial condition and results of operations, and while we have worked to mitigate such impacts, including increasing our prices, we may not be able to mitigate any future impacts of inflation or high interest rates. In addition, while inflation has recently slowed and further interest rate increases are currently not anticipated, economic uncertainty and the potential for an economic recession remains. We are unable to predict any future trends in the rate of inflation and interest rates, and if (and to the extent that) we are unable to recover higher costs in the event of future increases in inflation or interest rates, such increases could adversely affect our business, financial condition or results of operations. As global economic conditions continue to be volatile and economic uncertainty remains, trends in consumer discretionary spending also remain unpredictable and such spending may decrease due to credit constraints and uncertainties about the future. Other factors, including consumer confidence, employment levels, interest rates, tax rates, consumer debt levels, and fuel and energy costs, could reduce consumer spending or change consumer purchasing habits. Accordingly, slowdowns in the U.S. or global economy, including the possibility of recession, or an uncertain economic outlook, could materially adversely affect consumer spending habits and could have a material adverse effect on our financial results, business, and prospects.</w:t>
      </w:r>
    </w:p>
    <w:p>
      <w:pPr>
        <w:spacing w:after="0" w:line="168"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Furthermore, we believe that our tile sales are affected by the strength of the U.S. housing industry, and downturns in the U.S. housing industry could have a material adverse effect on our financial results, business, and prospects. The housing industry depends on a number of factors that are beyond our control, including interest rates, inflation, tax policy, trade policy, employment levels, consumer confidence, credit availability, real estate prices, home-price appreciation, existing home sales, demographic trends, weather conditions, natural disasters and general economic conditions. Any one or a combination of these factors could result in decreased demand for our products, reduce spending on homebuilding or remodeling of existing homes or cause purchases of new and existing homes to decline, which could adversely affect our business, financial condition, and operating results.</w:t>
      </w:r>
    </w:p>
    <w:p>
      <w:pPr>
        <w:spacing w:after="0" w:line="1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comparable store sales fluctuate due to a variety of economic, operating, industry and environmental factors and may not be a fair indicator of our overall performance.</w:t>
      </w:r>
    </w:p>
    <w:p>
      <w:pPr>
        <w:spacing w:after="0" w:line="145"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18"/>
          <w:szCs w:val="18"/>
          <w:color w:val="auto"/>
        </w:rPr>
        <w:t>Our comparable store sales have experienced fluctuations, which can be expected to continue. Numerous factors affect our comparable store sales results, including, among others, the timing of new and relocated store openings, the relative proportion of new</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5"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8"/>
          <w:szCs w:val="18"/>
          <w:color w:val="auto"/>
        </w:rPr>
        <w:t>and relocated stores to mature stores, cannibalization resulting from the opening of new stores in existing markets, changes in advertising and other operating costs, the timing and level of markdowns, changes in our product mix, weather conditions, which may be exacerbated by the effects of climate change, retail trends, the retail sales environment, economic and geopolitical conditions, inflation, the impact of competition, and our ability to execute our business strategy. As a result, comparable store sales or operating results may fluctuate and may cause the price of our securities to fluctuate significantly. Therefore, we believe that period-to-period comparisons of our comparable store sales may not be a reliable indicator of our future overall operating performance.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customers are unable to obtain third-party financing at satisfactory rates, sales of our products could be materially adversely affected.</w:t>
      </w:r>
    </w:p>
    <w:p>
      <w:pPr>
        <w:spacing w:after="0" w:line="175"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have been, and may continue to be, affected by various economic factors. Reduced access to credit may adversely affect the ability of consumers to purchase our products. This potential reduction in access to credit may adversely impact our ability to offer customers credit card financing through third-party credit providers on terms similar to those offered currently, or at all. In addition, economic conditions, including decreases in access to credit, may result in financial difficulties, leading to restructuring, bankruptcies, liquidations and other unfavorable events for our customers, which may adversely impact our industry, business, and results of operations.</w:t>
      </w:r>
    </w:p>
    <w:p>
      <w:pPr>
        <w:spacing w:after="0" w:line="15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burden of incurring debt under our existing credit facility could adversely affect us and make us more vulnerable to adverse economic or industry conditions.</w:t>
      </w:r>
    </w:p>
    <w:p>
      <w:pPr>
        <w:spacing w:after="0" w:line="145"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18"/>
          <w:szCs w:val="18"/>
          <w:color w:val="auto"/>
        </w:rPr>
        <w:t>We entered into a revolving credit facility with JPMorgan Chase Bank, N.A. on September 30, 2022. As of December 31, 2023, we had fully repaid the balance that was previously outstanding on our revolving line of credit and had $73.6 million available for future borrowings. The terms of our credit facility could have serious consequences for us, including limiting our ability to obtain additional financing to fund our working capital, capital expenditures, debt service requirements, expansion strategy, or other needs and increasing our vulnerability to, and reducing our flexibility in planning for, adverse changes in economic, industry, and competitive conditions. Our credit facility also contains negative covenants that limit our ability to engage in specified types of transactions, including, among other things, our ability to dispose of assets, engage in acquisitions or mergers, make distributions on or repurchases of capital stock, incur additional debt, incur liens or make investments. A breach of any of these covenants could result in an event of default under our credit facility, which would allow the lender to declare all amounts outstanding to be immediately due and payable and terminate all commitments to extend further credit or seek amendments to our debt agreements that would provide for terms more favorable to our lenders, which we may have to accept under the circumstances. If we are unable to repay any amounts due, our lenders under our credit facility could proceed against the collateral granted to it to secure that indebtedness. In addition, any future increase in the level of our indebtedness will likely increase our interest expense, which could negatively impact our profitability, and we are vulnerable to changes in variable interest rates. For instance, our interest expense increased during 2023 compared to 2022 due to an increase in both average borrowings outstanding and interest rates.</w:t>
      </w:r>
    </w:p>
    <w:p>
      <w:pPr>
        <w:spacing w:after="0" w:line="142"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renew or replace current store leases, if we are unable to enter into leases for additional stores on favorable terms, or if one or more of our current leases is terminated prior to expiration of its stated term and we cannot find suitable alternate store locations, our growth and profitability could be negatively impacted.</w:t>
      </w:r>
    </w:p>
    <w:p>
      <w:pPr>
        <w:spacing w:after="0" w:line="153"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We currently lease all of our store locations and certain distribution center locations. Many of our current leases provide us with the unilateral option to renew for several additional rental periods at specific rental rates. Our ability to renegotiate favorable terms on an expiring lease or to negotiate favorable terms for a suitable alternate location, and our ability to negotiate favorable lease terms for additional store locations, could depend on conditions in the real estate market, competition for desirable properties, our relationships with current and prospective landlords, or other factors that are not within our control. Any or all of these factors and conditions could negatively impact our growth and profitability.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may be adversely affected by fluctuations in material and energy costs.</w:t>
      </w:r>
    </w:p>
    <w:p>
      <w:pPr>
        <w:spacing w:after="0" w:line="189" w:lineRule="exact"/>
        <w:rPr>
          <w:sz w:val="20"/>
          <w:szCs w:val="20"/>
          <w:color w:val="auto"/>
        </w:rPr>
      </w:pPr>
    </w:p>
    <w:p>
      <w:pPr>
        <w:ind w:right="280"/>
        <w:spacing w:after="0" w:line="226" w:lineRule="auto"/>
        <w:rPr>
          <w:sz w:val="20"/>
          <w:szCs w:val="20"/>
          <w:color w:val="auto"/>
        </w:rPr>
      </w:pPr>
      <w:r>
        <w:rPr>
          <w:rFonts w:ascii="Times New Roman" w:cs="Times New Roman" w:eastAsia="Times New Roman" w:hAnsi="Times New Roman"/>
          <w:sz w:val="18"/>
          <w:szCs w:val="18"/>
          <w:color w:val="auto"/>
        </w:rPr>
        <w:t>Our results have been, and may continue to be, affected by the prices of the materials used in the manufacture of tile, setting and maintenance materials, and related accessories that we sell; for instance, during 2022, cost increases relating to sourcing our products were greater than the price increases we implemented, resulting in a decrease in gross margin from 2021. In 2023, inflationary cost pressures that resulted in gross margin contraction started to taper due in part to a decrease in international freight rates and steps taken to identify alternative sources of supply. Costs associated with sourcing the products we sell may fluctuate based on a number of factors beyond our control, including: oil prices, changes in supply and demand, general economic conditions, supply chain disruptions, labor costs, including those resulting from labor shortages, competition, import duties, tariffs, currency exchange rates, inflation, geopolitical conditions such as the Russia-Ukraine and Israel-Hamas conflicts and any related sanctions imposed by the U.S. and other countries, and government regulation. For instance, many of our vendors have implemented price increases in response to inflationary cost pressures, which, combined with escalated international shipping rates, have resulted in an increase in the cost of our inventory and corresponding pressure on our gross margin rates. While we seek to manage price and availability risks related to supplies through procurement strategies, these efforts may not be successful, and we may continue to experience adverse impacts due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5" w:lineRule="exact"/>
        <w:rPr>
          <w:sz w:val="20"/>
          <w:szCs w:val="20"/>
          <w:color w:val="auto"/>
        </w:rPr>
      </w:pPr>
    </w:p>
    <w:p>
      <w:pPr>
        <w:ind w:right="320"/>
        <w:spacing w:after="0" w:line="236" w:lineRule="auto"/>
        <w:rPr>
          <w:sz w:val="20"/>
          <w:szCs w:val="20"/>
          <w:color w:val="auto"/>
        </w:rPr>
      </w:pPr>
      <w:r>
        <w:rPr>
          <w:rFonts w:ascii="Times New Roman" w:cs="Times New Roman" w:eastAsia="Times New Roman" w:hAnsi="Times New Roman"/>
          <w:sz w:val="18"/>
          <w:szCs w:val="18"/>
          <w:color w:val="auto"/>
        </w:rPr>
        <w:t>to rising prices of such products. In addition, energy costs have fluctuated dramatically in the past and may continue to do so in the future. These fluctuations may result in an increase in our transportation costs for distribution from the manufacturer to our distribution centers and from our regional distribution centers to our stores, utility costs for our distribution and manufacturing centers and stores, and overall costs to purchase products from our suppliers.</w:t>
      </w:r>
    </w:p>
    <w:p>
      <w:pPr>
        <w:spacing w:after="0" w:line="158"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While we have adjusted, and plan to continue to adjust, our pricing as a result of the cost pressures described above, we may not be able to adjust the prices of our products, especially in the short-term, to recover any cost increases in materials and energy. A continual rise in material and energy costs could also adversely affect consumer spending and demand for our products and increase our operating costs, both of which could have a material adverse effect on our financial condition and results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disasters, changes in climate, geopolitical and other catastrophic events could adversely affect our operating results.</w:t>
      </w:r>
    </w:p>
    <w:p>
      <w:pPr>
        <w:spacing w:after="0" w:line="175"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8"/>
          <w:szCs w:val="18"/>
          <w:color w:val="auto"/>
        </w:rPr>
        <w:t>The threat or occurrence of one or more natural disasters or other extreme weather events, the nature, frequency and severity of which may be negatively impacted by climate change, and the threat or outbreak of terrorism such as attacks on cargo ships in the Suez Canal, civil unrest, banking instability, political instability, such as rising tensions between China and Taiwan, the Russia-Ukraine conflict, the Israel-Hamas war, a public health crisis, or other hostilities, conflicts or similar adverse events could materially adversely affect our financial performance. Such events have in the past, and may in the future, disrupt supply chains, resulting in increased costs and shipping delays, increase costs of energy and raw materials, and result in damage to, or destruction or closure of, our stores, distribution centers and other properties or those of our suppliers, customers and other business partners, as well as injuries or loss of life. For example, drought conditions have lowered the water levels of the Panama Canal, negatively impacting traffic and leading to shipping delays and additional costs. Such events can also adversely affect our work force and prevent employees and customers from reaching our stores and other properties, can modify consumer purchasing patterns and decrease disposable income, and can disrupt or disable portions of our supply chain and distribution network. Although preventative measures may help to mitigate damage, we cannot provide any assurance that any measures we may take will be successful, and delays in recovery may be significant. In addition, the insurance we maintain may not be adequate to cover our losses resulting from any business interruption, including those resulting from a natural disaster or other severe weather event, and recurring extreme weather events or other adverse events could reduce the availability or increase the cost of insurance.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 with no business operations of our own and depend on cash flow from The Tile Shop to meet our obligations.</w:t>
      </w:r>
    </w:p>
    <w:p>
      <w:pPr>
        <w:spacing w:after="0" w:line="189"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We are a holding company with no business operations of our own or material assets other than the equity of our subsidiaries. All of our operations are conducted by our subsidiaries, including The Tile Shop. As a holding company, we will require dividends and other payments from our subsidiaries to meet cash requirements. The terms of any future credit facility may restrict our subsidiaries from paying dividends and otherwise transferring cash or other assets to us, although our current facility does not restrict this action. If there is an insolvency, liquidation, or other reorganization of any of our subsidiaries, our stockholders likely will have no right to proceed against their assets. Creditors of those subsidiaries will be entitled to payment in full from the sale or other disposal of the assets of those subsidiaries before we, as an equity holder, would be entitled to receive any distribution from that sale or disposal. If The Tile Shop is unable to pay dividends or make other payments to us when needed, we will be unable to satisfy our obligations.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or inability to protect our intellectual property rights could diminish the value of our brand and weaken our competitive position.</w:t>
      </w:r>
    </w:p>
    <w:p>
      <w:pPr>
        <w:spacing w:after="0" w:line="189"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8"/>
          <w:szCs w:val="18"/>
          <w:color w:val="auto"/>
        </w:rPr>
        <w:t>We attempt to protect our intellectual property rights through a combination of copyright, patent, trademark, trade secret, trade dress and unfair competition laws, as well as confidentiality procedures, and assignment and licensing arrangements. Our failure to obtain or maintain adequate protection of our intellectual property rights for any reason could have a material adverse effect on our business, results of operations and financial condition, and might prevent our brands from achieving or maintaining market acceptance. Further, we cannot assure you that competitors or other third parties will not infringe upon our intellectual property rights, or that we will have adequate resources to enforce our intellectual property rights.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effects of climate change may adversely impact our business.</w:t>
      </w:r>
    </w:p>
    <w:p>
      <w:pPr>
        <w:spacing w:after="0" w:line="189"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Rising global average temperatures due to increased concentrations of carbon dioxide and other greenhouse gases in the atmosphere are causing significant changes in weather patterns around the globe and an increase in the frequency and severity of natural disasters. Changes in weather patterns and the increased frequency, intensity and duration of extreme weather events (such as floods, droughts, wildfires and severe storms) could, among other things, adversely impact the ability to extract natural stones from quarries, which is a key resource for a number of our products, disrupt the operation of our supply chain and the productivity of manufacturers on which we rely, disrupt retail operations and foot traffic in consumer markets, damage or destroy our stores, and increase our product costs. In addition, the impacts of climate change on global water resources may result in water scarcity, which could in the future impact our ability, and the ability of our suppliers, particularly those involved in quarrying activities, to access sufficient quantities of water in</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5" w:lineRule="exact"/>
        <w:rPr>
          <w:sz w:val="20"/>
          <w:szCs w:val="20"/>
          <w:color w:val="auto"/>
        </w:rPr>
      </w:pPr>
    </w:p>
    <w:p>
      <w:pPr>
        <w:ind w:right="560"/>
        <w:spacing w:after="0" w:line="250" w:lineRule="auto"/>
        <w:rPr>
          <w:sz w:val="20"/>
          <w:szCs w:val="20"/>
          <w:color w:val="auto"/>
        </w:rPr>
      </w:pPr>
      <w:r>
        <w:rPr>
          <w:rFonts w:ascii="Times New Roman" w:cs="Times New Roman" w:eastAsia="Times New Roman" w:hAnsi="Times New Roman"/>
          <w:sz w:val="18"/>
          <w:szCs w:val="18"/>
          <w:color w:val="auto"/>
        </w:rPr>
        <w:t>certain locations and result in increased costs, as well as potentially causing supply chain delays, such as the drought causing low water levels in the Panama Canal.</w:t>
      </w:r>
    </w:p>
    <w:p>
      <w:pPr>
        <w:spacing w:after="0" w:line="149"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color w:val="auto"/>
        </w:rPr>
        <w:t>Further, the long-term impacts of climate change, including transition risks such as regulatory and technology changes, are expected to be widespread and unpredictable. For example, while a number of governmental bodies have introduced or are contemplating legislative or regulatory changes in response to climate change, including regulating greenhouse gas emissions, there continues to be a lack of consistent climate legislation, which creates economic and regulatory uncertainty. There is also an increasing number of state-level anti-ESG (as defined below) initiatives in the United States that may conflict with other regulatory requirements. Any changes could, among other things, affect the availability and cost of our products. We also use fuel and electricity in our operations, which could face increased regulation and cost increases as a result of climate change and other environmental concerns. These changes and their impacts could disrupt and adversely affect our operations and could have an adverse effect on our financial performance.</w:t>
      </w:r>
    </w:p>
    <w:p>
      <w:pPr>
        <w:spacing w:after="0" w:line="154"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increasing focus by stakeholders on environmental, social and governance (“ESG”) policies and practices could result in additional costs, and could adversely impact our reputation, consumer perception, employee retention, and willingness of third parties to do business with us.</w:t>
      </w:r>
    </w:p>
    <w:p>
      <w:pPr>
        <w:spacing w:after="0" w:line="145"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There has been increased focus from our stakeholders, including investors, consumers and employees, on our ESG policies and practices, including corporate citizenship and sustainability. Additionally, public interest and legislative pressure related to public companies’ ESG practices continues to grow. If our ESG policies and practices fail to meet regulatory requirements or stakeholders’ evolving expectations and standards for responsible corporate citizenship in areas including environmental stewardship, support for local communities, Board and employee diversity, human capital management, employee health and safety practices, corporate governance and transparency and employing ESG strategies in our operations, our brand, reputation and employee retention may be negatively impacted, and customers and suppliers may be unwilling to do business with us.</w:t>
      </w:r>
    </w:p>
    <w:p>
      <w:pPr>
        <w:spacing w:after="0" w:line="158"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We could also incur additional costs and require additional resources to monitor, report and comply with various ESG practices, as well as any initiatives or goals we may establish or announce, including those related to climate change. If we do establish such initiatives or goals, there can be no assurance that our stakeholders will agree with our strategy or that we will be successful in achieving such initiatives or goals, and we will remain subject to climate change risks regardless. Moreover, we may determine that it is in the best interest of our Company and our stockholders to prioritize other business, social, governance or sustainability investments over the achievement of any such initiatives or goals based on economic, regulatory and social factors, business strategy or pressure from investors, activist groups or other stakeholders. As a result, the effects of climate change and increased focus by stakeholders on ESG matters could have short- and long-term impacts on our business and operations. Inconsistency of legislation and regulations among jurisdictions, including anti-ESG policies or legislation, and expected additional regulations may also affect the costs of compliance with such laws and regulations. Any assessment of the potential impact of future climate change legislation, regulations or industry standards, as well as any international treaties and accords, is uncertain given the wide scope of potential regulatory change where we operate.</w:t>
      </w:r>
    </w:p>
    <w:p>
      <w:pPr>
        <w:spacing w:after="0" w:line="149" w:lineRule="exact"/>
        <w:rPr>
          <w:sz w:val="20"/>
          <w:szCs w:val="20"/>
          <w:color w:val="auto"/>
        </w:rPr>
      </w:pPr>
    </w:p>
    <w:p>
      <w:pPr>
        <w:jc w:val="both"/>
        <w:ind w:right="120"/>
        <w:spacing w:after="0" w:line="242" w:lineRule="auto"/>
        <w:rPr>
          <w:sz w:val="20"/>
          <w:szCs w:val="20"/>
          <w:color w:val="auto"/>
        </w:rPr>
      </w:pPr>
      <w:r>
        <w:rPr>
          <w:rFonts w:ascii="Times New Roman" w:cs="Times New Roman" w:eastAsia="Times New Roman" w:hAnsi="Times New Roman"/>
          <w:sz w:val="18"/>
          <w:szCs w:val="18"/>
          <w:color w:val="auto"/>
        </w:rPr>
        <w:t>If we fail to adopt ESG standards or practices as quickly as stakeholders desire, fail, or are perceived to fail, in our achievement of any initiatives or goals, or fail in fully and accurately reporting our progress on any such initiatives and goals, our reputation, business, financial performance and growth may be adversely impacted. Any such matters, or related corporate citizenship and sustainability matters, could have a material adverse effect on our business.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Labor and Supply Chain</w:t>
      </w:r>
    </w:p>
    <w:p>
      <w:pPr>
        <w:spacing w:after="0" w:line="185" w:lineRule="exact"/>
        <w:rPr>
          <w:sz w:val="20"/>
          <w:szCs w:val="20"/>
          <w:color w:val="auto"/>
        </w:rPr>
      </w:pPr>
    </w:p>
    <w:p>
      <w:pPr>
        <w:ind w:right="7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we fail to identify and maintain relationships with a sufficient number of suppliers, our ability to obtain products that meet our high quality standards at attractive prices could be adversely affected.</w:t>
      </w:r>
    </w:p>
    <w:p>
      <w:pPr>
        <w:spacing w:after="0" w:line="145" w:lineRule="exact"/>
        <w:rPr>
          <w:sz w:val="20"/>
          <w:szCs w:val="20"/>
          <w:color w:val="auto"/>
        </w:rPr>
      </w:pPr>
    </w:p>
    <w:p>
      <w:pPr>
        <w:ind w:right="160"/>
        <w:spacing w:after="0" w:line="229" w:lineRule="auto"/>
        <w:rPr>
          <w:sz w:val="20"/>
          <w:szCs w:val="20"/>
          <w:color w:val="auto"/>
        </w:rPr>
      </w:pPr>
      <w:r>
        <w:rPr>
          <w:rFonts w:ascii="Times New Roman" w:cs="Times New Roman" w:eastAsia="Times New Roman" w:hAnsi="Times New Roman"/>
          <w:sz w:val="18"/>
          <w:szCs w:val="18"/>
          <w:color w:val="auto"/>
        </w:rPr>
        <w:t>We purchase flooring and other products directly from suppliers located around the world. However, we do not have long-term contractual supply agreements with our suppliers that obligate them to supply us with products exclusively or at specified quantities or prices. As a result, our current suppliers may decide to sell products to our competitors and may not continue selling products to us. In order to retain the competitive advantage that we believe results from these relationships, we need to continue to identify, develop and maintain relationships with qualified suppliers that can satisfy our high standards for quality and our requirements for flooring and other products in a timely and efficient manner at attractive prices. The need to develop new relationships will be particularly important as we seek to expand our operations and enhance our product offerings in the future. The loss of one or more of our existing suppliers or our inability to develop relationships with new suppliers could reduce our competitiveness, slow our plans for further expansion, and cause our net sales and operating results to be adversely affected. In addition, any failure to manage our inventory effectively could have a material and adverse effect on our business, financial condition and results of operations. Our sales could be adversely affected when we experience shortages of key items; further, any inability to meet our customers’ product needs could also adversely affect sales of other related products.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We source the products that we stock and sell from approximately 190 domestic and international suppliers. We source a large number of those products from foreign manufacturers, including 51% of our products from a group of ten suppliers located in Asia, Europe and the United States. Our largest supplier accounted for approximately 14% of our total purchases in 2023. We generally take title to these products sourced from foreign suppliers overseas and are responsible for arranging shipment to our distribution centers.</w:t>
      </w:r>
    </w:p>
    <w:p>
      <w:pPr>
        <w:spacing w:after="0" w:line="158"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During 2023, many of our vendors increased their prices in response to inflationary cost pressures, which, combined with escalated international shipping rates, resulted in an increase in the cost of our inventory and corresponding pressure on our gross margin rates. Geopolitical conditions, such as the current Russia-Ukraine and Israel-Hamas conflicts, may lead to additional price increases, shipping delays and affect our ability to maintain adequate inventory levels to satisfy customer demand. For instance, following the war between Israel and Hamas, the Houthi movement launched a number of attacks on marine vessels traversing the Red Sea, which is an important maritime route for international trade. Major shipping companies have announced suspensions of operations following these attacks, which could result in disruptions in our supply chain. In addition, drought conditions have lowered the water levels of the Panama Canal, which could also result in shipping delays and additional costs. In response to this cost pressure, we have adjusted and may continue to adjust our pricing; however, we cannot provide any assurance that our attempts to mitigate the impact of price increases imposed by our vendors will be successful or that customers will continue to purchase our products at adjusted prices.</w:t>
      </w:r>
    </w:p>
    <w:p>
      <w:pPr>
        <w:spacing w:after="0" w:line="159" w:lineRule="exact"/>
        <w:rPr>
          <w:sz w:val="20"/>
          <w:szCs w:val="20"/>
          <w:color w:val="auto"/>
        </w:rPr>
      </w:pPr>
    </w:p>
    <w:p>
      <w:pPr>
        <w:jc w:val="both"/>
        <w:ind w:right="260"/>
        <w:spacing w:after="0" w:line="242" w:lineRule="auto"/>
        <w:rPr>
          <w:sz w:val="20"/>
          <w:szCs w:val="20"/>
          <w:color w:val="auto"/>
        </w:rPr>
      </w:pPr>
      <w:r>
        <w:rPr>
          <w:rFonts w:ascii="Times New Roman" w:cs="Times New Roman" w:eastAsia="Times New Roman" w:hAnsi="Times New Roman"/>
          <w:sz w:val="18"/>
          <w:szCs w:val="18"/>
          <w:color w:val="auto"/>
        </w:rPr>
        <w:t>Other factors that may impact our suppliers, including financial instability among key suppliers, political instability, the impact of public health crises or other catastrophic events, trade restrictions, tariffs, currency exchange rates, inflation and transport capacity and costs, are beyond our control and could negatively impact our business if they seriously disrupt the movement of products through our supply chain or increase the costs of our products.</w:t>
      </w:r>
    </w:p>
    <w:p>
      <w:pPr>
        <w:spacing w:after="0" w:line="153" w:lineRule="exact"/>
        <w:rPr>
          <w:sz w:val="20"/>
          <w:szCs w:val="20"/>
          <w:color w:val="auto"/>
        </w:rPr>
      </w:pPr>
    </w:p>
    <w:p>
      <w:pPr>
        <w:jc w:val="both"/>
        <w:ind w:right="2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reliance on foreign suppliers increases our risk of not obtaining adequate, timely and cost-effective products and other risks involved in foreign operations, including foreign currency translation.</w:t>
      </w:r>
    </w:p>
    <w:p>
      <w:pPr>
        <w:spacing w:after="0" w:line="145" w:lineRule="exact"/>
        <w:rPr>
          <w:sz w:val="20"/>
          <w:szCs w:val="20"/>
          <w:color w:val="auto"/>
        </w:rPr>
      </w:pPr>
    </w:p>
    <w:p>
      <w:pPr>
        <w:ind w:right="140"/>
        <w:spacing w:after="0" w:line="230" w:lineRule="auto"/>
        <w:rPr>
          <w:sz w:val="20"/>
          <w:szCs w:val="20"/>
          <w:color w:val="auto"/>
        </w:rPr>
      </w:pPr>
      <w:r>
        <w:rPr>
          <w:rFonts w:ascii="Times New Roman" w:cs="Times New Roman" w:eastAsia="Times New Roman" w:hAnsi="Times New Roman"/>
          <w:sz w:val="18"/>
          <w:szCs w:val="18"/>
          <w:color w:val="auto"/>
        </w:rPr>
        <w:t>The risks associated with direct sourcing from overseas manufacturers may be higher than the risks associated with our traditional domestic suppliers. Foreign sourcing subjects us to a number of risks, including long lead times; work stoppages; shipping delays and interruptions; product quality issues; employee rights issues; other social concerns; public health crises; political instability; acts of terrorism or war, including the Russia-Ukraine and Israel-Hamas conflicts; economic disruptions; the imposition of tariffs, including those imposed by the United States on goods imported from China and Russia, duties, quotas, import and export controls and other trade restrictions, as well as the possibility of a global trade war; changes in governmental policies, including potential adverse changes in tax laws and regulations; uncertainty surrounding the enforcement of laws (if any) relating to the protection of intellectual property or data security; and other events. Additionally, reductions in the value of the U.S. dollar or revaluation of foreign currencies used, as well as volatile market conditions arising from economic conditions, including the impact of the Russia-Ukraine and Israel-Hamas conflicts, could ultimately increase the prices that we pay for our products. Any of these events could have a material adverse effect on us.</w:t>
      </w:r>
    </w:p>
    <w:p>
      <w:pPr>
        <w:spacing w:after="0" w:line="159"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In addition, all of our products manufactured overseas and imported into the U.S. are subject to duties collected by the U.S. Customs and Border Protection. We may be subjected to additional duties, significant monetary penalties, the seizure and forfeiture of the products we are attempting to import or the loss of import privileges if we or our suppliers are found to be in violation of U.S. laws and regulations applicable to the importation of our products. If duties were to be significantly increased, it could have a material adverse impact on us.</w:t>
      </w:r>
    </w:p>
    <w:p>
      <w:pPr>
        <w:spacing w:after="0" w:line="1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ability to offer compelling products, particularly products made of unique stone, depends on the continued availability of sufficient suitable natural products.</w:t>
      </w:r>
    </w:p>
    <w:p>
      <w:pPr>
        <w:spacing w:after="0" w:line="145"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Our business strategy depends on offering a wide assortment of compelling products to our customers. We sell, among other things, products made from various natural stones from quarries throughout the world. Our ability to obtain an adequate volume and quality of hard-to-find products depends on our suppliers’ ability to furnish those products, which, in turn, could be affected by many things, including the exhaustion of stone quarries or the impact of water scarcity, natural disasters or other extreme weather events, which may be exacerbated by climate change, on the ability to access or efficiently extract resources from such quarries. If our suppliers cannot deliver sufficient products, and we cannot find replacement suppliers, our net sales and operating results may be adversely affected.</w:t>
      </w:r>
    </w:p>
    <w:p>
      <w:pPr>
        <w:spacing w:after="0" w:line="15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success is highly dependent on our ability to provide timely delivery to our customers, and any disruption in our delivery capabilities or our related planning and control processes may adversely affect our operating results.</w:t>
      </w:r>
    </w:p>
    <w:p>
      <w:pPr>
        <w:spacing w:after="0" w:line="145"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18"/>
          <w:szCs w:val="18"/>
          <w:color w:val="auto"/>
        </w:rPr>
        <w:t>Our success is due in part to our ability to deliver products quickly to our customers, which requires successful planning and distribution infrastructure, including ordering, transportation and receipt processing, and the ability of suppliers to meet distribution requirements. Our ability to maintain this success depends on the continued identification and implementation of improvements to our planning processes, distribution infrastructure, and supply chain. We also need to ensure that our distribution infrastructure and supply chain keep pace with our anticipated growth and increased number of stores. The cost of these enhanced processes could be</w:t>
      </w: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5" w:lineRule="exact"/>
        <w:rPr>
          <w:sz w:val="20"/>
          <w:szCs w:val="20"/>
          <w:color w:val="auto"/>
        </w:rPr>
      </w:pPr>
    </w:p>
    <w:p>
      <w:pPr>
        <w:jc w:val="both"/>
        <w:ind w:right="180"/>
        <w:spacing w:after="0" w:line="242" w:lineRule="auto"/>
        <w:rPr>
          <w:sz w:val="20"/>
          <w:szCs w:val="20"/>
          <w:color w:val="auto"/>
        </w:rPr>
      </w:pPr>
      <w:r>
        <w:rPr>
          <w:rFonts w:ascii="Times New Roman" w:cs="Times New Roman" w:eastAsia="Times New Roman" w:hAnsi="Times New Roman"/>
          <w:sz w:val="18"/>
          <w:szCs w:val="18"/>
          <w:color w:val="auto"/>
        </w:rPr>
        <w:t>significant, and any failure to maintain, grow, or improve them could adversely affect our operating results. Our business has been, and could continue to be, adversely affected as a result of delays in product shipments due to freight difficulties, strikes, or other difficulties at our suppliers’ principal transport providers, or otherwise, including as a result of ongoing supply chain disruptions and labor shortages.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a few key employees, and if we lose the services of these employees, we may not be able to run our business effectively.</w:t>
      </w:r>
    </w:p>
    <w:p>
      <w:pPr>
        <w:spacing w:after="0" w:line="189" w:lineRule="exact"/>
        <w:rPr>
          <w:sz w:val="20"/>
          <w:szCs w:val="20"/>
          <w:color w:val="auto"/>
        </w:rPr>
      </w:pPr>
    </w:p>
    <w:p>
      <w:pPr>
        <w:ind w:right="160"/>
        <w:spacing w:after="0" w:line="230" w:lineRule="auto"/>
        <w:rPr>
          <w:sz w:val="20"/>
          <w:szCs w:val="20"/>
          <w:color w:val="auto"/>
        </w:rPr>
      </w:pPr>
      <w:r>
        <w:rPr>
          <w:rFonts w:ascii="Times New Roman" w:cs="Times New Roman" w:eastAsia="Times New Roman" w:hAnsi="Times New Roman"/>
          <w:sz w:val="18"/>
          <w:szCs w:val="18"/>
          <w:color w:val="auto"/>
        </w:rPr>
        <w:t>Our future success depends in part on our ability to attract and retain key executive, merchandising, marketing, and sales personnel who share our values and are able to operate effectively and consistent with our culture. We have had changes in our senior management team over the past few years and have promoted or hired new employees to fill certain roles. Our inability to effectively integrate the newly-hired senior managers into our business processes, controls, systems and culture could have a material adverse effect on us. If any of our key employees cease to be employed by us, we would need to hire additional qualified personnel and could experience difficulties and delays in filling those roles. Our ability to successfully hire other experienced and qualified key employees cannot be assured and may be difficult because we face competition for these professionals from our competitors, our suppliers and other companies operating in our industry. As a result, the loss or unavailability of any of our key employees could have a material adverse effect on us. In addition, ineffective succession planning could result in unexpected costs, reduced productivity and/or difficulties with respect to internal processes and controls.</w:t>
      </w:r>
    </w:p>
    <w:p>
      <w:pPr>
        <w:spacing w:after="0" w:line="155" w:lineRule="exact"/>
        <w:rPr>
          <w:sz w:val="20"/>
          <w:szCs w:val="20"/>
          <w:color w:val="auto"/>
        </w:rPr>
      </w:pPr>
    </w:p>
    <w:p>
      <w:pPr>
        <w:ind w:right="9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we fail to hire, train, and retain qualified store managers, sales associates, and other employees, our enhanced customer service could be compromised and we could lose sales to our competitors.</w:t>
      </w:r>
    </w:p>
    <w:p>
      <w:pPr>
        <w:spacing w:after="0" w:line="145"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8"/>
          <w:szCs w:val="18"/>
          <w:color w:val="auto"/>
        </w:rPr>
        <w:t>A key element of our competitive strategy is to provide product expertise to our customers through our extensively trained, commissioned sales associates. We may be constrained in hiring and retaining sufficient qualified employees to support our strategy due to general labor shortages in our industry. In addition, a lack of qualified personnel or increased turnover rates within our employee base could lead to increased costs, such as increased overtime to meet demand and increased wage rates to attract and retain qualified employees. If we are unable to attract and retain qualified personnel and managers as needed in the future, including qualified sales personnel, our level of customer service may decline, which may decrease our revenues and profitability.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control labor costs is limited, which may negatively affect our business.</w:t>
      </w:r>
    </w:p>
    <w:p>
      <w:pPr>
        <w:spacing w:after="0" w:line="175"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Our ability to control labor costs is subject to numerous external factors, including prevailing wage rates, inflationary pressures, the impact of legislation or regulations governing healthcare benefits or labor relations, and health and other insurance costs. If our labor and/or benefit costs increase, we may not be able to hire or maintain qualified personnel to the extent necessary to execute our competitive strategy, which could adversely affect our results of operations.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coverage and self-insurance reserves may not cover future claims.</w:t>
      </w:r>
    </w:p>
    <w:p>
      <w:pPr>
        <w:spacing w:after="0" w:line="189" w:lineRule="exact"/>
        <w:rPr>
          <w:sz w:val="20"/>
          <w:szCs w:val="20"/>
          <w:color w:val="auto"/>
        </w:rPr>
      </w:pPr>
    </w:p>
    <w:p>
      <w:pPr>
        <w:jc w:val="both"/>
        <w:ind w:right="340"/>
        <w:spacing w:after="0" w:line="242" w:lineRule="auto"/>
        <w:rPr>
          <w:sz w:val="20"/>
          <w:szCs w:val="20"/>
          <w:color w:val="auto"/>
        </w:rPr>
      </w:pPr>
      <w:r>
        <w:rPr>
          <w:rFonts w:ascii="Times New Roman" w:cs="Times New Roman" w:eastAsia="Times New Roman" w:hAnsi="Times New Roman"/>
          <w:sz w:val="18"/>
          <w:szCs w:val="18"/>
          <w:color w:val="auto"/>
        </w:rPr>
        <w:t>We maintain various insurance policies for employee health and workers’ compensation. We are self-insured on certain health insurance plans and are responsible for losses up to a certain limit for these respective plans. We are also self-insured with regard to workers’ compensation coverage, in which case we are responsible for losses up to certain retention limits on both a per-claim and aggregate basis.</w:t>
      </w:r>
    </w:p>
    <w:p>
      <w:pPr>
        <w:spacing w:after="0" w:line="157"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For policies under which we are responsible for losses, we record a liability that represents our estimated cost of claims incurred and unpaid as of the balance sheet date. Our estimated liability is not discounted and is based on a number of assumptions and factors, including historical trends and economic conditions, and is closely monitored and adjusted when warranted by changing circumstances. Fluctuating healthcare costs, our significant growth rate and changes from our past experience with workers’ compensation claims could affect the accuracy of estimates based on historical experience. Should a greater amount of claims occur compared to what was estimated or employee health insurance costs increase beyond what was expected, our accrued liabilities might not be sufficient, and we may be required to record additional expense. Unanticipated changes may produce materially different amounts of expense than that reported under these programs, which could adversely impact our operating results.</w:t>
      </w:r>
    </w:p>
    <w:p>
      <w:pPr>
        <w:spacing w:after="0" w:line="158"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We also maintain third-party insurance coverage against various other liability risks and risks of property loss, including directors’ and officers’ liability insurance coverage. Potential liabilities associated with those risks or other events could exceed the coverage provided by such arrangements, resulting in significant uninsured liabilities, which could have a material and adverse effect on our business, financial condition and results of operations. In addition, claims brought against us have resulted in, and additional claims could further result in, increased directors’ and officers’ insurance premiums and a reduction in coverage, which could negatively affect us, including by increasing our insurance costs and impacting our ability to attract and retain qualified officers and directors.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laws or changes in existing or new laws and regulations or regulatory enforcement priorities could adversely affect our business.</w:t>
      </w:r>
    </w:p>
    <w:p>
      <w:pPr>
        <w:spacing w:after="0" w:line="189"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18"/>
          <w:szCs w:val="18"/>
          <w:color w:val="auto"/>
        </w:rPr>
        <w:t>We must comply with various laws and regulations at the local, regional, state, federal, and international levels. These laws and regulations change frequently, and such changes can impose significant costs and other burdens of compliance on our business and suppliers. Any changes in regulations, the imposition of additional regulations, or the enactment of any new legislation that affects employment/labor, trade, product safety, transportation/logistics, energy costs, health care, tax, environmental issues, including the impact of climate change, or compliance with the Foreign Corrupt Practices Act could have an adverse impact on our financial condition and results of operations. In addition, changes in enforcement priorities by governmental agencies charged with enforcing existing laws and regulations could increase our cost of doing business. The evolving and at times overlapping regulatory regimes to which the Company is subject may change at any time, including as a result of changes in the U.S. political environment. In addition, a number of legal and regulatory measures and social initiatives have been introduced in an effort to reduce greenhouse gas and other carbon emissions. Any such initiatives, restrictions and requirements could restrict, or require us to make changes to, our operating activities, which could increase our operating costs, require us to make capital improvements to our properties, increase our energy, supply and transportation costs or limit their availability, or otherwise adversely affect our results of operations, liquidity or capital resources, and these effects could be material to us.</w:t>
      </w:r>
    </w:p>
    <w:p>
      <w:pPr>
        <w:spacing w:after="0" w:line="150" w:lineRule="exact"/>
        <w:rPr>
          <w:sz w:val="20"/>
          <w:szCs w:val="20"/>
          <w:color w:val="auto"/>
        </w:rPr>
      </w:pPr>
    </w:p>
    <w:p>
      <w:pPr>
        <w:ind w:right="220"/>
        <w:spacing w:after="0" w:line="242" w:lineRule="auto"/>
        <w:rPr>
          <w:sz w:val="20"/>
          <w:szCs w:val="20"/>
          <w:color w:val="auto"/>
        </w:rPr>
      </w:pPr>
      <w:r>
        <w:rPr>
          <w:rFonts w:ascii="Times New Roman" w:cs="Times New Roman" w:eastAsia="Times New Roman" w:hAnsi="Times New Roman"/>
          <w:sz w:val="18"/>
          <w:szCs w:val="18"/>
          <w:color w:val="auto"/>
        </w:rPr>
        <w:t>We may also be subject to audits by various taxing authorities. Changes in tax laws in any of the multiple jurisdictions in which we operate, or adverse outcomes from tax audits that we may be subject to in any of the jurisdictions in which we operate, could result in an unfavorable change in our effective tax rate, which could have an adverse effect on our business and results of operations.</w:t>
      </w:r>
    </w:p>
    <w:p>
      <w:pPr>
        <w:spacing w:after="0" w:line="15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Any failure to maintain effective internal control over financial reporting and disclosure controls and procedures could have a material adverse effect on our business.</w:t>
      </w:r>
    </w:p>
    <w:p>
      <w:pPr>
        <w:spacing w:after="0" w:line="145"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8"/>
          <w:szCs w:val="18"/>
          <w:color w:val="auto"/>
        </w:rPr>
        <w:t>We are required to maintain internal control over financial reporting and disclosure controls and procedures in order to provide reasonable assurance regarding the reliability of financial reporting and the preparation of our consolidated financial statements for external purposes in accordance with GAAP (as defined below). We, along with our independent registered public accounting firm, have identified material weaknesses in our internal control over financial reporting that pertain to our information technology general controls and our accounting for leases.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The material weaknesses could adversely impact our ability to record, process and report financial information accurately, and to prepare financial statements within the time periods specified by the rules and forms of the SEC. While we continue to take meaningful steps to enhance our disclosure controls and procedures and our internal control over financial reporting by strengthening our financial reporting and accounting functions, we cannot provide any assurance that we will be able to maintain adequate controls over our financial processes and reporting in the future or that we will not identify additional significant deficiencies and material weaknesses in our internal control over financial reporting in the future. Any failure of our internal controls could result in material misstatements in our consolidated financial statements, significant deficiencies, material weaknesses, costs, failure to timely meet our periodic reporting obligations and erosion of investor confidence. Such failure could also negatively affect the market price and trading liquidity of our common stock, subject us to civil and criminal investigations and penalties and could have a material adverse effect on our business, financial condition, results of operations or cash flow.</w:t>
      </w:r>
    </w:p>
    <w:p>
      <w:pPr>
        <w:spacing w:after="0" w:line="15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our suppliers do not use ethical business practices or comply with applicable laws and regulations, our reputation could be harmed due to negative publicity and we could be subject to legal risk.</w:t>
      </w:r>
    </w:p>
    <w:p>
      <w:pPr>
        <w:spacing w:after="0" w:line="145"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18"/>
          <w:szCs w:val="18"/>
          <w:color w:val="auto"/>
        </w:rPr>
        <w:t>We do not control the operations of our suppliers. Accordingly, we cannot guarantee that our suppliers will comply with applicable environmental, labor, anti-corruption and other laws and regulations or operate in a legal, ethical, and responsible manner. Violation of environmental, labor, anti-corruption or other laws by our suppliers or their failure to operate in a legal, ethical, or responsible manner could reduce demand for our products if, as a result of such violation or failure, we attract negative publicity. Further, such conduct could expose us to legal risks as a result of the purchase of products from non-compliant suppliers.</w:t>
      </w:r>
    </w:p>
    <w:p>
      <w:pPr>
        <w:spacing w:after="0" w:line="171" w:lineRule="exact"/>
        <w:rPr>
          <w:sz w:val="20"/>
          <w:szCs w:val="20"/>
          <w:color w:val="auto"/>
        </w:rPr>
      </w:pPr>
    </w:p>
    <w:p>
      <w:pPr>
        <w:ind w:right="88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Taxing authorities may successfully assert that we should have collected or in the future should collect sales and use, value added or similar transactional taxes, and we could be subject to liability with respect to past or future sales, which could adversely affect our results of operations.</w:t>
      </w:r>
    </w:p>
    <w:p>
      <w:pPr>
        <w:spacing w:after="0" w:line="153"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 xml:space="preserve">The application of sales tax and other indirect taxes on cross border sales by remote sellers is continuing to change and evolve. In June 2018, the U.S. Supreme Court decided, in </w:t>
      </w:r>
      <w:r>
        <w:rPr>
          <w:rFonts w:ascii="Times New Roman" w:cs="Times New Roman" w:eastAsia="Times New Roman" w:hAnsi="Times New Roman"/>
          <w:sz w:val="18"/>
          <w:szCs w:val="18"/>
          <w:i w:val="1"/>
          <w:iCs w:val="1"/>
          <w:color w:val="auto"/>
        </w:rPr>
        <w:t>South Dakota v. Wayfair, Inc.</w:t>
      </w:r>
      <w:r>
        <w:rPr>
          <w:rFonts w:ascii="Times New Roman" w:cs="Times New Roman" w:eastAsia="Times New Roman" w:hAnsi="Times New Roman"/>
          <w:sz w:val="18"/>
          <w:szCs w:val="18"/>
          <w:color w:val="auto"/>
        </w:rPr>
        <w:t>, that state and local jurisdictions may, at least in certain circumstances, enforce a sales and use tax collection obligation on remote vendors that have no physical presence in such jurisdiction. All states have now enacted legislation to require sales and use tax collection by remote vendors and by online marketplaces. The details and effective dates of these collection requirements vary from state to state. While we now collect, remit, and report sales tax in</w:t>
      </w: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5" w:lineRule="exact"/>
        <w:rPr>
          <w:sz w:val="20"/>
          <w:szCs w:val="20"/>
          <w:color w:val="auto"/>
        </w:rPr>
      </w:pPr>
    </w:p>
    <w:p>
      <w:pPr>
        <w:jc w:val="both"/>
        <w:ind w:right="180"/>
        <w:spacing w:after="0" w:line="242" w:lineRule="auto"/>
        <w:rPr>
          <w:sz w:val="20"/>
          <w:szCs w:val="20"/>
          <w:color w:val="auto"/>
        </w:rPr>
      </w:pPr>
      <w:r>
        <w:rPr>
          <w:rFonts w:ascii="Times New Roman" w:cs="Times New Roman" w:eastAsia="Times New Roman" w:hAnsi="Times New Roman"/>
          <w:sz w:val="18"/>
          <w:szCs w:val="18"/>
          <w:color w:val="auto"/>
        </w:rPr>
        <w:t>all states that impose a sales tax, it is possible that one or more jurisdictions may assert that we have liability for previous periods for which certain of our businesses did not collect sales, use or other similar taxes, and if such an assertion or assertions were successful, it could result in tax liabilities, including for past sales taxes and penalties and interest, which could materially adversely affect our business, financial condition and operating results.</w:t>
      </w:r>
    </w:p>
    <w:p>
      <w:pPr>
        <w:spacing w:after="0" w:line="139"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legal proceedings and, while we cannot predict the outcomes of such proceedings and other contingencies with certainty, some of these outcomes could adversely affect our business, financial condition and results of operations.</w:t>
      </w:r>
    </w:p>
    <w:p>
      <w:pPr>
        <w:spacing w:after="0" w:line="131"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18"/>
          <w:szCs w:val="18"/>
          <w:color w:val="auto"/>
        </w:rPr>
        <w:t>We have in the past, and may in the future, become involved in stockholder, consumer, employment, tort or other litigation. We cannot predict with certainty the outcomes of these legal proceedings. The outcome of some of these legal proceedings could require us to take, or refrain from taking, actions which could negatively affect our operations or could require us to pay substantial amounts of money, adversely affecting our financial condition and results of operations. Additionally, defending against lawsuits and proceedings may involve significant expense and diversion of management’s attention and resources.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Technology-Related Risks</w:t>
      </w:r>
    </w:p>
    <w:p>
      <w:pPr>
        <w:spacing w:after="0" w:line="185" w:lineRule="exact"/>
        <w:rPr>
          <w:sz w:val="20"/>
          <w:szCs w:val="20"/>
          <w:color w:val="auto"/>
        </w:rPr>
      </w:pPr>
    </w:p>
    <w:p>
      <w:pPr>
        <w:ind w:right="9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could be disrupted if we are unable to protect the integrity and security of our customer and other personal and/or confidential information.</w:t>
      </w:r>
    </w:p>
    <w:p>
      <w:pPr>
        <w:spacing w:after="0" w:line="145"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8"/>
          <w:szCs w:val="18"/>
          <w:color w:val="auto"/>
        </w:rPr>
        <w:t>Like all businesses, we face cybersecurity threats, as we are reliant upon information systems and the Internet to conduct our business activities. For example, in connection with payment card sales and other transactions, including bank cards, debit cards, credit cards and other merchant cards, we process and transmit confidential banking and payment card information. Additionally, as part of our normal business activities, we collect and store sensitive personal information related to our employees, customers, suppliers and other parties. Despite our security measures, our information technology and infrastructure, and that of third parties upon which we rely, may be vulnerable to criminal cyber-attacks or security incidents due to employee or service provider error, third-party action, including actions of foreign actors, which risk may be exacerbated by the current Russia-Ukraine and Israel-Hamas conflicts and U.S. and international response, insider attacks, phishing or denial-of-service attacks, ransomware or other malware, social engineering, malfeasance, other unauthorized physical or electronic access, or other vulnerabilities. Any such incidents could compromise our networks, or those of our vendors, or disrupt our or our vendors’ critical systems, and the information stored there, such as personally identifiable information or funds, could be accessed, publicly disclosed, lost, corrupted or stolen. Third parties may have the technology and know -how to breach the security of this information, and our security measures and those of our banks, merchant card processing and other technology suppliers may not effectively prohibit others from obtaining improper access to this information. The techniques used by criminals to obtain unauthorized access to sensitive data continue to evolve and become more sophisticated and often are not recognized until launched against a target; accordingly, we may be unable to anticipate these techniques or implement adequate preventative measures, and future cyber-attacks could go undetected and persist for an extended period of time. Furthermore, to the extent artificial intelligence capabilities improve and are increasingly adopted, they may be used to identify vulnerabilities and craft increasingly sophisticated cybersecurity attacks, and vulnerabilities may be introduced from the use of artificial intelligence by us, our financial services providers and other vendors and third-party providers.</w:t>
      </w:r>
    </w:p>
    <w:p>
      <w:pPr>
        <w:spacing w:after="0" w:line="168"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Our vendors and others to whom we entrust confidential data, and on whom we rely to provide products and services, face similar threats and growing requirements. We depend on such parties to implement adequate controls and safeguards to protect against and report cyber incidents. If such parties fail to deter, detect or report cyber incidents in a timely manner, we may suffer from financial and other harm, including to our information, operations, performance, employees and reputation.</w:t>
      </w:r>
    </w:p>
    <w:p>
      <w:pPr>
        <w:spacing w:after="0" w:line="158"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We also incur costs in order to comply with cybersecurity or data privacy regulations or with requirements imposed by business partners. Data privacy and cybersecurity laws in the United States and internationally are constantly changing, and the implementation of these laws has become more complex. In order to comply with current or newly enacted laws, we may be subject to increased costs as a result of continually evaluating our policies and processes and adapting to new requirements that are or become applicable to us. For instance, many states have enacted laws requiring companies to notify individuals of data security breaches involving their personal data. These mandatory disclosures regarding a security breach often lead to widespread negative publicity, which may cause our customers to lose confidence in the effectiveness of our data security measures. Any security breach, whether successful or not, would harm our reputation and could damage our competitive position and cause the loss of customers. In addition, any such breach, or any material failure on our part to comply with applicable laws, could subject us to litigation, government investigation or enforcement actions or other regulatory sanctions, regulatory penalties or fines, or costly response measures. Any such occurrence could have a material adverse effect on us. While we carry cyber insurance, we cannot be certain that our coverage will be adequate for liabilities actually incurred, that insurance will continue to be available to us on economically reasonable terms, or at all, or that any insurer will not deny coverage as to any future claim.</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management information systems experience disruptions, it could disrupt our business and reduce our net sales.</w:t>
      </w:r>
    </w:p>
    <w:p>
      <w:pPr>
        <w:spacing w:after="0" w:line="189"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color w:val="auto"/>
        </w:rPr>
        <w:t>We depend on our management information systems to integrate the activities of our stores, to process orders, to manage inventory, to purchase merchandise and to sell and ship goods on a timely basis. We may experience operational problems with our information systems, as well as loss of funds, intellectual property or other proprietary information, as a result of system failures, viruses, computer “hackers” or other causes. We may incur significant expenses in order to repair any such operational problems and could suffer reputational damage. Any significant disruption or slowdown of our systems could cause information, including data related to customer orders, to be lost or delayed, which could result in delays in the delivery of products to our stores and customers or lost sales. Accordingly, if our network is disrupted, we may experience delayed communications within our operations and between our customers and ourselves. Any such occurrence could have a material adverse effect on 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selection and implementation of information technology initiatives may impact our operational efficiency and productivity.</w:t>
      </w:r>
    </w:p>
    <w:p>
      <w:pPr>
        <w:spacing w:after="0" w:line="175"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18"/>
          <w:szCs w:val="18"/>
          <w:color w:val="auto"/>
        </w:rPr>
        <w:t>In order to better manage our business, we have invested in, and expect to continue to invest in, our information systems. In doing so, we must select the correct investments and implement them in an efficient manner. The costs, potential problems and interruptions associated with implementing technology initiatives could disrupt or reduce the efficiency of our operations. For instance, we may experience occasional system interruptions and delays, as a result of routine maintenance, periodic updates, implementation of new technology or other factors, that make our information systems unavailable or slow to respond, including the interaction of our information systems with those of third parties. Furthermore, these initiatives might not provide the anticipated benefits or provide them in a delayed or unexpectedly costly manner. Accordingly, issues relating to our selection and implementation of information technology initiatives may negatively impact our business and operating results.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71"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maintain our listing on The Nasdaq Stock Market LLC (“Nasdaq”) and may incur additional costs as a result of our Nasdaq listing.</w:t>
      </w:r>
    </w:p>
    <w:p>
      <w:pPr>
        <w:spacing w:after="0" w:line="131"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8"/>
          <w:szCs w:val="18"/>
          <w:color w:val="auto"/>
        </w:rPr>
        <w:t>Our common stock currently trades on Nasdaq. We cannot provide any assurance that we will be able to continue to satisfy Nasdaq’s continued listing requirements and standards to which we are subject. A delisting of our common stock could negatively affect the price and liquidity of our common stock and could impair our ability to raise capital in the future. In addition, we incur costs as a result of compliance with Nasdaq’s rules and requirements, which could adversely affect our results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securities may decline and/or be volatile.</w:t>
      </w:r>
    </w:p>
    <w:p>
      <w:pPr>
        <w:spacing w:after="0" w:line="175"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has fluctuated significantly in the past and may continue to fluctuate in the future. Future fluctuations could be based on various factors in addition to those otherwise described in this report, including:</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operating performance and the performance of our competitors;</w:t>
      </w:r>
    </w:p>
    <w:p>
      <w:pPr>
        <w:spacing w:after="0" w:line="2" w:lineRule="exact"/>
        <w:rPr>
          <w:sz w:val="20"/>
          <w:szCs w:val="20"/>
          <w:color w:val="auto"/>
        </w:rPr>
      </w:pPr>
    </w:p>
    <w:p>
      <w:pPr>
        <w:ind w:left="660" w:right="3280"/>
        <w:spacing w:after="0" w:line="232" w:lineRule="auto"/>
        <w:rPr>
          <w:sz w:val="20"/>
          <w:szCs w:val="20"/>
          <w:color w:val="auto"/>
        </w:rPr>
      </w:pPr>
      <w:r>
        <w:rPr>
          <w:rFonts w:ascii="Times New Roman" w:cs="Times New Roman" w:eastAsia="Times New Roman" w:hAnsi="Times New Roman"/>
          <w:sz w:val="17"/>
          <w:szCs w:val="17"/>
          <w:color w:val="auto"/>
        </w:rPr>
        <w:t>the public’s reaction to our filings with the SEC, our press releases and other public announcements; the degree of trading liquidity in our common stock, including our ability to remain listed on Nasdaq;</w:t>
      </w:r>
    </w:p>
    <w:p>
      <w:pPr>
        <w:ind w:left="340"/>
        <w:spacing w:after="0" w:line="219" w:lineRule="auto"/>
        <w:rPr>
          <w:sz w:val="20"/>
          <w:szCs w:val="20"/>
          <w:color w:val="auto"/>
        </w:rPr>
      </w:pPr>
      <w:r>
        <w:rPr>
          <w:rFonts w:ascii="Times New Roman" w:cs="Times New Roman" w:eastAsia="Times New Roman" w:hAnsi="Times New Roman"/>
          <w:sz w:val="18"/>
          <w:szCs w:val="18"/>
          <w:color w:val="auto"/>
        </w:rPr>
        <w:t>changes in recommendations or earnings estimates by research analysts who follow us or other companies in our industry;</w:t>
      </w:r>
    </w:p>
    <w:p>
      <w:pPr>
        <w:ind w:left="660" w:right="140"/>
        <w:spacing w:after="0" w:line="219" w:lineRule="auto"/>
        <w:rPr>
          <w:sz w:val="20"/>
          <w:szCs w:val="20"/>
          <w:color w:val="auto"/>
        </w:rPr>
      </w:pPr>
      <w:r>
        <w:rPr>
          <w:rFonts w:ascii="Times New Roman" w:cs="Times New Roman" w:eastAsia="Times New Roman" w:hAnsi="Times New Roman"/>
          <w:sz w:val="18"/>
          <w:szCs w:val="18"/>
          <w:color w:val="auto"/>
        </w:rPr>
        <w:t>variations in general economic conditions, including the impact of inflation, geopolitical conditions and the possibility of an economic recession; actions of our current stockholders, including purchases or sales of common stock by our directors and executive officers;</w:t>
      </w:r>
    </w:p>
    <w:p>
      <w:pPr>
        <w:ind w:left="340"/>
        <w:spacing w:after="0" w:line="219" w:lineRule="auto"/>
        <w:rPr>
          <w:sz w:val="20"/>
          <w:szCs w:val="20"/>
          <w:color w:val="auto"/>
        </w:rPr>
      </w:pPr>
      <w:r>
        <w:rPr>
          <w:rFonts w:ascii="Times New Roman" w:cs="Times New Roman" w:eastAsia="Times New Roman" w:hAnsi="Times New Roman"/>
          <w:sz w:val="18"/>
          <w:szCs w:val="18"/>
          <w:color w:val="auto"/>
        </w:rPr>
        <w:t>the arrival or departure of key personnel; and</w:t>
      </w:r>
    </w:p>
    <w:p>
      <w:pPr>
        <w:ind w:left="340"/>
        <w:spacing w:after="0"/>
        <w:rPr>
          <w:sz w:val="20"/>
          <w:szCs w:val="20"/>
          <w:color w:val="auto"/>
        </w:rPr>
      </w:pPr>
      <w:r>
        <w:rPr>
          <w:rFonts w:ascii="Times New Roman" w:cs="Times New Roman" w:eastAsia="Times New Roman" w:hAnsi="Times New Roman"/>
          <w:sz w:val="18"/>
          <w:szCs w:val="18"/>
          <w:color w:val="auto"/>
        </w:rPr>
        <w:t>other developments affecting us, our industry or our competitors.</w:t>
      </w:r>
    </w:p>
    <w:p>
      <w:pPr>
        <w:spacing w:after="0" w:line="165"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8"/>
          <w:szCs w:val="18"/>
          <w:color w:val="auto"/>
        </w:rPr>
        <w:t>In addition, the stock market may experience significant price and volume fluctuations. These fluctuations may be unrelated to the operating performance of particular companies but may cause declines in the market price of our common stock. The price of our common stock could fluctuate based upon factors that have little or nothing to do with our Company or its performance.</w:t>
      </w:r>
    </w:p>
    <w:p>
      <w:pPr>
        <w:spacing w:after="0" w:line="139"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currently do not pay quarterly dividends or have a stock repurchase program; as such, appreciation in the price of our common stock may be the only method to realize a return on your investment.</w:t>
      </w:r>
    </w:p>
    <w:p>
      <w:pPr>
        <w:spacing w:after="0" w:line="144"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We have, from time to time, paid special dividends and engaged in stock repurchases. Any future determination with respect to the payment of dividends or stock repurchases is at the discretion of our Board and is dependent upon our financial condition, results of operations, capital requirements, general business conditions, tax treatment of dividends and issuer stock repurchases in the United States, potential future contractual restrictions contained in credit agreements and other agreements and other factors deemed relevant by our Board of Directors. We can provide no assurance that we will pay any dividends to our stockholders in the future, or as to the</w:t>
      </w: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5"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amount of any such dividends, or that we will engage in additional stock repurchases. Our election not to pay a quarterly dividend or repurchase stock may negatively impact our reputation, our stock price, and investor confidence in us.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ownership may have the effect of delaying or preventing a change in control.</w:t>
      </w:r>
    </w:p>
    <w:p>
      <w:pPr>
        <w:spacing w:after="0" w:line="189"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Our directors and executive officers, together with their affiliates, beneficially hold approximately 36% of our outstanding shares of common stock. As a result, these stockholders, if acting together, have the ability to influence the outcome of corporate actions requiring stockholder approval. This concentration of ownership may have the effect of delaying or preventing a change in control and might adversely affect the market price of our securities.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certificate of incorporation and bylaws and provisions of Delaware law could impair a takeover attempt.</w:t>
      </w:r>
    </w:p>
    <w:p>
      <w:pPr>
        <w:spacing w:after="0" w:line="189"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alone or together, could have the effect of delaying or preventing hostile takeovers or changes in control or changes in our management without the consent of our Board of Directors. These provisions include, among other things, a classified Board of Directors; no cumulative voting in the election of directors; the exclusive right of our Board of Directors to fill a vacancy created by the expansion of the Board of Directors or the resignation, death, or removal of a director; the ability of our Board of Directors to issue shares of preferred stock, including determining the price, voting rights and other terms of such shares, without stockholder approval; requiring approval of certain transactions by the Independent Transaction Committee of the Board; a prohibition on stockholder action by written consent and providing that a special meeting of stockholders may be called only by the chairman of the Board of Directors, the Chief Executive Officer, or the Board of Directors; limiting the liability of, and providing indemnification to, our directors and officers; controlling the procedures for the conduct and scheduling of stockholder meetings; allowing the Board of Directors to postpone or reschedule special meetings of stockholders; providing that directors may be removed prior to the expiration of their terms by stockholders only for cause; and advance notice procedures for nominating director candidates or proposing matters to be acted upon at a stockholders’ meeting. In addition, we are subject to provisions of Delaware law that may impair takeover attempts, including Section 203 of the Delaware General Corporation Law, which generally provides that a corporation may not engage in any business combination with any interested stockholder during the three-year period following the time that such stockholder becomes an interested stockholder, unless certain approval requirements are met. 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57"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that the Court of Chancery of the State of Delaware will be the exclusive forum for certain types of lawsuits, which could increase costs to bring a claim, discourage claims or limit the ability of our stockholders to bring a claim in a judicial forum viewed by the stockholders as more favorable for disputes with us or our directors, officers or other employees.</w:t>
      </w:r>
    </w:p>
    <w:p>
      <w:pPr>
        <w:spacing w:after="0" w:line="140" w:lineRule="exact"/>
        <w:rPr>
          <w:sz w:val="20"/>
          <w:szCs w:val="20"/>
          <w:color w:val="auto"/>
        </w:rPr>
      </w:pPr>
    </w:p>
    <w:p>
      <w:pPr>
        <w:ind w:right="220"/>
        <w:spacing w:after="0" w:line="230"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will be the sole and exclusive forum for (i) 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Delaware General Corporation Law, our certificate of incorporation or our bylaws, or (iv) any action asserting a claim governed by the internal affairs doctrine. The choice of forum provision may increase costs to bring a claim, discourage claims or limit a stockholder’s ability to bring a claim in a judicial forum that it finds favorable for disputes with us or our directors, officers or other employees, which may discourage such lawsuits against us or our directors, officers and other employees. Alternatively, if a court were to find this choice of forum provision to be inapplicable or unenforceable in an action, we may incur additional costs associated with resolving such action in other jurisdictions. The exclusive forum provision in our certificate of incorporation will not preclude or contract the scope of exclusive federal or concurrent jurisdiction for actions brought under the federal securities laws including the Exchange Act or the Securities Act of 1933, as amended, or the respective rules and regulations promulgated thereunder.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89"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18"/>
          <w:szCs w:val="18"/>
          <w:color w:val="auto"/>
        </w:rPr>
        <w:t>Like all businesses, the Company faces cybersecurity threats, as the Company is reliant upon information systems and the Internet to conduct its business activities. For example, in connection with payment card sales and other transactions, including bank cards, debit cards, credit cards and other merchant cards, the Company processes and transmits confidential banking and payment card information. Additionally, as part of its normal business activities, the Company collects and stores sensitive personal information related to the Company’s employees, customers, suppliers and other parties. Businesses, including those in our industry, and third parties on which we rely are frequently confronted with a broad range of cybersecurity threats, from uncoordinated, individual</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5"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attempts to gain unauthorized access to an organization’s information technology (“IT”) environment to sophisticated and targeted cyberattacks sponsored by foreign governments and criminal enterprises.</w:t>
      </w:r>
    </w:p>
    <w:p>
      <w:pPr>
        <w:spacing w:after="0" w:line="176"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18"/>
          <w:szCs w:val="18"/>
          <w:color w:val="auto"/>
        </w:rPr>
        <w:t>Although the Company employs measures to prevent, detect, address, and mitigate these threats, a cybersecurity incident could potentially result in the misappropriation, destruction, corruption, or unavailability of critical data, personally identifiable information, and other confidential or proprietary data (our own or that of third parties) and the disruption of business operations. Any such incidents could compromise the Company’s networks, or those of our vendors, or disrupt the Company’s or our vendors’ critical systems, and the information stored there, such as personally identifiable information or funds, could be accessed, publicly disclosed, lost, corrupted or stolen. Third parties may have the technology and know-how to breach the security of this information, and the Company’s security measures and those of the Company’s banks, merchant card processing and other technology suppliers may not effectively prohibit others from obtaining improper access to this information. The techniques used by criminals to obtain unauthorized access to sensitive data change frequently and often are not recognized until launched against a target; accordingly, the Company may be unable to anticipate these techniques or implement adequate preventative measures.</w:t>
      </w:r>
    </w:p>
    <w:p>
      <w:pPr>
        <w:spacing w:after="0" w:line="172" w:lineRule="exact"/>
        <w:rPr>
          <w:sz w:val="20"/>
          <w:szCs w:val="20"/>
          <w:color w:val="auto"/>
        </w:rPr>
      </w:pPr>
    </w:p>
    <w:p>
      <w:pPr>
        <w:ind w:right="300"/>
        <w:spacing w:after="0" w:line="236" w:lineRule="auto"/>
        <w:rPr>
          <w:sz w:val="20"/>
          <w:szCs w:val="20"/>
          <w:color w:val="auto"/>
        </w:rPr>
      </w:pPr>
      <w:r>
        <w:rPr>
          <w:rFonts w:ascii="Times New Roman" w:cs="Times New Roman" w:eastAsia="Times New Roman" w:hAnsi="Times New Roman"/>
          <w:sz w:val="18"/>
          <w:szCs w:val="18"/>
          <w:color w:val="auto"/>
        </w:rPr>
        <w:t>The potential consequences of a material cybersecurity incident include remediation and restoration costs, reputational damage, and litigation with third parties, which in turn could adversely affect our competitiveness and results of operations. Accordingly, cybersecurity is an important part of the Company’s enterprise risk management program, and the Company seeks to address cybersecurity risks through a comprehensive, cross-functional approach.</w:t>
      </w:r>
    </w:p>
    <w:p>
      <w:pPr>
        <w:spacing w:after="0" w:line="185"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The Company’s cybersecurity policies, standards, processes, and practices for assessing, identifying, and managing material risks from cybersecurity threats and responding to cybersecurity incidents are integrated into the Company’s risk management program and are based on recognized frameworks established by the National Institute of Standards and Technology and other applicable industry standards. The Company has established controls and procedures, including an Incident Response Plan, that provide for the identification, analysis, notification, escalation, communication, and remediation of data security incidents at appropriate levels so that decisions regarding the public disclosure and reporting of such incidents can be made by management in a timely manner. The Company has also established a process to validate the aforementioned controls are in place and the results are being reviewed as a part of the overall company risk assessment. The Company’s Incident Response Plan (i) is designed to identify and detect information security threats through various mechanisms, such as through security controls and third-party disclosures, and (ii) sets forth a process to (a) analyze any such threats detected within the Company’s IT environment or within a third-party’s IT environment, (b) contain cybersecurity threats under various circumstances, and</w:t>
      </w:r>
    </w:p>
    <w:p>
      <w:pPr>
        <w:spacing w:after="0" w:line="7" w:lineRule="exact"/>
        <w:rPr>
          <w:sz w:val="20"/>
          <w:szCs w:val="20"/>
          <w:color w:val="auto"/>
        </w:rPr>
      </w:pPr>
    </w:p>
    <w:p>
      <w:pPr>
        <w:ind w:right="640" w:firstLine="8"/>
        <w:spacing w:after="0" w:line="243" w:lineRule="auto"/>
        <w:tabs>
          <w:tab w:leader="none" w:pos="2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ensure the Company can recover from cybersecurity incidents to a normal state of business operations. The Company has established and maintains other incident response and recovery plans that address the Company’s response to a cybersecurity incident.</w:t>
      </w:r>
    </w:p>
    <w:p>
      <w:pPr>
        <w:spacing w:after="0" w:line="16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Company has cybersecurity insurance (subject to specified retentions or deductibles) related to a cybersecurity incident that addresses costs, losses, and expenses related to cybersecurity investigations, crisis management, notification processes and credit monitoring services, public relations, and legal advice. However, damages, fines and claims arising from such incidents may not be covered or may exceed the amount of any insurance available or may not be insurable.</w:t>
      </w:r>
    </w:p>
    <w:p>
      <w:pPr>
        <w:spacing w:after="0" w:line="185" w:lineRule="exact"/>
        <w:rPr>
          <w:sz w:val="20"/>
          <w:szCs w:val="20"/>
          <w:color w:val="auto"/>
        </w:rPr>
      </w:pPr>
    </w:p>
    <w:p>
      <w:pPr>
        <w:ind w:right="180"/>
        <w:spacing w:after="0" w:line="228" w:lineRule="auto"/>
        <w:rPr>
          <w:sz w:val="20"/>
          <w:szCs w:val="20"/>
          <w:color w:val="auto"/>
        </w:rPr>
      </w:pPr>
      <w:r>
        <w:rPr>
          <w:rFonts w:ascii="Times New Roman" w:cs="Times New Roman" w:eastAsia="Times New Roman" w:hAnsi="Times New Roman"/>
          <w:sz w:val="18"/>
          <w:szCs w:val="18"/>
          <w:color w:val="auto"/>
        </w:rPr>
        <w:t>As part of its cybersecurity program, the Company deploys measures to deter, prevent, detect, respond to and mitigate cybersecurity threats, including firewalls, anti-malware, extended detection and response systems, identity and access controls, strong password controls, multi-factor authentication, software patching protocols, and physical security measures. The Company periodically assesses and tests the Company’s policies, standards, processes, and practices that are designed to address cybersecurity threats and incidents, including by assessing current threat intelligence, conducting tabletop exercises, vulnerability scanning, and performing external penetration testing. The Company has a process to report material results of such testing and assessments to the Board, and periodically adjusts the Company’s cybersecurity program based on these exercises. The Company engages third parties to oversee and conduct part of such testing, as well as perform external audits of security protocols and capabilities. The Company seeks to identify and oversee cybersecurity risks presented by third parties and their systems from a risk-based perspective by identifying critical vendors (defined based on capabilities provided and investments required) and reviewing software patching, upgrades and associated changes required to reduce risk. The Company also conducts cybersecurity training for employees, including mandatory training programs for system users. The Company’s training programs require employees to complete a knowledge check prior to completion of the program. Completion of the Company’s training programs is monitored by management.</w:t>
      </w:r>
    </w:p>
    <w:p>
      <w:pPr>
        <w:spacing w:after="0" w:line="178"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18"/>
          <w:szCs w:val="18"/>
          <w:color w:val="auto"/>
        </w:rPr>
        <w:t>Many of the Company’s IT systems operate with a hosted architecture or by third-party service providers, and if these third-party IT environments fail to operate properly, our systems could stop functioning for a period of time, which could put our users at risk. Accordingly, we are dependent on the operations of IT service providers. Our vendor management process, which includes due diligence steps prior to selecting third party service providers, is an important part of our risk mitigation strategy. In particular, we require ISO and other security compliance for all critical vendors by contract. Additionally, the Company monitors risks from cybersecurity threats associated with the user of third-party service providers and will audit critical vendors for compliance, as appropriate. Notwithstanding, if there is a catastrophic event, such as a natural disaster or other adverse weather condition, terrorist attack, security breach, or other extraordinary event, the Company, and our service providers, may be unable to operate business as usual, or at all, for the duration of the event and/or a time thereafter.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Considering the pervasive and increasing threat from cyberattacks, the Board and the Audit Committee, with input from management, assess the Company’s cybersecurity threats and the measures implemented by the Company in an effort to mitigate and prevent cyberattacks. The Audit Committee consults with management regarding ongoing cybersecurity initiatives and requests management report to the Audit Committee or the full Board regularly on their assessment of the Company’s cybersecurity program and risks. Both the Audit Committee and the full Board receive quarterly reports from the Chief Information Officer on cybersecurity risks and timely reports regarding any cybersecurity incident that meets established reporting thresholds, as well as ongoing updates regarding any such incident until it has been addressed. Our Board has risk management experience, including members with experience in overseeing teams responsible for data security and cybersecurity and assessing technology-related risks and development of risk mitigation strategies.</w:t>
      </w:r>
    </w:p>
    <w:p>
      <w:pPr>
        <w:spacing w:after="0" w:line="175"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In addition, the Company’s information security/cybersecurity program is managed by the Director of Infrastructure and Security, who is responsible for leading enterprise-wide cybersecurity strategy, policy, standards, architecture, and processes. The Director of Infrastructure and Security and Chief Information Officer provide periodic reports to our Board and Audit Committee as well as our Chief Executive Officer and other members of our senior management as appropriate. We have also established cross-functional teams to collaborate and communicate on cybersecurity-related issues. The reports to management include updates on the Company’s cyber risks and threats, the status of projects to strengthen our information security systems, assessments of the information security program, and the emerging threat landscape. The Incident Response Team, which includes the Chief Information Officer, Director of Infrastructure and Security, Chief Finance Officer and key operational leaders, is regularly engaged to discuss cybersecurity risks and to review the Company’s preparations for any security events. The Incident Response Team will notify the Board of Directors of any critical events as defined in the Incident Response Plan. Additionally, the Chief Information Officer regularly engages the Board representative with cybersecurity experience to identify Board-level needs for education and communication.</w:t>
      </w:r>
    </w:p>
    <w:p>
      <w:pPr>
        <w:spacing w:after="0" w:line="176"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The Chief Information Officer holds an undergraduate degree in computer science and has served in various roles in information technology for over 30 years, including serving as a senior technology leader or Chief Information Officer of two public companies and two private equity-owned firms. The Chief Information Officer and Chief Financial Officer have prior experience supporting organizations that have experienced cybersecurity events and continue to learn more about the current trends and risks by partnering with third parties.</w:t>
      </w:r>
    </w:p>
    <w:p>
      <w:pPr>
        <w:spacing w:after="0" w:line="185" w:lineRule="exact"/>
        <w:rPr>
          <w:sz w:val="20"/>
          <w:szCs w:val="20"/>
          <w:color w:val="auto"/>
        </w:rPr>
      </w:pPr>
    </w:p>
    <w:p>
      <w:pPr>
        <w:ind w:right="320"/>
        <w:spacing w:after="0" w:line="242" w:lineRule="auto"/>
        <w:rPr>
          <w:sz w:val="20"/>
          <w:szCs w:val="20"/>
          <w:color w:val="auto"/>
        </w:rPr>
      </w:pPr>
      <w:r>
        <w:rPr>
          <w:rFonts w:ascii="Times New Roman" w:cs="Times New Roman" w:eastAsia="Times New Roman" w:hAnsi="Times New Roman"/>
          <w:sz w:val="18"/>
          <w:szCs w:val="18"/>
          <w:color w:val="auto"/>
        </w:rPr>
        <w:t>While the Company faces a number of cybersecurity risks in connection with its business, as of the date of this report, the Company is not aware of any risks from cybersecurity threats that have materially affected or are reasonably likely to materially affect the Company, including its business strategy, results of operations, or financial condition.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8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As of December 31, 2023, we operated 142 stores located in 31 states and the District of Columbia with an average square footage of approximately 20,000 square feet. The table below sets forth the store locations (alphabetically by state) of our 142 stores in operation as of December 31, 2023.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Stores</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3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Stores</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1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Stores</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Stores</w:t>
            </w:r>
          </w:p>
        </w:tc>
      </w:tr>
      <w:tr>
        <w:trPr>
          <w:trHeight w:val="183"/>
        </w:trPr>
        <w:tc>
          <w:tcPr>
            <w:tcW w:w="170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Arizona</w:t>
            </w:r>
          </w:p>
        </w:tc>
        <w:tc>
          <w:tcPr>
            <w:tcW w:w="10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Illinois</w:t>
            </w:r>
          </w:p>
        </w:tc>
        <w:tc>
          <w:tcPr>
            <w:tcW w:w="12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Minnesota</w:t>
            </w:r>
          </w:p>
        </w:tc>
        <w:tc>
          <w:tcPr>
            <w:tcW w:w="12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Oklahoma</w:t>
            </w:r>
          </w:p>
        </w:tc>
        <w:tc>
          <w:tcPr>
            <w:tcW w:w="12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r>
      <w:tr>
        <w:trPr>
          <w:trHeight w:val="189"/>
        </w:trPr>
        <w:tc>
          <w:tcPr>
            <w:tcW w:w="1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Arkansas</w:t>
            </w: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6"/>
                <w:szCs w:val="16"/>
                <w:color w:val="auto"/>
              </w:rPr>
            </w:pPr>
          </w:p>
        </w:tc>
        <w:tc>
          <w:tcPr>
            <w:tcW w:w="14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Indiana</w:t>
            </w: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6"/>
                <w:szCs w:val="16"/>
                <w:color w:val="auto"/>
              </w:rPr>
            </w:pPr>
          </w:p>
        </w:tc>
        <w:tc>
          <w:tcPr>
            <w:tcW w:w="1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Missouri</w:t>
            </w: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6"/>
                <w:szCs w:val="16"/>
                <w:color w:val="auto"/>
              </w:rPr>
            </w:pPr>
          </w:p>
        </w:tc>
        <w:tc>
          <w:tcPr>
            <w:tcW w:w="1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Pennsylvania</w:t>
            </w: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w:t>
            </w:r>
          </w:p>
        </w:tc>
      </w:tr>
      <w:tr>
        <w:trPr>
          <w:trHeight w:val="189"/>
        </w:trPr>
        <w:tc>
          <w:tcPr>
            <w:tcW w:w="17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Colorado</w:t>
            </w: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Iowa</w:t>
            </w: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Nebraska</w:t>
            </w: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Rhode Island</w:t>
            </w: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r>
      <w:tr>
        <w:trPr>
          <w:trHeight w:val="189"/>
        </w:trPr>
        <w:tc>
          <w:tcPr>
            <w:tcW w:w="1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Connecticut</w:t>
            </w: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6"/>
                <w:szCs w:val="16"/>
                <w:color w:val="auto"/>
              </w:rPr>
            </w:pPr>
          </w:p>
        </w:tc>
        <w:tc>
          <w:tcPr>
            <w:tcW w:w="14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Kansas</w:t>
            </w: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6"/>
                <w:szCs w:val="16"/>
                <w:color w:val="auto"/>
              </w:rPr>
            </w:pPr>
          </w:p>
        </w:tc>
        <w:tc>
          <w:tcPr>
            <w:tcW w:w="1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New Jersey</w:t>
            </w: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6"/>
                <w:szCs w:val="16"/>
                <w:color w:val="auto"/>
              </w:rPr>
            </w:pPr>
          </w:p>
        </w:tc>
        <w:tc>
          <w:tcPr>
            <w:tcW w:w="1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South Carolina</w:t>
            </w: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w:t>
            </w:r>
          </w:p>
        </w:tc>
      </w:tr>
      <w:tr>
        <w:trPr>
          <w:trHeight w:val="189"/>
        </w:trPr>
        <w:tc>
          <w:tcPr>
            <w:tcW w:w="17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Delaware</w:t>
            </w: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Kentucky</w:t>
            </w: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New Mexico</w:t>
            </w: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Tennessee</w:t>
            </w: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w:t>
            </w:r>
          </w:p>
        </w:tc>
      </w:tr>
      <w:tr>
        <w:trPr>
          <w:trHeight w:val="189"/>
        </w:trPr>
        <w:tc>
          <w:tcPr>
            <w:tcW w:w="1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District of Columbia</w:t>
            </w: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6"/>
                <w:szCs w:val="16"/>
                <w:color w:val="auto"/>
              </w:rPr>
            </w:pPr>
          </w:p>
        </w:tc>
        <w:tc>
          <w:tcPr>
            <w:tcW w:w="14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Maryland</w:t>
            </w: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6"/>
                <w:szCs w:val="16"/>
                <w:color w:val="auto"/>
              </w:rPr>
            </w:pPr>
          </w:p>
        </w:tc>
        <w:tc>
          <w:tcPr>
            <w:tcW w:w="1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New York</w:t>
            </w: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6"/>
                <w:szCs w:val="16"/>
                <w:color w:val="auto"/>
              </w:rPr>
            </w:pPr>
          </w:p>
        </w:tc>
        <w:tc>
          <w:tcPr>
            <w:tcW w:w="1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Texas</w:t>
            </w: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w:t>
            </w:r>
          </w:p>
        </w:tc>
      </w:tr>
      <w:tr>
        <w:trPr>
          <w:trHeight w:val="189"/>
        </w:trPr>
        <w:tc>
          <w:tcPr>
            <w:tcW w:w="17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Florida</w:t>
            </w: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Massachusetts</w:t>
            </w: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North Carolina</w:t>
            </w: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Virginia</w:t>
            </w: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w:t>
            </w:r>
          </w:p>
        </w:tc>
      </w:tr>
      <w:tr>
        <w:trPr>
          <w:trHeight w:val="189"/>
        </w:trPr>
        <w:tc>
          <w:tcPr>
            <w:tcW w:w="170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Georgia</w:t>
            </w:r>
          </w:p>
        </w:tc>
        <w:tc>
          <w:tcPr>
            <w:tcW w:w="1000" w:type="dxa"/>
            <w:vAlign w:val="bottom"/>
            <w:tcBorders>
              <w:bottom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Michigan</w:t>
            </w:r>
          </w:p>
        </w:tc>
        <w:tc>
          <w:tcPr>
            <w:tcW w:w="1220" w:type="dxa"/>
            <w:vAlign w:val="bottom"/>
            <w:tcBorders>
              <w:bottom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Ohio</w:t>
            </w:r>
          </w:p>
        </w:tc>
        <w:tc>
          <w:tcPr>
            <w:tcW w:w="1200" w:type="dxa"/>
            <w:vAlign w:val="bottom"/>
            <w:tcBorders>
              <w:bottom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Wisconsin</w:t>
            </w:r>
          </w:p>
        </w:tc>
        <w:tc>
          <w:tcPr>
            <w:tcW w:w="12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r>
      <w:tr>
        <w:trPr>
          <w:trHeight w:val="183"/>
        </w:trPr>
        <w:tc>
          <w:tcPr>
            <w:tcW w:w="17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142</w:t>
            </w:r>
          </w:p>
        </w:tc>
      </w:tr>
    </w:tbl>
    <w:p>
      <w:pPr>
        <w:spacing w:after="0" w:line="184"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18"/>
          <w:szCs w:val="18"/>
          <w:color w:val="auto"/>
        </w:rPr>
        <w:t>We lease all of our stores. Our approximately 15,000 square foot headquarters in Plymouth, Minnesota is attached to our store. We own four regional facilities used for distribution of purchased product and manufacturing of setting and maintenance materials, located in Spring Valley, Wisconsin; Ottawa Lake, Michigan; Ridgeway, Virginia; and Durant, Oklahoma, which consist of 69,000, 271,000, 134,000, and 260,000 square feet, respectively. We also lease a distribution facility in Dayton, New Jersey that is 163,000 square feet.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material property holdings are suitable for our current operations and purposes.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89" w:lineRule="exact"/>
        <w:rPr>
          <w:sz w:val="20"/>
          <w:szCs w:val="20"/>
          <w:color w:val="auto"/>
        </w:rPr>
      </w:pPr>
    </w:p>
    <w:p>
      <w:pPr>
        <w:ind w:right="280"/>
        <w:spacing w:after="0" w:line="232" w:lineRule="auto"/>
        <w:rPr>
          <w:sz w:val="20"/>
          <w:szCs w:val="20"/>
          <w:color w:val="auto"/>
        </w:rPr>
      </w:pPr>
      <w:r>
        <w:rPr>
          <w:rFonts w:ascii="Times New Roman" w:cs="Times New Roman" w:eastAsia="Times New Roman" w:hAnsi="Times New Roman"/>
          <w:sz w:val="18"/>
          <w:szCs w:val="18"/>
          <w:color w:val="auto"/>
        </w:rPr>
        <w:t>We are, from time to time, party to lawsuits, threatened lawsuits, disputes and other claims arising in the normal course of business. We assess our liabilities and contingencies in connection with outstanding legal proceedings utilizing the latest information available. Where it is probable that we will incur a loss and the amount of the loss can be reasonably estimated, we record a liability in our</w:t>
      </w: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5"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consolidated financial statements. These legal accruals may be increased or decreased to reflect any relevant developments on a quarterly basis. Where a loss is not probable or the amount of the loss is not estimable, we do not record an accrual, consistent with applicable accounting guidance. In the opinion of management, while the outcome of such claims and disputes cannot be predicted with certainty, our ultimate liability in connection with these matters is not expected to have a material adverse effect on our results of operations, financial position or cash flows, and the amounts accrued for any individual matter are not material. However, legal proceedings are inherently uncertain. As a result, the outcome of a particular matter or a combination of matters may be material to our results of operations for a particular period, depending upon the size of the loss or our income for that particular period.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 w:right="4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MARKET FOR THE REGISTRANT'S COMMON EQUITY, RELATED STOCKHOLDER MATTERS AND ISSUER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Nasdaq under the symbol “TTSH.”</w:t>
      </w:r>
    </w:p>
    <w:p>
      <w:pPr>
        <w:spacing w:after="0" w:line="185"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As of February 26, 2024, we had approximately 246 holders of record of our common stock. This figure does not include the number of persons whose securities are held in nominee or “street” name accounts through brokers.</w:t>
      </w:r>
    </w:p>
    <w:p>
      <w:pPr>
        <w:spacing w:after="0" w:line="149" w:lineRule="exact"/>
        <w:rPr>
          <w:sz w:val="20"/>
          <w:szCs w:val="20"/>
          <w:color w:val="auto"/>
        </w:rPr>
      </w:pPr>
    </w:p>
    <w:p>
      <w:pPr>
        <w:ind w:right="400"/>
        <w:spacing w:after="0" w:line="250" w:lineRule="auto"/>
        <w:rPr>
          <w:sz w:val="20"/>
          <w:szCs w:val="20"/>
          <w:color w:val="auto"/>
        </w:rPr>
      </w:pPr>
      <w:r>
        <w:rPr>
          <w:rFonts w:ascii="Times New Roman" w:cs="Times New Roman" w:eastAsia="Times New Roman" w:hAnsi="Times New Roman"/>
          <w:sz w:val="18"/>
          <w:szCs w:val="18"/>
          <w:color w:val="auto"/>
        </w:rPr>
        <w:t>As of February 26, 2024, we had 44,510,779 shares of common stock outstanding. The last reported sales price for our common stock on February 26, 2024 was $6.80.</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89" w:lineRule="exact"/>
        <w:rPr>
          <w:sz w:val="20"/>
          <w:szCs w:val="20"/>
          <w:color w:val="auto"/>
        </w:rPr>
      </w:pPr>
    </w:p>
    <w:p>
      <w:pPr>
        <w:ind w:right="220"/>
        <w:spacing w:after="0" w:line="236" w:lineRule="auto"/>
        <w:rPr>
          <w:sz w:val="20"/>
          <w:szCs w:val="20"/>
          <w:color w:val="auto"/>
        </w:rPr>
      </w:pPr>
      <w:r>
        <w:rPr>
          <w:rFonts w:ascii="Times New Roman" w:cs="Times New Roman" w:eastAsia="Times New Roman" w:hAnsi="Times New Roman"/>
          <w:sz w:val="18"/>
          <w:szCs w:val="18"/>
          <w:color w:val="auto"/>
        </w:rPr>
        <w:t>Any future determination with respect to the payment of dividends is at the discretion of our Board of Directors and is dependent upon our financial condition, results of operations, capital requirements, general business conditions, tax treatment of dividends in the United States, contractual restrictions contained in our credit agreement and other factors deemed relevant by our Board of Directors. We can provide no assurance that we will pay any dividends to our stockholders in the future, or as to the amount of any such dividends.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75"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For information on our equity compensation plans, refer to Part III, Item 12. “Security Ownership of Certain Beneficial Owners and Management and Related Stockholder Matters.”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8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Total Number of</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Maximum Number</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3"/>
          </w:tcPr>
          <w:p>
            <w:pPr>
              <w:jc w:val="center"/>
              <w:ind w:right="140"/>
              <w:spacing w:after="0" w:line="189" w:lineRule="exact"/>
              <w:rPr>
                <w:sz w:val="20"/>
                <w:szCs w:val="20"/>
                <w:color w:val="auto"/>
              </w:rPr>
            </w:pPr>
            <w:r>
              <w:rPr>
                <w:rFonts w:ascii="Times New Roman" w:cs="Times New Roman" w:eastAsia="Times New Roman" w:hAnsi="Times New Roman"/>
                <w:sz w:val="18"/>
                <w:szCs w:val="18"/>
                <w:color w:val="auto"/>
                <w:w w:val="99"/>
              </w:rPr>
              <w:t>Shares Purchased as</w:t>
            </w:r>
          </w:p>
        </w:tc>
        <w:tc>
          <w:tcPr>
            <w:tcW w:w="14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of Shares that May</w:t>
            </w:r>
          </w:p>
        </w:tc>
        <w:tc>
          <w:tcPr>
            <w:tcW w:w="0" w:type="dxa"/>
            <w:vAlign w:val="bottom"/>
          </w:tcPr>
          <w:p>
            <w:pPr>
              <w:spacing w:after="0"/>
              <w:rPr>
                <w:sz w:val="1"/>
                <w:szCs w:val="1"/>
                <w:color w:val="auto"/>
              </w:rPr>
            </w:pPr>
          </w:p>
        </w:tc>
      </w:tr>
      <w:tr>
        <w:trPr>
          <w:trHeight w:val="203"/>
        </w:trPr>
        <w:tc>
          <w:tcPr>
            <w:tcW w:w="4880" w:type="dxa"/>
            <w:vAlign w:val="bottom"/>
          </w:tcPr>
          <w:p>
            <w:pPr>
              <w:spacing w:after="0"/>
              <w:rPr>
                <w:sz w:val="17"/>
                <w:szCs w:val="17"/>
                <w:color w:val="auto"/>
              </w:rPr>
            </w:pPr>
          </w:p>
        </w:tc>
        <w:tc>
          <w:tcPr>
            <w:tcW w:w="15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Total Number of</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Average Price</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gridSpan w:val="2"/>
          </w:tcPr>
          <w:p>
            <w:pPr>
              <w:jc w:val="center"/>
              <w:ind w:right="180"/>
              <w:spacing w:after="0" w:line="202" w:lineRule="exact"/>
              <w:rPr>
                <w:sz w:val="20"/>
                <w:szCs w:val="20"/>
                <w:color w:val="auto"/>
              </w:rPr>
            </w:pPr>
            <w:r>
              <w:rPr>
                <w:rFonts w:ascii="Times New Roman" w:cs="Times New Roman" w:eastAsia="Times New Roman" w:hAnsi="Times New Roman"/>
                <w:sz w:val="18"/>
                <w:szCs w:val="18"/>
                <w:color w:val="auto"/>
              </w:rPr>
              <w:t>Part of Publicly</w:t>
            </w:r>
          </w:p>
        </w:tc>
        <w:tc>
          <w:tcPr>
            <w:tcW w:w="1460" w:type="dxa"/>
            <w:vAlign w:val="bottom"/>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Yet be Purchased</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3"/>
          </w:tcPr>
          <w:p>
            <w:pPr>
              <w:jc w:val="center"/>
              <w:ind w:right="140"/>
              <w:spacing w:after="0" w:line="189" w:lineRule="exact"/>
              <w:rPr>
                <w:sz w:val="20"/>
                <w:szCs w:val="20"/>
                <w:color w:val="auto"/>
              </w:rPr>
            </w:pPr>
            <w:r>
              <w:rPr>
                <w:rFonts w:ascii="Times New Roman" w:cs="Times New Roman" w:eastAsia="Times New Roman" w:hAnsi="Times New Roman"/>
                <w:sz w:val="18"/>
                <w:szCs w:val="18"/>
                <w:color w:val="auto"/>
                <w:w w:val="99"/>
              </w:rPr>
              <w:t>Announced Plans or</w:t>
            </w:r>
          </w:p>
        </w:tc>
        <w:tc>
          <w:tcPr>
            <w:tcW w:w="14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Under the Plans or</w:t>
            </w:r>
          </w:p>
        </w:tc>
        <w:tc>
          <w:tcPr>
            <w:tcW w:w="0" w:type="dxa"/>
            <w:vAlign w:val="bottom"/>
          </w:tcPr>
          <w:p>
            <w:pPr>
              <w:spacing w:after="0"/>
              <w:rPr>
                <w:sz w:val="1"/>
                <w:szCs w:val="1"/>
                <w:color w:val="auto"/>
              </w:rPr>
            </w:pPr>
          </w:p>
        </w:tc>
      </w:tr>
      <w:tr>
        <w:trPr>
          <w:trHeight w:val="221"/>
        </w:trPr>
        <w:tc>
          <w:tcPr>
            <w:tcW w:w="488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Shares Purchased</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Paid per Share</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Programs</w:t>
            </w: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Programs</w:t>
            </w: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October 1, 2023 - October 31, 2023</w:t>
            </w:r>
          </w:p>
        </w:tc>
        <w:tc>
          <w:tcPr>
            <w:tcW w:w="15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48,263</w:t>
            </w:r>
          </w:p>
        </w:tc>
        <w:tc>
          <w:tcPr>
            <w:tcW w:w="260" w:type="dxa"/>
            <w:vAlign w:val="bottom"/>
            <w:tcBorders>
              <w:top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91"/>
              </w:rPr>
              <w:t>(1)</w:t>
            </w: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0.74</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(1)</w:t>
            </w:r>
          </w:p>
        </w:tc>
        <w:tc>
          <w:tcPr>
            <w:tcW w:w="4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November 1, 2023 - November 30, 2023</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2023 - December 31, 2023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91"/>
              </w:rPr>
              <w:t>(2)</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(2)</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4880" w:type="dxa"/>
            <w:vAlign w:val="bottom"/>
          </w:tcPr>
          <w:p>
            <w:pPr>
              <w:spacing w:after="0"/>
              <w:rPr>
                <w:sz w:val="15"/>
                <w:szCs w:val="15"/>
                <w:color w:val="auto"/>
              </w:rPr>
            </w:pPr>
          </w:p>
        </w:tc>
        <w:tc>
          <w:tcPr>
            <w:tcW w:w="15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48,975</w:t>
            </w:r>
          </w:p>
        </w:tc>
        <w:tc>
          <w:tcPr>
            <w:tcW w:w="2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0.83</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4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100" w:hanging="332"/>
        <w:spacing w:after="0" w:line="205" w:lineRule="auto"/>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We withheld a total of 6,954 shares to satisfy tax withholding obligations due upon the vesting of restricted stock grants, as allowed by the 2012 Omnibus Award Plan (the “2012 Plan”). We did not pay cash to repurchase these shares, nor were these repurchases part of a publicly announced plan or program. We repurchased an additional 41,309 shares pursuant to the terms of the underlying restricted stock agreements, as allowed by the 2012 Plan and the 2021 Omnibus Equity Compensation Plan (the “2021 Plan”). We paid $0.0001 per share, the par value, to repurchase these shares. These repurchases were not part of a publicly announced plan or program.</w:t>
      </w:r>
    </w:p>
    <w:p>
      <w:pPr>
        <w:spacing w:after="0" w:line="226" w:lineRule="exact"/>
        <w:rPr>
          <w:rFonts w:ascii="Times New Roman" w:cs="Times New Roman" w:eastAsia="Times New Roman" w:hAnsi="Times New Roman"/>
          <w:sz w:val="30"/>
          <w:szCs w:val="30"/>
          <w:color w:val="auto"/>
          <w:vertAlign w:val="superscript"/>
        </w:rPr>
      </w:pPr>
    </w:p>
    <w:p>
      <w:pPr>
        <w:ind w:left="340" w:right="80" w:hanging="332"/>
        <w:spacing w:after="0" w:line="184" w:lineRule="auto"/>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We withheld 712 shares to satisfy tax withholding obligations due upon the vesting of restricted stock grants, as allowed by the 2021 Plan. We did not pay cash to repurchase these shares, nor were these repurchases part of a publicly announced plan or program.</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89"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The graph and table below present our cumulative total stockholder returns relative to the performance of the S&amp;P SmallCap 600 and the Dow Jones U.S. Furnishings Index for the period commencing December 31, 2018 and ending December 31, 2023, the last trading day of fiscal year 2023. The comparison assumes $100 invested at the close of trading on December 31, 2018 in (i) our common stock, (ii) the stocks comprising the S&amp;P SmallCap 600, and (iii) the stocks comprising the Dow Jones U.S. Furnishings Index. All values assume that all dividends were reinvested on the date paid. The points on the graph represent fiscal year-end amounts based on the last trading day in each fiscal year. The stock price performance included in the line graph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120650</wp:posOffset>
            </wp:positionV>
            <wp:extent cx="6052185" cy="16802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52185"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Dow Jones</w:t>
            </w:r>
          </w:p>
        </w:tc>
      </w:tr>
      <w:tr>
        <w:trPr>
          <w:trHeight w:val="234"/>
        </w:trPr>
        <w:tc>
          <w:tcPr>
            <w:tcW w:w="34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1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Tile Shop Holdings, Inc.</w:t>
            </w:r>
          </w:p>
        </w:tc>
        <w:tc>
          <w:tcPr>
            <w:tcW w:w="12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S&amp;P SmallCap 600</w:t>
            </w:r>
          </w:p>
        </w:tc>
        <w:tc>
          <w:tcPr>
            <w:tcW w:w="100" w:type="dxa"/>
            <w:vAlign w:val="bottom"/>
          </w:tcPr>
          <w:p>
            <w:pPr>
              <w:spacing w:after="0"/>
              <w:rPr>
                <w:sz w:val="20"/>
                <w:szCs w:val="20"/>
                <w:color w:val="auto"/>
              </w:rPr>
            </w:pPr>
          </w:p>
        </w:tc>
        <w:tc>
          <w:tcPr>
            <w:tcW w:w="1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U‎.S. Furnishings Index</w:t>
            </w:r>
          </w:p>
        </w:tc>
      </w:tr>
      <w:tr>
        <w:trPr>
          <w:trHeight w:val="183"/>
        </w:trPr>
        <w:tc>
          <w:tcPr>
            <w:tcW w:w="34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December 31, 2018</w:t>
            </w:r>
          </w:p>
        </w:tc>
        <w:tc>
          <w:tcPr>
            <w:tcW w:w="20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6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100.00</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100.00</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100.00</w:t>
            </w:r>
          </w:p>
        </w:tc>
      </w:tr>
      <w:tr>
        <w:trPr>
          <w:trHeight w:val="189"/>
        </w:trPr>
        <w:tc>
          <w:tcPr>
            <w:tcW w:w="34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December 31, 2019</w:t>
            </w:r>
          </w:p>
        </w:tc>
        <w:tc>
          <w:tcPr>
            <w:tcW w:w="2880" w:type="dxa"/>
            <w:vAlign w:val="bottom"/>
            <w:gridSpan w:val="2"/>
          </w:tcPr>
          <w:p>
            <w:pPr>
              <w:jc w:val="right"/>
              <w:ind w:right="6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32.09</w:t>
            </w:r>
          </w:p>
        </w:tc>
        <w:tc>
          <w:tcPr>
            <w:tcW w:w="60" w:type="dxa"/>
            <w:vAlign w:val="bottom"/>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120.86</w:t>
            </w:r>
          </w:p>
        </w:tc>
        <w:tc>
          <w:tcPr>
            <w:tcW w:w="60" w:type="dxa"/>
            <w:vAlign w:val="bottom"/>
          </w:tcPr>
          <w:p>
            <w:pPr>
              <w:spacing w:after="0"/>
              <w:rPr>
                <w:sz w:val="16"/>
                <w:szCs w:val="16"/>
                <w:color w:val="auto"/>
              </w:rPr>
            </w:pPr>
          </w:p>
        </w:tc>
        <w:tc>
          <w:tcPr>
            <w:tcW w:w="1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135.50</w:t>
            </w:r>
          </w:p>
        </w:tc>
      </w:tr>
      <w:tr>
        <w:trPr>
          <w:trHeight w:val="189"/>
        </w:trPr>
        <w:tc>
          <w:tcPr>
            <w:tcW w:w="34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December 31, 2020</w:t>
            </w:r>
          </w:p>
        </w:tc>
        <w:tc>
          <w:tcPr>
            <w:tcW w:w="2880" w:type="dxa"/>
            <w:vAlign w:val="bottom"/>
            <w:gridSpan w:val="2"/>
            <w:shd w:val="clear" w:color="auto" w:fill="CCEEFF"/>
          </w:tcPr>
          <w:p>
            <w:pPr>
              <w:jc w:val="right"/>
              <w:ind w:right="6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81.64</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132.43</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137.90</w:t>
            </w:r>
          </w:p>
        </w:tc>
      </w:tr>
      <w:tr>
        <w:trPr>
          <w:trHeight w:val="189"/>
        </w:trPr>
        <w:tc>
          <w:tcPr>
            <w:tcW w:w="34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December 31, 2021</w:t>
            </w:r>
          </w:p>
        </w:tc>
        <w:tc>
          <w:tcPr>
            <w:tcW w:w="2880" w:type="dxa"/>
            <w:vAlign w:val="bottom"/>
            <w:gridSpan w:val="2"/>
          </w:tcPr>
          <w:p>
            <w:pPr>
              <w:jc w:val="right"/>
              <w:ind w:right="6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147.42</w:t>
            </w:r>
          </w:p>
        </w:tc>
        <w:tc>
          <w:tcPr>
            <w:tcW w:w="60" w:type="dxa"/>
            <w:vAlign w:val="bottom"/>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165.89</w:t>
            </w:r>
          </w:p>
        </w:tc>
        <w:tc>
          <w:tcPr>
            <w:tcW w:w="60" w:type="dxa"/>
            <w:vAlign w:val="bottom"/>
          </w:tcPr>
          <w:p>
            <w:pPr>
              <w:spacing w:after="0"/>
              <w:rPr>
                <w:sz w:val="16"/>
                <w:szCs w:val="16"/>
                <w:color w:val="auto"/>
              </w:rPr>
            </w:pPr>
          </w:p>
        </w:tc>
        <w:tc>
          <w:tcPr>
            <w:tcW w:w="1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179.09</w:t>
            </w:r>
          </w:p>
        </w:tc>
      </w:tr>
      <w:tr>
        <w:trPr>
          <w:trHeight w:val="189"/>
        </w:trPr>
        <w:tc>
          <w:tcPr>
            <w:tcW w:w="34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December 31, 2022</w:t>
            </w:r>
          </w:p>
        </w:tc>
        <w:tc>
          <w:tcPr>
            <w:tcW w:w="2880" w:type="dxa"/>
            <w:vAlign w:val="bottom"/>
            <w:gridSpan w:val="2"/>
            <w:shd w:val="clear" w:color="auto" w:fill="CCEEFF"/>
          </w:tcPr>
          <w:p>
            <w:pPr>
              <w:jc w:val="right"/>
              <w:ind w:right="6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90.56</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137.00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119.63</w:t>
            </w: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288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152.18</w:t>
            </w:r>
          </w:p>
        </w:tc>
        <w:tc>
          <w:tcPr>
            <w:tcW w:w="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156.02</w:t>
            </w:r>
          </w:p>
        </w:tc>
        <w:tc>
          <w:tcPr>
            <w:tcW w:w="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135.91</w:t>
            </w:r>
          </w:p>
        </w:tc>
      </w:tr>
      <w:tr>
        <w:trPr>
          <w:trHeight w:val="589"/>
        </w:trPr>
        <w:tc>
          <w:tcPr>
            <w:tcW w:w="3440" w:type="dxa"/>
            <w:vAlign w:val="bottom"/>
          </w:tcPr>
          <w:p>
            <w:pPr>
              <w:spacing w:after="0"/>
              <w:rPr>
                <w:sz w:val="24"/>
                <w:szCs w:val="24"/>
                <w:color w:val="auto"/>
              </w:rPr>
            </w:pPr>
          </w:p>
        </w:tc>
        <w:tc>
          <w:tcPr>
            <w:tcW w:w="288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21</w:t>
            </w: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18"/>
        </w:trPr>
        <w:tc>
          <w:tcPr>
            <w:tcW w:w="34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87"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together with our consolidated financial statements and related notes included elsewhere in this report. Among other things, those historical consolidated financial statements include more detailed information regarding the basis of presentation for the financial data than is included in the following discussion. This report contains “forward-looking statements” within the meaning of the “safe harbor” provisions of the Private Securities Litigation Reform Act of 1995. In some cases, you can identify these statements by words such as, but not limited to, “anticipate,” “believe,” “can,” “continue,” “could,” “depend,” “estimate,” “expect,” “intend,” “may,” “might,” “plan,” “predict,” “project,” “seek,” “should,” “target,” “will,” “will likely result,” “would,” and similar expressions or variations, although some forward-looking statements are expressed differently. All statements other than statements of historical fact are statements that could be deemed forward-looking statements. The forward-looking statements in this report relate to, among other things, our anticipated new store openings, remodeling plans, and growth opportunities; our business strengths, marketing strategies, competitive advantages and role in our industry and markets; an overall decline in the health of the economy, the tile industry, consumer confidence and spending, and the housing market, including as a result of rising inflation or interest rates, instability in the global banking system, geopolitical instability, or the possibility of an economic recession or other macroeconomic factors; the impact of ongoing supply chain disruptions and inflationary cost pressures, including increased materials, labor, energy, and transportation costs and decreased discretionary consumer spending; our ability to successfully implement and realize the anticipated benefits of our strategic plan; our ability to successfully anticipate consumer trends; any statements with respect to dividends or stock repurchases and timing, methods, and payment of same; the effectiveness of our marketing strategy; potential fluctuations in our comparable store sales; our expectations regarding our and our customers’ financing arrangements and our ability to obtain additional capital, including potential difficulties of obtaining financing due to market conditions resulting from geopolitical conditions and other economic factors; supply costs and expectations, including the continued availability of sufficient products from our suppliers, risks related to relying on foreign suppliers, and the potential impact of the Russia-Ukraine, Israel-Hamas, and other geopolitical conflicts on, among other things, product availability and pricing and timing and cost of deliveries; our expectations with respect to ongoing compliance with the terms of the credit facility, including increasing interest rates; our ability to provide timely delivery to our customers; the effect of regulations on us and our industry, and our suppliers’ compliance with such regulations, including any environmental or climate change-related requirements; the impact of corporate citizenship and ESG matters; labor shortages and our expectations regarding the effects of employee recruiting, training, mentoring, and retention on our ability to recruit and retain employees; tax-related risks; the potential impact of cybersecurity breaches or disruptions to our management information systems; our ability to successfully implement our information technology and other digital initiatives; our ability to effectively manage our online sales; costs and adequacy of insurance; the potential impact of natural disasters, which may worsen or increase due to the effects of climate change, and other catastrophic events; risks inherent in operating as a holding company; fluctuations in material and energy costs, including ongoing volatility of oil and gas prices; our ability to remediate the material weaknesses in our internal control over financial reporting; the potential outcome of any legal proceedings; and risks related to ownership of our common stock.</w:t>
      </w:r>
    </w:p>
    <w:p>
      <w:pPr>
        <w:spacing w:after="0" w:line="172"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i w:val="1"/>
          <w:iCs w:val="1"/>
          <w:color w:val="auto"/>
        </w:rPr>
        <w:t>These forward-looking statements are based on current expectations and assumptions that are subject to risks and uncertainties, many of which are difficult to predict and are outside of our control, that may cause our actual results, performance, or achievements to differ materially from any expected future results, performance, or achievements expressed or implied by such forward-looking statements. These risks and uncertainties include, but are not limited to:</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the level of demand for our products;</w:t>
      </w:r>
    </w:p>
    <w:p>
      <w:pPr>
        <w:spacing w:after="0" w:line="4" w:lineRule="exact"/>
        <w:rPr>
          <w:sz w:val="20"/>
          <w:szCs w:val="20"/>
          <w:color w:val="auto"/>
        </w:rPr>
      </w:pPr>
    </w:p>
    <w:p>
      <w:pPr>
        <w:ind w:left="660" w:right="4400"/>
        <w:spacing w:after="0" w:line="219" w:lineRule="auto"/>
        <w:rPr>
          <w:sz w:val="20"/>
          <w:szCs w:val="20"/>
          <w:color w:val="auto"/>
        </w:rPr>
      </w:pPr>
      <w:r>
        <w:rPr>
          <w:rFonts w:ascii="Times New Roman" w:cs="Times New Roman" w:eastAsia="Times New Roman" w:hAnsi="Times New Roman"/>
          <w:sz w:val="18"/>
          <w:szCs w:val="18"/>
          <w:i w:val="1"/>
          <w:iCs w:val="1"/>
          <w:color w:val="auto"/>
        </w:rPr>
        <w:t>our ability to grow and remain profitable in the highly competitive retail tile industry; our ability to access additional capital when and as needed;</w:t>
      </w:r>
    </w:p>
    <w:p>
      <w:pPr>
        <w:ind w:left="340"/>
        <w:spacing w:after="0" w:line="219" w:lineRule="auto"/>
        <w:rPr>
          <w:sz w:val="20"/>
          <w:szCs w:val="20"/>
          <w:color w:val="auto"/>
        </w:rPr>
      </w:pPr>
      <w:r>
        <w:rPr>
          <w:rFonts w:ascii="Times New Roman" w:cs="Times New Roman" w:eastAsia="Times New Roman" w:hAnsi="Times New Roman"/>
          <w:sz w:val="18"/>
          <w:szCs w:val="18"/>
          <w:i w:val="1"/>
          <w:iCs w:val="1"/>
          <w:color w:val="auto"/>
        </w:rPr>
        <w:t>our ability to attract and retain qualified personnel;</w:t>
      </w:r>
    </w:p>
    <w:p>
      <w:pPr>
        <w:ind w:left="660" w:right="2500"/>
        <w:spacing w:after="0" w:line="219" w:lineRule="auto"/>
        <w:rPr>
          <w:sz w:val="20"/>
          <w:szCs w:val="20"/>
          <w:color w:val="auto"/>
        </w:rPr>
      </w:pPr>
      <w:r>
        <w:rPr>
          <w:rFonts w:ascii="Times New Roman" w:cs="Times New Roman" w:eastAsia="Times New Roman" w:hAnsi="Times New Roman"/>
          <w:sz w:val="18"/>
          <w:szCs w:val="18"/>
          <w:i w:val="1"/>
          <w:iCs w:val="1"/>
          <w:color w:val="auto"/>
        </w:rPr>
        <w:t>changes in general economic, business and industry conditions, including any economic downturn or recession; our ability to introduce new products that satisfy market demand; and</w:t>
      </w:r>
    </w:p>
    <w:p>
      <w:pPr>
        <w:ind w:left="340"/>
        <w:spacing w:after="0"/>
        <w:rPr>
          <w:sz w:val="20"/>
          <w:szCs w:val="20"/>
          <w:color w:val="auto"/>
        </w:rPr>
      </w:pPr>
      <w:r>
        <w:rPr>
          <w:rFonts w:ascii="Times New Roman" w:cs="Times New Roman" w:eastAsia="Times New Roman" w:hAnsi="Times New Roman"/>
          <w:sz w:val="18"/>
          <w:szCs w:val="18"/>
          <w:i w:val="1"/>
          <w:iCs w:val="1"/>
          <w:color w:val="auto"/>
        </w:rPr>
        <w:t>legal, regulatory, and tax developments, including additional requirements imposed by changes in domestic and foreign laws and regulations.</w:t>
      </w:r>
    </w:p>
    <w:p>
      <w:pPr>
        <w:spacing w:after="0" w:line="149"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i w:val="1"/>
          <w:iCs w:val="1"/>
          <w:color w:val="auto"/>
        </w:rPr>
        <w:t>There is no assurance that our expectations will be realized. If one or more of these risks or uncertainties materialize, or if our underlying assumptions prove incorrect, actual results may vary materially from those expected, estimated, or projected. Such risks and uncertainties also include those set forth in Part I, Item 1A. “Risk Factors,” of this report. These statements are based on the beliefs and assumptions of our management based on information currently available to management. Our forward-looking statements speak only as of the time that they are made and do not necessarily reflect our outlook at any other point in time. Except as required by law, we undertake no obligation to update publicly any forward-looking statements, whether as a result of new information, future events, or for any other reason.</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Recent Trends</w:t>
      </w:r>
    </w:p>
    <w:p>
      <w:pPr>
        <w:spacing w:after="0" w:line="18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We are a specialty retailer of natural stone, man-made and luxury vinyl tiles, setting and maintenance materials, and related accessories in the United States. We offer a wide selection of products, attractive prices, and exceptional customer service in an extensive showroom setting. As of December 31, 2023, we operated 142 stores in 31 states and the District of Columbia, with an average size of approximately 20,000 square feet.</w:t>
      </w:r>
    </w:p>
    <w:p>
      <w:pPr>
        <w:spacing w:after="0" w:line="157" w:lineRule="exact"/>
        <w:rPr>
          <w:sz w:val="20"/>
          <w:szCs w:val="20"/>
          <w:color w:val="auto"/>
        </w:rPr>
      </w:pPr>
    </w:p>
    <w:p>
      <w:pPr>
        <w:ind w:right="220"/>
        <w:spacing w:after="0" w:line="232" w:lineRule="auto"/>
        <w:rPr>
          <w:sz w:val="20"/>
          <w:szCs w:val="20"/>
          <w:color w:val="auto"/>
        </w:rPr>
      </w:pPr>
      <w:r>
        <w:rPr>
          <w:rFonts w:ascii="Times New Roman" w:cs="Times New Roman" w:eastAsia="Times New Roman" w:hAnsi="Times New Roman"/>
          <w:sz w:val="18"/>
          <w:szCs w:val="18"/>
          <w:color w:val="auto"/>
        </w:rPr>
        <w:t>We purchase our tile products and accessories directly from suppliers and manufacture our own setting and maintenance materials, such as thinset, grout, and sealers. We believe that our long-term supplier relationships, together with our design and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we believe that we are a leading retailer of natural stone, man-made and luxury vinyl tiles, setting and maintenance materials, and related accessories in the United States.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information about our net sales, operating income and stores opened from 2021 to 2023.</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7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4"/>
          </w:tcPr>
          <w:p>
            <w:pPr>
              <w:jc w:val="center"/>
              <w:ind w:left="630"/>
              <w:spacing w:after="0"/>
              <w:rPr>
                <w:sz w:val="20"/>
                <w:szCs w:val="20"/>
                <w:color w:val="auto"/>
              </w:rPr>
            </w:pPr>
            <w:r>
              <w:rPr>
                <w:rFonts w:ascii="Times New Roman" w:cs="Times New Roman" w:eastAsia="Times New Roman" w:hAnsi="Times New Roman"/>
                <w:sz w:val="18"/>
                <w:szCs w:val="18"/>
                <w:color w:val="auto"/>
              </w:rPr>
              <w:t>For the year ended December 31,</w:t>
            </w:r>
          </w:p>
        </w:tc>
        <w:tc>
          <w:tcPr>
            <w:tcW w:w="1020" w:type="dxa"/>
            <w:vAlign w:val="bottom"/>
            <w:tcBorders>
              <w:bottom w:val="single" w:sz="8" w:color="auto"/>
            </w:tcBorders>
          </w:tcPr>
          <w:p>
            <w:pPr>
              <w:spacing w:after="0"/>
              <w:rPr>
                <w:sz w:val="19"/>
                <w:szCs w:val="19"/>
                <w:color w:val="auto"/>
              </w:rPr>
            </w:pPr>
          </w:p>
        </w:tc>
      </w:tr>
      <w:tr>
        <w:trPr>
          <w:trHeight w:val="183"/>
        </w:trPr>
        <w:tc>
          <w:tcPr>
            <w:tcW w:w="47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4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50"/>
              <w:spacing w:after="0" w:line="182" w:lineRule="exact"/>
              <w:rPr>
                <w:sz w:val="20"/>
                <w:szCs w:val="20"/>
                <w:color w:val="auto"/>
              </w:rPr>
            </w:pPr>
            <w:r>
              <w:rPr>
                <w:rFonts w:ascii="Times New Roman" w:cs="Times New Roman" w:eastAsia="Times New Roman" w:hAnsi="Times New Roman"/>
                <w:sz w:val="18"/>
                <w:szCs w:val="18"/>
                <w:color w:val="auto"/>
                <w:w w:val="99"/>
              </w:rPr>
              <w:t>2022</w:t>
            </w: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0"/>
              <w:spacing w:after="0" w:line="182" w:lineRule="exact"/>
              <w:rPr>
                <w:sz w:val="20"/>
                <w:szCs w:val="20"/>
                <w:color w:val="auto"/>
              </w:rPr>
            </w:pPr>
            <w:r>
              <w:rPr>
                <w:rFonts w:ascii="Times New Roman" w:cs="Times New Roman" w:eastAsia="Times New Roman" w:hAnsi="Times New Roman"/>
                <w:sz w:val="18"/>
                <w:szCs w:val="18"/>
                <w:color w:val="auto"/>
              </w:rPr>
              <w:t>2021</w:t>
            </w:r>
          </w:p>
        </w:tc>
      </w:tr>
      <w:tr>
        <w:trPr>
          <w:trHeight w:val="183"/>
        </w:trPr>
        <w:tc>
          <w:tcPr>
            <w:tcW w:w="47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360" w:type="dxa"/>
            <w:vAlign w:val="bottom"/>
            <w:gridSpan w:val="4"/>
          </w:tcPr>
          <w:p>
            <w:pPr>
              <w:jc w:val="center"/>
              <w:ind w:left="630"/>
              <w:spacing w:after="0" w:line="182" w:lineRule="exact"/>
              <w:rPr>
                <w:sz w:val="20"/>
                <w:szCs w:val="20"/>
                <w:color w:val="auto"/>
              </w:rPr>
            </w:pPr>
            <w:r>
              <w:rPr>
                <w:rFonts w:ascii="Times New Roman" w:cs="Times New Roman" w:eastAsia="Times New Roman" w:hAnsi="Times New Roman"/>
                <w:sz w:val="18"/>
                <w:szCs w:val="18"/>
                <w:color w:val="auto"/>
                <w:w w:val="99"/>
              </w:rPr>
              <w:t>(in thousands, except store data)</w:t>
            </w:r>
          </w:p>
        </w:tc>
        <w:tc>
          <w:tcPr>
            <w:tcW w:w="1020" w:type="dxa"/>
            <w:vAlign w:val="bottom"/>
          </w:tcPr>
          <w:p>
            <w:pPr>
              <w:spacing w:after="0"/>
              <w:rPr>
                <w:sz w:val="15"/>
                <w:szCs w:val="15"/>
                <w:color w:val="auto"/>
              </w:rPr>
            </w:pPr>
          </w:p>
        </w:tc>
      </w:tr>
      <w:tr>
        <w:trPr>
          <w:trHeight w:val="189"/>
        </w:trPr>
        <w:tc>
          <w:tcPr>
            <w:tcW w:w="47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sales</w:t>
            </w:r>
          </w:p>
        </w:tc>
        <w:tc>
          <w:tcPr>
            <w:tcW w:w="210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377,146</w:t>
            </w:r>
          </w:p>
        </w:tc>
        <w:tc>
          <w:tcPr>
            <w:tcW w:w="440" w:type="dxa"/>
            <w:vAlign w:val="bottom"/>
            <w:shd w:val="clear" w:color="auto" w:fill="CCEEFF"/>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394,702</w:t>
            </w:r>
          </w:p>
        </w:tc>
        <w:tc>
          <w:tcPr>
            <w:tcW w:w="560" w:type="dxa"/>
            <w:vAlign w:val="bottom"/>
            <w:shd w:val="clear" w:color="auto" w:fill="CCEEFF"/>
          </w:tcPr>
          <w:p>
            <w:pPr>
              <w:jc w:val="right"/>
              <w:ind w:right="2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370,700</w:t>
            </w:r>
          </w:p>
        </w:tc>
      </w:tr>
      <w:tr>
        <w:trPr>
          <w:trHeight w:val="189"/>
        </w:trPr>
        <w:tc>
          <w:tcPr>
            <w:tcW w:w="47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Income from operations</w:t>
            </w:r>
          </w:p>
        </w:tc>
        <w:tc>
          <w:tcPr>
            <w:tcW w:w="210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16,158</w:t>
            </w:r>
          </w:p>
        </w:tc>
        <w:tc>
          <w:tcPr>
            <w:tcW w:w="440" w:type="dxa"/>
            <w:vAlign w:val="bottom"/>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22,609</w:t>
            </w:r>
          </w:p>
        </w:tc>
        <w:tc>
          <w:tcPr>
            <w:tcW w:w="560" w:type="dxa"/>
            <w:vAlign w:val="bottom"/>
          </w:tcPr>
          <w:p>
            <w:pPr>
              <w:jc w:val="right"/>
              <w:ind w:right="2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20,610</w:t>
            </w:r>
          </w:p>
        </w:tc>
      </w:tr>
      <w:tr>
        <w:trPr>
          <w:trHeight w:val="189"/>
        </w:trPr>
        <w:tc>
          <w:tcPr>
            <w:tcW w:w="47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cash provided by operating activities</w:t>
            </w:r>
          </w:p>
        </w:tc>
        <w:tc>
          <w:tcPr>
            <w:tcW w:w="210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62,060</w:t>
            </w:r>
          </w:p>
        </w:tc>
        <w:tc>
          <w:tcPr>
            <w:tcW w:w="440" w:type="dxa"/>
            <w:vAlign w:val="bottom"/>
            <w:shd w:val="clear" w:color="auto" w:fill="CCEEFF"/>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2,715</w:t>
            </w:r>
          </w:p>
        </w:tc>
        <w:tc>
          <w:tcPr>
            <w:tcW w:w="560" w:type="dxa"/>
            <w:vAlign w:val="bottom"/>
            <w:shd w:val="clear" w:color="auto" w:fill="CCEEFF"/>
          </w:tcPr>
          <w:p>
            <w:pPr>
              <w:jc w:val="right"/>
              <w:ind w:right="2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39,691</w:t>
            </w: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New stores opened during period</w:t>
            </w:r>
          </w:p>
        </w:tc>
        <w:tc>
          <w:tcPr>
            <w:tcW w:w="1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125"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8"/>
          <w:szCs w:val="18"/>
          <w:color w:val="auto"/>
        </w:rPr>
        <w:t>We serve customers who seek to undertake a wide range of projects; however, many end customers choose to work with us when they choose to remodel their home. Historically, we have monitored existing home sales trends reported by the National Association of REALTORS as a leading indicator of demand in our industry. In 2023, existing home sales decreased compared to 2022, following actions taken by the Federal Reserve to increase interest rates. We believe the decrease in existing home sales has resulted in softening demand for remodel projects and has had an adverse impact on our business. For the year ended December 31, 2023, our comparable store sales decreased by 4.1% due to lower levels of traffic, partially offset by an increase in average ticket value.</w:t>
      </w:r>
    </w:p>
    <w:p>
      <w:pPr>
        <w:spacing w:after="0" w:line="158" w:lineRule="exact"/>
        <w:rPr>
          <w:sz w:val="20"/>
          <w:szCs w:val="20"/>
          <w:color w:val="auto"/>
        </w:rPr>
      </w:pPr>
    </w:p>
    <w:p>
      <w:pPr>
        <w:jc w:val="both"/>
        <w:ind w:right="220"/>
        <w:spacing w:after="0" w:line="236" w:lineRule="auto"/>
        <w:rPr>
          <w:sz w:val="20"/>
          <w:szCs w:val="20"/>
          <w:color w:val="auto"/>
        </w:rPr>
      </w:pPr>
      <w:r>
        <w:rPr>
          <w:rFonts w:ascii="Times New Roman" w:cs="Times New Roman" w:eastAsia="Times New Roman" w:hAnsi="Times New Roman"/>
          <w:sz w:val="18"/>
          <w:szCs w:val="18"/>
          <w:color w:val="auto"/>
        </w:rPr>
        <w:t>Our operating results are heavily dependent upon the prices paid to acquire man-made and natural store products from our suppliers around the world. In 2023, inflationary cost pressures that resulted in gross margin contraction in recent years started to taper due in part to a decrease in international freight rates and steps taken to identify alternative sources of supply. We have generally maintained our pricing, which helped contribute to an improvement in gross margin rates when comparing the first half of 2023 to the second half of the year.</w:t>
      </w:r>
    </w:p>
    <w:p>
      <w:pPr>
        <w:spacing w:after="0" w:line="144"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8"/>
          <w:szCs w:val="18"/>
          <w:color w:val="auto"/>
        </w:rPr>
        <w:t>Selling, general and administrative expenses decreased by $9.4 million or 4.0% to $226.9 million for the year ended December 31, 2023 as compared to the year ended December 31, 2022. The decrease was largely driven by a $6.6 million decrease in variable compensation expenses, a $3.3 million decrease in shipping and transportation expenses and a $2.6 million decrease in occupancy costs, which were partially offset by a $1.6 million increase in IT-related expenses and a $0.9 million increase in marketing expenses. Additionally, asset impairment charges increased by $0.6 million, from $0.4 million in 2022 to $1.0 million in 2023.</w:t>
      </w:r>
    </w:p>
    <w:p>
      <w:pPr>
        <w:spacing w:after="0" w:line="161" w:lineRule="exact"/>
        <w:rPr>
          <w:sz w:val="20"/>
          <w:szCs w:val="20"/>
          <w:color w:val="auto"/>
        </w:rPr>
      </w:pPr>
    </w:p>
    <w:p>
      <w:pPr>
        <w:ind w:right="260"/>
        <w:spacing w:after="0" w:line="242" w:lineRule="auto"/>
        <w:rPr>
          <w:sz w:val="20"/>
          <w:szCs w:val="20"/>
          <w:color w:val="auto"/>
        </w:rPr>
      </w:pPr>
      <w:r>
        <w:rPr>
          <w:rFonts w:ascii="Times New Roman" w:cs="Times New Roman" w:eastAsia="Times New Roman" w:hAnsi="Times New Roman"/>
          <w:sz w:val="18"/>
          <w:szCs w:val="18"/>
          <w:color w:val="auto"/>
        </w:rPr>
        <w:t>During 2023, operating cash flow increased by $59.3 million to $62.1 million for the year ended December 31, 2023 as compared to $2.7 million for the year ended December 31, 2022. Cash generated by operations was used to purchase $15.3 million of property, plant, and equipment and repay $45.4 million of debt. As of December 31, 2023, we had no borrowings outstanding on our revolving line of credit.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189"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8"/>
          <w:szCs w:val="18"/>
          <w:color w:val="auto"/>
        </w:rPr>
        <w:t>The following table sets forth selected historical financial information derived from (i) our audited financial statements included elsewhere in this report as of December 31, 2023 and 2022 and for the years ended December 31, 2023, 2022, and 2021 and (ii) our audited financial statements not included elsewhere in this report as of December 31, 2021, 2020, and 2019 and for the years ended December 31, 2020 and 2019. The following selected financial data should be read in conjunction with the section entitled “Management’s Discussion and Analysis of Financial Condition and Results of Operations” and the financial statements and the related notes appearing elsewhere in this report.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gridSpan w:val="10"/>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 or for the year ended December 31,</w:t>
            </w:r>
          </w:p>
        </w:tc>
        <w:tc>
          <w:tcPr>
            <w:tcW w:w="4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70"/>
              <w:spacing w:after="0" w:line="182" w:lineRule="exact"/>
              <w:rPr>
                <w:sz w:val="20"/>
                <w:szCs w:val="20"/>
                <w:color w:val="auto"/>
              </w:rPr>
            </w:pPr>
            <w:r>
              <w:rPr>
                <w:rFonts w:ascii="Times New Roman" w:cs="Times New Roman" w:eastAsia="Times New Roman" w:hAnsi="Times New Roman"/>
                <w:sz w:val="18"/>
                <w:szCs w:val="18"/>
                <w:color w:val="auto"/>
              </w:rPr>
              <w:t>2022</w:t>
            </w: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0"/>
              <w:spacing w:after="0" w:line="182" w:lineRule="exact"/>
              <w:rPr>
                <w:sz w:val="20"/>
                <w:szCs w:val="20"/>
                <w:color w:val="auto"/>
              </w:rPr>
            </w:pPr>
            <w:r>
              <w:rPr>
                <w:rFonts w:ascii="Times New Roman" w:cs="Times New Roman" w:eastAsia="Times New Roman" w:hAnsi="Times New Roman"/>
                <w:sz w:val="18"/>
                <w:szCs w:val="18"/>
                <w:color w:val="auto"/>
              </w:rPr>
              <w:t>2021</w:t>
            </w: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rPr>
              <w:t>2020</w:t>
            </w: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rPr>
              <w:t>2019</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Statement of Income Data</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60" w:type="dxa"/>
            <w:vAlign w:val="bottom"/>
            <w:gridSpan w:val="8"/>
          </w:tcPr>
          <w:p>
            <w:pPr>
              <w:jc w:val="right"/>
              <w:ind w:right="370"/>
              <w:spacing w:after="0"/>
              <w:rPr>
                <w:sz w:val="20"/>
                <w:szCs w:val="20"/>
                <w:color w:val="auto"/>
              </w:rPr>
            </w:pPr>
            <w:r>
              <w:rPr>
                <w:rFonts w:ascii="Times New Roman" w:cs="Times New Roman" w:eastAsia="Times New Roman" w:hAnsi="Times New Roman"/>
                <w:sz w:val="18"/>
                <w:szCs w:val="18"/>
                <w:color w:val="auto"/>
              </w:rPr>
              <w:t>(in thousands, except per share and store data)</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34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sales</w:t>
            </w:r>
          </w:p>
        </w:tc>
        <w:tc>
          <w:tcPr>
            <w:tcW w:w="580" w:type="dxa"/>
            <w:vAlign w:val="bottom"/>
            <w:gridSpan w:val="2"/>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377,146</w:t>
            </w:r>
          </w:p>
        </w:tc>
        <w:tc>
          <w:tcPr>
            <w:tcW w:w="2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394,702</w:t>
            </w:r>
          </w:p>
        </w:tc>
        <w:tc>
          <w:tcPr>
            <w:tcW w:w="3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56"/>
              <w:spacing w:after="0" w:line="18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370,700</w:t>
            </w:r>
          </w:p>
        </w:tc>
        <w:tc>
          <w:tcPr>
            <w:tcW w:w="660" w:type="dxa"/>
            <w:vAlign w:val="bottom"/>
            <w:gridSpan w:val="2"/>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325,057</w:t>
            </w: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340,351</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134,085</w:t>
            </w:r>
          </w:p>
        </w:tc>
        <w:tc>
          <w:tcPr>
            <w:tcW w:w="2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135,765</w:t>
            </w:r>
          </w:p>
        </w:tc>
        <w:tc>
          <w:tcPr>
            <w:tcW w:w="3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117,570</w:t>
            </w:r>
          </w:p>
        </w:tc>
        <w:tc>
          <w:tcPr>
            <w:tcW w:w="4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103,532</w:t>
            </w:r>
          </w:p>
        </w:tc>
        <w:tc>
          <w:tcPr>
            <w:tcW w:w="4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104,232</w:t>
            </w:r>
          </w:p>
        </w:tc>
        <w:tc>
          <w:tcPr>
            <w:tcW w:w="2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243,061</w:t>
            </w: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258,937</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253,130</w:t>
            </w: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221,525</w:t>
            </w: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236,119</w:t>
            </w: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42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expenses</w:t>
            </w:r>
          </w:p>
        </w:tc>
        <w:tc>
          <w:tcPr>
            <w:tcW w:w="3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226,903</w:t>
            </w:r>
          </w:p>
        </w:tc>
        <w:tc>
          <w:tcPr>
            <w:tcW w:w="2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236,328</w:t>
            </w:r>
          </w:p>
        </w:tc>
        <w:tc>
          <w:tcPr>
            <w:tcW w:w="3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232,520</w:t>
            </w:r>
          </w:p>
        </w:tc>
        <w:tc>
          <w:tcPr>
            <w:tcW w:w="4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215,149</w:t>
            </w:r>
          </w:p>
        </w:tc>
        <w:tc>
          <w:tcPr>
            <w:tcW w:w="4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237,476</w:t>
            </w:r>
          </w:p>
        </w:tc>
        <w:tc>
          <w:tcPr>
            <w:tcW w:w="2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4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Income (loss) from operations</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16,158</w:t>
            </w: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22,609</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20,610</w:t>
            </w: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6,376</w:t>
            </w: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(1,357)</w:t>
            </w: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(2,164)</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(1,579)</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(656)</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(1,874)</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ind w:right="280"/>
              <w:spacing w:after="0" w:line="189" w:lineRule="exact"/>
              <w:rPr>
                <w:sz w:val="20"/>
                <w:szCs w:val="20"/>
                <w:color w:val="auto"/>
              </w:rPr>
            </w:pPr>
            <w:r>
              <w:rPr>
                <w:rFonts w:ascii="Times New Roman" w:cs="Times New Roman" w:eastAsia="Times New Roman" w:hAnsi="Times New Roman"/>
                <w:sz w:val="18"/>
                <w:szCs w:val="18"/>
                <w:color w:val="auto"/>
              </w:rPr>
              <w:t>(3,792)</w:t>
            </w: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13,994</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21,030</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19,954</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4,502</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(5,137)</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(Provision) benefit for income taxes</w:t>
            </w:r>
          </w:p>
        </w:tc>
        <w:tc>
          <w:tcPr>
            <w:tcW w:w="3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(3,923)</w:t>
            </w: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(5,327)</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(5,180)</w:t>
            </w:r>
          </w:p>
        </w:tc>
        <w:tc>
          <w:tcPr>
            <w:tcW w:w="4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1,529</w:t>
            </w:r>
          </w:p>
        </w:tc>
        <w:tc>
          <w:tcPr>
            <w:tcW w:w="4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674</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420" w:type="dxa"/>
            <w:vAlign w:val="bottom"/>
            <w:tcBorders>
              <w:bottom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Net income (loss)</w:t>
            </w:r>
          </w:p>
        </w:tc>
        <w:tc>
          <w:tcPr>
            <w:tcW w:w="3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10,071</w:t>
            </w:r>
          </w:p>
        </w:tc>
        <w:tc>
          <w:tcPr>
            <w:tcW w:w="2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15,703</w:t>
            </w:r>
          </w:p>
        </w:tc>
        <w:tc>
          <w:tcPr>
            <w:tcW w:w="3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14,774</w:t>
            </w:r>
          </w:p>
        </w:tc>
        <w:tc>
          <w:tcPr>
            <w:tcW w:w="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6,031</w:t>
            </w:r>
          </w:p>
        </w:tc>
        <w:tc>
          <w:tcPr>
            <w:tcW w:w="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(4,463)</w:t>
            </w:r>
          </w:p>
        </w:tc>
        <w:tc>
          <w:tcPr>
            <w:tcW w:w="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42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Earnings (loss) per share</w:t>
            </w: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7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0.23</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0.32</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5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0.29</w:t>
            </w: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0.12</w:t>
            </w: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5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(0.09)</w:t>
            </w: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42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Weighted average shares</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(diluted)</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49,247</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51,085</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50,584</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50,624</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Balance Sheet Data</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Cash and cash equivalents</w:t>
            </w:r>
          </w:p>
        </w:tc>
        <w:tc>
          <w:tcPr>
            <w:tcW w:w="580" w:type="dxa"/>
            <w:vAlign w:val="bottom"/>
            <w:gridSpan w:val="2"/>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8,620</w:t>
            </w:r>
          </w:p>
        </w:tc>
        <w:tc>
          <w:tcPr>
            <w:tcW w:w="280" w:type="dxa"/>
            <w:vAlign w:val="bottom"/>
          </w:tcPr>
          <w:p>
            <w:pPr>
              <w:spacing w:after="0"/>
              <w:rPr>
                <w:sz w:val="16"/>
                <w:szCs w:val="16"/>
                <w:color w:val="auto"/>
              </w:rPr>
            </w:pPr>
          </w:p>
        </w:tc>
        <w:tc>
          <w:tcPr>
            <w:tcW w:w="3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5,948</w:t>
            </w:r>
          </w:p>
        </w:tc>
        <w:tc>
          <w:tcPr>
            <w:tcW w:w="300" w:type="dxa"/>
            <w:vAlign w:val="bottom"/>
          </w:tcPr>
          <w:p>
            <w:pPr>
              <w:spacing w:after="0"/>
              <w:rPr>
                <w:sz w:val="16"/>
                <w:szCs w:val="16"/>
                <w:color w:val="auto"/>
              </w:rPr>
            </w:pPr>
          </w:p>
        </w:tc>
        <w:tc>
          <w:tcPr>
            <w:tcW w:w="380" w:type="dxa"/>
            <w:vAlign w:val="bottom"/>
            <w:gridSpan w:val="2"/>
          </w:tcPr>
          <w:p>
            <w:pPr>
              <w:jc w:val="right"/>
              <w:ind w:right="56"/>
              <w:spacing w:after="0" w:line="18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9,358</w:t>
            </w:r>
          </w:p>
        </w:tc>
        <w:tc>
          <w:tcPr>
            <w:tcW w:w="660" w:type="dxa"/>
            <w:vAlign w:val="bottom"/>
            <w:gridSpan w:val="2"/>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9,617</w:t>
            </w:r>
          </w:p>
        </w:tc>
        <w:tc>
          <w:tcPr>
            <w:tcW w:w="440" w:type="dxa"/>
            <w:vAlign w:val="bottom"/>
          </w:tcPr>
          <w:p>
            <w:pPr>
              <w:spacing w:after="0"/>
              <w:rPr>
                <w:sz w:val="16"/>
                <w:szCs w:val="16"/>
                <w:color w:val="auto"/>
              </w:rPr>
            </w:pPr>
          </w:p>
        </w:tc>
        <w:tc>
          <w:tcPr>
            <w:tcW w:w="220" w:type="dxa"/>
            <w:vAlign w:val="bottom"/>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9,104</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93,679</w:t>
            </w: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120,952</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97,175</w:t>
            </w: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74,296</w:t>
            </w: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97,620</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316,672</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345,822</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340,758</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342,690</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399,814</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Lease obligations</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139,962</w:t>
            </w: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131,219</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138,451</w:t>
            </w: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149,901</w:t>
            </w: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158,718</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Total debt</w:t>
            </w:r>
            <w:r>
              <w:rPr>
                <w:rFonts w:ascii="Times New Roman" w:cs="Times New Roman" w:eastAsia="Times New Roman" w:hAnsi="Times New Roman"/>
                <w:sz w:val="29"/>
                <w:szCs w:val="29"/>
                <w:color w:val="auto"/>
                <w:vertAlign w:val="superscript"/>
              </w:rPr>
              <w:t>(1)</w:t>
            </w: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45,400</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63,000</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119,687</w:t>
            </w: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108,769</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122,224</w:t>
            </w: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139,062</w:t>
            </w: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130,899</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Working capital</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35,813</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63,112</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29,369</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27,850</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52,329</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Cash Flow Data</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42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Net cash provided by operating</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activities</w:t>
            </w:r>
          </w:p>
        </w:tc>
        <w:tc>
          <w:tcPr>
            <w:tcW w:w="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62,060</w:t>
            </w:r>
          </w:p>
        </w:tc>
        <w:tc>
          <w:tcPr>
            <w:tcW w:w="28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300" w:type="dxa"/>
            <w:vAlign w:val="bottom"/>
          </w:tcPr>
          <w:p>
            <w:pPr>
              <w:spacing w:after="0"/>
              <w:rPr>
                <w:sz w:val="20"/>
                <w:szCs w:val="20"/>
                <w:color w:val="auto"/>
              </w:rPr>
            </w:pPr>
          </w:p>
        </w:tc>
        <w:tc>
          <w:tcPr>
            <w:tcW w:w="3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39,691</w:t>
            </w:r>
          </w:p>
        </w:tc>
        <w:tc>
          <w:tcPr>
            <w:tcW w:w="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65,596</w:t>
            </w:r>
          </w:p>
        </w:tc>
        <w:tc>
          <w:tcPr>
            <w:tcW w:w="440" w:type="dxa"/>
            <w:vAlign w:val="bottom"/>
          </w:tcPr>
          <w:p>
            <w:pPr>
              <w:spacing w:after="0"/>
              <w:rPr>
                <w:sz w:val="20"/>
                <w:szCs w:val="20"/>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38,563</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(15,255)</w:t>
            </w: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(14,027)</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(11,070)</w:t>
            </w: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(1,968)</w:t>
            </w: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0"/>
              <w:spacing w:after="0" w:line="189" w:lineRule="exact"/>
              <w:rPr>
                <w:sz w:val="20"/>
                <w:szCs w:val="20"/>
                <w:color w:val="auto"/>
              </w:rPr>
            </w:pPr>
            <w:r>
              <w:rPr>
                <w:rFonts w:ascii="Times New Roman" w:cs="Times New Roman" w:eastAsia="Times New Roman" w:hAnsi="Times New Roman"/>
                <w:sz w:val="18"/>
                <w:szCs w:val="18"/>
                <w:color w:val="auto"/>
              </w:rPr>
              <w:t>(26,390)</w:t>
            </w:r>
          </w:p>
        </w:tc>
        <w:tc>
          <w:tcPr>
            <w:tcW w:w="0" w:type="dxa"/>
            <w:vAlign w:val="bottom"/>
          </w:tcPr>
          <w:p>
            <w:pPr>
              <w:spacing w:after="0"/>
              <w:rPr>
                <w:sz w:val="1"/>
                <w:szCs w:val="1"/>
                <w:color w:val="auto"/>
              </w:rPr>
            </w:pPr>
          </w:p>
        </w:tc>
      </w:tr>
      <w:tr>
        <w:trPr>
          <w:trHeight w:val="157"/>
        </w:trPr>
        <w:tc>
          <w:tcPr>
            <w:tcW w:w="342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Net cash (used in) provided by</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(28,902)</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(63,329)</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(8,622)</w:t>
            </w:r>
          </w:p>
        </w:tc>
        <w:tc>
          <w:tcPr>
            <w:tcW w:w="0" w:type="dxa"/>
            <w:vAlign w:val="bottom"/>
          </w:tcPr>
          <w:p>
            <w:pPr>
              <w:spacing w:after="0"/>
              <w:rPr>
                <w:sz w:val="1"/>
                <w:szCs w:val="1"/>
                <w:color w:val="auto"/>
              </w:rPr>
            </w:pPr>
          </w:p>
        </w:tc>
      </w:tr>
      <w:tr>
        <w:trPr>
          <w:trHeight w:val="153"/>
        </w:trPr>
        <w:tc>
          <w:tcPr>
            <w:tcW w:w="342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7"/>
                <w:szCs w:val="17"/>
                <w:b w:val="1"/>
                <w:bCs w:val="1"/>
                <w:color w:val="auto"/>
              </w:rPr>
              <w:t>Other Selected Financial Data</w:t>
            </w: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4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Dividends paid per share</w:t>
            </w:r>
          </w:p>
        </w:tc>
        <w:tc>
          <w:tcPr>
            <w:tcW w:w="580" w:type="dxa"/>
            <w:vAlign w:val="bottom"/>
            <w:gridSpan w:val="2"/>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6"/>
                <w:szCs w:val="16"/>
                <w:color w:val="auto"/>
              </w:rPr>
            </w:pPr>
          </w:p>
        </w:tc>
        <w:tc>
          <w:tcPr>
            <w:tcW w:w="3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6"/>
                <w:szCs w:val="16"/>
                <w:color w:val="auto"/>
              </w:rPr>
            </w:pPr>
          </w:p>
        </w:tc>
        <w:tc>
          <w:tcPr>
            <w:tcW w:w="380" w:type="dxa"/>
            <w:vAlign w:val="bottom"/>
            <w:gridSpan w:val="2"/>
          </w:tcPr>
          <w:p>
            <w:pPr>
              <w:jc w:val="right"/>
              <w:ind w:right="56"/>
              <w:spacing w:after="0" w:line="18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0.65</w:t>
            </w:r>
          </w:p>
        </w:tc>
        <w:tc>
          <w:tcPr>
            <w:tcW w:w="660" w:type="dxa"/>
            <w:vAlign w:val="bottom"/>
            <w:gridSpan w:val="2"/>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6"/>
                <w:szCs w:val="16"/>
                <w:color w:val="auto"/>
              </w:rPr>
            </w:pPr>
          </w:p>
        </w:tc>
        <w:tc>
          <w:tcPr>
            <w:tcW w:w="220" w:type="dxa"/>
            <w:vAlign w:val="bottom"/>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0.15</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(2)</w:t>
            </w:r>
          </w:p>
        </w:tc>
        <w:tc>
          <w:tcPr>
            <w:tcW w:w="3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38,779</w:t>
            </w:r>
          </w:p>
        </w:tc>
        <w:tc>
          <w:tcPr>
            <w:tcW w:w="2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49,583</w:t>
            </w: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50,255</w:t>
            </w:r>
          </w:p>
        </w:tc>
        <w:tc>
          <w:tcPr>
            <w:tcW w:w="4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39,953</w:t>
            </w:r>
          </w:p>
        </w:tc>
        <w:tc>
          <w:tcPr>
            <w:tcW w:w="4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34,846</w:t>
            </w:r>
          </w:p>
        </w:tc>
        <w:tc>
          <w:tcPr>
            <w:tcW w:w="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9"/>
                <w:szCs w:val="29"/>
                <w:color w:val="auto"/>
                <w:vertAlign w:val="superscript"/>
              </w:rPr>
              <w:t>(2)</w:t>
            </w: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10.3 %</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12.6 %</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13.6 %</w:t>
            </w:r>
          </w:p>
        </w:tc>
        <w:tc>
          <w:tcPr>
            <w:tcW w:w="220" w:type="dxa"/>
            <w:vAlign w:val="bottom"/>
          </w:tcPr>
          <w:p>
            <w:pPr>
              <w:spacing w:after="0"/>
              <w:rPr>
                <w:sz w:val="22"/>
                <w:szCs w:val="22"/>
                <w:color w:val="auto"/>
              </w:rPr>
            </w:pPr>
          </w:p>
        </w:tc>
        <w:tc>
          <w:tcPr>
            <w:tcW w:w="12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12.3 %</w:t>
            </w:r>
          </w:p>
        </w:tc>
        <w:tc>
          <w:tcPr>
            <w:tcW w:w="22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57"/>
        </w:trPr>
        <w:tc>
          <w:tcPr>
            <w:tcW w:w="3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Gross margin rate</w:t>
            </w:r>
            <w:r>
              <w:rPr>
                <w:rFonts w:ascii="Times New Roman" w:cs="Times New Roman" w:eastAsia="Times New Roman" w:hAnsi="Times New Roman"/>
                <w:sz w:val="29"/>
                <w:szCs w:val="29"/>
                <w:color w:val="auto"/>
                <w:vertAlign w:val="superscript"/>
              </w:rPr>
              <w:t>(3)</w:t>
            </w:r>
          </w:p>
        </w:tc>
        <w:tc>
          <w:tcPr>
            <w:tcW w:w="3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64.4 %</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65.6 %</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68.3 %</w:t>
            </w:r>
          </w:p>
        </w:tc>
        <w:tc>
          <w:tcPr>
            <w:tcW w:w="2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68.1 %</w:t>
            </w:r>
          </w:p>
        </w:tc>
        <w:tc>
          <w:tcPr>
            <w:tcW w:w="2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69.4 %</w:t>
            </w:r>
          </w:p>
        </w:tc>
        <w:tc>
          <w:tcPr>
            <w:tcW w:w="0" w:type="dxa"/>
            <w:vAlign w:val="bottom"/>
          </w:tcPr>
          <w:p>
            <w:pPr>
              <w:spacing w:after="0"/>
              <w:rPr>
                <w:sz w:val="1"/>
                <w:szCs w:val="1"/>
                <w:color w:val="auto"/>
              </w:rPr>
            </w:pPr>
          </w:p>
        </w:tc>
      </w:tr>
      <w:tr>
        <w:trPr>
          <w:trHeight w:val="257"/>
        </w:trPr>
        <w:tc>
          <w:tcPr>
            <w:tcW w:w="3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Operating income (loss) margin</w:t>
            </w:r>
            <w:r>
              <w:rPr>
                <w:rFonts w:ascii="Times New Roman" w:cs="Times New Roman" w:eastAsia="Times New Roman" w:hAnsi="Times New Roman"/>
                <w:sz w:val="29"/>
                <w:szCs w:val="29"/>
                <w:color w:val="auto"/>
                <w:vertAlign w:val="superscript"/>
              </w:rPr>
              <w:t>(4)</w:t>
            </w: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56"/>
        </w:trPr>
        <w:tc>
          <w:tcPr>
            <w:tcW w:w="3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Comparable store sales (decline) growth</w:t>
            </w:r>
            <w:r>
              <w:rPr>
                <w:rFonts w:ascii="Times New Roman" w:cs="Times New Roman" w:eastAsia="Times New Roman" w:hAnsi="Times New Roman"/>
                <w:sz w:val="29"/>
                <w:szCs w:val="29"/>
                <w:color w:val="auto"/>
                <w:vertAlign w:val="superscript"/>
              </w:rPr>
              <w:t>(5)</w:t>
            </w:r>
          </w:p>
        </w:tc>
        <w:tc>
          <w:tcPr>
            <w:tcW w:w="3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Stores open at end of period</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4"/>
        </w:trPr>
        <w:tc>
          <w:tcPr>
            <w:tcW w:w="3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99"/>
              </w:rPr>
              <w:t>24</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3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1" w:lineRule="exact"/>
        <w:rPr>
          <w:sz w:val="20"/>
          <w:szCs w:val="20"/>
          <w:color w:val="auto"/>
        </w:rPr>
      </w:pPr>
    </w:p>
    <w:p>
      <w:pPr>
        <w:ind w:left="440" w:hanging="432"/>
        <w:spacing w:after="0"/>
        <w:tabs>
          <w:tab w:leader="none" w:pos="44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Total debt includes current maturities of long-term debt and long-term debt balances.</w:t>
      </w:r>
    </w:p>
    <w:p>
      <w:pPr>
        <w:spacing w:after="0" w:line="55" w:lineRule="exact"/>
        <w:rPr>
          <w:rFonts w:ascii="Times New Roman" w:cs="Times New Roman" w:eastAsia="Times New Roman" w:hAnsi="Times New Roman"/>
          <w:sz w:val="30"/>
          <w:szCs w:val="30"/>
          <w:color w:val="auto"/>
          <w:vertAlign w:val="superscript"/>
        </w:rPr>
      </w:pPr>
    </w:p>
    <w:p>
      <w:pPr>
        <w:ind w:left="440" w:right="140" w:hanging="432"/>
        <w:spacing w:after="0" w:line="197" w:lineRule="auto"/>
        <w:tabs>
          <w:tab w:leader="none" w:pos="44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We calculate Adjusted EBITDA by taking net income calculated in accordance with accounting principles generally accepted in the United States (“GAAP”) and adjusting for interest expense, income taxes, depreciation and amortization, and stock based compensation expense. Adjusted EBITDA margin is equal to Adjusted EBITDA divided by net sales. For more information about Adjusted EBITDA and Adjusted EBITDA margin, see “Non-GAAP Measures” below.</w:t>
      </w:r>
    </w:p>
    <w:p>
      <w:pPr>
        <w:spacing w:after="0" w:line="1" w:lineRule="exact"/>
        <w:rPr>
          <w:rFonts w:ascii="Times New Roman" w:cs="Times New Roman" w:eastAsia="Times New Roman" w:hAnsi="Times New Roman"/>
          <w:sz w:val="30"/>
          <w:szCs w:val="30"/>
          <w:color w:val="auto"/>
          <w:vertAlign w:val="superscript"/>
        </w:rPr>
      </w:pPr>
    </w:p>
    <w:p>
      <w:pPr>
        <w:ind w:left="440" w:hanging="432"/>
        <w:spacing w:after="0" w:line="184" w:lineRule="auto"/>
        <w:tabs>
          <w:tab w:leader="none" w:pos="44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Gross margin rate is equal to gross profit divided by net sales.</w:t>
      </w:r>
    </w:p>
    <w:p>
      <w:pPr>
        <w:spacing w:after="0" w:line="56" w:lineRule="exact"/>
        <w:rPr>
          <w:rFonts w:ascii="Times New Roman" w:cs="Times New Roman" w:eastAsia="Times New Roman" w:hAnsi="Times New Roman"/>
          <w:sz w:val="29"/>
          <w:szCs w:val="29"/>
          <w:color w:val="auto"/>
          <w:vertAlign w:val="superscript"/>
        </w:rPr>
      </w:pPr>
    </w:p>
    <w:p>
      <w:pPr>
        <w:ind w:left="440" w:hanging="432"/>
        <w:spacing w:after="0" w:line="194" w:lineRule="auto"/>
        <w:tabs>
          <w:tab w:leader="none" w:pos="44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Operating income (loss) margin is equal to income (loss) from operations divided by net sales.</w:t>
      </w:r>
    </w:p>
    <w:p>
      <w:pPr>
        <w:spacing w:after="0" w:line="42" w:lineRule="exact"/>
        <w:rPr>
          <w:rFonts w:ascii="Times New Roman" w:cs="Times New Roman" w:eastAsia="Times New Roman" w:hAnsi="Times New Roman"/>
          <w:sz w:val="23"/>
          <w:szCs w:val="23"/>
          <w:color w:val="auto"/>
          <w:vertAlign w:val="superscript"/>
        </w:rPr>
      </w:pPr>
    </w:p>
    <w:p>
      <w:pPr>
        <w:ind w:left="440" w:right="60" w:hanging="432"/>
        <w:spacing w:after="0" w:line="208" w:lineRule="auto"/>
        <w:tabs>
          <w:tab w:leader="none" w:pos="44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Comparable store sales growth (decline) is the percentage change in sales of comparable stores period-over-period. A store is considered comparable on the first day of the 13th full month of operation. When a store is relocated, it is excluded from the comparable store sales growth calculation. Comparable store sales growth (decline) amounts include total charges to customers less any actual returns. We include the change in the allowance for anticipated sales returns applicable to comparable stores in the comparable store sales calculation. Comparable store sales data reported by other companies may be prepared on a different basis and therefore may not be useful for purposes of comparing our results to those of other businesses. Company management believes the comparable store sales growth (decline) metric provides useful information to both management and investors to evaluate the Company’s performance, the effectiveness of its strategy and its competitive position.</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Consolidated Statements of Income</w:t>
      </w:r>
    </w:p>
    <w:p>
      <w:pPr>
        <w:spacing w:after="0" w:line="185"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 Net sales represents total charges to customers, net of returns, and includes freight charged to customers. We recognize sales at the time that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 takes control of the merchandise or final delivery of the product has occurred. We are required to charge and collect sales and other taxes on sales to our customers and remit these taxes back to government authorities. Total revenues do not include sales tax because we are a pass-through conduit for collecting and remitting sales tax. Sales are reduced by a reserve for anticipated sales returns that we estimate based on historical returns.</w:t>
      </w:r>
    </w:p>
    <w:p>
      <w:pPr>
        <w:spacing w:after="0" w:line="158"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Comparable store sales growth is the percentage change in sales of comparable stores period-over-period. A store is considered comparable on the first day of the 13th full month of operation. When a store is relocated, it is excluded from the comparable store sales growth calculation. Comparable store sales growth amounts include total charges to customers less any actual returns. We include the change in allowance for anticipated sales returns applicable to comparable stores in the comparable store sales calculation. Comparable store sales data reported by other companies may be prepared on a different basis and therefore may not be useful for purposes of comparing our results to those of other businesses. Company management believes the comparable store sales growth (decline) metric provides useful information to both management and investors to evaluate the Company’s performance, the effectiveness of its strategy and its competitive position.</w:t>
      </w:r>
    </w:p>
    <w:p>
      <w:pPr>
        <w:spacing w:after="0" w:line="142"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w:t>
      </w:r>
      <w:r>
        <w:rPr>
          <w:rFonts w:ascii="Times New Roman" w:cs="Times New Roman" w:eastAsia="Times New Roman" w:hAnsi="Times New Roman"/>
          <w:sz w:val="18"/>
          <w:szCs w:val="18"/>
          <w:color w:val="auto"/>
        </w:rPr>
        <w:t>– Cost of sales consists primarily of material costs, freight, customs and duty fees, and storage and delivery of product to the customers,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well as physical inventory losses and costs associated with manufacturing of setting and maintenance materials.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 Gross profit is net sales less cost of sales. Gross margin rate is the percentage determined by dividing gross profit by net sales.</w:t>
      </w:r>
    </w:p>
    <w:p>
      <w:pPr>
        <w:spacing w:after="0" w:line="18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 Selling, general and administrative expenses consist primarily of compensation costs, occupancy, utilities,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maintenance costs, advertising costs, shipping and transportation expenses to move inventory from our distribution centers to our stores, and depreciation and amortization.</w:t>
      </w:r>
    </w:p>
    <w:p>
      <w:pPr>
        <w:spacing w:after="0" w:line="149" w:lineRule="exact"/>
        <w:rPr>
          <w:sz w:val="20"/>
          <w:szCs w:val="20"/>
          <w:color w:val="auto"/>
        </w:rPr>
      </w:pPr>
    </w:p>
    <w:p>
      <w:pPr>
        <w:ind w:right="68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Pre-opening Costs </w:t>
      </w:r>
      <w:r>
        <w:rPr>
          <w:rFonts w:ascii="Times New Roman" w:cs="Times New Roman" w:eastAsia="Times New Roman" w:hAnsi="Times New Roman"/>
          <w:sz w:val="18"/>
          <w:szCs w:val="18"/>
          <w:color w:val="auto"/>
        </w:rPr>
        <w:t>– Our pre-opening costs are those typically associated with the opening of a new store and generally include rent expense,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costs and promotional costs. We expense pre-opening costs as incurred and include these costs in selling, general and administrative expenses.</w:t>
      </w:r>
    </w:p>
    <w:p>
      <w:pPr>
        <w:spacing w:after="0" w:line="136" w:lineRule="exact"/>
        <w:rPr>
          <w:sz w:val="20"/>
          <w:szCs w:val="20"/>
          <w:color w:val="auto"/>
        </w:rPr>
      </w:pPr>
    </w:p>
    <w:p>
      <w:pPr>
        <w:ind w:left="5540" w:right="1880" w:hanging="552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 We are subject to income tax in the United States as well as other tax jurisdictions in which we conduct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64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601"/>
        </w:trPr>
        <w:tc>
          <w:tcPr>
            <w:tcW w:w="69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Comparison of the Year Ended December 31, 2023 to the Year Ended December 31, 2022</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10"/>
        </w:trPr>
        <w:tc>
          <w:tcPr>
            <w:tcW w:w="12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150"/>
              <w:spacing w:after="0" w:line="310" w:lineRule="exact"/>
              <w:rPr>
                <w:sz w:val="20"/>
                <w:szCs w:val="20"/>
                <w:color w:val="auto"/>
              </w:rPr>
            </w:pPr>
            <w:r>
              <w:rPr>
                <w:rFonts w:ascii="Times New Roman" w:cs="Times New Roman" w:eastAsia="Times New Roman" w:hAnsi="Times New Roman"/>
                <w:sz w:val="18"/>
                <w:szCs w:val="18"/>
                <w:color w:val="auto"/>
              </w:rPr>
              <w:t>% of sales</w:t>
            </w:r>
            <w:r>
              <w:rPr>
                <w:rFonts w:ascii="Times New Roman" w:cs="Times New Roman" w:eastAsia="Times New Roman" w:hAnsi="Times New Roman"/>
                <w:sz w:val="29"/>
                <w:szCs w:val="29"/>
                <w:color w:val="auto"/>
                <w:vertAlign w:val="superscript"/>
              </w:rPr>
              <w:t>(1)</w:t>
            </w: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94"/>
              </w:rPr>
              <w:t>2022</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of sales</w:t>
            </w:r>
          </w:p>
        </w:tc>
        <w:tc>
          <w:tcPr>
            <w:tcW w:w="320" w:type="dxa"/>
            <w:vAlign w:val="bottom"/>
            <w:tcBorders>
              <w:bottom w:val="single" w:sz="8" w:color="auto"/>
            </w:tcBorders>
          </w:tcPr>
          <w:p>
            <w:pPr>
              <w:spacing w:after="0"/>
              <w:rPr>
                <w:sz w:val="24"/>
                <w:szCs w:val="24"/>
                <w:color w:val="auto"/>
              </w:rPr>
            </w:pPr>
          </w:p>
        </w:tc>
      </w:tr>
      <w:tr>
        <w:trPr>
          <w:trHeight w:val="183"/>
        </w:trPr>
        <w:tc>
          <w:tcPr>
            <w:tcW w:w="12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8"/>
                <w:szCs w:val="18"/>
                <w:color w:val="auto"/>
              </w:rPr>
              <w:t>($ in thousands)</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9"/>
        </w:trPr>
        <w:tc>
          <w:tcPr>
            <w:tcW w:w="42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sales</w:t>
            </w:r>
          </w:p>
        </w:tc>
        <w:tc>
          <w:tcPr>
            <w:tcW w:w="1320" w:type="dxa"/>
            <w:vAlign w:val="bottom"/>
            <w:gridSpan w:val="2"/>
            <w:shd w:val="clear" w:color="auto" w:fill="CCEEFF"/>
          </w:tcPr>
          <w:p>
            <w:pPr>
              <w:jc w:val="right"/>
              <w:ind w:right="13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377,146</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100.0</w:t>
            </w:r>
          </w:p>
        </w:tc>
        <w:tc>
          <w:tcPr>
            <w:tcW w:w="340" w:type="dxa"/>
            <w:vAlign w:val="bottom"/>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336"/>
              <w:spacing w:after="0" w:line="18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394,702</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w w:val="93"/>
              </w:rPr>
              <w:t>%</w:t>
            </w:r>
          </w:p>
        </w:tc>
      </w:tr>
      <w:tr>
        <w:trPr>
          <w:trHeight w:val="189"/>
        </w:trPr>
        <w:tc>
          <w:tcPr>
            <w:tcW w:w="4240" w:type="dxa"/>
            <w:vAlign w:val="bottom"/>
            <w:tcBorders>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Cost of sales</w:t>
            </w:r>
          </w:p>
        </w:tc>
        <w:tc>
          <w:tcPr>
            <w:tcW w:w="1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134,085</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35.6</w:t>
            </w:r>
          </w:p>
        </w:tc>
        <w:tc>
          <w:tcPr>
            <w:tcW w:w="340" w:type="dxa"/>
            <w:vAlign w:val="bottom"/>
            <w:tcBorders>
              <w:bottom w:val="single" w:sz="8" w:color="auto"/>
            </w:tcBorders>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135,765</w:t>
            </w:r>
          </w:p>
        </w:tc>
        <w:tc>
          <w:tcPr>
            <w:tcW w:w="1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34.4</w:t>
            </w:r>
          </w:p>
        </w:tc>
        <w:tc>
          <w:tcPr>
            <w:tcW w:w="320" w:type="dxa"/>
            <w:vAlign w:val="bottom"/>
            <w:tcBorders>
              <w:bottom w:val="single" w:sz="8" w:color="auto"/>
            </w:tcBorders>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w w:val="93"/>
              </w:rPr>
              <w:t>%</w:t>
            </w:r>
          </w:p>
        </w:tc>
      </w:tr>
      <w:tr>
        <w:trPr>
          <w:trHeight w:val="183"/>
        </w:trPr>
        <w:tc>
          <w:tcPr>
            <w:tcW w:w="424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243,061</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64.4</w:t>
            </w:r>
          </w:p>
        </w:tc>
        <w:tc>
          <w:tcPr>
            <w:tcW w:w="340" w:type="dxa"/>
            <w:vAlign w:val="bottom"/>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258,937</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65.6</w:t>
            </w:r>
          </w:p>
        </w:tc>
        <w:tc>
          <w:tcPr>
            <w:tcW w:w="320" w:type="dxa"/>
            <w:vAlign w:val="bottom"/>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93"/>
              </w:rPr>
              <w:t>%</w:t>
            </w:r>
          </w:p>
        </w:tc>
      </w:tr>
      <w:tr>
        <w:trPr>
          <w:trHeight w:val="189"/>
        </w:trPr>
        <w:tc>
          <w:tcPr>
            <w:tcW w:w="4240" w:type="dxa"/>
            <w:vAlign w:val="bottom"/>
            <w:tcBorders>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226,903</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60.2</w:t>
            </w:r>
          </w:p>
        </w:tc>
        <w:tc>
          <w:tcPr>
            <w:tcW w:w="340" w:type="dxa"/>
            <w:vAlign w:val="bottom"/>
            <w:tcBorders>
              <w:bottom w:val="single" w:sz="8" w:color="auto"/>
            </w:tcBorders>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236,328</w:t>
            </w:r>
          </w:p>
        </w:tc>
        <w:tc>
          <w:tcPr>
            <w:tcW w:w="1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59.9</w:t>
            </w:r>
          </w:p>
        </w:tc>
        <w:tc>
          <w:tcPr>
            <w:tcW w:w="320" w:type="dxa"/>
            <w:vAlign w:val="bottom"/>
            <w:tcBorders>
              <w:bottom w:val="single" w:sz="8" w:color="auto"/>
            </w:tcBorders>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w w:val="93"/>
              </w:rPr>
              <w:t>%</w:t>
            </w:r>
          </w:p>
        </w:tc>
      </w:tr>
      <w:tr>
        <w:trPr>
          <w:trHeight w:val="183"/>
        </w:trPr>
        <w:tc>
          <w:tcPr>
            <w:tcW w:w="424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Income from operations</w:t>
            </w: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16,158</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4.3</w:t>
            </w:r>
          </w:p>
        </w:tc>
        <w:tc>
          <w:tcPr>
            <w:tcW w:w="340" w:type="dxa"/>
            <w:vAlign w:val="bottom"/>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22,609</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5.7</w:t>
            </w:r>
          </w:p>
        </w:tc>
        <w:tc>
          <w:tcPr>
            <w:tcW w:w="320" w:type="dxa"/>
            <w:vAlign w:val="bottom"/>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93"/>
              </w:rPr>
              <w:t>%</w:t>
            </w:r>
          </w:p>
        </w:tc>
      </w:tr>
      <w:tr>
        <w:trPr>
          <w:trHeight w:val="189"/>
        </w:trPr>
        <w:tc>
          <w:tcPr>
            <w:tcW w:w="42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(2,164)</w:t>
            </w:r>
          </w:p>
        </w:tc>
        <w:tc>
          <w:tcPr>
            <w:tcW w:w="120" w:type="dxa"/>
            <w:vAlign w:val="bottom"/>
          </w:tcPr>
          <w:p>
            <w:pPr>
              <w:spacing w:after="0"/>
              <w:rPr>
                <w:sz w:val="16"/>
                <w:szCs w:val="16"/>
                <w:color w:val="auto"/>
              </w:rPr>
            </w:pPr>
          </w:p>
        </w:tc>
        <w:tc>
          <w:tcPr>
            <w:tcW w:w="1260" w:type="dxa"/>
            <w:vAlign w:val="bottom"/>
            <w:gridSpan w:val="2"/>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(0.6)%</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(1,579)</w:t>
            </w:r>
          </w:p>
        </w:tc>
        <w:tc>
          <w:tcPr>
            <w:tcW w:w="1380" w:type="dxa"/>
            <w:vAlign w:val="bottom"/>
            <w:gridSpan w:val="2"/>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(0.4)%</w:t>
            </w:r>
          </w:p>
        </w:tc>
      </w:tr>
      <w:tr>
        <w:trPr>
          <w:trHeight w:val="183"/>
        </w:trPr>
        <w:tc>
          <w:tcPr>
            <w:tcW w:w="4240" w:type="dxa"/>
            <w:vAlign w:val="bottom"/>
            <w:tcBorders>
              <w:top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Income before income taxes</w:t>
            </w:r>
          </w:p>
        </w:tc>
        <w:tc>
          <w:tcPr>
            <w:tcW w:w="10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13,994</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3.7</w:t>
            </w:r>
          </w:p>
        </w:tc>
        <w:tc>
          <w:tcPr>
            <w:tcW w:w="340" w:type="dxa"/>
            <w:vAlign w:val="bottom"/>
            <w:tcBorders>
              <w:top w:val="single" w:sz="8" w:color="auto"/>
            </w:tcBorders>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21,030</w:t>
            </w:r>
          </w:p>
        </w:tc>
        <w:tc>
          <w:tcPr>
            <w:tcW w:w="16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5.3</w:t>
            </w:r>
          </w:p>
        </w:tc>
        <w:tc>
          <w:tcPr>
            <w:tcW w:w="320" w:type="dxa"/>
            <w:vAlign w:val="bottom"/>
            <w:tcBorders>
              <w:top w:val="single" w:sz="8" w:color="auto"/>
            </w:tcBorders>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93"/>
              </w:rPr>
              <w:t>%</w:t>
            </w:r>
          </w:p>
        </w:tc>
      </w:tr>
      <w:tr>
        <w:trPr>
          <w:trHeight w:val="189"/>
        </w:trPr>
        <w:tc>
          <w:tcPr>
            <w:tcW w:w="42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Provision for income taxes</w:t>
            </w: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(3,923)</w:t>
            </w:r>
          </w:p>
        </w:tc>
        <w:tc>
          <w:tcPr>
            <w:tcW w:w="120" w:type="dxa"/>
            <w:vAlign w:val="bottom"/>
          </w:tcPr>
          <w:p>
            <w:pPr>
              <w:spacing w:after="0"/>
              <w:rPr>
                <w:sz w:val="16"/>
                <w:szCs w:val="16"/>
                <w:color w:val="auto"/>
              </w:rPr>
            </w:pPr>
          </w:p>
        </w:tc>
        <w:tc>
          <w:tcPr>
            <w:tcW w:w="1260" w:type="dxa"/>
            <w:vAlign w:val="bottom"/>
            <w:gridSpan w:val="2"/>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(5,327)</w:t>
            </w:r>
          </w:p>
        </w:tc>
        <w:tc>
          <w:tcPr>
            <w:tcW w:w="1380" w:type="dxa"/>
            <w:vAlign w:val="bottom"/>
            <w:gridSpan w:val="2"/>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(1.3)%</w:t>
            </w:r>
          </w:p>
        </w:tc>
      </w:tr>
      <w:tr>
        <w:trPr>
          <w:trHeight w:val="183"/>
        </w:trPr>
        <w:tc>
          <w:tcPr>
            <w:tcW w:w="4240" w:type="dxa"/>
            <w:vAlign w:val="bottom"/>
            <w:tcBorders>
              <w:top w:val="single" w:sz="8" w:color="CCEEFF"/>
              <w:bottom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10,071</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gridSpan w:val="2"/>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2.7 %</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ind w:right="3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15,703</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380" w:type="dxa"/>
            <w:vAlign w:val="bottom"/>
            <w:tcBorders>
              <w:top w:val="single" w:sz="8" w:color="auto"/>
              <w:bottom w:val="single" w:sz="8" w:color="auto"/>
            </w:tcBorders>
            <w:gridSpan w:val="2"/>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4.0 %</w:t>
            </w:r>
          </w:p>
        </w:tc>
      </w:tr>
      <w:tr>
        <w:trPr>
          <w:trHeight w:val="20"/>
        </w:trPr>
        <w:tc>
          <w:tcPr>
            <w:tcW w:w="12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9"/>
          <w:szCs w:val="29"/>
          <w:color w:val="auto"/>
          <w:vertAlign w:val="superscript"/>
        </w:rPr>
        <w:t>(1)</w:t>
      </w:r>
      <w:r>
        <w:rPr>
          <w:sz w:val="20"/>
          <w:szCs w:val="20"/>
          <w:color w:val="auto"/>
        </w:rPr>
        <w:tab/>
      </w:r>
      <w:r>
        <w:rPr>
          <w:rFonts w:ascii="Times New Roman" w:cs="Times New Roman" w:eastAsia="Times New Roman" w:hAnsi="Times New Roman"/>
          <w:sz w:val="17"/>
          <w:szCs w:val="17"/>
          <w:color w:val="auto"/>
        </w:rPr>
        <w:t>Amounts do not foot due to rounding.</w:t>
      </w:r>
    </w:p>
    <w:p>
      <w:pPr>
        <w:spacing w:after="0" w:line="91" w:lineRule="exact"/>
        <w:rPr>
          <w:sz w:val="20"/>
          <w:szCs w:val="20"/>
          <w:color w:val="auto"/>
        </w:rPr>
      </w:pPr>
    </w:p>
    <w:p>
      <w:pPr>
        <w:ind w:right="6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 Net sales decreased $17.6 million, or 4.4%, in 2023 compared to 2022. Sales at comparable stores decreased by 4.1% during 2023.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 in annual sales was primarily due to a decrease in store traffic that was partially offset by an increase in average ticket value.</w:t>
      </w:r>
    </w:p>
    <w:p>
      <w:pPr>
        <w:spacing w:after="0" w:line="141" w:lineRule="exact"/>
        <w:rPr>
          <w:sz w:val="20"/>
          <w:szCs w:val="20"/>
          <w:color w:val="auto"/>
        </w:rPr>
      </w:pPr>
    </w:p>
    <w:p>
      <w:pPr>
        <w:jc w:val="both"/>
        <w:ind w:right="16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 Gross profit decreased $15.9 million, or 6.1%, in 2023 compared to 2022. The gross margin rate was 64.4% and 65.6% for 2023 and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The decrease in gross margin rate was primarily due to increases in supplier costs and higher international freight rates that drove inventory costs higher throughout 2022 and the first half of 2023 before beginning to moderate during the second half of 2023.</w:t>
      </w:r>
    </w:p>
    <w:p>
      <w:pPr>
        <w:spacing w:after="0" w:line="136"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Selling, General and Administrative Expenses </w:t>
      </w:r>
      <w:r>
        <w:rPr>
          <w:rFonts w:ascii="Times New Roman" w:cs="Times New Roman" w:eastAsia="Times New Roman" w:hAnsi="Times New Roman"/>
          <w:sz w:val="17"/>
          <w:szCs w:val="17"/>
          <w:color w:val="auto"/>
        </w:rPr>
        <w:t>– Selling, general and administrative expenses decreased $9.4 million, or 4.0%, in 2023 compared to 2022.</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decrease was largely driven by a $6.6 million decrease in variable compensation expenses, a $3.3 million decrease in shipping and transportation expenses and a $2.6 million decrease in occupancy costs, which were partially offset by a $1.6 million increase in IT-related expenses and a $0.9 million increase in marketing expenses. Additionally, asset impairment charges increased by $0.6 million, from $0.4 million in 2022 to $1.0 million in 2023.</w:t>
      </w:r>
    </w:p>
    <w:p>
      <w:pPr>
        <w:spacing w:after="0" w:line="125"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 Interest expense increased $0.6 million in 2023 compared to 2022. The increase in interest expense was primarily due to a higher level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average debt in 2023 and an increase in interest rates.</w:t>
      </w:r>
    </w:p>
    <w:p>
      <w:pPr>
        <w:spacing w:after="0" w:line="127"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 The provision for income taxes decreased $1.4 million for 2023 compared to 2022 due to a decrease in pretax income.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tax rate was 28.0% in 2023 and 25.3% in 2022. The increase in the effective tax rate was largely due to an increase in tax expense associated with stock based compensation.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 Ended December 31, 2022 to the Year Ended December 31, 2021</w:t>
      </w:r>
    </w:p>
    <w:p>
      <w:pPr>
        <w:spacing w:after="0" w:line="189" w:lineRule="exact"/>
        <w:rPr>
          <w:sz w:val="20"/>
          <w:szCs w:val="20"/>
          <w:color w:val="auto"/>
        </w:rPr>
      </w:pPr>
    </w:p>
    <w:p>
      <w:pPr>
        <w:ind w:right="60"/>
        <w:spacing w:after="0" w:line="23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detailed discussion of the fiscal year 2022 performance compared to fiscal year 2021 is set forth in Part II, Item 7. “Management’s Discussion and Analysis of Financial Condition and Results of Operations – Comparison of the Year Ended December 31, 2022 to the Year Ended December 31, 2021,” in our </w:t>
      </w:r>
      <w:hyperlink r:id="rId44">
        <w:r>
          <w:rPr>
            <w:rFonts w:ascii="Times New Roman" w:cs="Times New Roman" w:eastAsia="Times New Roman" w:hAnsi="Times New Roman"/>
            <w:sz w:val="18"/>
            <w:szCs w:val="18"/>
            <w:u w:val="single" w:color="auto"/>
            <w:color w:val="0000FF"/>
          </w:rPr>
          <w:t>Annual Report on Form 10-K for the year ended December 31,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as filed with the SEC on March 2, 2023, which discussion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-144780</wp:posOffset>
            </wp:positionV>
            <wp:extent cx="31699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169920" cy="889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89" w:lineRule="exact"/>
        <w:rPr>
          <w:sz w:val="20"/>
          <w:szCs w:val="20"/>
          <w:color w:val="auto"/>
        </w:rPr>
      </w:pPr>
    </w:p>
    <w:p>
      <w:pPr>
        <w:ind w:right="100"/>
        <w:spacing w:after="0" w:line="232" w:lineRule="auto"/>
        <w:rPr>
          <w:sz w:val="20"/>
          <w:szCs w:val="20"/>
          <w:color w:val="auto"/>
        </w:rPr>
      </w:pPr>
      <w:r>
        <w:rPr>
          <w:rFonts w:ascii="Times New Roman" w:cs="Times New Roman" w:eastAsia="Times New Roman" w:hAnsi="Times New Roman"/>
          <w:sz w:val="18"/>
          <w:szCs w:val="18"/>
          <w:color w:val="auto"/>
        </w:rPr>
        <w:t>We calculate Adjusted EBITDA by taking net income calculated in accordance with GAAP and adjusting for interest expense, income taxes, depreciation and amortization, and stock-based compensation expense. Adjusted EBITDA margin is equal to Adjusted EBITDA divided by net sales. We calculate pretax return on capital employed by taking income (loss) from operations divided by capital employed. Capital employed equals total assets less accounts payable, income taxes payable, other accrued liabilities, lease liability and other long-term liabilities. Other companies may calculate both Adjusted EBITDA and pretax return on capital employed differently, limiting the usefulness of these measures for comparative purposes.</w:t>
      </w:r>
    </w:p>
    <w:p>
      <w:pPr>
        <w:spacing w:after="0" w:line="161"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8"/>
          <w:szCs w:val="18"/>
          <w:color w:val="auto"/>
        </w:rPr>
        <w:t>We believe that these non-GAAP measures of financial results provide useful information to management and investors regarding certain financial and business trends relating to our financial condition and results of operations. Our management uses these non-GAAP measures to compare our performance to that of prior periods for trend analyses, for purposes of determining management incentive compensation, for budgeting and planning purposes, and for assessing the effectiveness of capital allocation over time. These measures are used in monthly financial reports prepared for management and our Board of Directors. We believe that the use of these non-GAAP financial measures provides an additional tool for investors to use in evaluating ongoing operating results and trends and in comparing our financial measures with other specialty retailers, many of which present similar non-GAAP financial measures to investors.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Our 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non-GAAP financial measures in connection with GAAP results. We urge investors to review the reconciliation of our non-GAAP financial measures to the comparable GAAP financial measures and not to rely on any single financial measure to evaluate our 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Adjusted EBITDA to net income (loss) for the years ended December 31, 2019 through December 31, 2023 is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116"/>
              <w:spacing w:after="0"/>
              <w:rPr>
                <w:sz w:val="20"/>
                <w:szCs w:val="20"/>
                <w:color w:val="auto"/>
              </w:rPr>
            </w:pPr>
            <w:r>
              <w:rPr>
                <w:rFonts w:ascii="Times New Roman" w:cs="Times New Roman" w:eastAsia="Times New Roman" w:hAnsi="Times New Roman"/>
                <w:sz w:val="18"/>
                <w:szCs w:val="18"/>
                <w:color w:val="auto"/>
              </w:rPr>
              <w:t>Years Ended December 31,</w:t>
            </w: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183"/>
        </w:trPr>
        <w:tc>
          <w:tcPr>
            <w:tcW w:w="43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0"/>
              <w:spacing w:after="0" w:line="182" w:lineRule="exact"/>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0"/>
              <w:spacing w:after="0" w:line="182" w:lineRule="exact"/>
              <w:rPr>
                <w:sz w:val="20"/>
                <w:szCs w:val="20"/>
                <w:color w:val="auto"/>
              </w:rPr>
            </w:pPr>
            <w:r>
              <w:rPr>
                <w:rFonts w:ascii="Times New Roman" w:cs="Times New Roman" w:eastAsia="Times New Roman" w:hAnsi="Times New Roman"/>
                <w:sz w:val="18"/>
                <w:szCs w:val="18"/>
                <w:color w:val="auto"/>
              </w:rPr>
              <w:t>2021</w:t>
            </w: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0"/>
              <w:spacing w:after="0" w:line="182" w:lineRule="exact"/>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0"/>
              <w:spacing w:after="0" w:line="182" w:lineRule="exact"/>
              <w:rPr>
                <w:sz w:val="20"/>
                <w:szCs w:val="20"/>
                <w:color w:val="auto"/>
              </w:rPr>
            </w:pPr>
            <w:r>
              <w:rPr>
                <w:rFonts w:ascii="Times New Roman" w:cs="Times New Roman" w:eastAsia="Times New Roman" w:hAnsi="Times New Roman"/>
                <w:sz w:val="18"/>
                <w:szCs w:val="18"/>
                <w:color w:val="auto"/>
              </w:rPr>
              <w:t>2019</w:t>
            </w:r>
          </w:p>
        </w:tc>
      </w:tr>
      <w:tr>
        <w:trPr>
          <w:trHeight w:val="183"/>
        </w:trPr>
        <w:tc>
          <w:tcPr>
            <w:tcW w:w="4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3"/>
          </w:tcPr>
          <w:p>
            <w:pPr>
              <w:ind w:left="40"/>
              <w:spacing w:after="0" w:line="182" w:lineRule="exact"/>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9"/>
        </w:trPr>
        <w:tc>
          <w:tcPr>
            <w:tcW w:w="43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10,071</w:t>
            </w:r>
          </w:p>
        </w:tc>
        <w:tc>
          <w:tcPr>
            <w:tcW w:w="440" w:type="dxa"/>
            <w:vAlign w:val="bottom"/>
            <w:gridSpan w:val="2"/>
            <w:shd w:val="clear" w:color="auto" w:fill="CCEEFF"/>
          </w:tcPr>
          <w:p>
            <w:pPr>
              <w:jc w:val="right"/>
              <w:ind w:right="11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15,703</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14,774</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6,031</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(4,463)</w:t>
            </w:r>
          </w:p>
        </w:tc>
      </w:tr>
      <w:tr>
        <w:trPr>
          <w:trHeight w:val="189"/>
        </w:trPr>
        <w:tc>
          <w:tcPr>
            <w:tcW w:w="43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2,164</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1,579</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656</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1,874</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3,792</w:t>
            </w:r>
          </w:p>
        </w:tc>
      </w:tr>
      <w:tr>
        <w:trPr>
          <w:trHeight w:val="189"/>
        </w:trPr>
        <w:tc>
          <w:tcPr>
            <w:tcW w:w="43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Provision (benefit) for income taxes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3,923</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5,327</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5,180</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(1,529)</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(674)</w:t>
            </w:r>
          </w:p>
        </w:tc>
      </w:tr>
      <w:tr>
        <w:trPr>
          <w:trHeight w:val="189"/>
        </w:trPr>
        <w:tc>
          <w:tcPr>
            <w:tcW w:w="43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Depreciation &amp; amortization</w:t>
            </w:r>
          </w:p>
        </w:tc>
        <w:tc>
          <w:tcPr>
            <w:tcW w:w="30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21,229</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25,142</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27,379</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31,336</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33,546</w:t>
            </w:r>
          </w:p>
        </w:tc>
      </w:tr>
      <w:tr>
        <w:trPr>
          <w:trHeight w:val="189"/>
        </w:trPr>
        <w:tc>
          <w:tcPr>
            <w:tcW w:w="43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Stock based compensation</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1,392</w:t>
            </w:r>
          </w:p>
        </w:tc>
        <w:tc>
          <w:tcPr>
            <w:tcW w:w="16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1,832</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2,266</w:t>
            </w:r>
          </w:p>
        </w:tc>
        <w:tc>
          <w:tcPr>
            <w:tcW w:w="16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2,241</w:t>
            </w:r>
          </w:p>
        </w:tc>
        <w:tc>
          <w:tcPr>
            <w:tcW w:w="1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2,645</w:t>
            </w:r>
          </w:p>
        </w:tc>
      </w:tr>
      <w:tr>
        <w:trPr>
          <w:trHeight w:val="183"/>
        </w:trPr>
        <w:tc>
          <w:tcPr>
            <w:tcW w:w="43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bottom w:val="single" w:sz="8" w:color="auto"/>
            </w:tcBorders>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38,779</w:t>
            </w:r>
          </w:p>
        </w:tc>
        <w:tc>
          <w:tcPr>
            <w:tcW w:w="160" w:type="dxa"/>
            <w:vAlign w:val="bottom"/>
          </w:tcPr>
          <w:p>
            <w:pPr>
              <w:spacing w:after="0"/>
              <w:rPr>
                <w:sz w:val="15"/>
                <w:szCs w:val="15"/>
                <w:color w:val="auto"/>
              </w:rPr>
            </w:pPr>
          </w:p>
        </w:tc>
        <w:tc>
          <w:tcPr>
            <w:tcW w:w="280" w:type="dxa"/>
            <w:vAlign w:val="bottom"/>
            <w:tcBorders>
              <w:bottom w:val="single" w:sz="8" w:color="auto"/>
            </w:tcBorders>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49,583</w:t>
            </w:r>
          </w:p>
        </w:tc>
        <w:tc>
          <w:tcPr>
            <w:tcW w:w="140" w:type="dxa"/>
            <w:vAlign w:val="bottom"/>
          </w:tcPr>
          <w:p>
            <w:pPr>
              <w:spacing w:after="0"/>
              <w:rPr>
                <w:sz w:val="15"/>
                <w:szCs w:val="15"/>
                <w:color w:val="auto"/>
              </w:rPr>
            </w:pPr>
          </w:p>
        </w:tc>
        <w:tc>
          <w:tcPr>
            <w:tcW w:w="280" w:type="dxa"/>
            <w:vAlign w:val="bottom"/>
            <w:tcBorders>
              <w:bottom w:val="single" w:sz="8" w:color="auto"/>
            </w:tcBorders>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50,255</w:t>
            </w:r>
          </w:p>
        </w:tc>
        <w:tc>
          <w:tcPr>
            <w:tcW w:w="160" w:type="dxa"/>
            <w:vAlign w:val="bottom"/>
          </w:tcPr>
          <w:p>
            <w:pPr>
              <w:spacing w:after="0"/>
              <w:rPr>
                <w:sz w:val="15"/>
                <w:szCs w:val="15"/>
                <w:color w:val="auto"/>
              </w:rPr>
            </w:pPr>
          </w:p>
        </w:tc>
        <w:tc>
          <w:tcPr>
            <w:tcW w:w="280" w:type="dxa"/>
            <w:vAlign w:val="bottom"/>
            <w:tcBorders>
              <w:bottom w:val="single" w:sz="8" w:color="auto"/>
            </w:tcBorders>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39,953</w:t>
            </w:r>
          </w:p>
        </w:tc>
        <w:tc>
          <w:tcPr>
            <w:tcW w:w="140" w:type="dxa"/>
            <w:vAlign w:val="bottom"/>
          </w:tcPr>
          <w:p>
            <w:pPr>
              <w:spacing w:after="0"/>
              <w:rPr>
                <w:sz w:val="15"/>
                <w:szCs w:val="15"/>
                <w:color w:val="auto"/>
              </w:rPr>
            </w:pPr>
          </w:p>
        </w:tc>
        <w:tc>
          <w:tcPr>
            <w:tcW w:w="240" w:type="dxa"/>
            <w:vAlign w:val="bottom"/>
            <w:tcBorders>
              <w:bottom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34,846</w:t>
            </w:r>
          </w:p>
        </w:tc>
      </w:tr>
      <w:tr>
        <w:trPr>
          <w:trHeight w:val="20"/>
        </w:trPr>
        <w:tc>
          <w:tcPr>
            <w:tcW w:w="4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as a percentage of net sales for the years ended December 31, 2019 through December 31, 2023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3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8"/>
          </w:tcPr>
          <w:p>
            <w:pPr>
              <w:jc w:val="right"/>
              <w:ind w:right="200"/>
              <w:spacing w:after="0"/>
              <w:rPr>
                <w:sz w:val="20"/>
                <w:szCs w:val="20"/>
                <w:color w:val="auto"/>
              </w:rPr>
            </w:pPr>
            <w:r>
              <w:rPr>
                <w:rFonts w:ascii="Times New Roman" w:cs="Times New Roman" w:eastAsia="Times New Roman" w:hAnsi="Times New Roman"/>
                <w:sz w:val="18"/>
                <w:szCs w:val="18"/>
                <w:color w:val="auto"/>
              </w:rPr>
              <w:t>Years Ended December 31,</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250"/>
        </w:trPr>
        <w:tc>
          <w:tcPr>
            <w:tcW w:w="43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2023</w:t>
            </w:r>
          </w:p>
        </w:tc>
        <w:tc>
          <w:tcPr>
            <w:tcW w:w="4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color w:val="auto"/>
                <w:w w:val="99"/>
              </w:rPr>
              <w:t>2020</w:t>
            </w:r>
          </w:p>
        </w:tc>
        <w:tc>
          <w:tcPr>
            <w:tcW w:w="1440" w:type="dxa"/>
            <w:vAlign w:val="bottom"/>
            <w:tcBorders>
              <w:bottom w:val="single" w:sz="8" w:color="auto"/>
            </w:tcBorders>
            <w:gridSpan w:val="2"/>
          </w:tcPr>
          <w:p>
            <w:pPr>
              <w:jc w:val="right"/>
              <w:ind w:right="270"/>
              <w:spacing w:after="0" w:line="250" w:lineRule="exact"/>
              <w:rPr>
                <w:sz w:val="20"/>
                <w:szCs w:val="20"/>
                <w:color w:val="auto"/>
              </w:rPr>
            </w:pPr>
            <w:r>
              <w:rPr>
                <w:rFonts w:ascii="Times New Roman" w:cs="Times New Roman" w:eastAsia="Times New Roman" w:hAnsi="Times New Roman"/>
                <w:sz w:val="17"/>
                <w:szCs w:val="17"/>
                <w:color w:val="auto"/>
              </w:rPr>
              <w:t>2019</w:t>
            </w:r>
            <w:r>
              <w:rPr>
                <w:rFonts w:ascii="Times New Roman" w:cs="Times New Roman" w:eastAsia="Times New Roman" w:hAnsi="Times New Roman"/>
                <w:sz w:val="28"/>
                <w:szCs w:val="28"/>
                <w:color w:val="auto"/>
                <w:vertAlign w:val="superscript"/>
              </w:rPr>
              <w:t>(1)</w:t>
            </w:r>
          </w:p>
        </w:tc>
      </w:tr>
      <w:tr>
        <w:trPr>
          <w:trHeight w:val="183"/>
        </w:trPr>
        <w:tc>
          <w:tcPr>
            <w:tcW w:w="4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5"/>
          </w:tcPr>
          <w:p>
            <w:pPr>
              <w:jc w:val="right"/>
              <w:ind w:right="680"/>
              <w:spacing w:after="0" w:line="182" w:lineRule="exact"/>
              <w:rPr>
                <w:sz w:val="20"/>
                <w:szCs w:val="20"/>
                <w:color w:val="auto"/>
              </w:rPr>
            </w:pPr>
            <w:r>
              <w:rPr>
                <w:rFonts w:ascii="Times New Roman" w:cs="Times New Roman" w:eastAsia="Times New Roman" w:hAnsi="Times New Roman"/>
                <w:sz w:val="18"/>
                <w:szCs w:val="18"/>
                <w:color w:val="auto"/>
              </w:rPr>
              <w:t>% of net sales</w:t>
            </w: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9"/>
        </w:trPr>
        <w:tc>
          <w:tcPr>
            <w:tcW w:w="48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2.7</w:t>
            </w:r>
          </w:p>
        </w:tc>
        <w:tc>
          <w:tcPr>
            <w:tcW w:w="420" w:type="dxa"/>
            <w:vAlign w:val="bottom"/>
            <w:shd w:val="clear" w:color="auto" w:fill="CCEEFF"/>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4.0 %</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1.9 %</w:t>
            </w:r>
          </w:p>
        </w:tc>
        <w:tc>
          <w:tcPr>
            <w:tcW w:w="1440" w:type="dxa"/>
            <w:vAlign w:val="bottom"/>
            <w:gridSpan w:val="2"/>
            <w:shd w:val="clear" w:color="auto" w:fill="CCEEFF"/>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(1.3)%</w:t>
            </w:r>
          </w:p>
        </w:tc>
      </w:tr>
      <w:tr>
        <w:trPr>
          <w:trHeight w:val="189"/>
        </w:trPr>
        <w:tc>
          <w:tcPr>
            <w:tcW w:w="48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0.6</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0.4</w:t>
            </w:r>
          </w:p>
        </w:tc>
        <w:tc>
          <w:tcPr>
            <w:tcW w:w="220" w:type="dxa"/>
            <w:vAlign w:val="bottom"/>
          </w:tcPr>
          <w:p>
            <w:pPr>
              <w:spacing w:after="0"/>
              <w:rPr>
                <w:sz w:val="16"/>
                <w:szCs w:val="16"/>
                <w:color w:val="auto"/>
              </w:rPr>
            </w:pPr>
          </w:p>
        </w:tc>
        <w:tc>
          <w:tcPr>
            <w:tcW w:w="1440" w:type="dxa"/>
            <w:vAlign w:val="bottom"/>
            <w:gridSpan w:val="4"/>
          </w:tcPr>
          <w:p>
            <w:pPr>
              <w:jc w:val="right"/>
              <w:ind w:right="210"/>
              <w:spacing w:after="0" w:line="189" w:lineRule="exact"/>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2"/>
          </w:tcPr>
          <w:p>
            <w:pPr>
              <w:jc w:val="right"/>
              <w:ind w:right="390"/>
              <w:spacing w:after="0" w:line="189" w:lineRule="exact"/>
              <w:rPr>
                <w:sz w:val="20"/>
                <w:szCs w:val="20"/>
                <w:color w:val="auto"/>
              </w:rPr>
            </w:pPr>
            <w:r>
              <w:rPr>
                <w:rFonts w:ascii="Times New Roman" w:cs="Times New Roman" w:eastAsia="Times New Roman" w:hAnsi="Times New Roman"/>
                <w:sz w:val="18"/>
                <w:szCs w:val="18"/>
                <w:color w:val="auto"/>
              </w:rPr>
              <w:t>0.6</w:t>
            </w:r>
          </w:p>
        </w:tc>
        <w:tc>
          <w:tcPr>
            <w:tcW w:w="1440" w:type="dxa"/>
            <w:vAlign w:val="bottom"/>
            <w:gridSpan w:val="2"/>
          </w:tcPr>
          <w:p>
            <w:pPr>
              <w:jc w:val="right"/>
              <w:ind w:right="390"/>
              <w:spacing w:after="0" w:line="189" w:lineRule="exact"/>
              <w:rPr>
                <w:sz w:val="20"/>
                <w:szCs w:val="20"/>
                <w:color w:val="auto"/>
              </w:rPr>
            </w:pPr>
            <w:r>
              <w:rPr>
                <w:rFonts w:ascii="Times New Roman" w:cs="Times New Roman" w:eastAsia="Times New Roman" w:hAnsi="Times New Roman"/>
                <w:sz w:val="18"/>
                <w:szCs w:val="18"/>
                <w:color w:val="auto"/>
              </w:rPr>
              <w:t>1.1</w:t>
            </w:r>
          </w:p>
        </w:tc>
      </w:tr>
      <w:tr>
        <w:trPr>
          <w:trHeight w:val="189"/>
        </w:trPr>
        <w:tc>
          <w:tcPr>
            <w:tcW w:w="48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Provision (benefit) for income taxes</w:t>
            </w:r>
          </w:p>
        </w:tc>
        <w:tc>
          <w:tcPr>
            <w:tcW w:w="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16"/>
                <w:szCs w:val="16"/>
                <w:color w:val="auto"/>
              </w:rPr>
            </w:pPr>
          </w:p>
        </w:tc>
        <w:tc>
          <w:tcPr>
            <w:tcW w:w="1440" w:type="dxa"/>
            <w:vAlign w:val="bottom"/>
            <w:gridSpan w:val="4"/>
            <w:shd w:val="clear" w:color="auto" w:fill="CCEEFF"/>
          </w:tcPr>
          <w:p>
            <w:pPr>
              <w:jc w:val="right"/>
              <w:ind w:right="210"/>
              <w:spacing w:after="0" w:line="189" w:lineRule="exact"/>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10"/>
              <w:spacing w:after="0" w:line="189" w:lineRule="exact"/>
              <w:rPr>
                <w:sz w:val="20"/>
                <w:szCs w:val="20"/>
                <w:color w:val="auto"/>
              </w:rPr>
            </w:pPr>
            <w:r>
              <w:rPr>
                <w:rFonts w:ascii="Times New Roman" w:cs="Times New Roman" w:eastAsia="Times New Roman" w:hAnsi="Times New Roman"/>
                <w:sz w:val="18"/>
                <w:szCs w:val="18"/>
                <w:color w:val="auto"/>
              </w:rPr>
              <w:t>(0.5)</w:t>
            </w:r>
          </w:p>
        </w:tc>
        <w:tc>
          <w:tcPr>
            <w:tcW w:w="1440" w:type="dxa"/>
            <w:vAlign w:val="bottom"/>
            <w:gridSpan w:val="2"/>
            <w:shd w:val="clear" w:color="auto" w:fill="CCEEFF"/>
          </w:tcPr>
          <w:p>
            <w:pPr>
              <w:jc w:val="right"/>
              <w:ind w:right="330"/>
              <w:spacing w:after="0" w:line="189" w:lineRule="exact"/>
              <w:rPr>
                <w:sz w:val="20"/>
                <w:szCs w:val="20"/>
                <w:color w:val="auto"/>
              </w:rPr>
            </w:pPr>
            <w:r>
              <w:rPr>
                <w:rFonts w:ascii="Times New Roman" w:cs="Times New Roman" w:eastAsia="Times New Roman" w:hAnsi="Times New Roman"/>
                <w:sz w:val="18"/>
                <w:szCs w:val="18"/>
                <w:color w:val="auto"/>
              </w:rPr>
              <w:t>(0.2)</w:t>
            </w:r>
          </w:p>
        </w:tc>
      </w:tr>
      <w:tr>
        <w:trPr>
          <w:trHeight w:val="189"/>
        </w:trPr>
        <w:tc>
          <w:tcPr>
            <w:tcW w:w="48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Depreciation &amp; amortization</w:t>
            </w:r>
          </w:p>
        </w:tc>
        <w:tc>
          <w:tcPr>
            <w:tcW w:w="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5.6</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16"/>
                <w:szCs w:val="16"/>
                <w:color w:val="auto"/>
              </w:rPr>
            </w:pPr>
          </w:p>
        </w:tc>
        <w:tc>
          <w:tcPr>
            <w:tcW w:w="1440" w:type="dxa"/>
            <w:vAlign w:val="bottom"/>
            <w:gridSpan w:val="4"/>
          </w:tcPr>
          <w:p>
            <w:pPr>
              <w:jc w:val="right"/>
              <w:ind w:right="210"/>
              <w:spacing w:after="0" w:line="189" w:lineRule="exact"/>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2"/>
          </w:tcPr>
          <w:p>
            <w:pPr>
              <w:jc w:val="right"/>
              <w:ind w:right="390"/>
              <w:spacing w:after="0" w:line="189" w:lineRule="exact"/>
              <w:rPr>
                <w:sz w:val="20"/>
                <w:szCs w:val="20"/>
                <w:color w:val="auto"/>
              </w:rPr>
            </w:pPr>
            <w:r>
              <w:rPr>
                <w:rFonts w:ascii="Times New Roman" w:cs="Times New Roman" w:eastAsia="Times New Roman" w:hAnsi="Times New Roman"/>
                <w:sz w:val="18"/>
                <w:szCs w:val="18"/>
                <w:color w:val="auto"/>
              </w:rPr>
              <w:t>9.6</w:t>
            </w:r>
          </w:p>
        </w:tc>
        <w:tc>
          <w:tcPr>
            <w:tcW w:w="1440" w:type="dxa"/>
            <w:vAlign w:val="bottom"/>
            <w:gridSpan w:val="2"/>
          </w:tcPr>
          <w:p>
            <w:pPr>
              <w:jc w:val="right"/>
              <w:ind w:right="390"/>
              <w:spacing w:after="0" w:line="189" w:lineRule="exact"/>
              <w:rPr>
                <w:sz w:val="20"/>
                <w:szCs w:val="20"/>
                <w:color w:val="auto"/>
              </w:rPr>
            </w:pPr>
            <w:r>
              <w:rPr>
                <w:rFonts w:ascii="Times New Roman" w:cs="Times New Roman" w:eastAsia="Times New Roman" w:hAnsi="Times New Roman"/>
                <w:sz w:val="18"/>
                <w:szCs w:val="18"/>
                <w:color w:val="auto"/>
              </w:rPr>
              <w:t>9.9</w:t>
            </w:r>
          </w:p>
        </w:tc>
      </w:tr>
      <w:tr>
        <w:trPr>
          <w:trHeight w:val="189"/>
        </w:trPr>
        <w:tc>
          <w:tcPr>
            <w:tcW w:w="48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Stock based compensation</w:t>
            </w:r>
          </w:p>
        </w:tc>
        <w:tc>
          <w:tcPr>
            <w:tcW w:w="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0.4</w:t>
            </w: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CEEFF"/>
          </w:tcPr>
          <w:p>
            <w:pPr>
              <w:spacing w:after="0"/>
              <w:rPr>
                <w:sz w:val="16"/>
                <w:szCs w:val="16"/>
                <w:color w:val="auto"/>
              </w:rPr>
            </w:pPr>
          </w:p>
        </w:tc>
        <w:tc>
          <w:tcPr>
            <w:tcW w:w="1440" w:type="dxa"/>
            <w:vAlign w:val="bottom"/>
            <w:gridSpan w:val="4"/>
            <w:shd w:val="clear" w:color="auto" w:fill="CCEEFF"/>
          </w:tcPr>
          <w:p>
            <w:pPr>
              <w:jc w:val="right"/>
              <w:ind w:right="210"/>
              <w:spacing w:after="0" w:line="189" w:lineRule="exact"/>
              <w:rPr>
                <w:sz w:val="20"/>
                <w:szCs w:val="20"/>
                <w:color w:val="auto"/>
              </w:rPr>
            </w:pPr>
            <w:r>
              <w:rPr>
                <w:rFonts w:ascii="Times New Roman" w:cs="Times New Roman" w:eastAsia="Times New Roman" w:hAnsi="Times New Roman"/>
                <w:sz w:val="18"/>
                <w:szCs w:val="18"/>
                <w:color w:val="auto"/>
              </w:rPr>
              <w:t>0.6</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90"/>
              <w:spacing w:after="0" w:line="189" w:lineRule="exact"/>
              <w:rPr>
                <w:sz w:val="20"/>
                <w:szCs w:val="20"/>
                <w:color w:val="auto"/>
              </w:rPr>
            </w:pPr>
            <w:r>
              <w:rPr>
                <w:rFonts w:ascii="Times New Roman" w:cs="Times New Roman" w:eastAsia="Times New Roman" w:hAnsi="Times New Roman"/>
                <w:sz w:val="18"/>
                <w:szCs w:val="18"/>
                <w:color w:val="auto"/>
              </w:rPr>
              <w:t>0.7</w:t>
            </w:r>
          </w:p>
        </w:tc>
        <w:tc>
          <w:tcPr>
            <w:tcW w:w="1440" w:type="dxa"/>
            <w:vAlign w:val="bottom"/>
            <w:gridSpan w:val="2"/>
            <w:shd w:val="clear" w:color="auto" w:fill="CCEEFF"/>
          </w:tcPr>
          <w:p>
            <w:pPr>
              <w:jc w:val="right"/>
              <w:ind w:right="390"/>
              <w:spacing w:after="0" w:line="189" w:lineRule="exact"/>
              <w:rPr>
                <w:sz w:val="20"/>
                <w:szCs w:val="20"/>
                <w:color w:val="auto"/>
              </w:rPr>
            </w:pPr>
            <w:r>
              <w:rPr>
                <w:rFonts w:ascii="Times New Roman" w:cs="Times New Roman" w:eastAsia="Times New Roman" w:hAnsi="Times New Roman"/>
                <w:sz w:val="18"/>
                <w:szCs w:val="18"/>
                <w:color w:val="auto"/>
              </w:rPr>
              <w:t>0.8</w:t>
            </w:r>
          </w:p>
        </w:tc>
      </w:tr>
      <w:tr>
        <w:trPr>
          <w:trHeight w:val="183"/>
        </w:trPr>
        <w:tc>
          <w:tcPr>
            <w:tcW w:w="43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Adjusted EBITDA</w:t>
            </w:r>
          </w:p>
        </w:tc>
        <w:tc>
          <w:tcPr>
            <w:tcW w:w="4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gridSpan w:val="2"/>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w w:val="97"/>
              </w:rPr>
              <w:t>10.3 %</w:t>
            </w:r>
          </w:p>
        </w:tc>
        <w:tc>
          <w:tcPr>
            <w:tcW w:w="180" w:type="dxa"/>
            <w:vAlign w:val="bottom"/>
          </w:tcPr>
          <w:p>
            <w:pPr>
              <w:spacing w:after="0"/>
              <w:rPr>
                <w:sz w:val="15"/>
                <w:szCs w:val="15"/>
                <w:color w:val="auto"/>
              </w:rPr>
            </w:pPr>
          </w:p>
        </w:tc>
        <w:tc>
          <w:tcPr>
            <w:tcW w:w="1020" w:type="dxa"/>
            <w:vAlign w:val="bottom"/>
            <w:tcBorders>
              <w:top w:val="single" w:sz="8" w:color="auto"/>
              <w:bottom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12.6 %</w:t>
            </w:r>
          </w:p>
        </w:tc>
        <w:tc>
          <w:tcPr>
            <w:tcW w:w="1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13.6 %</w:t>
            </w:r>
          </w:p>
        </w:tc>
        <w:tc>
          <w:tcPr>
            <w:tcW w:w="180" w:type="dxa"/>
            <w:vAlign w:val="bottom"/>
            <w:tcBorders>
              <w:top w:val="single" w:sz="8" w:color="auto"/>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gridSpan w:val="2"/>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rPr>
              <w:t>12.3 %</w:t>
            </w:r>
          </w:p>
        </w:tc>
        <w:tc>
          <w:tcPr>
            <w:tcW w:w="180" w:type="dxa"/>
            <w:vAlign w:val="bottom"/>
          </w:tcPr>
          <w:p>
            <w:pPr>
              <w:spacing w:after="0"/>
              <w:rPr>
                <w:sz w:val="15"/>
                <w:szCs w:val="15"/>
                <w:color w:val="auto"/>
              </w:rPr>
            </w:pPr>
          </w:p>
        </w:tc>
        <w:tc>
          <w:tcPr>
            <w:tcW w:w="1260" w:type="dxa"/>
            <w:vAlign w:val="bottom"/>
            <w:tcBorders>
              <w:top w:val="single" w:sz="8" w:color="auto"/>
              <w:bottom w:val="single" w:sz="8" w:color="auto"/>
            </w:tcBorders>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rPr>
              <w:t>10.2 %</w:t>
            </w:r>
          </w:p>
        </w:tc>
      </w:tr>
      <w:tr>
        <w:trPr>
          <w:trHeight w:val="20"/>
        </w:trPr>
        <w:tc>
          <w:tcPr>
            <w:tcW w:w="4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562"/>
        </w:trPr>
        <w:tc>
          <w:tcPr>
            <w:tcW w:w="4800" w:type="dxa"/>
            <w:vAlign w:val="bottom"/>
            <w:gridSpan w:val="2"/>
          </w:tcPr>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Amounts do not foot due to rounding.</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82"/>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calculation of pretax return on capital employed is as follows:</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5"/>
          </w:tcPr>
          <w:p>
            <w:pPr>
              <w:jc w:val="right"/>
              <w:ind w:right="130"/>
              <w:spacing w:after="0"/>
              <w:rPr>
                <w:sz w:val="20"/>
                <w:szCs w:val="20"/>
                <w:color w:val="auto"/>
              </w:rPr>
            </w:pPr>
            <w:r>
              <w:rPr>
                <w:rFonts w:ascii="Times New Roman" w:cs="Times New Roman" w:eastAsia="Times New Roman" w:hAnsi="Times New Roman"/>
                <w:sz w:val="18"/>
                <w:szCs w:val="18"/>
                <w:color w:val="auto"/>
              </w:rPr>
              <w:t>December 31,</w:t>
            </w: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r>
      <w:tr>
        <w:trPr>
          <w:trHeight w:val="250"/>
        </w:trPr>
        <w:tc>
          <w:tcPr>
            <w:tcW w:w="436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gridSpan w:val="3"/>
          </w:tcPr>
          <w:p>
            <w:pPr>
              <w:jc w:val="right"/>
              <w:spacing w:after="0" w:line="250" w:lineRule="exact"/>
              <w:rPr>
                <w:sz w:val="20"/>
                <w:szCs w:val="20"/>
                <w:color w:val="auto"/>
              </w:rPr>
            </w:pPr>
            <w:r>
              <w:rPr>
                <w:rFonts w:ascii="Times New Roman" w:cs="Times New Roman" w:eastAsia="Times New Roman" w:hAnsi="Times New Roman"/>
                <w:sz w:val="17"/>
                <w:szCs w:val="17"/>
                <w:color w:val="auto"/>
              </w:rPr>
              <w:t>2023</w:t>
            </w:r>
            <w:r>
              <w:rPr>
                <w:rFonts w:ascii="Times New Roman" w:cs="Times New Roman" w:eastAsia="Times New Roman" w:hAnsi="Times New Roman"/>
                <w:sz w:val="28"/>
                <w:szCs w:val="28"/>
                <w:color w:val="auto"/>
                <w:vertAlign w:val="superscript"/>
              </w:rPr>
              <w:t>(1)</w:t>
            </w:r>
          </w:p>
        </w:tc>
        <w:tc>
          <w:tcPr>
            <w:tcW w:w="1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right"/>
              <w:ind w:right="670"/>
              <w:spacing w:after="0" w:line="250" w:lineRule="exact"/>
              <w:rPr>
                <w:sz w:val="20"/>
                <w:szCs w:val="20"/>
                <w:color w:val="auto"/>
              </w:rPr>
            </w:pPr>
            <w:r>
              <w:rPr>
                <w:rFonts w:ascii="Times New Roman" w:cs="Times New Roman" w:eastAsia="Times New Roman" w:hAnsi="Times New Roman"/>
                <w:sz w:val="17"/>
                <w:szCs w:val="17"/>
                <w:color w:val="auto"/>
              </w:rPr>
              <w:t>2022</w:t>
            </w:r>
            <w:r>
              <w:rPr>
                <w:rFonts w:ascii="Times New Roman" w:cs="Times New Roman" w:eastAsia="Times New Roman" w:hAnsi="Times New Roman"/>
                <w:sz w:val="28"/>
                <w:szCs w:val="28"/>
                <w:color w:val="auto"/>
                <w:vertAlign w:val="superscript"/>
              </w:rPr>
              <w:t>(1)</w:t>
            </w:r>
          </w:p>
        </w:tc>
      </w:tr>
      <w:tr>
        <w:trPr>
          <w:trHeight w:val="183"/>
        </w:trPr>
        <w:tc>
          <w:tcPr>
            <w:tcW w:w="480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16,158</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22,609</w:t>
            </w:r>
          </w:p>
        </w:tc>
      </w:tr>
      <w:tr>
        <w:trPr>
          <w:trHeight w:val="189"/>
        </w:trPr>
        <w:tc>
          <w:tcPr>
            <w:tcW w:w="4800" w:type="dxa"/>
            <w:vAlign w:val="bottom"/>
            <w:gridSpan w:val="2"/>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40" w:type="dxa"/>
            <w:vAlign w:val="bottom"/>
            <w:gridSpan w:val="2"/>
          </w:tcPr>
          <w:p>
            <w:pPr>
              <w:spacing w:after="0"/>
              <w:rPr>
                <w:sz w:val="16"/>
                <w:szCs w:val="16"/>
                <w:color w:val="auto"/>
              </w:rPr>
            </w:pPr>
          </w:p>
        </w:tc>
      </w:tr>
      <w:tr>
        <w:trPr>
          <w:trHeight w:val="189"/>
        </w:trPr>
        <w:tc>
          <w:tcPr>
            <w:tcW w:w="48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324,880</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348,720</w:t>
            </w:r>
          </w:p>
        </w:tc>
      </w:tr>
      <w:tr>
        <w:trPr>
          <w:trHeight w:val="189"/>
        </w:trPr>
        <w:tc>
          <w:tcPr>
            <w:tcW w:w="480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Less: Accounts payable</w:t>
            </w: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60" w:type="dxa"/>
            <w:vAlign w:val="bottom"/>
            <w:gridSpan w:val="4"/>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(24,885)</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(28,752)</w:t>
            </w:r>
          </w:p>
        </w:tc>
      </w:tr>
      <w:tr>
        <w:trPr>
          <w:trHeight w:val="189"/>
        </w:trPr>
        <w:tc>
          <w:tcPr>
            <w:tcW w:w="480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Less: Income tax payable</w:t>
            </w:r>
          </w:p>
        </w:tc>
        <w:tc>
          <w:tcPr>
            <w:tcW w:w="3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760" w:type="dxa"/>
            <w:vAlign w:val="bottom"/>
            <w:gridSpan w:val="4"/>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(519)</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(818)</w:t>
            </w:r>
          </w:p>
        </w:tc>
      </w:tr>
      <w:tr>
        <w:trPr>
          <w:trHeight w:val="189"/>
        </w:trPr>
        <w:tc>
          <w:tcPr>
            <w:tcW w:w="480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Less: Other accrued liabilities</w:t>
            </w: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60" w:type="dxa"/>
            <w:vAlign w:val="bottom"/>
            <w:gridSpan w:val="4"/>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(32,728)</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(39,951)</w:t>
            </w:r>
          </w:p>
        </w:tc>
      </w:tr>
      <w:tr>
        <w:trPr>
          <w:trHeight w:val="189"/>
        </w:trPr>
        <w:tc>
          <w:tcPr>
            <w:tcW w:w="480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Less: Lease liability</w:t>
            </w:r>
          </w:p>
        </w:tc>
        <w:tc>
          <w:tcPr>
            <w:tcW w:w="3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760" w:type="dxa"/>
            <w:vAlign w:val="bottom"/>
            <w:gridSpan w:val="4"/>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w w:val="99"/>
              </w:rPr>
              <w:t>(131,840)</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(130,852)</w:t>
            </w:r>
          </w:p>
        </w:tc>
      </w:tr>
      <w:tr>
        <w:trPr>
          <w:trHeight w:val="189"/>
        </w:trPr>
        <w:tc>
          <w:tcPr>
            <w:tcW w:w="480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Less: Other long-term liabilities</w:t>
            </w: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60" w:type="dxa"/>
            <w:vAlign w:val="bottom"/>
            <w:gridSpan w:val="4"/>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(4,585)</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(4,618)</w:t>
            </w:r>
          </w:p>
        </w:tc>
      </w:tr>
      <w:tr>
        <w:trPr>
          <w:trHeight w:val="183"/>
        </w:trPr>
        <w:tc>
          <w:tcPr>
            <w:tcW w:w="4800" w:type="dxa"/>
            <w:vAlign w:val="bottom"/>
            <w:tcBorders>
              <w:top w:val="single" w:sz="8" w:color="CCEEFF"/>
              <w:bottom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Capital Employed</w:t>
            </w: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gridSpan w:val="3"/>
            <w:shd w:val="clear" w:color="auto" w:fill="CCEEFF"/>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130,323</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ind w:right="4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143,729</w:t>
            </w:r>
          </w:p>
        </w:tc>
      </w:tr>
      <w:tr>
        <w:trPr>
          <w:trHeight w:val="20"/>
        </w:trPr>
        <w:tc>
          <w:tcPr>
            <w:tcW w:w="48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r>
      <w:tr>
        <w:trPr>
          <w:trHeight w:val="170"/>
        </w:trPr>
        <w:tc>
          <w:tcPr>
            <w:tcW w:w="4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9"/>
        </w:trPr>
        <w:tc>
          <w:tcPr>
            <w:tcW w:w="48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Pretax Return on Capital Employed</w:t>
            </w:r>
          </w:p>
        </w:tc>
        <w:tc>
          <w:tcPr>
            <w:tcW w:w="3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12.4%</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15.7%</w:t>
            </w:r>
          </w:p>
        </w:tc>
      </w:tr>
    </w:tbl>
    <w:p>
      <w:pPr>
        <w:spacing w:after="0" w:line="238" w:lineRule="exact"/>
        <w:rPr>
          <w:sz w:val="20"/>
          <w:szCs w:val="20"/>
          <w:color w:val="auto"/>
        </w:rPr>
      </w:pPr>
    </w:p>
    <w:p>
      <w:pPr>
        <w:ind w:left="340" w:right="340" w:hanging="332"/>
        <w:spacing w:after="0" w:line="184" w:lineRule="auto"/>
        <w:tabs>
          <w:tab w:leader="none" w:pos="34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Income statement accounts represent the activity for the trailing twelve months ended as of each of the balance sheet dates. Balance sheet accounts represent the average account balance for the four quarters ended as of each of the balance sheet dates.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jc w:val="both"/>
        <w:ind w:right="560"/>
        <w:spacing w:after="0" w:line="232" w:lineRule="auto"/>
        <w:rPr>
          <w:sz w:val="20"/>
          <w:szCs w:val="20"/>
          <w:color w:val="auto"/>
        </w:rPr>
      </w:pPr>
      <w:r>
        <w:rPr>
          <w:rFonts w:ascii="Times New Roman" w:cs="Times New Roman" w:eastAsia="Times New Roman" w:hAnsi="Times New Roman"/>
          <w:sz w:val="18"/>
          <w:szCs w:val="18"/>
          <w:color w:val="auto"/>
        </w:rPr>
        <w:t>Our principal sources of liquidity include $8.6 million of cash and cash equivalents at December 31, 2023, cash provided by operating activities and borrowings available under our credit facility. We expect to use this liquidity for maintaining our existing stores, purchasing additional merchandise inventory, and general corporate purposes.</w:t>
      </w: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On September 30, 2022, Holdings and its operating subsidiary, The Tile Shop, and certain subsidiaries of each entered into a Credit Agreement with JPMorgan Chase Bank, N.A. and the lenders party thereto, including Fifth Third Bank (the “Credit Agreement”). The Credit Agreement provides us with a senior credit facility consisting of a $75.0 million revolving line of credit through September 30, 2027. Borrowings pursuant to the Credit Agreement initially bear interest at a rate per annum equal to: (i) Adjusted Term SOFR Rate (as defined in the Credit Agreement), plus a margin ranging from 1.25% to 1.75%; (ii) Adjusted Daily Simple SOFR (as defined in the Credit Agreement), plus a margin ranging from 1.25% to 1.75%; or (iii) the Alternate Base Rate (as defined in the Credit Agreement), plus a margin ranging from 0.25% to 0.75%. The margin is determined based on the Rent Adjusted Leverage Ratio (as defined in the Credit Agreement).</w:t>
      </w:r>
    </w:p>
    <w:p>
      <w:pPr>
        <w:spacing w:after="0" w:line="158"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8"/>
          <w:szCs w:val="18"/>
          <w:color w:val="auto"/>
        </w:rPr>
        <w:t>The Credit Agreement is secured by virtually all of our assets, including but not limited to, inventory, accounts receivable, equipment and general intangibles. The Credit Agreement contains customary events of default, conditions to borrowing and restrictive covenants, including restrictions on our ability to dispose of assets, engage in acquisitions or mergers, make distributions on or repurchases of capital stock, incur additional debt, incur liens or make investments. The Credit Agreement also includes financial and other covenants, including covenants to maintain a Fixed Charge Coverage Ratio (as defined in the Credit Agreement) of no less than 1.20 to 1.00 and a Rent Adjusted Leverage Ratio (as defined in the Credit Agreement) of no greater than 3.50 to 1.00. We were in compliance with the covenants as of December 31, 2023.</w:t>
      </w:r>
    </w:p>
    <w:p>
      <w:pPr>
        <w:spacing w:after="0" w:line="144" w:lineRule="exact"/>
        <w:rPr>
          <w:sz w:val="20"/>
          <w:szCs w:val="20"/>
          <w:color w:val="auto"/>
        </w:rPr>
      </w:pPr>
    </w:p>
    <w:p>
      <w:pPr>
        <w:jc w:val="both"/>
        <w:ind w:right="340"/>
        <w:spacing w:after="0"/>
        <w:rPr>
          <w:sz w:val="20"/>
          <w:szCs w:val="20"/>
          <w:color w:val="auto"/>
        </w:rPr>
      </w:pPr>
      <w:r>
        <w:rPr>
          <w:rFonts w:ascii="Times New Roman" w:cs="Times New Roman" w:eastAsia="Times New Roman" w:hAnsi="Times New Roman"/>
          <w:sz w:val="18"/>
          <w:szCs w:val="18"/>
          <w:color w:val="auto"/>
        </w:rPr>
        <w:t>We had no borrowings outstanding on our line of credit as of December 31, 2023. We have standby letters of credit outstanding related to our workers’ compensation and medical insurance policies. As of December 31, 2023, standby letters of credit totaled $1.4 million. As of December 31, 2023, there was $73.6 million available for borrowing on the revolving line of credit, which may be used for maintaining our existing stores, purchasing additional merchandise inventory, and general corporate purposes.</w:t>
      </w:r>
    </w:p>
    <w:p>
      <w:pPr>
        <w:spacing w:after="0" w:line="144" w:lineRule="exact"/>
        <w:rPr>
          <w:sz w:val="20"/>
          <w:szCs w:val="20"/>
          <w:color w:val="auto"/>
        </w:rPr>
      </w:pPr>
    </w:p>
    <w:p>
      <w:pPr>
        <w:ind w:right="160"/>
        <w:spacing w:after="0" w:line="231" w:lineRule="auto"/>
        <w:rPr>
          <w:sz w:val="20"/>
          <w:szCs w:val="20"/>
          <w:color w:val="auto"/>
        </w:rPr>
      </w:pPr>
      <w:r>
        <w:rPr>
          <w:rFonts w:ascii="Times New Roman" w:cs="Times New Roman" w:eastAsia="Times New Roman" w:hAnsi="Times New Roman"/>
          <w:sz w:val="18"/>
          <w:szCs w:val="18"/>
          <w:color w:val="auto"/>
        </w:rPr>
        <w:t>During 2024, we expect to use cash for maintaining our existing stores, purchasing additional merchandise inventory, and general corporate purposes. Additionally, as described further in Note 6 of the Notes to the Consolidated Financial Statements, as of December 31, 2023, our lease liability under operating leases totaled $140.0 million. Contractual lease payments range from $17.0 million to $38.7 million on an annual basis over the next five years. We are also obligated to fund certain self-insured employee benefits, including our medical and workers’ compensation plans. As of December 31, 2023, accrual balances related to our estimated workers’ compensation claims and medical claims totaled $1.5 million and $1.1 million, respectively. Additionally, we have contractual obligations related to software service arrangements with suppliers for fixed or minimum amounts. Future minimum payments at December 31, 2023 for purchase obligations were $4.7 million. Amounts due under these arrangements in 2024, 2025, 2026, 2027 and 2028 total $2.0 million, $1.2 million, $0.7 million, $0.4 million, and $0.4 million, respectively.</w:t>
      </w:r>
    </w:p>
    <w:p>
      <w:pPr>
        <w:spacing w:after="0" w:line="16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currently believe that our cash and cash equivalents, cash flows from operations and access to cash under our credit facility will be adequate to meet our ongoing operating requirements over the next twelve months and our long-term liquidity requirements.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capital expenditures during the years ended December 31, 2023, 2022 and 2021.</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7"/>
          </w:tcPr>
          <w:p>
            <w:pPr>
              <w:jc w:val="center"/>
              <w:ind w:left="430"/>
              <w:spacing w:after="0"/>
              <w:rPr>
                <w:sz w:val="20"/>
                <w:szCs w:val="20"/>
                <w:color w:val="auto"/>
              </w:rPr>
            </w:pPr>
            <w:r>
              <w:rPr>
                <w:rFonts w:ascii="Times New Roman" w:cs="Times New Roman" w:eastAsia="Times New Roman" w:hAnsi="Times New Roman"/>
                <w:sz w:val="18"/>
                <w:szCs w:val="18"/>
                <w:color w:val="auto"/>
                <w:w w:val="99"/>
              </w:rPr>
              <w:t>Years Ended December 31,</w:t>
            </w:r>
          </w:p>
        </w:tc>
        <w:tc>
          <w:tcPr>
            <w:tcW w:w="760" w:type="dxa"/>
            <w:vAlign w:val="bottom"/>
            <w:tcBorders>
              <w:bottom w:val="single" w:sz="8" w:color="auto"/>
            </w:tcBorders>
          </w:tcPr>
          <w:p>
            <w:pPr>
              <w:spacing w:after="0"/>
              <w:rPr>
                <w:sz w:val="19"/>
                <w:szCs w:val="19"/>
                <w:color w:val="auto"/>
              </w:rPr>
            </w:pPr>
          </w:p>
        </w:tc>
      </w:tr>
      <w:tr>
        <w:trPr>
          <w:trHeight w:val="183"/>
        </w:trPr>
        <w:tc>
          <w:tcPr>
            <w:tcW w:w="6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50"/>
              <w:spacing w:after="0" w:line="182" w:lineRule="exact"/>
              <w:rPr>
                <w:sz w:val="20"/>
                <w:szCs w:val="20"/>
                <w:color w:val="auto"/>
              </w:rPr>
            </w:pPr>
            <w:r>
              <w:rPr>
                <w:rFonts w:ascii="Times New Roman" w:cs="Times New Roman" w:eastAsia="Times New Roman" w:hAnsi="Times New Roman"/>
                <w:sz w:val="18"/>
                <w:szCs w:val="18"/>
                <w:color w:val="auto"/>
                <w:w w:val="99"/>
              </w:rPr>
              <w:t>2022</w:t>
            </w: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0"/>
              <w:spacing w:after="0" w:line="182" w:lineRule="exact"/>
              <w:rPr>
                <w:sz w:val="20"/>
                <w:szCs w:val="20"/>
                <w:color w:val="auto"/>
              </w:rPr>
            </w:pPr>
            <w:r>
              <w:rPr>
                <w:rFonts w:ascii="Times New Roman" w:cs="Times New Roman" w:eastAsia="Times New Roman" w:hAnsi="Times New Roman"/>
                <w:sz w:val="18"/>
                <w:szCs w:val="18"/>
                <w:color w:val="auto"/>
              </w:rPr>
              <w:t>2021</w:t>
            </w:r>
          </w:p>
        </w:tc>
      </w:tr>
      <w:tr>
        <w:trPr>
          <w:trHeight w:val="183"/>
        </w:trPr>
        <w:tc>
          <w:tcPr>
            <w:tcW w:w="6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3"/>
          </w:tcPr>
          <w:p>
            <w:pPr>
              <w:jc w:val="center"/>
              <w:ind w:right="180"/>
              <w:spacing w:after="0" w:line="182" w:lineRule="exact"/>
              <w:rPr>
                <w:sz w:val="20"/>
                <w:szCs w:val="20"/>
                <w:color w:val="auto"/>
              </w:rPr>
            </w:pPr>
            <w:r>
              <w:rPr>
                <w:rFonts w:ascii="Times New Roman" w:cs="Times New Roman" w:eastAsia="Times New Roman" w:hAnsi="Times New Roman"/>
                <w:sz w:val="18"/>
                <w:szCs w:val="18"/>
                <w:color w:val="auto"/>
              </w:rPr>
              <w:t>(in millions)</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9"/>
        </w:trPr>
        <w:tc>
          <w:tcPr>
            <w:tcW w:w="67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New store building, existing store remodels and store merchandising investments</w:t>
            </w:r>
          </w:p>
        </w:tc>
        <w:tc>
          <w:tcPr>
            <w:tcW w:w="1140" w:type="dxa"/>
            <w:vAlign w:val="bottom"/>
            <w:gridSpan w:val="2"/>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11.9</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7.6</w:t>
            </w:r>
          </w:p>
        </w:tc>
        <w:tc>
          <w:tcPr>
            <w:tcW w:w="1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64"/>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7.1</w:t>
            </w:r>
          </w:p>
        </w:tc>
      </w:tr>
      <w:tr>
        <w:trPr>
          <w:trHeight w:val="189"/>
        </w:trPr>
        <w:tc>
          <w:tcPr>
            <w:tcW w:w="67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Information technology infrastructure</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2.4</w:t>
            </w:r>
          </w:p>
        </w:tc>
      </w:tr>
      <w:tr>
        <w:trPr>
          <w:trHeight w:val="189"/>
        </w:trPr>
        <w:tc>
          <w:tcPr>
            <w:tcW w:w="67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Distribution and manufacturing facilities</w:t>
            </w:r>
          </w:p>
        </w:tc>
        <w:tc>
          <w:tcPr>
            <w:tcW w:w="9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w:t>
            </w:r>
          </w:p>
        </w:tc>
      </w:tr>
      <w:tr>
        <w:trPr>
          <w:trHeight w:val="183"/>
        </w:trPr>
        <w:tc>
          <w:tcPr>
            <w:tcW w:w="6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Borders>
              <w:bottom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15.3</w:t>
            </w:r>
          </w:p>
        </w:tc>
        <w:tc>
          <w:tcPr>
            <w:tcW w:w="140" w:type="dxa"/>
            <w:vAlign w:val="bottom"/>
          </w:tcPr>
          <w:p>
            <w:pPr>
              <w:spacing w:after="0"/>
              <w:rPr>
                <w:sz w:val="15"/>
                <w:szCs w:val="15"/>
                <w:color w:val="auto"/>
              </w:rPr>
            </w:pPr>
          </w:p>
        </w:tc>
        <w:tc>
          <w:tcPr>
            <w:tcW w:w="240" w:type="dxa"/>
            <w:vAlign w:val="bottom"/>
            <w:tcBorders>
              <w:bottom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11.1</w:t>
            </w:r>
          </w:p>
        </w:tc>
      </w:tr>
      <w:tr>
        <w:trPr>
          <w:trHeight w:val="20"/>
        </w:trPr>
        <w:tc>
          <w:tcPr>
            <w:tcW w:w="6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18"/>
          <w:szCs w:val="18"/>
          <w:color w:val="auto"/>
        </w:rPr>
        <w:t>Our future capital requirements will vary based on the number of additional stores, distribution centers, and manufacturing facilities that we open and the number of stores that we choose to renovate. Our decisions regarding opening, relocating, or renovating stores, and whether to engage in strategic acquisitions, will be based in part on macroeconomic factors and the general state of the U.S. economy, as well as the local economies in the markets in which our stores are located.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for the years ended December 31, 2023, 2022 and 2021.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4"/>
          </w:tcPr>
          <w:p>
            <w:pPr>
              <w:jc w:val="center"/>
              <w:ind w:left="570"/>
              <w:spacing w:after="0"/>
              <w:rPr>
                <w:sz w:val="20"/>
                <w:szCs w:val="20"/>
                <w:color w:val="auto"/>
              </w:rPr>
            </w:pPr>
            <w:r>
              <w:rPr>
                <w:rFonts w:ascii="Times New Roman" w:cs="Times New Roman" w:eastAsia="Times New Roman" w:hAnsi="Times New Roman"/>
                <w:sz w:val="18"/>
                <w:szCs w:val="18"/>
                <w:color w:val="auto"/>
              </w:rPr>
              <w:t>For the year ended December 31,</w:t>
            </w:r>
          </w:p>
        </w:tc>
        <w:tc>
          <w:tcPr>
            <w:tcW w:w="940" w:type="dxa"/>
            <w:vAlign w:val="bottom"/>
            <w:tcBorders>
              <w:bottom w:val="single" w:sz="8" w:color="auto"/>
            </w:tcBorders>
          </w:tcPr>
          <w:p>
            <w:pPr>
              <w:spacing w:after="0"/>
              <w:rPr>
                <w:sz w:val="19"/>
                <w:szCs w:val="19"/>
                <w:color w:val="auto"/>
              </w:rPr>
            </w:pPr>
          </w:p>
        </w:tc>
      </w:tr>
      <w:tr>
        <w:trPr>
          <w:trHeight w:val="183"/>
        </w:trPr>
        <w:tc>
          <w:tcPr>
            <w:tcW w:w="5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10"/>
              <w:spacing w:after="0" w:line="182" w:lineRule="exact"/>
              <w:rPr>
                <w:sz w:val="20"/>
                <w:szCs w:val="20"/>
                <w:color w:val="auto"/>
              </w:rPr>
            </w:pPr>
            <w:r>
              <w:rPr>
                <w:rFonts w:ascii="Times New Roman" w:cs="Times New Roman" w:eastAsia="Times New Roman" w:hAnsi="Times New Roman"/>
                <w:sz w:val="18"/>
                <w:szCs w:val="18"/>
                <w:color w:val="auto"/>
                <w:w w:val="99"/>
              </w:rPr>
              <w:t>2022</w:t>
            </w: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color w:val="auto"/>
              </w:rPr>
              <w:t>2021</w:t>
            </w:r>
          </w:p>
        </w:tc>
      </w:tr>
      <w:tr>
        <w:trPr>
          <w:trHeight w:val="183"/>
        </w:trPr>
        <w:tc>
          <w:tcPr>
            <w:tcW w:w="5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130"/>
              <w:spacing w:after="0" w:line="182" w:lineRule="exact"/>
              <w:rPr>
                <w:sz w:val="20"/>
                <w:szCs w:val="20"/>
                <w:color w:val="auto"/>
              </w:rPr>
            </w:pPr>
            <w:r>
              <w:rPr>
                <w:rFonts w:ascii="Times New Roman" w:cs="Times New Roman" w:eastAsia="Times New Roman" w:hAnsi="Times New Roman"/>
                <w:sz w:val="18"/>
                <w:szCs w:val="18"/>
                <w:color w:val="auto"/>
                <w:w w:val="99"/>
              </w:rPr>
              <w:t>(in thousands)</w:t>
            </w: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9"/>
        </w:trPr>
        <w:tc>
          <w:tcPr>
            <w:tcW w:w="52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80" w:type="dxa"/>
            <w:vAlign w:val="bottom"/>
            <w:gridSpan w:val="2"/>
            <w:shd w:val="clear" w:color="auto" w:fill="CCEEFF"/>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62,060</w:t>
            </w:r>
          </w:p>
        </w:tc>
        <w:tc>
          <w:tcPr>
            <w:tcW w:w="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2,715</w:t>
            </w:r>
          </w:p>
        </w:tc>
        <w:tc>
          <w:tcPr>
            <w:tcW w:w="500" w:type="dxa"/>
            <w:vAlign w:val="bottom"/>
            <w:shd w:val="clear" w:color="auto" w:fill="CCEEFF"/>
          </w:tcPr>
          <w:p>
            <w:pPr>
              <w:jc w:val="right"/>
              <w:ind w:right="2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39,691</w:t>
            </w:r>
          </w:p>
        </w:tc>
      </w:tr>
      <w:tr>
        <w:trPr>
          <w:trHeight w:val="189"/>
        </w:trPr>
        <w:tc>
          <w:tcPr>
            <w:tcW w:w="52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1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(15,255)</w:t>
            </w:r>
          </w:p>
        </w:tc>
        <w:tc>
          <w:tcPr>
            <w:tcW w:w="20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(14,027)</w:t>
            </w:r>
          </w:p>
        </w:tc>
        <w:tc>
          <w:tcPr>
            <w:tcW w:w="50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(11,070)</w:t>
            </w:r>
          </w:p>
        </w:tc>
      </w:tr>
      <w:tr>
        <w:trPr>
          <w:trHeight w:val="189"/>
        </w:trPr>
        <w:tc>
          <w:tcPr>
            <w:tcW w:w="52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(45,928)</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9,114</w:t>
            </w: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(28,902)</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operating activities provide us with a significant source of liquidity. Net cash provided by operating activities was $62.1 million,</w:t>
      </w:r>
    </w:p>
    <w:p>
      <w:pPr>
        <w:spacing w:after="0" w:line="2"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color w:val="auto"/>
        </w:rPr>
        <w:t>$2.7 million, and $39.7 million in 2023, 2022 and 2021, respectively. The increase in operating cash flows in 2023 compared to 2022 was primarily due to a decrease in inventory in 2023 when compared to an increase in inventory in 2022.</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ind w:right="340"/>
        <w:spacing w:after="0" w:line="242" w:lineRule="auto"/>
        <w:rPr>
          <w:sz w:val="20"/>
          <w:szCs w:val="20"/>
          <w:color w:val="auto"/>
        </w:rPr>
      </w:pPr>
      <w:r>
        <w:rPr>
          <w:rFonts w:ascii="Times New Roman" w:cs="Times New Roman" w:eastAsia="Times New Roman" w:hAnsi="Times New Roman"/>
          <w:sz w:val="18"/>
          <w:szCs w:val="18"/>
          <w:color w:val="auto"/>
        </w:rPr>
        <w:t>Net cash used in investing activities was $15.3 million, $14.0 million and $11.1 million in 2023, 2022 and 2021, respectively. The increase in investing activities in 2023 was due to an increase in capital expenditures during 2023 to invest in new stores, store remodels, store merchandising, distribution, internal fleet and information technology assets. During 2023, the Company relocated one store, opened one store, and closed one store.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89"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7"/>
          <w:szCs w:val="17"/>
          <w:color w:val="auto"/>
        </w:rPr>
        <w:t>Net cash (used in) provided by financing activities was ($45.9) million, $9.1 million and ($28.9) million in 2023, 2022 and 2021, respectively. Cash used in financing activities during 2023 included $65.4 million of payments against the line of credit net of $20.0 million of borrowings against the line of credit.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140"/>
        <w:spacing w:after="0" w:line="229" w:lineRule="auto"/>
        <w:rPr>
          <w:sz w:val="20"/>
          <w:szCs w:val="20"/>
          <w:color w:val="auto"/>
        </w:rPr>
      </w:pPr>
      <w:r>
        <w:rPr>
          <w:rFonts w:ascii="Times New Roman" w:cs="Times New Roman" w:eastAsia="Times New Roman" w:hAnsi="Times New Roman"/>
          <w:sz w:val="18"/>
          <w:szCs w:val="18"/>
          <w:color w:val="auto"/>
        </w:rPr>
        <w:t>Our financial statements are prepared in accordance with GAAP. The preparation of our financial statements and related disclosures requires us to make estimates, assumptions, and judgments that affect the reported amount of assets, liabilities, revenues, costs and expenses, and related disclosures. We base our estimates and assumptions on historical experience and other factors that we believe to be reasonable under the circumstances, but all such estimates and assumptions are inherently uncertain and unpredictable. We evaluate our estimates and assumptions on an ongoing basis. Actual results may differ from those estimates and assumptions, and it is possible that other professionals, applying their own judgment to the same facts and circumstances, could develop and support alternative estimates and assumptions that would result in material changes to our operating results and financial condition. Our most critical accounting policies are summarized below. For further information on our critical and other significant accounting policies, see the notes to the consolidated financial statements included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Recognition of Revenue</w:t>
      </w:r>
    </w:p>
    <w:p>
      <w:pPr>
        <w:spacing w:after="0" w:line="187"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Description: </w:t>
      </w:r>
      <w:r>
        <w:rPr>
          <w:rFonts w:ascii="Times New Roman" w:cs="Times New Roman" w:eastAsia="Times New Roman" w:hAnsi="Times New Roman"/>
          <w:sz w:val="17"/>
          <w:szCs w:val="17"/>
          <w:color w:val="auto"/>
        </w:rPr>
        <w:t>Revenues are recognized when control of promised goods or services is transferred to our customers, in an amount that reflects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consideration received in exchange for those goods or services. We recognize service revenue, which consists primarily of freight charges for home delivery, when the service has been rendered. We are required to charge and collect sales and other taxes on sales to our customers and remit these taxes back to government authorities. Total revenues do not include sales tax because we are a pass-through conduit for collecting and remitting sales tax.</w:t>
      </w:r>
    </w:p>
    <w:p>
      <w:pPr>
        <w:spacing w:after="0" w:line="14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Judgement and uncertainties involved in the estimate: </w:t>
      </w:r>
      <w:r>
        <w:rPr>
          <w:rFonts w:ascii="Times New Roman" w:cs="Times New Roman" w:eastAsia="Times New Roman" w:hAnsi="Times New Roman"/>
          <w:sz w:val="18"/>
          <w:szCs w:val="18"/>
          <w:color w:val="auto"/>
        </w:rPr>
        <w:t>Net sales are reduced by an allowance for anticipated sales returns that we estimate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returns. Our process to establish a sales return reserve contains uncertainties because it requires management to make assumptions and to apply judgment to estimate future sales returns and exchanges. Merchandise exchanges are not considered merchandise returns and, therefore, are excluded when calculating the sales returns reserve.</w:t>
      </w:r>
    </w:p>
    <w:p>
      <w:pPr>
        <w:spacing w:after="0" w:line="158" w:lineRule="exact"/>
        <w:rPr>
          <w:sz w:val="20"/>
          <w:szCs w:val="20"/>
          <w:color w:val="auto"/>
        </w:rPr>
      </w:pPr>
    </w:p>
    <w:p>
      <w:pPr>
        <w:jc w:val="both"/>
        <w:ind w:right="40"/>
        <w:spacing w:after="0" w:line="232" w:lineRule="auto"/>
        <w:rPr>
          <w:sz w:val="20"/>
          <w:szCs w:val="20"/>
          <w:color w:val="auto"/>
        </w:rPr>
      </w:pPr>
      <w:r>
        <w:rPr>
          <w:rFonts w:ascii="Times New Roman" w:cs="Times New Roman" w:eastAsia="Times New Roman" w:hAnsi="Times New Roman"/>
          <w:sz w:val="18"/>
          <w:szCs w:val="18"/>
          <w:i w:val="1"/>
          <w:iCs w:val="1"/>
          <w:color w:val="auto"/>
        </w:rPr>
        <w:t xml:space="preserve">Effect if actual results differ from the assumptions: </w:t>
      </w:r>
      <w:r>
        <w:rPr>
          <w:rFonts w:ascii="Times New Roman" w:cs="Times New Roman" w:eastAsia="Times New Roman" w:hAnsi="Times New Roman"/>
          <w:sz w:val="18"/>
          <w:szCs w:val="18"/>
          <w:color w:val="auto"/>
        </w:rPr>
        <w:t>Actual return trends have not varied significantly from estimated amounts in prior periods. However,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nature of sales returns changes significantly, our sales could be adversely impacted. A 10% change in our sales returns reserves and related return assets at December 31, 2023 would have had a $0.2 million net impact on operating income during fiscal 2023.</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 and Shrinkage</w:t>
      </w:r>
    </w:p>
    <w:p>
      <w:pPr>
        <w:spacing w:after="0" w:line="173" w:lineRule="exact"/>
        <w:rPr>
          <w:sz w:val="20"/>
          <w:szCs w:val="20"/>
          <w:color w:val="auto"/>
        </w:rPr>
      </w:pPr>
    </w:p>
    <w:p>
      <w:pPr>
        <w:ind w:right="240"/>
        <w:spacing w:after="0"/>
        <w:rPr>
          <w:sz w:val="20"/>
          <w:szCs w:val="20"/>
          <w:color w:val="auto"/>
        </w:rPr>
      </w:pPr>
      <w:r>
        <w:rPr>
          <w:rFonts w:ascii="Times New Roman" w:cs="Times New Roman" w:eastAsia="Times New Roman" w:hAnsi="Times New Roman"/>
          <w:sz w:val="18"/>
          <w:szCs w:val="18"/>
          <w:i w:val="1"/>
          <w:iCs w:val="1"/>
          <w:color w:val="auto"/>
        </w:rPr>
        <w:t xml:space="preserve">Description: </w:t>
      </w:r>
      <w:r>
        <w:rPr>
          <w:rFonts w:ascii="Times New Roman" w:cs="Times New Roman" w:eastAsia="Times New Roman" w:hAnsi="Times New Roman"/>
          <w:sz w:val="18"/>
          <w:szCs w:val="18"/>
          <w:color w:val="auto"/>
        </w:rPr>
        <w:t>Our inventory consists of manufactured items and purchased merchandise held for resale. Inventories are stated at the lower of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using the moving average cost method) or net realizable value. We capitalize the cost of inbound freight, duties, and receiving and handling costs to bring purchased materials into our distribution network. The labor and overhead costs incurred in connection with the production process are included in the value of manufactured finished goods.</w:t>
      </w:r>
    </w:p>
    <w:p>
      <w:pPr>
        <w:spacing w:after="0" w:line="144"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Judgement and uncertainties involved in the estimate: </w:t>
      </w:r>
      <w:r>
        <w:rPr>
          <w:rFonts w:ascii="Times New Roman" w:cs="Times New Roman" w:eastAsia="Times New Roman" w:hAnsi="Times New Roman"/>
          <w:sz w:val="18"/>
          <w:szCs w:val="18"/>
          <w:color w:val="auto"/>
        </w:rPr>
        <w:t>We provide provisions for losses related to shrinkage and other amounts that are otherwise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be fully recoverable. These provisions are calculated based on historical shrinkage, selling price, margin and current business trends. These estimates have calculations that require management to make assumptions based on the current rate of sales, age, salability and profitability of inventory, historical percentages that can be affected by changes in our merchandising mix, customer preferences, rates of sell through and changes in actual shrinkage trends.</w:t>
      </w:r>
    </w:p>
    <w:p>
      <w:pPr>
        <w:spacing w:after="0" w:line="157" w:lineRule="exact"/>
        <w:rPr>
          <w:sz w:val="20"/>
          <w:szCs w:val="20"/>
          <w:color w:val="auto"/>
        </w:rPr>
      </w:pPr>
    </w:p>
    <w:p>
      <w:pPr>
        <w:ind w:right="300"/>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Effect if actual results differ from the assumptions: </w:t>
      </w:r>
      <w:r>
        <w:rPr>
          <w:rFonts w:ascii="Times New Roman" w:cs="Times New Roman" w:eastAsia="Times New Roman" w:hAnsi="Times New Roman"/>
          <w:sz w:val="18"/>
          <w:szCs w:val="18"/>
          <w:color w:val="auto"/>
        </w:rPr>
        <w:t>We do not believe there is a reasonable likelihood that there will be a material change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we use to calculate our inventory provisions. However, if actual results are not consistent with our estimates and assumptions, we may be exposed to losses that could be material. A 10% change in our inventory valuation and shrinkage reserves at December 31, 2023 would have had a $0.1 million net impact on operating income during fiscal 2023.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73"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i w:val="1"/>
          <w:iCs w:val="1"/>
          <w:color w:val="auto"/>
        </w:rPr>
        <w:t xml:space="preserve">Description: </w:t>
      </w:r>
      <w:r>
        <w:rPr>
          <w:rFonts w:ascii="Times New Roman" w:cs="Times New Roman" w:eastAsia="Times New Roman" w:hAnsi="Times New Roman"/>
          <w:sz w:val="18"/>
          <w:szCs w:val="18"/>
          <w:color w:val="auto"/>
        </w:rPr>
        <w:t>Property, plant and equipment are carried at cost less accumulated depreciation, which is amortized over the useful life of the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Leasehold improvements are amortized over the shorter of their estimated useful lives or lease period (including expected renewal periods). Property, plant, equipment, and right of use assets are evaluated for impairment whenever events or changes in circumstances indicate that the carrying value may not be recoverable. The evaluation is performed at the lowest level of identifiable cash flows independent of other assets, which typically occurs at an individual store level. An impairment loss is recognized when estimated undiscounted future cash flows from the operations and/or disposition of the assets are less than the carrying amount.</w:t>
      </w:r>
    </w:p>
    <w:p>
      <w:pPr>
        <w:spacing w:after="0" w:line="15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Judgement and uncertainties involved in the estimate: </w:t>
      </w:r>
      <w:r>
        <w:rPr>
          <w:rFonts w:ascii="Times New Roman" w:cs="Times New Roman" w:eastAsia="Times New Roman" w:hAnsi="Times New Roman"/>
          <w:sz w:val="18"/>
          <w:szCs w:val="18"/>
          <w:color w:val="auto"/>
        </w:rPr>
        <w:t>Significant assumptions used in developing undiscounted cash flow analyses include estimates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sales, gross margin and operating expenses. Measurement of an impairment loss is based on the excess of the carrying amount of the asset group over its fair value. Fair value is measured using discounted cash flows or independent opinions of value, as appropriate. Significant assumptions used in the fair value analyses include estimates of future sales, gross margin, operating expenses, comparable market rents and discount rates.</w:t>
      </w:r>
    </w:p>
    <w:p>
      <w:pPr>
        <w:spacing w:after="0" w:line="158"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Effect if actual results differ from the assumptions: </w:t>
      </w:r>
      <w:r>
        <w:rPr>
          <w:rFonts w:ascii="Times New Roman" w:cs="Times New Roman" w:eastAsia="Times New Roman" w:hAnsi="Times New Roman"/>
          <w:sz w:val="18"/>
          <w:szCs w:val="18"/>
          <w:color w:val="auto"/>
        </w:rPr>
        <w:t>If actual results are not consistent with our estimates and assumptions used in determining future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flows and asset fair values, we may be exposed to losses that could be material. During the fiscal years ended December 31, 2023, 2022 and 2021, the Company recorded asset impairment charges of $1.0 million, $0.4 million and $0.7 million, respectively, which were classified in selling, general and administrative expenses.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7" w:lineRule="exact"/>
        <w:rPr>
          <w:sz w:val="20"/>
          <w:szCs w:val="20"/>
          <w:color w:val="auto"/>
        </w:rPr>
      </w:pPr>
    </w:p>
    <w:p>
      <w:pPr>
        <w:ind w:right="38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Description: </w:t>
      </w:r>
      <w:r>
        <w:rPr>
          <w:rFonts w:ascii="Times New Roman" w:cs="Times New Roman" w:eastAsia="Times New Roman" w:hAnsi="Times New Roman"/>
          <w:sz w:val="18"/>
          <w:szCs w:val="18"/>
          <w:color w:val="auto"/>
        </w:rPr>
        <w:t>Deferred tax liabilities and assets are determined based on the difference between the financial statement basis and tax basis of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using enacted tax rates in effect for the year in which the differences are expected to reverse.</w:t>
      </w:r>
    </w:p>
    <w:p>
      <w:pPr>
        <w:spacing w:after="0" w:line="144" w:lineRule="exact"/>
        <w:rPr>
          <w:sz w:val="20"/>
          <w:szCs w:val="20"/>
          <w:color w:val="auto"/>
        </w:rPr>
      </w:pPr>
    </w:p>
    <w:p>
      <w:pPr>
        <w:ind w:right="220"/>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Judgement and uncertainties involved in the estimate: </w:t>
      </w:r>
      <w:r>
        <w:rPr>
          <w:rFonts w:ascii="Times New Roman" w:cs="Times New Roman" w:eastAsia="Times New Roman" w:hAnsi="Times New Roman"/>
          <w:sz w:val="18"/>
          <w:szCs w:val="18"/>
          <w:color w:val="auto"/>
        </w:rPr>
        <w:t>We estimate the degree to which tax assets and loss carryforwards will result in a benefit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profitability by tax jurisdiction. A valuation allowance for such tax assets and loss carryforwards is provided when it is determined to be more likely than not that the benefit of such deferred tax asset will not be realized in future periods. If it becomes more likely than not that a tax asset will be used, the related valuation allowance on such assets would be reduced.</w:t>
      </w:r>
    </w:p>
    <w:p>
      <w:pPr>
        <w:spacing w:after="0" w:line="15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Effect if actual results differ from the assumptions: </w:t>
      </w:r>
      <w:r>
        <w:rPr>
          <w:rFonts w:ascii="Times New Roman" w:cs="Times New Roman" w:eastAsia="Times New Roman" w:hAnsi="Times New Roman"/>
          <w:sz w:val="18"/>
          <w:szCs w:val="18"/>
          <w:color w:val="auto"/>
        </w:rPr>
        <w:t>If future taxable income is insufficient to realize the benefit of tax assets and loss carryforwards,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exposed to losses that could be material.</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8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include inflation, interest rate risk, credit concentration risk and foreign currency exchange risk.</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89"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Inflationary factors such as increases in the cost of our products and overhead costs may adversely affect our operating results. Our operating results are heavily dependent upon the prices paid to acquire man-made and natural stone products from our vendors around the world. Our cost of sales is subject to inflationary pressures and price fluctuations of the raw materials we use and other costs, including freight and labor costs. The cost to source our products has increased over the last couple of years due to an increase in international freight rates and vendor price increases, due in part to higher labor costs, energy prices and other inflationary pressures. Higher rates of inflation may have an adverse effect on our ability to maintain historical levels of gross profit and selling, general and administrative expenses as a percentage of revenues if the selling prices of our products do not increase with these increased costs. Historically, we have generally been able over time to offset, in whole or in part, the effects of inflation and price fluctuations through sales price increases and production efficiencies associated with technological enhancements and volume growth; however, we cannot reasonably estimate our ability to offset any increases in raw material prices or freight or labor costs or other inflationary pressures in the future. Such sustained inflationary pressures may have an adverse effect on our business, financial condition and results of operations if the selling prices of our products do not increase with these increased costs, or we cannot identify cost efficiencies.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18"/>
          <w:szCs w:val="18"/>
          <w:color w:val="auto"/>
        </w:rPr>
        <w:t>We are exposed to interest rate risk through the investment of our cash and cash equivalents. Changes in interest rates affect the interest income that we earn in connection with these investments, and therefore impact our cash flows and results of operation. We are also exposed to interest rate risk in connection with borrowings under our credit facility. Borrowings pursuant to our Credit Agreement initially bear interest at a rate per annum equal to: (i) Adjusted Term SOFR Rate (as defined in the Credit Agreement), plus a margin ranging from 1.25% to 1.75%; (ii) Adjusted Daily Simple SOFR (as defined in the Credit Agreement), plus a margin ranging from 1.25% to 1.75%; or (iii) the Alternate Base Rate (as defined in the Credit Agreement), plus a margin ranging from 0.25% to 0.75%. The margin is determined based on the Rent Adjusted Leverage Ratio (as defined in the Credit Agreement). Based upon balances and interest rates as of December 31, 2023, holding other variables constant, a one percentage point increase in interest rates for the next 12-month period would not affect pre-tax earnings or cash flow as we had paid off our debt balance as of the end of the year.</w:t>
      </w:r>
    </w:p>
    <w:p>
      <w:pPr>
        <w:spacing w:after="0" w:line="161"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We currently do not engage in any interest rate hedging activity. We do not, and do not intend to, engage in the practice of trading derivative securities for profit.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Concentration Risk</w:t>
      </w:r>
    </w:p>
    <w:p>
      <w:pPr>
        <w:spacing w:after="0" w:line="189"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7"/>
          <w:szCs w:val="17"/>
          <w:color w:val="auto"/>
        </w:rPr>
        <w:t>Financial instruments, which may subject us to concentration of credit risk, consist principally of cash deposits. We maintain cash balances at financial institutions with strong credit ratings. However, the amounts invested with financial institutions are generally in excess of FDIC insurance limits.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189"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We are exposed to risks from foreign currency exchange rate fluctuations on the translation of our subsidiary based in China and on the purchase of goods in Chinese yuan. Purchases made in Chinese yuan were less than 15% of our total inventory purchases in both 2023 and 2022. Our exposure to foreign currency rate fluctuations is not significant to our financial condition or results of operations.</w:t>
      </w:r>
    </w:p>
    <w:p>
      <w:pPr>
        <w:spacing w:after="0" w:line="14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currently do not engage in any exchange rate hedging activity and currently have no intention to do so in the foreseeable future. However, in the future, in an effort to mitigate losses associated with these risks, we may at times engage in these transactions.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and the reports of our independent registered public accounting firm, as listed under Part IV, Item 15. “Exhibits and Financial Statement Schedules,” are included as a separate section of this report beginning on page 37 and are incorporated herein by reference.</w:t>
      </w:r>
    </w:p>
    <w:p>
      <w:pPr>
        <w:spacing w:after="0" w:line="131" w:lineRule="exact"/>
        <w:rPr>
          <w:sz w:val="20"/>
          <w:szCs w:val="20"/>
          <w:color w:val="auto"/>
        </w:rPr>
      </w:pPr>
    </w:p>
    <w:p>
      <w:pPr>
        <w:ind w:right="1020"/>
        <w:spacing w:after="0" w:line="448"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75"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18"/>
          <w:szCs w:val="18"/>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that information relating to the Company is accumulated and communicated to management, including our principal officers, as appropriate to allow timely decisions regarding required disclosure. Our Chief Executive Officer and Chief Financial Officer have evaluated the effectiveness of our disclosure controls and procedures as of December 31, 2023 and have concluded that our disclosure controls and procedures were not effective as of December 31, 2023 due to the material weaknesses in our internal control over financial reporting as described below.</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89"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promulgated under the Exchange Act. Internal control over financial reporting is a process designed by, or under the supervision of, our Chief Executive Officer and Chief Financial Officer and effected by our Board of Directors, management and other personnel, to provide reasonable assurance regarding the reliability of financial reporting and the preparation of our financial statements for external purposes in accordance with GAAP. Internal control over financial reporting includes policies and procedures that: (i) pertain to the maintenance of records that, in reasonable detail, accurately and fairly reflect the transactions and dispositions of an issuer’s assets; (ii) provide reasonable assurance that transactions are recorded as necessary to permit preparation of financial statements in accordance with GAAP, and that an issuer’s receipts and expenditures are being made only in accordance with authorizations of its management and directors; and (iii) provide reasonable assurance regarding prevention or timely detection of unauthorized acquisition, use or disposition of an issuer’s assets that could have a material effect on the consolidated financial statements. A material weakness is a significant deficiency, or combination of significant deficiencies, in internal control over financial reporting, such that there is a reasonable possibility that a material misstatement of the annual or interim financial statements will not be prevented or detected on a timely basis. Because of its inherent limitations, internal control over financial reporting may not prevent or detect misstatements. Also, the application of any evaluation of effectiveness to future periods is subject to the risk that controls may become inadequate because of changes in conditions, or that compliance with the policies or procedures may deteriorate.</w:t>
      </w:r>
    </w:p>
    <w:p>
      <w:pPr>
        <w:spacing w:after="0" w:line="146"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8"/>
          <w:szCs w:val="18"/>
          <w:color w:val="auto"/>
        </w:rPr>
        <w:t>As required by Rule 13a-15(c) promulgated under the Exchange Act, our management, with the participation of our Chief Executive Officer and Chief Financial Officer, evaluated the effectiveness of our internal control over financial reporting as of December 31, 2023. Management’s assessment was based on criteria set forth by the Committee of Sponsoring Organizations of the Treadway Commission in Internal Control - Integrated Framework (2013 Framework) (“COSO”). Based on management’s assessment, management has concluded that our internal control over financial reporting was not effective as of December 31, 2023 due to material weaknesses in the design effectiveness of the Company’s information technology general controls (“ITGCs”) and the operating effectiveness of the Company’s controls surrounding leases.</w:t>
      </w:r>
    </w:p>
    <w:p>
      <w:pPr>
        <w:spacing w:after="0" w:line="158" w:lineRule="exact"/>
        <w:rPr>
          <w:sz w:val="20"/>
          <w:szCs w:val="20"/>
          <w:color w:val="auto"/>
        </w:rPr>
      </w:pPr>
    </w:p>
    <w:p>
      <w:pPr>
        <w:ind w:right="360"/>
        <w:spacing w:after="0" w:line="236" w:lineRule="auto"/>
        <w:rPr>
          <w:sz w:val="20"/>
          <w:szCs w:val="20"/>
          <w:color w:val="auto"/>
        </w:rPr>
      </w:pPr>
      <w:r>
        <w:rPr>
          <w:rFonts w:ascii="Times New Roman" w:cs="Times New Roman" w:eastAsia="Times New Roman" w:hAnsi="Times New Roman"/>
          <w:sz w:val="18"/>
          <w:szCs w:val="18"/>
          <w:color w:val="auto"/>
        </w:rPr>
        <w:t>The material weakness related to the Company’s ITGCs stems from deficiencies in user access controls, which did not adequately restrict access to the Company’s financial reporting system, did not ensure appropriate segregation of duties, and did not prevent unauthorized individuals from having the ability to create, post and modify journal entries. This material weakness also resulted in the ineffectiveness of automated and manual business process controls throughout our financial reporting and business transaction cycles that are dependent upon the affected ITGCs.</w:t>
      </w:r>
    </w:p>
    <w:p>
      <w:pPr>
        <w:spacing w:after="0" w:line="158"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8"/>
          <w:szCs w:val="18"/>
          <w:color w:val="auto"/>
        </w:rPr>
        <w:t>In addition, we previously identified a material weakness in internal control over financial reporting attributable to the breakdown in the operating effectiveness of our controls designed to identify and ensure timely recognition of new and modified leases, as disclosed in “Part I, Item 4 – Controls and Procedures” in our Form 10-Q prepared for the period ending September 30, 2023. Since originally identifying this material weakness, we have identified additional deficiencies in the design and operating effectiveness of our controls to review key inputs underlying certain lease accounting calculations.</w:t>
      </w:r>
    </w:p>
    <w:p>
      <w:pPr>
        <w:spacing w:after="0" w:line="15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These deficiencies resulted in an elevated risk that a material misstatement of our annual or interim financial statements would not be prevented or detected by other compensating controls. Notwithstanding the identified material weaknesses, we believe the consolidated financial statements included in this Form 10-K fairly present, in all material respects, our financial condition, results of operations, and cash flows for the periods presented in conformity with GAAP.</w:t>
      </w:r>
    </w:p>
    <w:p>
      <w:pPr>
        <w:spacing w:after="0" w:line="158"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RSM US LLP, our independent registered public accounting firm, has issued a report on our internal control over financial reporting as of December 31, 2023. See “Report of Independent Registered Public Accounting Firm – Opinion on Internal Control over Financial Reporting” of this report.</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Planned Remediation of Material Weaknesses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has actively engaged in implementing remediation plans to address the material weaknesses outlined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the material weakness identified related to the Company’s ITGCs, the remediation efforts include the following actions, among others:</w:t>
      </w:r>
    </w:p>
    <w:p>
      <w:pPr>
        <w:spacing w:after="0" w:line="185" w:lineRule="exact"/>
        <w:rPr>
          <w:sz w:val="20"/>
          <w:szCs w:val="20"/>
          <w:color w:val="auto"/>
        </w:rPr>
      </w:pPr>
    </w:p>
    <w:p>
      <w:pPr>
        <w:ind w:left="660" w:right="280"/>
        <w:spacing w:after="0" w:line="230" w:lineRule="auto"/>
        <w:rPr>
          <w:sz w:val="20"/>
          <w:szCs w:val="20"/>
          <w:color w:val="auto"/>
        </w:rPr>
      </w:pPr>
      <w:r>
        <w:rPr>
          <w:rFonts w:ascii="Times New Roman" w:cs="Times New Roman" w:eastAsia="Times New Roman" w:hAnsi="Times New Roman"/>
          <w:sz w:val="18"/>
          <w:szCs w:val="18"/>
          <w:color w:val="auto"/>
        </w:rPr>
        <w:t>Restricting access in our enterprise resource planning (“ERP”) system to process transactions that could trigger a manual journal entry initiated outside of the park and post process for users who are responsible for reviewing account reconciliations.</w:t>
      </w:r>
    </w:p>
    <w:p>
      <w:pPr>
        <w:spacing w:after="0" w:line="1" w:lineRule="exact"/>
        <w:rPr>
          <w:sz w:val="20"/>
          <w:szCs w:val="20"/>
          <w:color w:val="auto"/>
        </w:rPr>
      </w:pPr>
    </w:p>
    <w:p>
      <w:pPr>
        <w:ind w:left="340"/>
        <w:spacing w:after="0" w:line="234" w:lineRule="auto"/>
        <w:rPr>
          <w:sz w:val="20"/>
          <w:szCs w:val="20"/>
          <w:color w:val="auto"/>
        </w:rPr>
      </w:pPr>
      <w:r>
        <w:rPr>
          <w:rFonts w:ascii="Times New Roman" w:cs="Times New Roman" w:eastAsia="Times New Roman" w:hAnsi="Times New Roman"/>
          <w:sz w:val="18"/>
          <w:szCs w:val="18"/>
          <w:color w:val="auto"/>
        </w:rPr>
        <w:t>Adjusting access profiles in our ERP system to eliminate the ability for a user to modify and subsequently approve a manual journal entry.</w:t>
      </w:r>
    </w:p>
    <w:p>
      <w:pPr>
        <w:ind w:left="660" w:right="40"/>
        <w:spacing w:after="0" w:line="219" w:lineRule="auto"/>
        <w:rPr>
          <w:sz w:val="20"/>
          <w:szCs w:val="20"/>
          <w:color w:val="auto"/>
        </w:rPr>
      </w:pPr>
      <w:r>
        <w:rPr>
          <w:rFonts w:ascii="Times New Roman" w:cs="Times New Roman" w:eastAsia="Times New Roman" w:hAnsi="Times New Roman"/>
          <w:sz w:val="18"/>
          <w:szCs w:val="18"/>
          <w:color w:val="auto"/>
        </w:rPr>
        <w:t>Designing and implementing a new monitoring control to identify and assess the appropriateness of any change made to a manual journal entry by the same user who approved the manual journal entry.</w:t>
      </w:r>
    </w:p>
    <w:p>
      <w:pPr>
        <w:ind w:left="660" w:right="140"/>
        <w:spacing w:after="0" w:line="226" w:lineRule="auto"/>
        <w:rPr>
          <w:sz w:val="20"/>
          <w:szCs w:val="20"/>
          <w:color w:val="auto"/>
        </w:rPr>
      </w:pPr>
      <w:r>
        <w:rPr>
          <w:rFonts w:ascii="Times New Roman" w:cs="Times New Roman" w:eastAsia="Times New Roman" w:hAnsi="Times New Roman"/>
          <w:sz w:val="18"/>
          <w:szCs w:val="18"/>
          <w:color w:val="auto"/>
        </w:rPr>
        <w:t>Developing a new control to identify and assess the appropriateness of transactions processed in our ERP system that generate accounting entries initiated individuals who are responsible for reviewing account reconciliations.</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Refining the control to identify access profiles in our ERP system that result in segregation of duties risks.</w:t>
      </w:r>
    </w:p>
    <w:p>
      <w:pPr>
        <w:spacing w:after="0" w:line="165" w:lineRule="exact"/>
        <w:rPr>
          <w:sz w:val="20"/>
          <w:szCs w:val="20"/>
          <w:color w:val="auto"/>
        </w:rPr>
      </w:pPr>
    </w:p>
    <w:p>
      <w:pPr>
        <w:ind w:right="880"/>
        <w:spacing w:after="0" w:line="250" w:lineRule="auto"/>
        <w:rPr>
          <w:sz w:val="20"/>
          <w:szCs w:val="20"/>
          <w:color w:val="auto"/>
        </w:rPr>
      </w:pPr>
      <w:r>
        <w:rPr>
          <w:rFonts w:ascii="Times New Roman" w:cs="Times New Roman" w:eastAsia="Times New Roman" w:hAnsi="Times New Roman"/>
          <w:sz w:val="18"/>
          <w:szCs w:val="18"/>
          <w:color w:val="auto"/>
        </w:rPr>
        <w:t>With respect to the material weakness surrounding the Company’s lease accounting, management has taken the following steps to remediate the deficiencies identified:</w:t>
      </w:r>
    </w:p>
    <w:p>
      <w:pPr>
        <w:spacing w:after="0" w:line="149" w:lineRule="exact"/>
        <w:rPr>
          <w:sz w:val="20"/>
          <w:szCs w:val="20"/>
          <w:color w:val="auto"/>
        </w:rPr>
      </w:pPr>
    </w:p>
    <w:p>
      <w:pPr>
        <w:ind w:left="660" w:right="160"/>
        <w:spacing w:after="0" w:line="266" w:lineRule="auto"/>
        <w:rPr>
          <w:sz w:val="20"/>
          <w:szCs w:val="20"/>
          <w:color w:val="auto"/>
        </w:rPr>
      </w:pPr>
      <w:r>
        <w:rPr>
          <w:rFonts w:ascii="Times New Roman" w:cs="Times New Roman" w:eastAsia="Times New Roman" w:hAnsi="Times New Roman"/>
          <w:sz w:val="18"/>
          <w:szCs w:val="18"/>
          <w:color w:val="auto"/>
        </w:rPr>
        <w:t>Reviewed all new leases and lease amendments entered into during 2023 and confirmed that our accounting records have been updated to reflect the terms of the new leases and lease amendments.</w:t>
      </w:r>
    </w:p>
    <w:p>
      <w:pPr>
        <w:spacing w:after="0" w:line="121" w:lineRule="exact"/>
        <w:rPr>
          <w:sz w:val="20"/>
          <w:szCs w:val="20"/>
          <w:color w:val="auto"/>
        </w:rPr>
      </w:pPr>
    </w:p>
    <w:p>
      <w:pPr>
        <w:ind w:left="660" w:right="80"/>
        <w:spacing w:after="0" w:line="242" w:lineRule="auto"/>
        <w:rPr>
          <w:sz w:val="20"/>
          <w:szCs w:val="20"/>
          <w:color w:val="auto"/>
        </w:rPr>
      </w:pPr>
      <w:r>
        <w:rPr>
          <w:rFonts w:ascii="Times New Roman" w:cs="Times New Roman" w:eastAsia="Times New Roman" w:hAnsi="Times New Roman"/>
          <w:sz w:val="18"/>
          <w:szCs w:val="18"/>
          <w:color w:val="auto"/>
        </w:rPr>
        <w:t>Transitioned responsibility to certify the completeness of the population of new and amended leases each quarter to a new control operator who is responsible for oversight of lease negotiations. We have provided training to our new control operator and set clear expectations with respect to our controls involving the accounting for leases.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future periods, management will take additional measures to enhance its controls to review key inputs used in its lease accounting calculations.</w:t>
      </w:r>
    </w:p>
    <w:p>
      <w:pPr>
        <w:spacing w:after="0" w:line="185" w:lineRule="exact"/>
        <w:rPr>
          <w:sz w:val="20"/>
          <w:szCs w:val="20"/>
          <w:color w:val="auto"/>
        </w:rPr>
      </w:pPr>
    </w:p>
    <w:p>
      <w:pPr>
        <w:ind w:right="160"/>
        <w:spacing w:after="0" w:line="233" w:lineRule="auto"/>
        <w:rPr>
          <w:sz w:val="20"/>
          <w:szCs w:val="20"/>
          <w:color w:val="auto"/>
        </w:rPr>
      </w:pPr>
      <w:r>
        <w:rPr>
          <w:rFonts w:ascii="Times New Roman" w:cs="Times New Roman" w:eastAsia="Times New Roman" w:hAnsi="Times New Roman"/>
          <w:sz w:val="18"/>
          <w:szCs w:val="18"/>
          <w:color w:val="auto"/>
        </w:rPr>
        <w:t>We have started implementing, for the material weakness related to the ITCGs, and continue to implement, for the material weakness relating to the Company’s lease accounting, the remediation steps outlined above. Each identified material weakness in internal control over financial reporting will not be considered remediated until the applicable controls have been in operation for a sufficient period of time for our management to conclude that such material weakness has been remediated. We will continue to assess the effectiveness of our remediation efforts in connection with our evaluations of internal control over financial reporting. No assurance can be made that our remediation efforts will be completed in a timely manner or that the updated controls and procedures associated with such efforts will be deemed adequate after being subjected to testing.</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89"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Other than the changes discussed above, there were no changes in internal control over financial reporting (as defined by Rule 13a-15(f) under the Exchange Act) during the quarter ended December 31, 2023 that have materially affected, or are reasonably likely to materially affect, our internal control over financial reporting.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89"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intends that our disclosure controls and procedures and internal control over financial reporting are designed to provide reasonable assurance of achieving their objectives.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5"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changes in conditions, or the degree of compliance with policies or procedures may deteriorate. Because of the inherent limitations in a cost effective control system, misstatements due to error or fraud may occur and not be detected.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187"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During the quarter ended December 31, 2023, none of the Company’s directors or executive officers adopted, modified or terminated any contract, instruction or written plan for the purchase or sale of Company securities that was intended to satisfy the affirmative defense conditions of Rule 10b5-1(c) of the Exchange Act or any “non-Rule 10b5-1 trading arrangement” (as defined in Item 408(c) of Regulation S-K).</w:t>
      </w:r>
    </w:p>
    <w:p>
      <w:pPr>
        <w:spacing w:after="0" w:line="155" w:lineRule="exact"/>
        <w:rPr>
          <w:sz w:val="20"/>
          <w:szCs w:val="20"/>
          <w:color w:val="auto"/>
        </w:rPr>
      </w:pPr>
    </w:p>
    <w:p>
      <w:pPr>
        <w:ind w:right="2880"/>
        <w:spacing w:after="0" w:line="490"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34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9"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Certain information required by Part III is incorporated by reference from our definitive Proxy Statement for the Annual Meeting of Stockholders, which is currently scheduled to be held on June 18, 2024 (the “Proxy Statement”), or an amendment to this Form 10-K, which we intend to file with the SEC within 120 days after the fiscal year end covered by this report. Except for those portions specifically incorporated in this Form 10-K by reference to the Proxy Statement, no other portions of the Proxy Statement are deemed to be filed as part of this Form 10-K.</w:t>
      </w:r>
    </w:p>
    <w:p>
      <w:pPr>
        <w:spacing w:after="0" w:line="154" w:lineRule="exact"/>
        <w:rPr>
          <w:sz w:val="20"/>
          <w:szCs w:val="20"/>
          <w:color w:val="auto"/>
        </w:rPr>
      </w:pPr>
    </w:p>
    <w:p>
      <w:pPr>
        <w:ind w:right="4300"/>
        <w:spacing w:after="0" w:line="474" w:lineRule="auto"/>
        <w:rPr>
          <w:sz w:val="20"/>
          <w:szCs w:val="20"/>
          <w:color w:val="auto"/>
        </w:rPr>
      </w:pPr>
      <w:r>
        <w:rPr>
          <w:rFonts w:ascii="Times New Roman" w:cs="Times New Roman" w:eastAsia="Times New Roman" w:hAnsi="Times New Roman"/>
          <w:sz w:val="17"/>
          <w:szCs w:val="17"/>
          <w:b w:val="1"/>
          <w:bCs w:val="1"/>
          <w:color w:val="auto"/>
        </w:rPr>
        <w:t xml:space="preserve">ITEM 10. DIRECTORS, EXECUTIVE OFFICERS AND CORPORATE GOVERNANCE </w:t>
      </w:r>
      <w:r>
        <w:rPr>
          <w:rFonts w:ascii="Times New Roman" w:cs="Times New Roman" w:eastAsia="Times New Roman" w:hAnsi="Times New Roman"/>
          <w:sz w:val="17"/>
          <w:szCs w:val="17"/>
          <w:color w:val="auto"/>
        </w:rPr>
        <w:t>The following sections of the Proxy Statement are incorporated herein by reference:</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Proposal 1 – Election of Directors</w:t>
      </w:r>
    </w:p>
    <w:p>
      <w:pPr>
        <w:spacing w:after="0" w:line="15" w:lineRule="exact"/>
        <w:rPr>
          <w:sz w:val="20"/>
          <w:szCs w:val="20"/>
          <w:color w:val="auto"/>
        </w:rPr>
      </w:pPr>
    </w:p>
    <w:p>
      <w:pPr>
        <w:ind w:left="340"/>
        <w:spacing w:after="0" w:line="219" w:lineRule="auto"/>
        <w:rPr>
          <w:sz w:val="20"/>
          <w:szCs w:val="20"/>
          <w:color w:val="auto"/>
        </w:rPr>
      </w:pPr>
      <w:r>
        <w:rPr>
          <w:rFonts w:ascii="Times New Roman" w:cs="Times New Roman" w:eastAsia="Times New Roman" w:hAnsi="Times New Roman"/>
          <w:sz w:val="18"/>
          <w:szCs w:val="18"/>
          <w:color w:val="auto"/>
        </w:rPr>
        <w:t>Information about our Executive Officers</w:t>
      </w:r>
    </w:p>
    <w:p>
      <w:pPr>
        <w:ind w:left="660" w:right="7180"/>
        <w:spacing w:after="0" w:line="243" w:lineRule="auto"/>
        <w:rPr>
          <w:sz w:val="20"/>
          <w:szCs w:val="20"/>
          <w:color w:val="auto"/>
        </w:rPr>
      </w:pPr>
      <w:r>
        <w:rPr>
          <w:rFonts w:ascii="Times New Roman" w:cs="Times New Roman" w:eastAsia="Times New Roman" w:hAnsi="Times New Roman"/>
          <w:sz w:val="18"/>
          <w:szCs w:val="18"/>
          <w:color w:val="auto"/>
        </w:rPr>
        <w:t>Certain Relationships and Related Transactions Delinquent Section 16(a) Reports</w:t>
      </w:r>
    </w:p>
    <w:p>
      <w:pPr>
        <w:spacing w:after="0" w:line="141"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officers, directors and employees. The Code of Business Conduct and Ethics is available on the “Investor Relations” section of our website, at http://investors.tileshop.com, under the “Corporate Governance—Governance Documents” heading. We intend to satisfy the disclosure requirement under Item 5.05 of Form 8-K regarding an amendment to, or waiver from, a provision of our Code of Ethics and Business Conduct by posting such information on our website at the web address and location specified above within four business days following the date of the amendment or waiver.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sections of the Proxy Statement are incorporated herein by reference:</w:t>
      </w:r>
    </w:p>
    <w:p>
      <w:pPr>
        <w:spacing w:after="0" w:line="171" w:lineRule="exact"/>
        <w:rPr>
          <w:sz w:val="20"/>
          <w:szCs w:val="20"/>
          <w:color w:val="auto"/>
        </w:rPr>
      </w:pPr>
    </w:p>
    <w:p>
      <w:pPr>
        <w:ind w:left="660" w:right="8780"/>
        <w:spacing w:after="0" w:line="237" w:lineRule="auto"/>
        <w:rPr>
          <w:sz w:val="20"/>
          <w:szCs w:val="20"/>
          <w:color w:val="auto"/>
        </w:rPr>
      </w:pPr>
      <w:r>
        <w:rPr>
          <w:rFonts w:ascii="Times New Roman" w:cs="Times New Roman" w:eastAsia="Times New Roman" w:hAnsi="Times New Roman"/>
          <w:sz w:val="18"/>
          <w:szCs w:val="18"/>
          <w:color w:val="auto"/>
        </w:rPr>
        <w:t>Executive Compensation Director Compensation Pay Ratio</w:t>
      </w:r>
    </w:p>
    <w:p>
      <w:pPr>
        <w:ind w:left="340"/>
        <w:spacing w:after="0" w:line="219" w:lineRule="auto"/>
        <w:rPr>
          <w:sz w:val="20"/>
          <w:szCs w:val="20"/>
          <w:color w:val="auto"/>
        </w:rPr>
      </w:pPr>
      <w:r>
        <w:rPr>
          <w:rFonts w:ascii="Times New Roman" w:cs="Times New Roman" w:eastAsia="Times New Roman" w:hAnsi="Times New Roman"/>
          <w:sz w:val="18"/>
          <w:szCs w:val="18"/>
          <w:color w:val="auto"/>
        </w:rPr>
        <w:t>Pay Versus Performance</w:t>
      </w:r>
    </w:p>
    <w:p>
      <w:pPr>
        <w:ind w:left="340"/>
        <w:spacing w:after="0" w:line="219" w:lineRule="auto"/>
        <w:rPr>
          <w:sz w:val="20"/>
          <w:szCs w:val="20"/>
          <w:color w:val="auto"/>
        </w:rPr>
      </w:pPr>
      <w:r>
        <w:rPr>
          <w:rFonts w:ascii="Times New Roman" w:cs="Times New Roman" w:eastAsia="Times New Roman" w:hAnsi="Times New Roman"/>
          <w:sz w:val="18"/>
          <w:szCs w:val="18"/>
          <w:color w:val="auto"/>
        </w:rPr>
        <w:t>Proposal 1 – Election of Directors – Committees of the Board of Directors – Compensation Committee Interlocks and Insider Participation</w:t>
      </w:r>
    </w:p>
    <w:p>
      <w:pPr>
        <w:ind w:left="340"/>
        <w:spacing w:after="0"/>
        <w:rPr>
          <w:sz w:val="20"/>
          <w:szCs w:val="20"/>
          <w:color w:val="auto"/>
        </w:rPr>
      </w:pPr>
      <w:r>
        <w:rPr>
          <w:rFonts w:ascii="Times New Roman" w:cs="Times New Roman" w:eastAsia="Times New Roman" w:hAnsi="Times New Roman"/>
          <w:sz w:val="18"/>
          <w:szCs w:val="18"/>
          <w:color w:val="auto"/>
        </w:rPr>
        <w:t>Proposal 1 – Election of Directors – Information Regarding the Board of Directors and Corporate Governance – Oversight of Risk Management</w:t>
      </w:r>
    </w:p>
    <w:p>
      <w:pPr>
        <w:spacing w:after="0" w:line="161" w:lineRule="exact"/>
        <w:rPr>
          <w:sz w:val="20"/>
          <w:szCs w:val="20"/>
          <w:color w:val="auto"/>
        </w:rPr>
      </w:pPr>
    </w:p>
    <w:p>
      <w:pPr>
        <w:ind w:right="560"/>
        <w:spacing w:after="0" w:line="255"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section of the Proxy Statement is incorporated herein by reference: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w:t>
      </w:r>
    </w:p>
    <w:p>
      <w:pPr>
        <w:spacing w:after="0" w:line="181" w:lineRule="exact"/>
        <w:rPr>
          <w:sz w:val="20"/>
          <w:szCs w:val="20"/>
          <w:color w:val="auto"/>
        </w:rPr>
      </w:pPr>
    </w:p>
    <w:p>
      <w:pPr>
        <w:ind w:right="3540" w:firstLine="3548"/>
        <w:spacing w:after="0" w:line="528" w:lineRule="auto"/>
        <w:rPr>
          <w:sz w:val="20"/>
          <w:szCs w:val="20"/>
          <w:color w:val="auto"/>
        </w:rPr>
      </w:pPr>
      <w:r>
        <w:rPr>
          <w:rFonts w:ascii="Times New Roman" w:cs="Times New Roman" w:eastAsia="Times New Roman" w:hAnsi="Times New Roman"/>
          <w:sz w:val="17"/>
          <w:szCs w:val="17"/>
          <w:b w:val="1"/>
          <w:bCs w:val="1"/>
          <w:color w:val="auto"/>
        </w:rPr>
        <w:t xml:space="preserve">EQUITY COMPENSATION PLAN INFORMATION </w:t>
      </w:r>
      <w:r>
        <w:rPr>
          <w:rFonts w:ascii="Times New Roman" w:cs="Times New Roman" w:eastAsia="Times New Roman" w:hAnsi="Times New Roman"/>
          <w:sz w:val="17"/>
          <w:szCs w:val="17"/>
          <w:color w:val="auto"/>
        </w:rPr>
        <w:t>The following table presents our equity compensation plan information as of December 31,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540" w:type="dxa"/>
            <w:vAlign w:val="bottom"/>
          </w:tcPr>
          <w:p>
            <w:pPr>
              <w:spacing w:after="0"/>
              <w:rPr>
                <w:sz w:val="14"/>
                <w:szCs w:val="14"/>
                <w:color w:val="auto"/>
              </w:rPr>
            </w:pPr>
          </w:p>
        </w:tc>
        <w:tc>
          <w:tcPr>
            <w:tcW w:w="104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(b)</w:t>
            </w: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jc w:val="center"/>
              <w:ind w:right="1425"/>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15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580" w:type="dxa"/>
            <w:vAlign w:val="bottom"/>
          </w:tcPr>
          <w:p>
            <w:pPr>
              <w:spacing w:after="0"/>
              <w:rPr>
                <w:sz w:val="12"/>
                <w:szCs w:val="12"/>
                <w:color w:val="auto"/>
              </w:rPr>
            </w:pPr>
          </w:p>
        </w:tc>
        <w:tc>
          <w:tcPr>
            <w:tcW w:w="2380" w:type="dxa"/>
            <w:vAlign w:val="bottom"/>
            <w:gridSpan w:val="4"/>
          </w:tcPr>
          <w:p>
            <w:pPr>
              <w:jc w:val="center"/>
              <w:ind w:right="745"/>
              <w:spacing w:after="0" w:line="149"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to be issued upon</w:t>
            </w: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58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w w:val="97"/>
              </w:rPr>
              <w:t>remaining‎</w:t>
            </w:r>
          </w:p>
        </w:tc>
        <w:tc>
          <w:tcPr>
            <w:tcW w:w="1700" w:type="dxa"/>
            <w:vAlign w:val="bottom"/>
            <w:gridSpan w:val="2"/>
          </w:tcPr>
          <w:p>
            <w:pPr>
              <w:jc w:val="right"/>
              <w:ind w:right="805"/>
              <w:spacing w:after="0"/>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tcPr>
          <w:p>
            <w:pPr>
              <w:jc w:val="center"/>
              <w:ind w:right="145"/>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5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5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5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future‎</w:t>
            </w:r>
          </w:p>
        </w:tc>
        <w:tc>
          <w:tcPr>
            <w:tcW w:w="1880" w:type="dxa"/>
            <w:vAlign w:val="bottom"/>
            <w:gridSpan w:val="3"/>
          </w:tcPr>
          <w:p>
            <w:pPr>
              <w:jc w:val="center"/>
              <w:ind w:right="845"/>
              <w:spacing w:after="0" w:line="149" w:lineRule="exact"/>
              <w:rPr>
                <w:sz w:val="20"/>
                <w:szCs w:val="20"/>
                <w:color w:val="auto"/>
              </w:rPr>
            </w:pPr>
            <w:r>
              <w:rPr>
                <w:rFonts w:ascii="Times New Roman" w:cs="Times New Roman" w:eastAsia="Times New Roman" w:hAnsi="Times New Roman"/>
                <w:sz w:val="14"/>
                <w:szCs w:val="14"/>
                <w:b w:val="1"/>
                <w:bCs w:val="1"/>
                <w:color w:val="auto"/>
              </w:rPr>
              <w:t>issuance under</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5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warrants and</w:t>
            </w:r>
          </w:p>
        </w:tc>
        <w:tc>
          <w:tcPr>
            <w:tcW w:w="580" w:type="dxa"/>
            <w:vAlign w:val="bottom"/>
            <w:vMerge w:val="continue"/>
          </w:tcPr>
          <w:p>
            <w:pPr>
              <w:spacing w:after="0"/>
              <w:rPr>
                <w:sz w:val="14"/>
                <w:szCs w:val="14"/>
                <w:color w:val="auto"/>
              </w:rPr>
            </w:pPr>
          </w:p>
        </w:tc>
        <w:tc>
          <w:tcPr>
            <w:tcW w:w="2380" w:type="dxa"/>
            <w:vAlign w:val="bottom"/>
            <w:gridSpan w:val="4"/>
          </w:tcPr>
          <w:p>
            <w:pPr>
              <w:jc w:val="center"/>
              <w:ind w:right="385"/>
              <w:spacing w:after="0"/>
              <w:rPr>
                <w:sz w:val="20"/>
                <w:szCs w:val="20"/>
                <w:color w:val="auto"/>
              </w:rPr>
            </w:pPr>
            <w:r>
              <w:rPr>
                <w:rFonts w:ascii="Times New Roman" w:cs="Times New Roman" w:eastAsia="Times New Roman" w:hAnsi="Times New Roman"/>
                <w:sz w:val="14"/>
                <w:szCs w:val="14"/>
                <w:b w:val="1"/>
                <w:bCs w:val="1"/>
                <w:color w:val="auto"/>
              </w:rPr>
              <w:t>compensation plans (excluding</w:t>
            </w:r>
          </w:p>
        </w:tc>
        <w:tc>
          <w:tcPr>
            <w:tcW w:w="0" w:type="dxa"/>
            <w:vAlign w:val="bottom"/>
          </w:tcPr>
          <w:p>
            <w:pPr>
              <w:spacing w:after="0"/>
              <w:rPr>
                <w:sz w:val="1"/>
                <w:szCs w:val="1"/>
                <w:color w:val="auto"/>
              </w:rPr>
            </w:pPr>
          </w:p>
        </w:tc>
      </w:tr>
      <w:tr>
        <w:trPr>
          <w:trHeight w:val="187"/>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780" w:type="dxa"/>
            <w:vAlign w:val="bottom"/>
            <w:gridSpan w:val="2"/>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rights ($)</w:t>
            </w:r>
          </w:p>
        </w:tc>
        <w:tc>
          <w:tcPr>
            <w:tcW w:w="2960" w:type="dxa"/>
            <w:vAlign w:val="bottom"/>
            <w:gridSpan w:val="5"/>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securities reflected in column (a))</w:t>
            </w:r>
          </w:p>
        </w:tc>
        <w:tc>
          <w:tcPr>
            <w:tcW w:w="0" w:type="dxa"/>
            <w:vAlign w:val="bottom"/>
          </w:tcPr>
          <w:p>
            <w:pPr>
              <w:spacing w:after="0"/>
              <w:rPr>
                <w:sz w:val="1"/>
                <w:szCs w:val="1"/>
                <w:color w:val="auto"/>
              </w:rPr>
            </w:pPr>
          </w:p>
        </w:tc>
      </w:tr>
      <w:tr>
        <w:trPr>
          <w:trHeight w:val="196"/>
        </w:trPr>
        <w:tc>
          <w:tcPr>
            <w:tcW w:w="478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Equity compensation plans approved by stockholders</w:t>
            </w:r>
          </w:p>
        </w:tc>
        <w:tc>
          <w:tcPr>
            <w:tcW w:w="14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310,717</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(1)</w:t>
            </w:r>
          </w:p>
        </w:tc>
        <w:tc>
          <w:tcPr>
            <w:tcW w:w="5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7.51</w:t>
            </w: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3,253,747</w:t>
            </w:r>
          </w:p>
        </w:tc>
        <w:tc>
          <w:tcPr>
            <w:tcW w:w="260" w:type="dxa"/>
            <w:vAlign w:val="bottom"/>
            <w:tcBorders>
              <w:top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91"/>
              </w:rPr>
              <w:t>(2)</w:t>
            </w:r>
          </w:p>
        </w:tc>
        <w:tc>
          <w:tcPr>
            <w:tcW w:w="0" w:type="dxa"/>
            <w:vAlign w:val="bottom"/>
          </w:tcPr>
          <w:p>
            <w:pPr>
              <w:spacing w:after="0"/>
              <w:rPr>
                <w:sz w:val="1"/>
                <w:szCs w:val="1"/>
                <w:color w:val="auto"/>
              </w:rPr>
            </w:pPr>
          </w:p>
        </w:tc>
      </w:tr>
      <w:tr>
        <w:trPr>
          <w:trHeight w:val="189"/>
        </w:trPr>
        <w:tc>
          <w:tcPr>
            <w:tcW w:w="4920" w:type="dxa"/>
            <w:vAlign w:val="bottom"/>
            <w:tcBorders>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Equity compensation plans not approved by stockholders</w:t>
            </w:r>
          </w:p>
        </w:tc>
        <w:tc>
          <w:tcPr>
            <w:tcW w:w="16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2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6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310,717</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7.51</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3,253,747</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660" w:right="340" w:hanging="652"/>
        <w:spacing w:after="0" w:line="23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to be issued upon exercise of outstanding options to purchase common stock granted pursuant to the 2012 Plan and 2021 Plan as of December 31, 2023.</w:t>
      </w:r>
    </w:p>
    <w:p>
      <w:pPr>
        <w:ind w:left="660" w:hanging="652"/>
        <w:spacing w:after="0" w:line="219"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available for future issuance are under the 2021 Plan.</w:t>
      </w: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980"/>
        <w:spacing w:after="0" w:line="456" w:lineRule="auto"/>
        <w:rPr>
          <w:sz w:val="20"/>
          <w:szCs w:val="20"/>
          <w:color w:val="auto"/>
        </w:rPr>
      </w:pPr>
      <w:r>
        <w:rPr>
          <w:rFonts w:ascii="Times New Roman" w:cs="Times New Roman" w:eastAsia="Times New Roman" w:hAnsi="Times New Roman"/>
          <w:sz w:val="18"/>
          <w:szCs w:val="18"/>
          <w:b w:val="1"/>
          <w:bCs w:val="1"/>
          <w:color w:val="auto"/>
        </w:rPr>
        <w:t xml:space="preserve">ITEM 13. CERTAIN RELATIONSHIPS AND RELATED TRANSACTIONS, AND DIRECTOR INDEPENDENCE </w:t>
      </w:r>
      <w:r>
        <w:rPr>
          <w:rFonts w:ascii="Times New Roman" w:cs="Times New Roman" w:eastAsia="Times New Roman" w:hAnsi="Times New Roman"/>
          <w:sz w:val="18"/>
          <w:szCs w:val="18"/>
          <w:color w:val="auto"/>
        </w:rPr>
        <w:t>The following sections of the Proxy Statement are incorporated herein by reference:</w:t>
      </w:r>
    </w:p>
    <w:p>
      <w:pPr>
        <w:ind w:left="660"/>
        <w:spacing w:after="0" w:line="230" w:lineRule="auto"/>
        <w:rPr>
          <w:sz w:val="20"/>
          <w:szCs w:val="20"/>
          <w:color w:val="auto"/>
        </w:rPr>
      </w:pPr>
      <w:r>
        <w:rPr>
          <w:rFonts w:ascii="Times New Roman" w:cs="Times New Roman" w:eastAsia="Times New Roman" w:hAnsi="Times New Roman"/>
          <w:sz w:val="18"/>
          <w:szCs w:val="18"/>
          <w:color w:val="auto"/>
        </w:rPr>
        <w:t>Proposal 1 – Election of Directors – Information Regarding the Board of Directors and Corporate Governance – Independence of the Board of Directors</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Relationships and Related Transactions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section of the Proxy Statement is incorporated herein by reference: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Proposal 3 – Ratification of Appointment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08" w:right="6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71" w:lineRule="exact"/>
        <w:rPr>
          <w:sz w:val="20"/>
          <w:szCs w:val="20"/>
          <w:color w:val="auto"/>
        </w:rPr>
      </w:pPr>
    </w:p>
    <w:p>
      <w:pPr>
        <w:ind w:right="8380" w:firstLine="8"/>
        <w:spacing w:after="0" w:line="456" w:lineRule="auto"/>
        <w:tabs>
          <w:tab w:leader="none" w:pos="3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filed as part of report 1. Financial Statements</w:t>
      </w:r>
    </w:p>
    <w:p>
      <w:pPr>
        <w:spacing w:after="0"/>
        <w:rPr>
          <w:sz w:val="20"/>
          <w:szCs w:val="20"/>
          <w:color w:val="auto"/>
        </w:rPr>
      </w:pPr>
      <w:r>
        <w:rPr>
          <w:rFonts w:ascii="Times New Roman" w:cs="Times New Roman" w:eastAsia="Times New Roman" w:hAnsi="Times New Roman"/>
          <w:sz w:val="18"/>
          <w:szCs w:val="18"/>
          <w:color w:val="auto"/>
        </w:rPr>
        <w:t>The following consolidated financial statements of the Company and its subsidiaries are filed as part of this Form 10-K:</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1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55"/>
        </w:trPr>
        <w:tc>
          <w:tcPr>
            <w:tcW w:w="2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(i)</w:t>
            </w:r>
          </w:p>
        </w:tc>
        <w:tc>
          <w:tcPr>
            <w:tcW w:w="340" w:type="dxa"/>
            <w:vAlign w:val="bottom"/>
            <w:tcBorders>
              <w:left w:val="single" w:sz="8" w:color="CCEEFF"/>
            </w:tcBorders>
            <w:gridSpan w:val="3"/>
            <w:shd w:val="clear" w:color="auto" w:fill="CCEEFF"/>
          </w:tcPr>
          <w:p>
            <w:pPr>
              <w:spacing w:after="0"/>
              <w:rPr>
                <w:sz w:val="13"/>
                <w:szCs w:val="13"/>
                <w:color w:val="auto"/>
              </w:rPr>
            </w:pPr>
          </w:p>
        </w:tc>
        <w:tc>
          <w:tcPr>
            <w:tcW w:w="9900" w:type="dxa"/>
            <w:vAlign w:val="bottom"/>
            <w:gridSpan w:val="8"/>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00000"/>
              </w:rPr>
              <w:t>(PCAOB ID: 49)</w:t>
            </w:r>
          </w:p>
        </w:tc>
        <w:tc>
          <w:tcPr>
            <w:tcW w:w="7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38</w:t>
            </w:r>
          </w:p>
        </w:tc>
      </w:tr>
      <w:tr>
        <w:trPr>
          <w:trHeight w:val="27"/>
        </w:trPr>
        <w:tc>
          <w:tcPr>
            <w:tcW w:w="2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0000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140" w:type="dxa"/>
            <w:vAlign w:val="bottom"/>
            <w:shd w:val="clear" w:color="auto" w:fill="0000FF"/>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420" w:type="dxa"/>
            <w:vAlign w:val="bottom"/>
            <w:tcBorders>
              <w:left w:val="single" w:sz="8" w:color="0000FF"/>
            </w:tcBorders>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56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0000FF"/>
              </w:rPr>
              <w:t>(ii)</w:t>
            </w:r>
          </w:p>
        </w:tc>
        <w:tc>
          <w:tcPr>
            <w:tcW w:w="9900" w:type="dxa"/>
            <w:vAlign w:val="bottom"/>
            <w:gridSpan w:val="8"/>
          </w:tcPr>
          <w:p>
            <w:pPr>
              <w:spacing w:after="0" w:line="162"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42</w:t>
            </w:r>
          </w:p>
        </w:tc>
      </w:tr>
      <w:tr>
        <w:trPr>
          <w:trHeight w:val="27"/>
        </w:trPr>
        <w:tc>
          <w:tcPr>
            <w:tcW w:w="20" w:type="dxa"/>
            <w:vAlign w:val="bottom"/>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140" w:type="dxa"/>
            <w:vAlign w:val="bottom"/>
            <w:shd w:val="clear" w:color="auto" w:fill="0000FF"/>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0000FF"/>
                <w:w w:val="70"/>
              </w:rPr>
              <w:t>(iii)</w:t>
            </w:r>
          </w:p>
        </w:tc>
        <w:tc>
          <w:tcPr>
            <w:tcW w:w="340" w:type="dxa"/>
            <w:vAlign w:val="bottom"/>
            <w:tcBorders>
              <w:left w:val="single" w:sz="8" w:color="CCEEFF"/>
            </w:tcBorders>
            <w:gridSpan w:val="3"/>
            <w:shd w:val="clear" w:color="auto" w:fill="CCEEFF"/>
          </w:tcPr>
          <w:p>
            <w:pPr>
              <w:spacing w:after="0"/>
              <w:rPr>
                <w:sz w:val="14"/>
                <w:szCs w:val="14"/>
                <w:color w:val="auto"/>
              </w:rPr>
            </w:pPr>
          </w:p>
        </w:tc>
        <w:tc>
          <w:tcPr>
            <w:tcW w:w="9900" w:type="dxa"/>
            <w:vAlign w:val="bottom"/>
            <w:gridSpan w:val="8"/>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Consolidated Balance Sheets as of December 31, 2023 and 2022</w:t>
            </w: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43</w:t>
            </w:r>
          </w:p>
        </w:tc>
      </w:tr>
      <w:tr>
        <w:trPr>
          <w:trHeight w:val="27"/>
        </w:trPr>
        <w:tc>
          <w:tcPr>
            <w:tcW w:w="20" w:type="dxa"/>
            <w:vAlign w:val="bottom"/>
            <w:shd w:val="clear" w:color="auto" w:fill="CCEE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140" w:type="dxa"/>
            <w:vAlign w:val="bottom"/>
            <w:shd w:val="clear" w:color="auto" w:fill="0000FF"/>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420" w:type="dxa"/>
            <w:vAlign w:val="bottom"/>
            <w:tcBorders>
              <w:left w:val="single" w:sz="8" w:color="0000FF"/>
            </w:tcBorders>
            <w:shd w:val="clear" w:color="auto" w:fill="0000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20" w:type="dxa"/>
            <w:vAlign w:val="bottom"/>
          </w:tcPr>
          <w:p>
            <w:pPr>
              <w:spacing w:after="0" w:line="162" w:lineRule="exact"/>
              <w:rPr>
                <w:sz w:val="20"/>
                <w:szCs w:val="20"/>
                <w:color w:val="auto"/>
              </w:rPr>
            </w:pPr>
            <w:r>
              <w:rPr>
                <w:rFonts w:ascii="Times New Roman" w:cs="Times New Roman" w:eastAsia="Times New Roman" w:hAnsi="Times New Roman"/>
                <w:sz w:val="17"/>
                <w:szCs w:val="17"/>
                <w:color w:val="0000FF"/>
                <w:w w:val="73"/>
              </w:rPr>
              <w:t>(iv)</w:t>
            </w:r>
          </w:p>
        </w:tc>
        <w:tc>
          <w:tcPr>
            <w:tcW w:w="340" w:type="dxa"/>
            <w:vAlign w:val="bottom"/>
            <w:gridSpan w:val="3"/>
          </w:tcPr>
          <w:p>
            <w:pPr>
              <w:spacing w:after="0"/>
              <w:rPr>
                <w:sz w:val="14"/>
                <w:szCs w:val="14"/>
                <w:color w:val="auto"/>
              </w:rPr>
            </w:pPr>
          </w:p>
        </w:tc>
        <w:tc>
          <w:tcPr>
            <w:tcW w:w="9900" w:type="dxa"/>
            <w:vAlign w:val="bottom"/>
            <w:gridSpan w:val="8"/>
          </w:tcPr>
          <w:p>
            <w:pPr>
              <w:spacing w:after="0" w:line="162" w:lineRule="exact"/>
              <w:rPr>
                <w:sz w:val="20"/>
                <w:szCs w:val="20"/>
                <w:color w:val="auto"/>
              </w:rPr>
            </w:pPr>
            <w:r>
              <w:rPr>
                <w:rFonts w:ascii="Times New Roman" w:cs="Times New Roman" w:eastAsia="Times New Roman" w:hAnsi="Times New Roman"/>
                <w:sz w:val="18"/>
                <w:szCs w:val="18"/>
                <w:color w:val="0000FF"/>
              </w:rPr>
              <w:t>Consolidated Statements of Income for the years ended December 31, 2023, 2022, and 2021</w:t>
            </w: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44</w:t>
            </w:r>
          </w:p>
        </w:tc>
      </w:tr>
      <w:tr>
        <w:trPr>
          <w:trHeight w:val="27"/>
        </w:trPr>
        <w:tc>
          <w:tcPr>
            <w:tcW w:w="20" w:type="dxa"/>
            <w:vAlign w:val="bottom"/>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140" w:type="dxa"/>
            <w:vAlign w:val="bottom"/>
            <w:shd w:val="clear" w:color="auto" w:fill="0000FF"/>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420" w:type="dxa"/>
            <w:vAlign w:val="bottom"/>
            <w:tcBorders>
              <w:left w:val="single" w:sz="8" w:color="0000FF"/>
            </w:tcBorders>
            <w:shd w:val="clear" w:color="auto" w:fill="0000FF"/>
          </w:tcPr>
          <w:p>
            <w:pPr>
              <w:spacing w:after="0"/>
              <w:rPr>
                <w:sz w:val="2"/>
                <w:szCs w:val="2"/>
                <w:color w:val="auto"/>
              </w:rPr>
            </w:pPr>
          </w:p>
        </w:tc>
        <w:tc>
          <w:tcPr>
            <w:tcW w:w="200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0000FF"/>
              <w:right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w w:val="85"/>
              </w:rPr>
              <w:t>(v)</w:t>
            </w:r>
          </w:p>
        </w:tc>
        <w:tc>
          <w:tcPr>
            <w:tcW w:w="340" w:type="dxa"/>
            <w:vAlign w:val="bottom"/>
            <w:tcBorders>
              <w:left w:val="single" w:sz="8" w:color="CCEEFF"/>
              <w:bottom w:val="single" w:sz="8" w:color="CCEEFF"/>
            </w:tcBorders>
            <w:gridSpan w:val="3"/>
            <w:shd w:val="clear" w:color="auto" w:fill="CCEEFF"/>
          </w:tcPr>
          <w:p>
            <w:pPr>
              <w:spacing w:after="0"/>
              <w:rPr>
                <w:sz w:val="14"/>
                <w:szCs w:val="14"/>
                <w:color w:val="auto"/>
              </w:rPr>
            </w:pPr>
          </w:p>
        </w:tc>
        <w:tc>
          <w:tcPr>
            <w:tcW w:w="7820" w:type="dxa"/>
            <w:vAlign w:val="bottom"/>
            <w:tcBorders>
              <w:bottom w:val="single" w:sz="8" w:color="0000FF"/>
            </w:tcBorders>
            <w:gridSpan w:val="7"/>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w w:val="99"/>
              </w:rPr>
              <w:t>Consolidated Statements of Comprehensive Income for the years ended December 31, 2023, 2022, and 2021</w:t>
            </w:r>
          </w:p>
        </w:tc>
        <w:tc>
          <w:tcPr>
            <w:tcW w:w="20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45</w:t>
            </w:r>
          </w:p>
        </w:tc>
      </w:tr>
      <w:tr>
        <w:trPr>
          <w:trHeight w:val="162"/>
        </w:trPr>
        <w:tc>
          <w:tcPr>
            <w:tcW w:w="20" w:type="dxa"/>
            <w:vAlign w:val="bottom"/>
          </w:tcPr>
          <w:p>
            <w:pPr>
              <w:spacing w:after="0"/>
              <w:rPr>
                <w:sz w:val="14"/>
                <w:szCs w:val="14"/>
                <w:color w:val="auto"/>
              </w:rPr>
            </w:pPr>
          </w:p>
        </w:tc>
        <w:tc>
          <w:tcPr>
            <w:tcW w:w="56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0000FF"/>
              </w:rPr>
              <w:t>(vi)</w:t>
            </w:r>
          </w:p>
        </w:tc>
        <w:tc>
          <w:tcPr>
            <w:tcW w:w="9900" w:type="dxa"/>
            <w:vAlign w:val="bottom"/>
            <w:gridSpan w:val="8"/>
          </w:tcPr>
          <w:p>
            <w:pPr>
              <w:spacing w:after="0" w:line="162" w:lineRule="exact"/>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2023, 2022, and 2021</w:t>
            </w: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46</w:t>
            </w:r>
          </w:p>
        </w:tc>
      </w:tr>
      <w:tr>
        <w:trPr>
          <w:trHeight w:val="27"/>
        </w:trPr>
        <w:tc>
          <w:tcPr>
            <w:tcW w:w="20" w:type="dxa"/>
            <w:vAlign w:val="bottom"/>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140" w:type="dxa"/>
            <w:vAlign w:val="bottom"/>
            <w:shd w:val="clear" w:color="auto" w:fill="0000FF"/>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420" w:type="dxa"/>
            <w:vAlign w:val="bottom"/>
            <w:tcBorders>
              <w:left w:val="single" w:sz="8" w:color="0000FF"/>
            </w:tcBorders>
            <w:shd w:val="clear" w:color="auto" w:fill="0000FF"/>
          </w:tcPr>
          <w:p>
            <w:pPr>
              <w:spacing w:after="0"/>
              <w:rPr>
                <w:sz w:val="2"/>
                <w:szCs w:val="2"/>
                <w:color w:val="auto"/>
              </w:rPr>
            </w:pPr>
          </w:p>
        </w:tc>
        <w:tc>
          <w:tcPr>
            <w:tcW w:w="20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w w:val="96"/>
              </w:rPr>
              <w:t>(vii)</w:t>
            </w:r>
          </w:p>
        </w:tc>
        <w:tc>
          <w:tcPr>
            <w:tcW w:w="240" w:type="dxa"/>
            <w:vAlign w:val="bottom"/>
            <w:gridSpan w:val="2"/>
            <w:shd w:val="clear" w:color="auto" w:fill="CCEEFF"/>
          </w:tcPr>
          <w:p>
            <w:pPr>
              <w:spacing w:after="0"/>
              <w:rPr>
                <w:sz w:val="14"/>
                <w:szCs w:val="14"/>
                <w:color w:val="auto"/>
              </w:rPr>
            </w:pPr>
          </w:p>
        </w:tc>
        <w:tc>
          <w:tcPr>
            <w:tcW w:w="9900" w:type="dxa"/>
            <w:vAlign w:val="bottom"/>
            <w:gridSpan w:val="8"/>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2023, 2022, and 2021</w:t>
            </w: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47</w:t>
            </w:r>
          </w:p>
        </w:tc>
      </w:tr>
      <w:tr>
        <w:trPr>
          <w:trHeight w:val="27"/>
        </w:trPr>
        <w:tc>
          <w:tcPr>
            <w:tcW w:w="20" w:type="dxa"/>
            <w:vAlign w:val="bottom"/>
            <w:shd w:val="clear" w:color="auto" w:fill="CCEE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140" w:type="dxa"/>
            <w:vAlign w:val="bottom"/>
            <w:shd w:val="clear" w:color="auto" w:fill="0000FF"/>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420" w:type="dxa"/>
            <w:vAlign w:val="bottom"/>
            <w:tcBorders>
              <w:left w:val="single" w:sz="8" w:color="0000FF"/>
            </w:tcBorders>
            <w:shd w:val="clear" w:color="auto" w:fill="0000FF"/>
          </w:tcPr>
          <w:p>
            <w:pPr>
              <w:spacing w:after="0"/>
              <w:rPr>
                <w:sz w:val="2"/>
                <w:szCs w:val="2"/>
                <w:color w:val="auto"/>
              </w:rPr>
            </w:pPr>
          </w:p>
        </w:tc>
        <w:tc>
          <w:tcPr>
            <w:tcW w:w="20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400" w:type="dxa"/>
            <w:vAlign w:val="bottom"/>
            <w:gridSpan w:val="3"/>
          </w:tcPr>
          <w:p>
            <w:pPr>
              <w:spacing w:after="0" w:line="162" w:lineRule="exact"/>
              <w:rPr>
                <w:sz w:val="20"/>
                <w:szCs w:val="20"/>
                <w:color w:val="auto"/>
              </w:rPr>
            </w:pPr>
            <w:r>
              <w:rPr>
                <w:rFonts w:ascii="Times New Roman" w:cs="Times New Roman" w:eastAsia="Times New Roman" w:hAnsi="Times New Roman"/>
                <w:sz w:val="18"/>
                <w:szCs w:val="18"/>
                <w:color w:val="0000FF"/>
              </w:rPr>
              <w:t>(viii)</w:t>
            </w:r>
          </w:p>
        </w:tc>
        <w:tc>
          <w:tcPr>
            <w:tcW w:w="160" w:type="dxa"/>
            <w:vAlign w:val="bottom"/>
          </w:tcPr>
          <w:p>
            <w:pPr>
              <w:spacing w:after="0"/>
              <w:rPr>
                <w:sz w:val="14"/>
                <w:szCs w:val="14"/>
                <w:color w:val="auto"/>
              </w:rPr>
            </w:pPr>
          </w:p>
        </w:tc>
        <w:tc>
          <w:tcPr>
            <w:tcW w:w="9900" w:type="dxa"/>
            <w:vAlign w:val="bottom"/>
            <w:gridSpan w:val="8"/>
          </w:tcPr>
          <w:p>
            <w:pPr>
              <w:spacing w:after="0" w:line="162"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48</w:t>
            </w:r>
          </w:p>
        </w:tc>
      </w:tr>
      <w:tr>
        <w:trPr>
          <w:trHeight w:val="20"/>
        </w:trPr>
        <w:tc>
          <w:tcPr>
            <w:tcW w:w="2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8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information required to be disclosed within Schedule II – Valuation and Qualifying Accounts is provided within the Consolidated Financial Statements of the Company filed as part of this Form 10-K.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Index” immediately preceding the signature page of this Form 10-K, which is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Tile Shop Holdings, Inc. and Subsidiaries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6"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Tile Shop Holdings, Inc. and Subsidiaries (the Company) as of December 31, 2023, related consolidated statements of operations, comprehensive income, stockholders’ equity and cash flows, for the year then ended, and the related notes (collectively, the financial statements). In our opinion, the financial statements present fairly, in all material respects, the financial position of the Company as of December 31, 2023, and the results of its operations and its cash flows for the year then ended in conformity with accounting principles generally accepted in the United States of America.</w:t>
      </w:r>
    </w:p>
    <w:p>
      <w:pPr>
        <w:spacing w:after="0" w:line="145"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7"/>
          <w:szCs w:val="17"/>
          <w:color w:val="auto"/>
        </w:rPr>
        <w:t xml:space="preserve">We have also audited, in accordance with the standards of the Public Company Accounting Oversight Board (United States) (PCAOB), the Company's internal control over financial reporting as of December 31, 2023, based on criteria established in Internal Control — Integrated Framework issued by the Committee of Sponsoring Organizations of the Treadway Commission in 2013, and our report dated February 29, 2024 expressed an opinion that the Company had not maintained effective internal control over financial reporting as of December 31, 2023, based on criteria established in </w:t>
      </w:r>
      <w:r>
        <w:rPr>
          <w:rFonts w:ascii="Times New Roman" w:cs="Times New Roman" w:eastAsia="Times New Roman" w:hAnsi="Times New Roman"/>
          <w:sz w:val="17"/>
          <w:szCs w:val="17"/>
          <w:i w:val="1"/>
          <w:iCs w:val="1"/>
          <w:color w:val="auto"/>
        </w:rPr>
        <w:t>Internal Control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 Integrated Framework </w:t>
      </w:r>
      <w:r>
        <w:rPr>
          <w:rFonts w:ascii="Times New Roman" w:cs="Times New Roman" w:eastAsia="Times New Roman" w:hAnsi="Times New Roman"/>
          <w:sz w:val="18"/>
          <w:szCs w:val="18"/>
          <w:color w:val="auto"/>
        </w:rPr>
        <w:t>issued by the Committee of Sponsoring Organizations of the Treadway Commission in 2013.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5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0" w:lineRule="exact"/>
        <w:rPr>
          <w:sz w:val="20"/>
          <w:szCs w:val="20"/>
          <w:color w:val="auto"/>
        </w:rPr>
      </w:pPr>
    </w:p>
    <w:p>
      <w:pPr>
        <w:ind w:right="140"/>
        <w:spacing w:after="0" w:line="22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Retail Store Asset Impairment Assessment</w:t>
      </w:r>
    </w:p>
    <w:p>
      <w:pPr>
        <w:spacing w:after="0" w:line="6"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As discussed in Notes 1, 3 and 6 to the consolidated financial statements, the Company reviews long-lived assets for impairment whenever events or changes in circumstances indicate that the carrying amount of these asset groups may exceed their fair values. The Company evaluates potential impairment losses at the individual retail store level, which is the lowest level at which cash flows can be identified. When events and circumstances indicate that the store assets may be impaired, the Company compares the undiscounted future cash flows estimated to be generated by the retail store to the store’s asset group carrying amount. If the estimated undiscounted future cash flows related to the asset group are less than the carrying value, the Company performs an analysis to estimate the fair value of the asset group. An impairment may be recorded when the fair value of the asset group is less than its carrying value. The Company’s long-lived assets consisted of consolidated property, plant and equipment, net of $64.3 million and consolidated operating lease right of use assets balance of $129.1 million as of December 31, 2023. For the year ended December 31, 2023, the Company recorded an impairment charge of $1.0 million.</w:t>
      </w:r>
    </w:p>
    <w:p>
      <w:pPr>
        <w:spacing w:after="0" w:line="162"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18"/>
          <w:szCs w:val="18"/>
          <w:color w:val="auto"/>
        </w:rPr>
        <w:t>Management’s retail store asset impairment analyses involved a high degree of subjectivity due to the significant assumptions utilized in management’s store undiscounted cash flow analysis, including estimates of future revenue growth rates, gross margin, and operating expenses. In addition, significant assumptions are utilized in the store asset fair value analysis, including comparable market rents and discount rates. Given the high estimation uncertainty of management's assumptions, which can be affected by expectations about future market and economic conditions, performing audit procedures to evaluate management’s store undiscounted cash flow analysis and store asset fair value analysis required a high degree of auditor judgment and an increase in the nature and extent an audit effort, including the use of valuation specialists.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management’s retail store asset impairment assessment analyses included the following, among others:</w:t>
      </w:r>
    </w:p>
    <w:p>
      <w:pPr>
        <w:spacing w:after="0" w:line="16" w:lineRule="exact"/>
        <w:rPr>
          <w:sz w:val="20"/>
          <w:szCs w:val="20"/>
          <w:color w:val="auto"/>
        </w:rPr>
      </w:pPr>
    </w:p>
    <w:p>
      <w:pPr>
        <w:ind w:left="660"/>
        <w:spacing w:after="0" w:line="224" w:lineRule="auto"/>
        <w:rPr>
          <w:sz w:val="20"/>
          <w:szCs w:val="20"/>
          <w:color w:val="auto"/>
        </w:rPr>
      </w:pPr>
      <w:r>
        <w:rPr>
          <w:rFonts w:ascii="Times New Roman" w:cs="Times New Roman" w:eastAsia="Times New Roman" w:hAnsi="Times New Roman"/>
          <w:sz w:val="18"/>
          <w:szCs w:val="18"/>
          <w:color w:val="auto"/>
        </w:rPr>
        <w:t>We tested the Company’s estimates of future undiscounted cash flows by store that included, among others, comparing the significant assumptions used by management, such as future revenue growth rates, gross margins, and operating expenses, to historical trends and further evaluated the projections of future cash flows for consistency with current industry and economic trends.</w:t>
      </w:r>
    </w:p>
    <w:p>
      <w:pPr>
        <w:ind w:left="660" w:right="100"/>
        <w:spacing w:after="0" w:line="226" w:lineRule="auto"/>
        <w:rPr>
          <w:sz w:val="20"/>
          <w:szCs w:val="20"/>
          <w:color w:val="auto"/>
        </w:rPr>
      </w:pPr>
      <w:r>
        <w:rPr>
          <w:rFonts w:ascii="Times New Roman" w:cs="Times New Roman" w:eastAsia="Times New Roman" w:hAnsi="Times New Roman"/>
          <w:sz w:val="18"/>
          <w:szCs w:val="18"/>
          <w:color w:val="auto"/>
        </w:rPr>
        <w:t>We tested the mathematical accuracy of the Company’s impairment models and tested the underlying data used by management for completeness and accuracy by agreeing it to source data.</w:t>
      </w:r>
    </w:p>
    <w:p>
      <w:pPr>
        <w:spacing w:after="0" w:line="1" w:lineRule="exact"/>
        <w:rPr>
          <w:sz w:val="20"/>
          <w:szCs w:val="20"/>
          <w:color w:val="auto"/>
        </w:rPr>
      </w:pPr>
    </w:p>
    <w:p>
      <w:pPr>
        <w:ind w:left="660" w:right="80"/>
        <w:spacing w:after="0" w:line="228" w:lineRule="auto"/>
        <w:rPr>
          <w:sz w:val="20"/>
          <w:szCs w:val="20"/>
          <w:color w:val="auto"/>
        </w:rPr>
      </w:pPr>
      <w:r>
        <w:rPr>
          <w:rFonts w:ascii="Times New Roman" w:cs="Times New Roman" w:eastAsia="Times New Roman" w:hAnsi="Times New Roman"/>
          <w:sz w:val="18"/>
          <w:szCs w:val="18"/>
          <w:color w:val="auto"/>
        </w:rPr>
        <w:t>We utilized internal valuation specialists to assist with testing management’s estimates of fair value through evaluating both the reasonableness of management’s methodology to determine fair value and the reasonableness of certain significant assumptions used by management, including market rents and discount rates, by comparing them to publicly available market data.</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Tile Shop Holdings, Inc. and Subsidiaries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Internal Control Over Financial Reporting</w:t>
      </w:r>
    </w:p>
    <w:p>
      <w:pPr>
        <w:spacing w:after="0" w:line="6"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18"/>
          <w:szCs w:val="18"/>
          <w:color w:val="auto"/>
        </w:rPr>
        <w:t xml:space="preserve">We have audited Tile Shop Holdings, Inc. and Subsidiaries’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 In our opinion, because of the effect of the material weaknesses described below on the achievement of the objectives of the control criteria, the Company has not maintained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issued by the Committee of Sponsoring Organizations of the Treadway Commission in 2013.</w:t>
      </w:r>
    </w:p>
    <w:p>
      <w:pPr>
        <w:spacing w:after="0" w:line="145" w:lineRule="exact"/>
        <w:rPr>
          <w:sz w:val="20"/>
          <w:szCs w:val="20"/>
          <w:color w:val="auto"/>
        </w:rPr>
      </w:pPr>
    </w:p>
    <w:p>
      <w:pPr>
        <w:ind w:right="240"/>
        <w:spacing w:after="0" w:line="242"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2023 of the Company and our report dated February 29, 2024 expressed an unqualified opinion.</w:t>
      </w:r>
    </w:p>
    <w:p>
      <w:pPr>
        <w:spacing w:after="0" w:line="157"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w:t>
      </w:r>
    </w:p>
    <w:p>
      <w:pPr>
        <w:spacing w:after="0" w:line="157"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There were deficiencies in the design and operation of the Company’s information technology general controls (ITGCs) around user access management, which did not adequately restrict access to the Company’s financial reporting systems, did not ensure appropriate segregation of duties, and did not prevent unauthorized users within the organization from having the ability to create, record, and modify journal entries. These deficiencies in ITGCs also results in the ineffectiveness of manual and automated business process controls that are dependent upon the affected ITGCs.</w:t>
      </w:r>
    </w:p>
    <w:p>
      <w:pPr>
        <w:spacing w:after="0" w:line="158"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There were deficiencies in the design and operation of the Company’s controls related to accounting for leases which did not ensure timely recognition of new and modified leases and did not ensure the appropriate review of key inputs underlying certain lease accounting calculations.</w:t>
      </w:r>
    </w:p>
    <w:p>
      <w:pPr>
        <w:spacing w:after="0" w:line="14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These material weaknesses were considered in determining the nature, timing and extent of audit tests applied in our audit of the 2023 financial statements, and this report does not affect our report dated February 29, 2024 on those financial statements.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6"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58"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6"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 w:right="4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Shareholders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Tile Shop Holdings, Inc. and Subsidiaries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08"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Tile Shop Holdings, Inc. and Subsidiaries (the Company) as of December 31, 2022, the related consolidated statements of income, comprehensive income, stockholders’ equity and cash flows for each of the two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the results of its operations and its cash flows for each of the two years in the period ended December 31, 2022, in conformity with U.S. generally accepted accounting principles.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94"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7"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2013 to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/s/Ernst &amp; Young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2023</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9"/>
        </w:trPr>
        <w:tc>
          <w:tcPr>
            <w:tcW w:w="1280" w:type="dxa"/>
            <w:vAlign w:val="bottom"/>
            <w:tcBorders>
              <w:top w:val="single" w:sz="8" w:color="0000FF"/>
            </w:tcBorders>
          </w:tcPr>
          <w:p>
            <w:pPr>
              <w:spacing w:after="0"/>
              <w:rPr>
                <w:sz w:val="24"/>
                <w:szCs w:val="24"/>
                <w:color w:val="auto"/>
              </w:rPr>
            </w:pPr>
          </w:p>
        </w:tc>
        <w:tc>
          <w:tcPr>
            <w:tcW w:w="708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9"/>
              </w:rPr>
              <w:t>Tile Shop Holdings, Inc. and Subsidiaries</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7080" w:type="dxa"/>
            <w:vAlign w:val="bottom"/>
          </w:tcPr>
          <w:p>
            <w:pPr>
              <w:jc w:val="center"/>
              <w:ind w:left="1510"/>
              <w:spacing w:after="0" w:line="189" w:lineRule="exact"/>
              <w:rPr>
                <w:sz w:val="20"/>
                <w:szCs w:val="20"/>
                <w:color w:val="auto"/>
              </w:rPr>
            </w:pPr>
            <w:r>
              <w:rPr>
                <w:rFonts w:ascii="Times New Roman" w:cs="Times New Roman" w:eastAsia="Times New Roman" w:hAnsi="Times New Roman"/>
                <w:sz w:val="18"/>
                <w:szCs w:val="18"/>
                <w:color w:val="auto"/>
                <w:w w:val="99"/>
              </w:rPr>
              <w:t>Consolidated Balance Sheets</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7080" w:type="dxa"/>
            <w:vAlign w:val="bottom"/>
          </w:tcPr>
          <w:p>
            <w:pPr>
              <w:jc w:val="center"/>
              <w:ind w:left="1510"/>
              <w:spacing w:after="0" w:line="189" w:lineRule="exact"/>
              <w:rPr>
                <w:sz w:val="20"/>
                <w:szCs w:val="20"/>
                <w:color w:val="auto"/>
              </w:rPr>
            </w:pPr>
            <w:r>
              <w:rPr>
                <w:rFonts w:ascii="Times New Roman" w:cs="Times New Roman" w:eastAsia="Times New Roman" w:hAnsi="Times New Roman"/>
                <w:sz w:val="18"/>
                <w:szCs w:val="18"/>
                <w:color w:val="auto"/>
                <w:w w:val="99"/>
              </w:rPr>
              <w:t>As of December 31, 2023 and 2022</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08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(dollars in thousands, except per share data)</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28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21"/>
        </w:trPr>
        <w:tc>
          <w:tcPr>
            <w:tcW w:w="8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151"/>
        </w:trPr>
        <w:tc>
          <w:tcPr>
            <w:tcW w:w="83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3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8,620</w:t>
            </w:r>
          </w:p>
        </w:tc>
        <w:tc>
          <w:tcPr>
            <w:tcW w:w="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5,948</w:t>
            </w:r>
          </w:p>
        </w:tc>
        <w:tc>
          <w:tcPr>
            <w:tcW w:w="0" w:type="dxa"/>
            <w:vAlign w:val="bottom"/>
          </w:tcPr>
          <w:p>
            <w:pPr>
              <w:spacing w:after="0"/>
              <w:rPr>
                <w:sz w:val="1"/>
                <w:szCs w:val="1"/>
                <w:color w:val="auto"/>
              </w:rPr>
            </w:pPr>
          </w:p>
        </w:tc>
      </w:tr>
      <w:tr>
        <w:trPr>
          <w:trHeight w:val="189"/>
        </w:trPr>
        <w:tc>
          <w:tcPr>
            <w:tcW w:w="836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189"/>
        </w:trPr>
        <w:tc>
          <w:tcPr>
            <w:tcW w:w="83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Receivables, net</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2,882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3,411</w:t>
            </w:r>
          </w:p>
        </w:tc>
        <w:tc>
          <w:tcPr>
            <w:tcW w:w="0" w:type="dxa"/>
            <w:vAlign w:val="bottom"/>
          </w:tcPr>
          <w:p>
            <w:pPr>
              <w:spacing w:after="0"/>
              <w:rPr>
                <w:sz w:val="1"/>
                <w:szCs w:val="1"/>
                <w:color w:val="auto"/>
              </w:rPr>
            </w:pPr>
          </w:p>
        </w:tc>
      </w:tr>
      <w:tr>
        <w:trPr>
          <w:trHeight w:val="189"/>
        </w:trPr>
        <w:tc>
          <w:tcPr>
            <w:tcW w:w="836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93,679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120,952</w:t>
            </w:r>
          </w:p>
        </w:tc>
        <w:tc>
          <w:tcPr>
            <w:tcW w:w="0" w:type="dxa"/>
            <w:vAlign w:val="bottom"/>
          </w:tcPr>
          <w:p>
            <w:pPr>
              <w:spacing w:after="0"/>
              <w:rPr>
                <w:sz w:val="1"/>
                <w:szCs w:val="1"/>
                <w:color w:val="auto"/>
              </w:rPr>
            </w:pPr>
          </w:p>
        </w:tc>
      </w:tr>
      <w:tr>
        <w:trPr>
          <w:trHeight w:val="189"/>
        </w:trPr>
        <w:tc>
          <w:tcPr>
            <w:tcW w:w="83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Income tax receivable</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3,859</w:t>
            </w:r>
          </w:p>
        </w:tc>
        <w:tc>
          <w:tcPr>
            <w:tcW w:w="0" w:type="dxa"/>
            <w:vAlign w:val="bottom"/>
          </w:tcPr>
          <w:p>
            <w:pPr>
              <w:spacing w:after="0"/>
              <w:rPr>
                <w:sz w:val="1"/>
                <w:szCs w:val="1"/>
                <w:color w:val="auto"/>
              </w:rPr>
            </w:pPr>
          </w:p>
        </w:tc>
      </w:tr>
      <w:tr>
        <w:trPr>
          <w:trHeight w:val="189"/>
        </w:trPr>
        <w:tc>
          <w:tcPr>
            <w:tcW w:w="8360" w:type="dxa"/>
            <w:vAlign w:val="bottom"/>
            <w:tcBorders>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Other current assets, net</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9,248</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10,422</w:t>
            </w:r>
          </w:p>
        </w:tc>
        <w:tc>
          <w:tcPr>
            <w:tcW w:w="0" w:type="dxa"/>
            <w:vAlign w:val="bottom"/>
          </w:tcPr>
          <w:p>
            <w:pPr>
              <w:spacing w:after="0"/>
              <w:rPr>
                <w:sz w:val="1"/>
                <w:szCs w:val="1"/>
                <w:color w:val="auto"/>
              </w:rPr>
            </w:pPr>
          </w:p>
        </w:tc>
      </w:tr>
      <w:tr>
        <w:trPr>
          <w:trHeight w:val="183"/>
        </w:trPr>
        <w:tc>
          <w:tcPr>
            <w:tcW w:w="836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114,558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146,403</w:t>
            </w:r>
          </w:p>
        </w:tc>
        <w:tc>
          <w:tcPr>
            <w:tcW w:w="0" w:type="dxa"/>
            <w:vAlign w:val="bottom"/>
          </w:tcPr>
          <w:p>
            <w:pPr>
              <w:spacing w:after="0"/>
              <w:rPr>
                <w:sz w:val="1"/>
                <w:szCs w:val="1"/>
                <w:color w:val="auto"/>
              </w:rPr>
            </w:pPr>
          </w:p>
        </w:tc>
      </w:tr>
      <w:tr>
        <w:trPr>
          <w:trHeight w:val="189"/>
        </w:trPr>
        <w:tc>
          <w:tcPr>
            <w:tcW w:w="83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64,317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71,095</w:t>
            </w:r>
          </w:p>
        </w:tc>
        <w:tc>
          <w:tcPr>
            <w:tcW w:w="0" w:type="dxa"/>
            <w:vAlign w:val="bottom"/>
          </w:tcPr>
          <w:p>
            <w:pPr>
              <w:spacing w:after="0"/>
              <w:rPr>
                <w:sz w:val="1"/>
                <w:szCs w:val="1"/>
                <w:color w:val="auto"/>
              </w:rPr>
            </w:pP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Right of use asset</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129,092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118,501</w:t>
            </w:r>
          </w:p>
        </w:tc>
        <w:tc>
          <w:tcPr>
            <w:tcW w:w="0" w:type="dxa"/>
            <w:vAlign w:val="bottom"/>
          </w:tcPr>
          <w:p>
            <w:pPr>
              <w:spacing w:after="0"/>
              <w:rPr>
                <w:sz w:val="1"/>
                <w:szCs w:val="1"/>
                <w:color w:val="auto"/>
              </w:rPr>
            </w:pPr>
          </w:p>
        </w:tc>
      </w:tr>
      <w:tr>
        <w:trPr>
          <w:trHeight w:val="189"/>
        </w:trPr>
        <w:tc>
          <w:tcPr>
            <w:tcW w:w="83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5,256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6,536</w:t>
            </w:r>
          </w:p>
        </w:tc>
        <w:tc>
          <w:tcPr>
            <w:tcW w:w="0" w:type="dxa"/>
            <w:vAlign w:val="bottom"/>
          </w:tcPr>
          <w:p>
            <w:pPr>
              <w:spacing w:after="0"/>
              <w:rPr>
                <w:sz w:val="1"/>
                <w:szCs w:val="1"/>
                <w:color w:val="auto"/>
              </w:rPr>
            </w:pP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3,449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3,287</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316,672</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345,822</w:t>
            </w:r>
          </w:p>
        </w:tc>
        <w:tc>
          <w:tcPr>
            <w:tcW w:w="0" w:type="dxa"/>
            <w:vAlign w:val="bottom"/>
          </w:tcPr>
          <w:p>
            <w:pPr>
              <w:spacing w:after="0"/>
              <w:rPr>
                <w:sz w:val="1"/>
                <w:szCs w:val="1"/>
                <w:color w:val="auto"/>
              </w:rPr>
            </w:pPr>
          </w:p>
        </w:tc>
      </w:tr>
      <w:tr>
        <w:trPr>
          <w:trHeight w:val="169"/>
        </w:trPr>
        <w:tc>
          <w:tcPr>
            <w:tcW w:w="1280" w:type="dxa"/>
            <w:vAlign w:val="bottom"/>
            <w:shd w:val="clear" w:color="auto" w:fill="CCEEFF"/>
          </w:tcPr>
          <w:p>
            <w:pPr>
              <w:spacing w:after="0"/>
              <w:rPr>
                <w:sz w:val="14"/>
                <w:szCs w:val="14"/>
                <w:color w:val="auto"/>
              </w:rPr>
            </w:pPr>
          </w:p>
        </w:tc>
        <w:tc>
          <w:tcPr>
            <w:tcW w:w="7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6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23,345</w:t>
            </w:r>
          </w:p>
        </w:tc>
        <w:tc>
          <w:tcPr>
            <w:tcW w:w="80" w:type="dxa"/>
            <w:vAlign w:val="bottom"/>
          </w:tcPr>
          <w:p>
            <w:pPr>
              <w:spacing w:after="0"/>
              <w:rPr>
                <w:sz w:val="16"/>
                <w:szCs w:val="16"/>
                <w:color w:val="auto"/>
              </w:rPr>
            </w:pPr>
          </w:p>
        </w:tc>
        <w:tc>
          <w:tcPr>
            <w:tcW w:w="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23,506</w:t>
            </w:r>
          </w:p>
        </w:tc>
        <w:tc>
          <w:tcPr>
            <w:tcW w:w="0" w:type="dxa"/>
            <w:vAlign w:val="bottom"/>
          </w:tcPr>
          <w:p>
            <w:pPr>
              <w:spacing w:after="0"/>
              <w:rPr>
                <w:sz w:val="1"/>
                <w:szCs w:val="1"/>
                <w:color w:val="auto"/>
              </w:rPr>
            </w:pPr>
          </w:p>
        </w:tc>
      </w:tr>
      <w:tr>
        <w:trPr>
          <w:trHeight w:val="189"/>
        </w:trPr>
        <w:tc>
          <w:tcPr>
            <w:tcW w:w="83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Income tax payable</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1,135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9"/>
        </w:trPr>
        <w:tc>
          <w:tcPr>
            <w:tcW w:w="836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Current portion of lease liability</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27,265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27,866</w:t>
            </w:r>
          </w:p>
        </w:tc>
        <w:tc>
          <w:tcPr>
            <w:tcW w:w="0" w:type="dxa"/>
            <w:vAlign w:val="bottom"/>
          </w:tcPr>
          <w:p>
            <w:pPr>
              <w:spacing w:after="0"/>
              <w:rPr>
                <w:sz w:val="1"/>
                <w:szCs w:val="1"/>
                <w:color w:val="auto"/>
              </w:rPr>
            </w:pPr>
          </w:p>
        </w:tc>
      </w:tr>
      <w:tr>
        <w:trPr>
          <w:trHeight w:val="189"/>
        </w:trPr>
        <w:tc>
          <w:tcPr>
            <w:tcW w:w="83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accrued liabilities</w:t>
            </w:r>
          </w:p>
        </w:tc>
        <w:tc>
          <w:tcPr>
            <w:tcW w:w="1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27,000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31,916</w:t>
            </w:r>
          </w:p>
        </w:tc>
        <w:tc>
          <w:tcPr>
            <w:tcW w:w="0" w:type="dxa"/>
            <w:vAlign w:val="bottom"/>
          </w:tcPr>
          <w:p>
            <w:pPr>
              <w:spacing w:after="0"/>
              <w:rPr>
                <w:sz w:val="1"/>
                <w:szCs w:val="1"/>
                <w:color w:val="auto"/>
              </w:rPr>
            </w:pPr>
          </w:p>
        </w:tc>
      </w:tr>
      <w:tr>
        <w:trPr>
          <w:trHeight w:val="183"/>
        </w:trPr>
        <w:tc>
          <w:tcPr>
            <w:tcW w:w="83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78,745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83,291</w:t>
            </w:r>
          </w:p>
        </w:tc>
        <w:tc>
          <w:tcPr>
            <w:tcW w:w="0" w:type="dxa"/>
            <w:vAlign w:val="bottom"/>
          </w:tcPr>
          <w:p>
            <w:pPr>
              <w:spacing w:after="0"/>
              <w:rPr>
                <w:sz w:val="1"/>
                <w:szCs w:val="1"/>
                <w:color w:val="auto"/>
              </w:rPr>
            </w:pP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Long-term debt, net</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45,400</w:t>
            </w:r>
          </w:p>
        </w:tc>
        <w:tc>
          <w:tcPr>
            <w:tcW w:w="0" w:type="dxa"/>
            <w:vAlign w:val="bottom"/>
          </w:tcPr>
          <w:p>
            <w:pPr>
              <w:spacing w:after="0"/>
              <w:rPr>
                <w:sz w:val="1"/>
                <w:szCs w:val="1"/>
                <w:color w:val="auto"/>
              </w:rPr>
            </w:pPr>
          </w:p>
        </w:tc>
      </w:tr>
      <w:tr>
        <w:trPr>
          <w:trHeight w:val="189"/>
        </w:trPr>
        <w:tc>
          <w:tcPr>
            <w:tcW w:w="83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Long-term lease liability, net</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112,697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103,353</w:t>
            </w:r>
          </w:p>
        </w:tc>
        <w:tc>
          <w:tcPr>
            <w:tcW w:w="0" w:type="dxa"/>
            <w:vAlign w:val="bottom"/>
          </w:tcPr>
          <w:p>
            <w:pPr>
              <w:spacing w:after="0"/>
              <w:rPr>
                <w:sz w:val="1"/>
                <w:szCs w:val="1"/>
                <w:color w:val="auto"/>
              </w:rPr>
            </w:pP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5,543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5,009</w:t>
            </w:r>
          </w:p>
        </w:tc>
        <w:tc>
          <w:tcPr>
            <w:tcW w:w="0" w:type="dxa"/>
            <w:vAlign w:val="bottom"/>
          </w:tcPr>
          <w:p>
            <w:pPr>
              <w:spacing w:after="0"/>
              <w:rPr>
                <w:sz w:val="1"/>
                <w:szCs w:val="1"/>
                <w:color w:val="auto"/>
              </w:rPr>
            </w:pPr>
          </w:p>
        </w:tc>
      </w:tr>
      <w:tr>
        <w:trPr>
          <w:trHeight w:val="183"/>
        </w:trPr>
        <w:tc>
          <w:tcPr>
            <w:tcW w:w="8360" w:type="dxa"/>
            <w:vAlign w:val="bottom"/>
            <w:tcBorders>
              <w:bottom w:val="single" w:sz="8" w:color="CCEEFF"/>
            </w:tcBorders>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196,985</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237,053</w:t>
            </w:r>
          </w:p>
        </w:tc>
        <w:tc>
          <w:tcPr>
            <w:tcW w:w="0" w:type="dxa"/>
            <w:vAlign w:val="bottom"/>
          </w:tcPr>
          <w:p>
            <w:pPr>
              <w:spacing w:after="0"/>
              <w:rPr>
                <w:sz w:val="1"/>
                <w:szCs w:val="1"/>
                <w:color w:val="auto"/>
              </w:rPr>
            </w:pPr>
          </w:p>
        </w:tc>
      </w:tr>
      <w:tr>
        <w:trPr>
          <w:trHeight w:val="183"/>
        </w:trPr>
        <w:tc>
          <w:tcPr>
            <w:tcW w:w="1280" w:type="dxa"/>
            <w:vAlign w:val="bottom"/>
            <w:shd w:val="clear" w:color="auto" w:fill="CCEEFF"/>
          </w:tcPr>
          <w:p>
            <w:pPr>
              <w:spacing w:after="0"/>
              <w:rPr>
                <w:sz w:val="15"/>
                <w:szCs w:val="15"/>
                <w:color w:val="auto"/>
              </w:rPr>
            </w:pPr>
          </w:p>
        </w:tc>
        <w:tc>
          <w:tcPr>
            <w:tcW w:w="7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3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836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Common stock, par value: $0.0001; authorized: 100,000,000 shares; issued and outstanding: 44,510,779 and</w:t>
            </w: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44,377,445 shares, respectively</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89"/>
        </w:trPr>
        <w:tc>
          <w:tcPr>
            <w:tcW w:w="83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Preferred stock, par value: $0.0001; authorized: 10,000,000 shares; issued and outstanding: 0 shares</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128,861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127,997</w:t>
            </w:r>
          </w:p>
        </w:tc>
        <w:tc>
          <w:tcPr>
            <w:tcW w:w="0" w:type="dxa"/>
            <w:vAlign w:val="bottom"/>
          </w:tcPr>
          <w:p>
            <w:pPr>
              <w:spacing w:after="0"/>
              <w:rPr>
                <w:sz w:val="1"/>
                <w:szCs w:val="1"/>
                <w:color w:val="auto"/>
              </w:rPr>
            </w:pPr>
          </w:p>
        </w:tc>
      </w:tr>
      <w:tr>
        <w:trPr>
          <w:trHeight w:val="189"/>
        </w:trPr>
        <w:tc>
          <w:tcPr>
            <w:tcW w:w="83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6"/>
                <w:szCs w:val="16"/>
                <w:color w:val="auto"/>
              </w:rPr>
            </w:pPr>
          </w:p>
        </w:tc>
        <w:tc>
          <w:tcPr>
            <w:tcW w:w="132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(9,109)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(19,180)</w:t>
            </w:r>
          </w:p>
        </w:tc>
        <w:tc>
          <w:tcPr>
            <w:tcW w:w="0" w:type="dxa"/>
            <w:vAlign w:val="bottom"/>
          </w:tcPr>
          <w:p>
            <w:pPr>
              <w:spacing w:after="0"/>
              <w:rPr>
                <w:sz w:val="1"/>
                <w:szCs w:val="1"/>
                <w:color w:val="auto"/>
              </w:rPr>
            </w:pP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83"/>
        </w:trPr>
        <w:tc>
          <w:tcPr>
            <w:tcW w:w="8360" w:type="dxa"/>
            <w:vAlign w:val="bottom"/>
            <w:tcBorders>
              <w:bottom w:val="single" w:sz="8" w:color="CCEEFF"/>
            </w:tcBorders>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2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119,687</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108,769</w:t>
            </w:r>
          </w:p>
        </w:tc>
        <w:tc>
          <w:tcPr>
            <w:tcW w:w="0" w:type="dxa"/>
            <w:vAlign w:val="bottom"/>
          </w:tcPr>
          <w:p>
            <w:pPr>
              <w:spacing w:after="0"/>
              <w:rPr>
                <w:sz w:val="1"/>
                <w:szCs w:val="1"/>
                <w:color w:val="auto"/>
              </w:rPr>
            </w:pPr>
          </w:p>
        </w:tc>
      </w:tr>
      <w:tr>
        <w:trPr>
          <w:trHeight w:val="183"/>
        </w:trPr>
        <w:tc>
          <w:tcPr>
            <w:tcW w:w="8360" w:type="dxa"/>
            <w:vAlign w:val="bottom"/>
            <w:tcBorders>
              <w:bottom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316,672</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345,822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367"/>
        </w:trPr>
        <w:tc>
          <w:tcPr>
            <w:tcW w:w="1280" w:type="dxa"/>
            <w:vAlign w:val="bottom"/>
            <w:tcBorders>
              <w:top w:val="single" w:sz="8" w:color="0000FF"/>
            </w:tcBorders>
          </w:tcPr>
          <w:p>
            <w:pPr>
              <w:spacing w:after="0"/>
              <w:rPr>
                <w:sz w:val="24"/>
                <w:szCs w:val="24"/>
                <w:color w:val="auto"/>
              </w:rPr>
            </w:pPr>
          </w:p>
        </w:tc>
        <w:tc>
          <w:tcPr>
            <w:tcW w:w="2120" w:type="dxa"/>
            <w:vAlign w:val="bottom"/>
          </w:tcPr>
          <w:p>
            <w:pPr>
              <w:spacing w:after="0"/>
              <w:rPr>
                <w:sz w:val="24"/>
                <w:szCs w:val="24"/>
                <w:color w:val="auto"/>
              </w:rPr>
            </w:pPr>
          </w:p>
        </w:tc>
        <w:tc>
          <w:tcPr>
            <w:tcW w:w="4320" w:type="dxa"/>
            <w:vAlign w:val="bottom"/>
            <w:gridSpan w:val="6"/>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Tile Shop Holdings, Inc. and Subsidiaries</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540" w:type="dxa"/>
            <w:vAlign w:val="bottom"/>
            <w:gridSpan w:val="4"/>
          </w:tcPr>
          <w:p>
            <w:pPr>
              <w:jc w:val="center"/>
              <w:ind w:left="810"/>
              <w:spacing w:after="0" w:line="202" w:lineRule="exact"/>
              <w:rPr>
                <w:sz w:val="20"/>
                <w:szCs w:val="20"/>
                <w:color w:val="auto"/>
              </w:rPr>
            </w:pPr>
            <w:r>
              <w:rPr>
                <w:rFonts w:ascii="Times New Roman" w:cs="Times New Roman" w:eastAsia="Times New Roman" w:hAnsi="Times New Roman"/>
                <w:sz w:val="18"/>
                <w:szCs w:val="18"/>
                <w:color w:val="auto"/>
                <w:w w:val="99"/>
              </w:rPr>
              <w:t>Consolidated Statements of Income</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89"/>
        </w:trPr>
        <w:tc>
          <w:tcPr>
            <w:tcW w:w="12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320" w:type="dxa"/>
            <w:vAlign w:val="bottom"/>
            <w:gridSpan w:val="6"/>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rPr>
              <w:t>For the years ended December 31, 2023, 2022 and 2021</w:t>
            </w: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34"/>
        </w:trPr>
        <w:tc>
          <w:tcPr>
            <w:tcW w:w="1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320" w:type="dxa"/>
            <w:vAlign w:val="bottom"/>
            <w:gridSpan w:val="6"/>
          </w:tcPr>
          <w:p>
            <w:pPr>
              <w:jc w:val="center"/>
              <w:ind w:left="30"/>
              <w:spacing w:after="0"/>
              <w:rPr>
                <w:sz w:val="20"/>
                <w:szCs w:val="20"/>
                <w:color w:val="auto"/>
              </w:rPr>
            </w:pPr>
            <w:r>
              <w:rPr>
                <w:rFonts w:ascii="Times New Roman" w:cs="Times New Roman" w:eastAsia="Times New Roman" w:hAnsi="Times New Roman"/>
                <w:sz w:val="18"/>
                <w:szCs w:val="18"/>
                <w:color w:val="auto"/>
                <w:w w:val="99"/>
              </w:rPr>
              <w:t>(dollars in thousands, except per share data)</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45"/>
        </w:trPr>
        <w:tc>
          <w:tcPr>
            <w:tcW w:w="1280" w:type="dxa"/>
            <w:vAlign w:val="bottom"/>
            <w:tcBorders>
              <w:bottom w:val="single" w:sz="8" w:color="CCEEFF"/>
            </w:tcBorders>
          </w:tcPr>
          <w:p>
            <w:pPr>
              <w:spacing w:after="0"/>
              <w:rPr>
                <w:sz w:val="24"/>
                <w:szCs w:val="24"/>
                <w:color w:val="auto"/>
              </w:rPr>
            </w:pPr>
          </w:p>
        </w:tc>
        <w:tc>
          <w:tcPr>
            <w:tcW w:w="21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2021</w:t>
            </w:r>
          </w:p>
        </w:tc>
      </w:tr>
      <w:tr>
        <w:trPr>
          <w:trHeight w:val="183"/>
        </w:trPr>
        <w:tc>
          <w:tcPr>
            <w:tcW w:w="340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sales</w:t>
            </w:r>
          </w:p>
        </w:tc>
        <w:tc>
          <w:tcPr>
            <w:tcW w:w="136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377,146</w:t>
            </w: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394,702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370,700</w:t>
            </w:r>
          </w:p>
        </w:tc>
      </w:tr>
      <w:tr>
        <w:trPr>
          <w:trHeight w:val="189"/>
        </w:trPr>
        <w:tc>
          <w:tcPr>
            <w:tcW w:w="3400" w:type="dxa"/>
            <w:vAlign w:val="bottom"/>
            <w:tcBorders>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Cost of sales</w:t>
            </w:r>
          </w:p>
        </w:tc>
        <w:tc>
          <w:tcPr>
            <w:tcW w:w="13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134,085</w:t>
            </w:r>
          </w:p>
        </w:tc>
        <w:tc>
          <w:tcPr>
            <w:tcW w:w="2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135,765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117,570</w:t>
            </w:r>
          </w:p>
        </w:tc>
      </w:tr>
      <w:tr>
        <w:trPr>
          <w:trHeight w:val="183"/>
        </w:trPr>
        <w:tc>
          <w:tcPr>
            <w:tcW w:w="340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Gross profit</w:t>
            </w:r>
          </w:p>
        </w:tc>
        <w:tc>
          <w:tcPr>
            <w:tcW w:w="13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243,061</w:t>
            </w: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258,937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253,130</w:t>
            </w:r>
          </w:p>
        </w:tc>
      </w:tr>
      <w:tr>
        <w:trPr>
          <w:trHeight w:val="189"/>
        </w:trPr>
        <w:tc>
          <w:tcPr>
            <w:tcW w:w="3400" w:type="dxa"/>
            <w:vAlign w:val="bottom"/>
            <w:tcBorders>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3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226,903</w:t>
            </w:r>
          </w:p>
        </w:tc>
        <w:tc>
          <w:tcPr>
            <w:tcW w:w="2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236,328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232,520</w:t>
            </w:r>
          </w:p>
        </w:tc>
      </w:tr>
      <w:tr>
        <w:trPr>
          <w:trHeight w:val="183"/>
        </w:trPr>
        <w:tc>
          <w:tcPr>
            <w:tcW w:w="340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Income from operations</w:t>
            </w:r>
          </w:p>
        </w:tc>
        <w:tc>
          <w:tcPr>
            <w:tcW w:w="13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16,158</w:t>
            </w: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22,609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20,610</w:t>
            </w:r>
          </w:p>
        </w:tc>
      </w:tr>
      <w:tr>
        <w:trPr>
          <w:trHeight w:val="189"/>
        </w:trPr>
        <w:tc>
          <w:tcPr>
            <w:tcW w:w="34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Interest expense</w:t>
            </w:r>
          </w:p>
        </w:tc>
        <w:tc>
          <w:tcPr>
            <w:tcW w:w="1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2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(2,164)</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80" w:type="dxa"/>
            <w:vAlign w:val="bottom"/>
            <w:gridSpan w:val="2"/>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(1,579)</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(656)</w:t>
            </w:r>
          </w:p>
        </w:tc>
      </w:tr>
      <w:tr>
        <w:trPr>
          <w:trHeight w:val="183"/>
        </w:trPr>
        <w:tc>
          <w:tcPr>
            <w:tcW w:w="3400" w:type="dxa"/>
            <w:vAlign w:val="bottom"/>
            <w:tcBorders>
              <w:top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Income before income taxes</w:t>
            </w:r>
          </w:p>
        </w:tc>
        <w:tc>
          <w:tcPr>
            <w:tcW w:w="13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13,994</w:t>
            </w: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21,030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19,954</w:t>
            </w:r>
          </w:p>
        </w:tc>
      </w:tr>
      <w:tr>
        <w:trPr>
          <w:trHeight w:val="189"/>
        </w:trPr>
        <w:tc>
          <w:tcPr>
            <w:tcW w:w="34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Provision for income taxes</w:t>
            </w:r>
          </w:p>
        </w:tc>
        <w:tc>
          <w:tcPr>
            <w:tcW w:w="1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2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(3,923)</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80" w:type="dxa"/>
            <w:vAlign w:val="bottom"/>
            <w:gridSpan w:val="2"/>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(5,327)</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(5,180)</w:t>
            </w:r>
          </w:p>
        </w:tc>
      </w:tr>
      <w:tr>
        <w:trPr>
          <w:trHeight w:val="183"/>
        </w:trPr>
        <w:tc>
          <w:tcPr>
            <w:tcW w:w="3400" w:type="dxa"/>
            <w:vAlign w:val="bottom"/>
            <w:tcBorders>
              <w:top w:val="single" w:sz="8" w:color="CCEEFF"/>
              <w:bottom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136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2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10,071</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ind w:right="5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15,703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2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14,774</w:t>
            </w:r>
          </w:p>
        </w:tc>
      </w:tr>
      <w:tr>
        <w:trPr>
          <w:trHeight w:val="20"/>
        </w:trPr>
        <w:tc>
          <w:tcPr>
            <w:tcW w:w="1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70"/>
        </w:trPr>
        <w:tc>
          <w:tcPr>
            <w:tcW w:w="12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89"/>
        </w:trPr>
        <w:tc>
          <w:tcPr>
            <w:tcW w:w="34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Income per common share:</w:t>
            </w:r>
          </w:p>
        </w:tc>
        <w:tc>
          <w:tcPr>
            <w:tcW w:w="13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189"/>
        </w:trPr>
        <w:tc>
          <w:tcPr>
            <w:tcW w:w="340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Basic</w:t>
            </w:r>
          </w:p>
        </w:tc>
        <w:tc>
          <w:tcPr>
            <w:tcW w:w="1820" w:type="dxa"/>
            <w:vAlign w:val="bottom"/>
            <w:gridSpan w:val="2"/>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0.23</w:t>
            </w:r>
          </w:p>
        </w:tc>
        <w:tc>
          <w:tcPr>
            <w:tcW w:w="200" w:type="dxa"/>
            <w:vAlign w:val="bottom"/>
          </w:tcPr>
          <w:p>
            <w:pPr>
              <w:spacing w:after="0"/>
              <w:rPr>
                <w:sz w:val="16"/>
                <w:szCs w:val="16"/>
                <w:color w:val="auto"/>
              </w:rPr>
            </w:pPr>
          </w:p>
        </w:tc>
        <w:tc>
          <w:tcPr>
            <w:tcW w:w="780" w:type="dxa"/>
            <w:vAlign w:val="bottom"/>
            <w:gridSpan w:val="2"/>
          </w:tcPr>
          <w:p>
            <w:pPr>
              <w:jc w:val="right"/>
              <w:ind w:right="5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0.32</w:t>
            </w:r>
          </w:p>
        </w:tc>
        <w:tc>
          <w:tcPr>
            <w:tcW w:w="120" w:type="dxa"/>
            <w:vAlign w:val="bottom"/>
          </w:tcPr>
          <w:p>
            <w:pPr>
              <w:spacing w:after="0"/>
              <w:rPr>
                <w:sz w:val="16"/>
                <w:szCs w:val="16"/>
                <w:color w:val="auto"/>
              </w:rPr>
            </w:pPr>
          </w:p>
        </w:tc>
        <w:tc>
          <w:tcPr>
            <w:tcW w:w="580" w:type="dxa"/>
            <w:vAlign w:val="bottom"/>
            <w:gridSpan w:val="2"/>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0.29</w:t>
            </w:r>
          </w:p>
        </w:tc>
      </w:tr>
      <w:tr>
        <w:trPr>
          <w:trHeight w:val="189"/>
        </w:trPr>
        <w:tc>
          <w:tcPr>
            <w:tcW w:w="340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Diluted</w:t>
            </w:r>
          </w:p>
        </w:tc>
        <w:tc>
          <w:tcPr>
            <w:tcW w:w="1820" w:type="dxa"/>
            <w:vAlign w:val="bottom"/>
            <w:gridSpan w:val="2"/>
            <w:shd w:val="clear" w:color="auto" w:fill="CCEEFF"/>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0.23</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5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0.32</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0.29</w:t>
            </w:r>
          </w:p>
        </w:tc>
      </w:tr>
      <w:tr>
        <w:trPr>
          <w:trHeight w:val="189"/>
        </w:trPr>
        <w:tc>
          <w:tcPr>
            <w:tcW w:w="12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9"/>
        </w:trPr>
        <w:tc>
          <w:tcPr>
            <w:tcW w:w="34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13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189"/>
        </w:trPr>
        <w:tc>
          <w:tcPr>
            <w:tcW w:w="340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Basic</w:t>
            </w:r>
          </w:p>
        </w:tc>
        <w:tc>
          <w:tcPr>
            <w:tcW w:w="1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43,424,089</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48,855,701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50,393,980</w:t>
            </w:r>
          </w:p>
        </w:tc>
      </w:tr>
      <w:tr>
        <w:trPr>
          <w:trHeight w:val="189"/>
        </w:trPr>
        <w:tc>
          <w:tcPr>
            <w:tcW w:w="340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Diluted</w:t>
            </w:r>
          </w:p>
        </w:tc>
        <w:tc>
          <w:tcPr>
            <w:tcW w:w="13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43,620,790</w:t>
            </w: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49,247,047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51,085,463</w:t>
            </w: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569"/>
        </w:trPr>
        <w:tc>
          <w:tcPr>
            <w:tcW w:w="1280" w:type="dxa"/>
            <w:vAlign w:val="bottom"/>
            <w:tcBorders>
              <w:top w:val="single" w:sz="8" w:color="0000FF"/>
            </w:tcBorders>
          </w:tcPr>
          <w:p>
            <w:pPr>
              <w:spacing w:after="0"/>
              <w:rPr>
                <w:sz w:val="24"/>
                <w:szCs w:val="24"/>
                <w:color w:val="auto"/>
              </w:rPr>
            </w:pPr>
          </w:p>
        </w:tc>
        <w:tc>
          <w:tcPr>
            <w:tcW w:w="1800" w:type="dxa"/>
            <w:vAlign w:val="bottom"/>
          </w:tcPr>
          <w:p>
            <w:pPr>
              <w:spacing w:after="0"/>
              <w:rPr>
                <w:sz w:val="24"/>
                <w:szCs w:val="24"/>
                <w:color w:val="auto"/>
              </w:rPr>
            </w:pPr>
          </w:p>
        </w:tc>
        <w:tc>
          <w:tcPr>
            <w:tcW w:w="456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Tile Shop Holdings, Inc. and Subsidiaries</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9"/>
        </w:trPr>
        <w:tc>
          <w:tcPr>
            <w:tcW w:w="1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560" w:type="dxa"/>
            <w:vAlign w:val="bottom"/>
            <w:gridSpan w:val="2"/>
          </w:tcPr>
          <w:p>
            <w:pPr>
              <w:jc w:val="center"/>
              <w:ind w:left="410"/>
              <w:spacing w:after="0" w:line="189" w:lineRule="exact"/>
              <w:rPr>
                <w:sz w:val="20"/>
                <w:szCs w:val="20"/>
                <w:color w:val="auto"/>
              </w:rPr>
            </w:pPr>
            <w:r>
              <w:rPr>
                <w:rFonts w:ascii="Times New Roman" w:cs="Times New Roman" w:eastAsia="Times New Roman" w:hAnsi="Times New Roman"/>
                <w:sz w:val="18"/>
                <w:szCs w:val="18"/>
                <w:color w:val="auto"/>
                <w:w w:val="99"/>
              </w:rPr>
              <w:t>Consolidated Statements of Comprehensive Income</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1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560" w:type="dxa"/>
            <w:vAlign w:val="bottom"/>
            <w:gridSpan w:val="2"/>
          </w:tcPr>
          <w:p>
            <w:pPr>
              <w:jc w:val="center"/>
              <w:ind w:left="430"/>
              <w:spacing w:after="0" w:line="189" w:lineRule="exact"/>
              <w:rPr>
                <w:sz w:val="20"/>
                <w:szCs w:val="20"/>
                <w:color w:val="auto"/>
              </w:rPr>
            </w:pPr>
            <w:r>
              <w:rPr>
                <w:rFonts w:ascii="Times New Roman" w:cs="Times New Roman" w:eastAsia="Times New Roman" w:hAnsi="Times New Roman"/>
                <w:sz w:val="18"/>
                <w:szCs w:val="18"/>
                <w:color w:val="auto"/>
              </w:rPr>
              <w:t>For the years ended December 31, 2023, 2022 and 2021</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4"/>
        </w:trPr>
        <w:tc>
          <w:tcPr>
            <w:tcW w:w="1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56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59"/>
        </w:trPr>
        <w:tc>
          <w:tcPr>
            <w:tcW w:w="1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12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r>
      <w:tr>
        <w:trPr>
          <w:trHeight w:val="183"/>
        </w:trPr>
        <w:tc>
          <w:tcPr>
            <w:tcW w:w="3080" w:type="dxa"/>
            <w:vAlign w:val="bottom"/>
            <w:tcBorders>
              <w:top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income</w:t>
            </w:r>
          </w:p>
        </w:tc>
        <w:tc>
          <w:tcPr>
            <w:tcW w:w="37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6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96"/>
              </w:rPr>
              <w:t>10,071</w:t>
            </w:r>
          </w:p>
        </w:tc>
        <w:tc>
          <w:tcPr>
            <w:tcW w:w="1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15,703</w:t>
            </w:r>
          </w:p>
        </w:tc>
        <w:tc>
          <w:tcPr>
            <w:tcW w:w="1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14,774</w:t>
            </w:r>
          </w:p>
        </w:tc>
      </w:tr>
      <w:tr>
        <w:trPr>
          <w:trHeight w:val="189"/>
        </w:trPr>
        <w:tc>
          <w:tcPr>
            <w:tcW w:w="3080" w:type="dxa"/>
            <w:vAlign w:val="bottom"/>
            <w:tcBorders>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Currency translation adjustment</w:t>
            </w:r>
          </w:p>
        </w:tc>
        <w:tc>
          <w:tcPr>
            <w:tcW w:w="37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(64)</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24</w:t>
            </w:r>
          </w:p>
        </w:tc>
      </w:tr>
      <w:tr>
        <w:trPr>
          <w:trHeight w:val="183"/>
        </w:trPr>
        <w:tc>
          <w:tcPr>
            <w:tcW w:w="308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Other comprehensive (loss) income</w:t>
            </w:r>
          </w:p>
        </w:tc>
        <w:tc>
          <w:tcPr>
            <w:tcW w:w="374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(64)</w:t>
            </w:r>
          </w:p>
        </w:tc>
        <w:tc>
          <w:tcPr>
            <w:tcW w:w="1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24</w:t>
            </w:r>
          </w:p>
        </w:tc>
      </w:tr>
      <w:tr>
        <w:trPr>
          <w:trHeight w:val="183"/>
        </w:trPr>
        <w:tc>
          <w:tcPr>
            <w:tcW w:w="30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Comprehensive income</w:t>
            </w:r>
          </w:p>
        </w:tc>
        <w:tc>
          <w:tcPr>
            <w:tcW w:w="3740" w:type="dxa"/>
            <w:vAlign w:val="bottom"/>
          </w:tcPr>
          <w:p>
            <w:pPr>
              <w:spacing w:after="0"/>
              <w:rPr>
                <w:sz w:val="15"/>
                <w:szCs w:val="15"/>
                <w:color w:val="auto"/>
              </w:rPr>
            </w:pPr>
          </w:p>
        </w:tc>
        <w:tc>
          <w:tcPr>
            <w:tcW w:w="820" w:type="dxa"/>
            <w:vAlign w:val="bottom"/>
            <w:tcBorders>
              <w:bottom w:val="single" w:sz="8" w:color="auto"/>
            </w:tcBorders>
          </w:tcPr>
          <w:p>
            <w:pPr>
              <w:jc w:val="right"/>
              <w:ind w:right="6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96"/>
              </w:rPr>
              <w:t>10,054</w:t>
            </w:r>
          </w:p>
        </w:tc>
        <w:tc>
          <w:tcPr>
            <w:tcW w:w="16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15,639</w:t>
            </w:r>
          </w:p>
        </w:tc>
        <w:tc>
          <w:tcPr>
            <w:tcW w:w="16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14,798</w:t>
            </w:r>
          </w:p>
        </w:tc>
      </w:tr>
      <w:tr>
        <w:trPr>
          <w:trHeight w:val="20"/>
        </w:trPr>
        <w:tc>
          <w:tcPr>
            <w:tcW w:w="1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3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Common stock</w:t>
      </w:r>
    </w:p>
    <w:tbl>
      <w:tblPr>
        <w:tblLayout w:type="fixed"/>
        <w:tblInd w:w="0" w:type="dxa"/>
        <w:tblCellMar>
          <w:top w:w="0" w:type="dxa"/>
          <w:left w:w="0" w:type="dxa"/>
          <w:bottom w:w="0" w:type="dxa"/>
          <w:right w:w="0" w:type="dxa"/>
        </w:tblCellMar>
      </w:tblPr>
      <w:tr>
        <w:trPr>
          <w:trHeight w:val="133"/>
        </w:trPr>
        <w:tc>
          <w:tcPr>
            <w:tcW w:w="4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4"/>
                <w:szCs w:val="14"/>
                <w:color w:val="auto"/>
              </w:rPr>
              <w:t>Additional</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tcPr>
          <w:p>
            <w:pPr>
              <w:jc w:val="right"/>
              <w:ind w:right="180"/>
              <w:spacing w:after="0" w:line="133" w:lineRule="exact"/>
              <w:rPr>
                <w:sz w:val="20"/>
                <w:szCs w:val="20"/>
                <w:color w:val="auto"/>
              </w:rPr>
            </w:pPr>
            <w:r>
              <w:rPr>
                <w:rFonts w:ascii="Times New Roman" w:cs="Times New Roman" w:eastAsia="Times New Roman" w:hAnsi="Times New Roman"/>
                <w:sz w:val="14"/>
                <w:szCs w:val="14"/>
                <w:color w:val="auto"/>
              </w:rPr>
              <w:t>Accumulated other</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8"/>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12"/>
                <w:szCs w:val="12"/>
                <w:color w:val="auto"/>
              </w:rPr>
            </w:pPr>
          </w:p>
        </w:tc>
        <w:tc>
          <w:tcPr>
            <w:tcW w:w="130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85"/>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6"/>
                <w:szCs w:val="16"/>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capital‎</w:t>
            </w:r>
          </w:p>
        </w:tc>
        <w:tc>
          <w:tcPr>
            <w:tcW w:w="10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deficit</w:t>
            </w:r>
          </w:p>
        </w:tc>
        <w:tc>
          <w:tcPr>
            <w:tcW w:w="120" w:type="dxa"/>
            <w:vAlign w:val="bottom"/>
          </w:tcPr>
          <w:p>
            <w:pPr>
              <w:spacing w:after="0"/>
              <w:rPr>
                <w:sz w:val="16"/>
                <w:szCs w:val="16"/>
                <w:color w:val="auto"/>
              </w:rPr>
            </w:pPr>
          </w:p>
        </w:tc>
        <w:tc>
          <w:tcPr>
            <w:tcW w:w="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w:t>
            </w: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income</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Total</w:t>
            </w:r>
          </w:p>
        </w:tc>
      </w:tr>
      <w:tr>
        <w:trPr>
          <w:trHeight w:val="183"/>
        </w:trPr>
        <w:tc>
          <w:tcPr>
            <w:tcW w:w="4360" w:type="dxa"/>
            <w:vAlign w:val="bottom"/>
            <w:tcBorders>
              <w:top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Balance at January 1, 2021</w:t>
            </w:r>
          </w:p>
        </w:tc>
        <w:tc>
          <w:tcPr>
            <w:tcW w:w="11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51,701,080</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158,556</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(19,487)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139,062</w:t>
            </w:r>
          </w:p>
        </w:tc>
      </w:tr>
      <w:tr>
        <w:trPr>
          <w:trHeight w:val="189"/>
        </w:trPr>
        <w:tc>
          <w:tcPr>
            <w:tcW w:w="43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Issuance of restricted shares</w:t>
            </w: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421,547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43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Cancellation of restricted shares</w:t>
            </w:r>
          </w:p>
        </w:tc>
        <w:tc>
          <w:tcPr>
            <w:tcW w:w="1300" w:type="dxa"/>
            <w:vAlign w:val="bottom"/>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(24,018)</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43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Stock based compensation</w:t>
            </w: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2,266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2,266</w:t>
            </w:r>
          </w:p>
        </w:tc>
      </w:tr>
      <w:tr>
        <w:trPr>
          <w:trHeight w:val="171"/>
        </w:trPr>
        <w:tc>
          <w:tcPr>
            <w:tcW w:w="436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Tax withholdings related to net share settlements of stock</w:t>
            </w: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221"/>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based compensation awards</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(135,232)</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r>
      <w:tr>
        <w:trPr>
          <w:trHeight w:val="189"/>
        </w:trPr>
        <w:tc>
          <w:tcPr>
            <w:tcW w:w="43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Dividends paid ($0.65 per share)</w:t>
            </w: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(32,949)</w:t>
            </w:r>
          </w:p>
        </w:tc>
        <w:tc>
          <w:tcPr>
            <w:tcW w:w="10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(32,949)</w:t>
            </w:r>
          </w:p>
        </w:tc>
      </w:tr>
      <w:tr>
        <w:trPr>
          <w:trHeight w:val="189"/>
        </w:trPr>
        <w:tc>
          <w:tcPr>
            <w:tcW w:w="43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Foreign currency translation adjustments</w:t>
            </w: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w:t>
            </w:r>
          </w:p>
        </w:tc>
      </w:tr>
      <w:tr>
        <w:trPr>
          <w:trHeight w:val="189"/>
        </w:trPr>
        <w:tc>
          <w:tcPr>
            <w:tcW w:w="4360" w:type="dxa"/>
            <w:vAlign w:val="bottom"/>
            <w:tcBorders>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14,774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14,774</w:t>
            </w:r>
          </w:p>
        </w:tc>
      </w:tr>
      <w:tr>
        <w:trPr>
          <w:trHeight w:val="183"/>
        </w:trPr>
        <w:tc>
          <w:tcPr>
            <w:tcW w:w="436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1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51,963,377</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126,920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(4,713)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122,224</w:t>
            </w:r>
          </w:p>
        </w:tc>
      </w:tr>
      <w:tr>
        <w:trPr>
          <w:trHeight w:val="189"/>
        </w:trPr>
        <w:tc>
          <w:tcPr>
            <w:tcW w:w="43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Issuance of restricted shares</w:t>
            </w: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610,480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43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Cancellation of restricted shares</w:t>
            </w:r>
          </w:p>
        </w:tc>
        <w:tc>
          <w:tcPr>
            <w:tcW w:w="1300" w:type="dxa"/>
            <w:vAlign w:val="bottom"/>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(264,513)</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43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Stock based compensation</w:t>
            </w: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1,832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1,832</w:t>
            </w:r>
          </w:p>
        </w:tc>
      </w:tr>
      <w:tr>
        <w:trPr>
          <w:trHeight w:val="171"/>
        </w:trPr>
        <w:tc>
          <w:tcPr>
            <w:tcW w:w="436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Tax withholdings related to net share settlements of stock</w:t>
            </w: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221"/>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based compensation awards</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(126,673)</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189"/>
        </w:trPr>
        <w:tc>
          <w:tcPr>
            <w:tcW w:w="43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Repurchases of common stock</w:t>
            </w:r>
          </w:p>
        </w:tc>
        <w:tc>
          <w:tcPr>
            <w:tcW w:w="130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(7,805,226)</w:t>
            </w:r>
          </w:p>
        </w:tc>
        <w:tc>
          <w:tcPr>
            <w:tcW w:w="120" w:type="dxa"/>
            <w:vAlign w:val="bottom"/>
          </w:tcPr>
          <w:p>
            <w:pPr>
              <w:spacing w:after="0"/>
              <w:rPr>
                <w:sz w:val="16"/>
                <w:szCs w:val="16"/>
                <w:color w:val="auto"/>
              </w:rPr>
            </w:pPr>
          </w:p>
        </w:tc>
        <w:tc>
          <w:tcPr>
            <w:tcW w:w="780" w:type="dxa"/>
            <w:vAlign w:val="bottom"/>
            <w:gridSpan w:val="2"/>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(30,170)</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(30,171)</w:t>
            </w:r>
          </w:p>
        </w:tc>
      </w:tr>
      <w:tr>
        <w:trPr>
          <w:trHeight w:val="189"/>
        </w:trPr>
        <w:tc>
          <w:tcPr>
            <w:tcW w:w="43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Foreign currency translation adjustments</w:t>
            </w: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(64)</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(64)</w:t>
            </w:r>
          </w:p>
        </w:tc>
      </w:tr>
      <w:tr>
        <w:trPr>
          <w:trHeight w:val="189"/>
        </w:trPr>
        <w:tc>
          <w:tcPr>
            <w:tcW w:w="4360" w:type="dxa"/>
            <w:vAlign w:val="bottom"/>
            <w:tcBorders>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15,703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15,703</w:t>
            </w:r>
          </w:p>
        </w:tc>
      </w:tr>
      <w:tr>
        <w:trPr>
          <w:trHeight w:val="183"/>
        </w:trPr>
        <w:tc>
          <w:tcPr>
            <w:tcW w:w="436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1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44,377,445</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127,997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(19,180)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(52)</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108,769</w:t>
            </w:r>
          </w:p>
        </w:tc>
      </w:tr>
      <w:tr>
        <w:trPr>
          <w:trHeight w:val="189"/>
        </w:trPr>
        <w:tc>
          <w:tcPr>
            <w:tcW w:w="43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Issuance of restricted shares</w:t>
            </w: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611,154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43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Issuance of common stock upon exercise of options</w:t>
            </w: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1,790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w:t>
            </w:r>
          </w:p>
        </w:tc>
      </w:tr>
      <w:tr>
        <w:trPr>
          <w:trHeight w:val="189"/>
        </w:trPr>
        <w:tc>
          <w:tcPr>
            <w:tcW w:w="43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Cancellation of restricted shares</w:t>
            </w: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(372,645)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43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Stock based compensation</w:t>
            </w: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1,392</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1,392</w:t>
            </w:r>
          </w:p>
        </w:tc>
      </w:tr>
      <w:tr>
        <w:trPr>
          <w:trHeight w:val="171"/>
        </w:trPr>
        <w:tc>
          <w:tcPr>
            <w:tcW w:w="4360" w:type="dxa"/>
            <w:vAlign w:val="bottom"/>
            <w:gridSpan w:val="2"/>
          </w:tcPr>
          <w:p>
            <w:pPr>
              <w:spacing w:after="0" w:line="170" w:lineRule="exact"/>
              <w:rPr>
                <w:sz w:val="20"/>
                <w:szCs w:val="20"/>
                <w:color w:val="auto"/>
              </w:rPr>
            </w:pPr>
            <w:r>
              <w:rPr>
                <w:rFonts w:ascii="Times New Roman" w:cs="Times New Roman" w:eastAsia="Times New Roman" w:hAnsi="Times New Roman"/>
                <w:sz w:val="18"/>
                <w:szCs w:val="18"/>
                <w:color w:val="auto"/>
              </w:rPr>
              <w:t>Tax withholdings related to net share settlements of stock</w:t>
            </w: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21"/>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based compensation awards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(106,965)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189"/>
        </w:trPr>
        <w:tc>
          <w:tcPr>
            <w:tcW w:w="43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Foreign currency translation adjustments</w:t>
            </w: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w:t>
            </w:r>
          </w:p>
        </w:tc>
      </w:tr>
      <w:tr>
        <w:trPr>
          <w:trHeight w:val="189"/>
        </w:trPr>
        <w:tc>
          <w:tcPr>
            <w:tcW w:w="4360" w:type="dxa"/>
            <w:vAlign w:val="bottom"/>
            <w:tcBorders>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10,071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10,071</w:t>
            </w:r>
          </w:p>
        </w:tc>
      </w:tr>
      <w:tr>
        <w:trPr>
          <w:trHeight w:val="183"/>
        </w:trPr>
        <w:tc>
          <w:tcPr>
            <w:tcW w:w="4360" w:type="dxa"/>
            <w:vAlign w:val="bottom"/>
            <w:tcBorders>
              <w:bottom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1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44,510,779</w:t>
            </w: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128,861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(9,109)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(69)</w:t>
            </w: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119,687</w:t>
            </w: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9"/>
        </w:trPr>
        <w:tc>
          <w:tcPr>
            <w:tcW w:w="1280" w:type="dxa"/>
            <w:vAlign w:val="bottom"/>
            <w:tcBorders>
              <w:top w:val="single" w:sz="8" w:color="0000FF"/>
            </w:tcBorders>
          </w:tcPr>
          <w:p>
            <w:pPr>
              <w:spacing w:after="0"/>
              <w:rPr>
                <w:sz w:val="24"/>
                <w:szCs w:val="24"/>
                <w:color w:val="auto"/>
              </w:rPr>
            </w:pPr>
          </w:p>
        </w:tc>
        <w:tc>
          <w:tcPr>
            <w:tcW w:w="612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Tile Shop Holdings, Inc. and Subsidiaries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6120" w:type="dxa"/>
            <w:vAlign w:val="bottom"/>
          </w:tcPr>
          <w:p>
            <w:pPr>
              <w:jc w:val="center"/>
              <w:ind w:left="2470"/>
              <w:spacing w:after="0" w:line="189" w:lineRule="exact"/>
              <w:rPr>
                <w:sz w:val="20"/>
                <w:szCs w:val="20"/>
                <w:color w:val="auto"/>
              </w:rPr>
            </w:pPr>
            <w:r>
              <w:rPr>
                <w:rFonts w:ascii="Times New Roman" w:cs="Times New Roman" w:eastAsia="Times New Roman" w:hAnsi="Times New Roman"/>
                <w:sz w:val="18"/>
                <w:szCs w:val="18"/>
                <w:color w:val="auto"/>
              </w:rPr>
              <w:t>Consolidated Statements of Cash Flows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6560" w:type="dxa"/>
            <w:vAlign w:val="bottom"/>
            <w:gridSpan w:val="3"/>
          </w:tcPr>
          <w:p>
            <w:pPr>
              <w:jc w:val="center"/>
              <w:ind w:left="2030"/>
              <w:spacing w:after="0" w:line="189" w:lineRule="exact"/>
              <w:rPr>
                <w:sz w:val="20"/>
                <w:szCs w:val="20"/>
                <w:color w:val="auto"/>
              </w:rPr>
            </w:pPr>
            <w:r>
              <w:rPr>
                <w:rFonts w:ascii="Times New Roman" w:cs="Times New Roman" w:eastAsia="Times New Roman" w:hAnsi="Times New Roman"/>
                <w:sz w:val="18"/>
                <w:szCs w:val="18"/>
                <w:color w:val="auto"/>
              </w:rPr>
              <w:t>For the years ended December 31, 2023, 2022 and 2021</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1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20" w:type="dxa"/>
            <w:vAlign w:val="bottom"/>
            <w:gridSpan w:val="6"/>
          </w:tcPr>
          <w:p>
            <w:pPr>
              <w:jc w:val="right"/>
              <w:ind w:right="116"/>
              <w:spacing w:after="0"/>
              <w:rPr>
                <w:sz w:val="20"/>
                <w:szCs w:val="20"/>
                <w:color w:val="auto"/>
              </w:rPr>
            </w:pPr>
            <w:r>
              <w:rPr>
                <w:rFonts w:ascii="Times New Roman" w:cs="Times New Roman" w:eastAsia="Times New Roman" w:hAnsi="Times New Roman"/>
                <w:sz w:val="18"/>
                <w:szCs w:val="18"/>
                <w:color w:val="auto"/>
              </w:rPr>
              <w:t>For the years ended,</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183"/>
        </w:trPr>
        <w:tc>
          <w:tcPr>
            <w:tcW w:w="7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gridSpan w:val="2"/>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10,071</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15,703</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14,774</w:t>
            </w:r>
          </w:p>
        </w:tc>
        <w:tc>
          <w:tcPr>
            <w:tcW w:w="0" w:type="dxa"/>
            <w:vAlign w:val="bottom"/>
          </w:tcPr>
          <w:p>
            <w:pPr>
              <w:spacing w:after="0"/>
              <w:rPr>
                <w:sz w:val="1"/>
                <w:szCs w:val="1"/>
                <w:color w:val="auto"/>
              </w:rPr>
            </w:pPr>
          </w:p>
        </w:tc>
      </w:tr>
      <w:tr>
        <w:trPr>
          <w:trHeight w:val="189"/>
        </w:trPr>
        <w:tc>
          <w:tcPr>
            <w:tcW w:w="74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21,229</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25,142</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27,379</w:t>
            </w:r>
          </w:p>
        </w:tc>
        <w:tc>
          <w:tcPr>
            <w:tcW w:w="0" w:type="dxa"/>
            <w:vAlign w:val="bottom"/>
          </w:tcPr>
          <w:p>
            <w:pPr>
              <w:spacing w:after="0"/>
              <w:rPr>
                <w:sz w:val="1"/>
                <w:szCs w:val="1"/>
                <w:color w:val="auto"/>
              </w:rPr>
            </w:pPr>
          </w:p>
        </w:tc>
      </w:tr>
      <w:tr>
        <w:trPr>
          <w:trHeight w:val="189"/>
        </w:trPr>
        <w:tc>
          <w:tcPr>
            <w:tcW w:w="740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Amortization of debt issuance costs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257</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427</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(Gain) loss on disposals of property, plant and equipment</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89"/>
        </w:trPr>
        <w:tc>
          <w:tcPr>
            <w:tcW w:w="740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Impairment charges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1,027</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423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Non-cash lease expense</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25,844</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25,779</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24,832</w:t>
            </w:r>
          </w:p>
        </w:tc>
        <w:tc>
          <w:tcPr>
            <w:tcW w:w="0" w:type="dxa"/>
            <w:vAlign w:val="bottom"/>
          </w:tcPr>
          <w:p>
            <w:pPr>
              <w:spacing w:after="0"/>
              <w:rPr>
                <w:sz w:val="1"/>
                <w:szCs w:val="1"/>
                <w:color w:val="auto"/>
              </w:rPr>
            </w:pPr>
          </w:p>
        </w:tc>
      </w:tr>
      <w:tr>
        <w:trPr>
          <w:trHeight w:val="189"/>
        </w:trPr>
        <w:tc>
          <w:tcPr>
            <w:tcW w:w="740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Stock based compensation</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1,392</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1,832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2,266</w:t>
            </w: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1,280</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417</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(1,612)</w:t>
            </w:r>
          </w:p>
        </w:tc>
        <w:tc>
          <w:tcPr>
            <w:tcW w:w="0" w:type="dxa"/>
            <w:vAlign w:val="bottom"/>
          </w:tcPr>
          <w:p>
            <w:pPr>
              <w:spacing w:after="0"/>
              <w:rPr>
                <w:sz w:val="1"/>
                <w:szCs w:val="1"/>
                <w:color w:val="auto"/>
              </w:rPr>
            </w:pPr>
          </w:p>
        </w:tc>
      </w:tr>
      <w:tr>
        <w:trPr>
          <w:trHeight w:val="189"/>
        </w:trPr>
        <w:tc>
          <w:tcPr>
            <w:tcW w:w="740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Receivables</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528</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(209)</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189"/>
        </w:trPr>
        <w:tc>
          <w:tcPr>
            <w:tcW w:w="7400" w:type="dxa"/>
            <w:vAlign w:val="bottom"/>
            <w:gridSpan w:val="2"/>
          </w:tcPr>
          <w:p>
            <w:pPr>
              <w:ind w:left="340"/>
              <w:spacing w:after="0" w:line="189" w:lineRule="exact"/>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27,272</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(23,777)</w:t>
            </w: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(22,879)</w:t>
            </w: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Other current assets, net</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3,316</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(2,676)</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189"/>
        </w:trPr>
        <w:tc>
          <w:tcPr>
            <w:tcW w:w="7400" w:type="dxa"/>
            <w:vAlign w:val="bottom"/>
            <w:gridSpan w:val="2"/>
          </w:tcPr>
          <w:p>
            <w:pPr>
              <w:ind w:left="340"/>
              <w:spacing w:after="0" w:line="189" w:lineRule="exact"/>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123</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(8,057)</w:t>
            </w: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15,873</w:t>
            </w: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Income tax receivable / payable</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4,861</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2,677</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1,491</w:t>
            </w:r>
          </w:p>
        </w:tc>
        <w:tc>
          <w:tcPr>
            <w:tcW w:w="0" w:type="dxa"/>
            <w:vAlign w:val="bottom"/>
          </w:tcPr>
          <w:p>
            <w:pPr>
              <w:spacing w:after="0"/>
              <w:rPr>
                <w:sz w:val="1"/>
                <w:szCs w:val="1"/>
                <w:color w:val="auto"/>
              </w:rPr>
            </w:pPr>
          </w:p>
        </w:tc>
      </w:tr>
      <w:tr>
        <w:trPr>
          <w:trHeight w:val="189"/>
        </w:trPr>
        <w:tc>
          <w:tcPr>
            <w:tcW w:w="7400" w:type="dxa"/>
            <w:vAlign w:val="bottom"/>
            <w:gridSpan w:val="2"/>
          </w:tcPr>
          <w:p>
            <w:pPr>
              <w:ind w:left="340"/>
              <w:spacing w:after="0" w:line="189" w:lineRule="exact"/>
              <w:rPr>
                <w:sz w:val="20"/>
                <w:szCs w:val="20"/>
                <w:color w:val="auto"/>
              </w:rPr>
            </w:pPr>
            <w:r>
              <w:rPr>
                <w:rFonts w:ascii="Times New Roman" w:cs="Times New Roman" w:eastAsia="Times New Roman" w:hAnsi="Times New Roman"/>
                <w:sz w:val="18"/>
                <w:szCs w:val="18"/>
                <w:color w:val="auto"/>
              </w:rPr>
              <w:t>Accrued expenses and other liabilities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(35,127)</w:t>
            </w:r>
          </w:p>
        </w:tc>
        <w:tc>
          <w:tcPr>
            <w:tcW w:w="240" w:type="dxa"/>
            <w:vAlign w:val="bottom"/>
          </w:tcPr>
          <w:p>
            <w:pPr>
              <w:spacing w:after="0"/>
              <w:rPr>
                <w:sz w:val="16"/>
                <w:szCs w:val="16"/>
                <w:color w:val="auto"/>
              </w:rPr>
            </w:pPr>
          </w:p>
        </w:tc>
        <w:tc>
          <w:tcPr>
            <w:tcW w:w="10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(34,966)</w:t>
            </w: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(22,185)</w:t>
            </w:r>
          </w:p>
        </w:tc>
        <w:tc>
          <w:tcPr>
            <w:tcW w:w="0" w:type="dxa"/>
            <w:vAlign w:val="bottom"/>
          </w:tcPr>
          <w:p>
            <w:pPr>
              <w:spacing w:after="0"/>
              <w:rPr>
                <w:sz w:val="1"/>
                <w:szCs w:val="1"/>
                <w:color w:val="auto"/>
              </w:rPr>
            </w:pPr>
          </w:p>
        </w:tc>
      </w:tr>
      <w:tr>
        <w:trPr>
          <w:trHeight w:val="183"/>
        </w:trPr>
        <w:tc>
          <w:tcPr>
            <w:tcW w:w="7400" w:type="dxa"/>
            <w:vAlign w:val="bottom"/>
            <w:tcBorders>
              <w:top w:val="single" w:sz="8" w:color="CCEEFF"/>
            </w:tcBorders>
            <w:gridSpan w:val="2"/>
            <w:shd w:val="clear" w:color="auto" w:fill="CCEEFF"/>
          </w:tcPr>
          <w:p>
            <w:pPr>
              <w:ind w:left="440"/>
              <w:spacing w:after="0" w:line="182" w:lineRule="exact"/>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62,060</w:t>
            </w: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2,715</w:t>
            </w: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39,691</w:t>
            </w:r>
          </w:p>
        </w:tc>
        <w:tc>
          <w:tcPr>
            <w:tcW w:w="0" w:type="dxa"/>
            <w:vAlign w:val="bottom"/>
          </w:tcPr>
          <w:p>
            <w:pPr>
              <w:spacing w:after="0"/>
              <w:rPr>
                <w:sz w:val="1"/>
                <w:szCs w:val="1"/>
                <w:color w:val="auto"/>
              </w:rPr>
            </w:pPr>
          </w:p>
        </w:tc>
      </w:tr>
      <w:tr>
        <w:trPr>
          <w:trHeight w:val="189"/>
        </w:trPr>
        <w:tc>
          <w:tcPr>
            <w:tcW w:w="74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Purchases of property, plant and equipment</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(15,313)</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(14,027)</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(11,070)</w:t>
            </w:r>
          </w:p>
        </w:tc>
        <w:tc>
          <w:tcPr>
            <w:tcW w:w="0" w:type="dxa"/>
            <w:vAlign w:val="bottom"/>
          </w:tcPr>
          <w:p>
            <w:pPr>
              <w:spacing w:after="0"/>
              <w:rPr>
                <w:sz w:val="1"/>
                <w:szCs w:val="1"/>
                <w:color w:val="auto"/>
              </w:rPr>
            </w:pPr>
          </w:p>
        </w:tc>
      </w:tr>
      <w:tr>
        <w:trPr>
          <w:trHeight w:val="189"/>
        </w:trPr>
        <w:tc>
          <w:tcPr>
            <w:tcW w:w="7400" w:type="dxa"/>
            <w:vAlign w:val="bottom"/>
            <w:tcBorders>
              <w:bottom w:val="single" w:sz="8" w:color="CCEEFF"/>
            </w:tcBorders>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Proceeds from the sale of property, plant and equipment</w:t>
            </w: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58</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7400" w:type="dxa"/>
            <w:vAlign w:val="bottom"/>
            <w:gridSpan w:val="2"/>
            <w:shd w:val="clear" w:color="auto" w:fill="CCEEFF"/>
          </w:tcPr>
          <w:p>
            <w:pPr>
              <w:ind w:left="440"/>
              <w:spacing w:after="0" w:line="182"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(15,255)</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(14,027)</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(11,070)</w:t>
            </w:r>
          </w:p>
        </w:tc>
        <w:tc>
          <w:tcPr>
            <w:tcW w:w="0" w:type="dxa"/>
            <w:vAlign w:val="bottom"/>
          </w:tcPr>
          <w:p>
            <w:pPr>
              <w:spacing w:after="0"/>
              <w:rPr>
                <w:sz w:val="1"/>
                <w:szCs w:val="1"/>
                <w:color w:val="auto"/>
              </w:rPr>
            </w:pPr>
          </w:p>
        </w:tc>
      </w:tr>
      <w:tr>
        <w:trPr>
          <w:trHeight w:val="189"/>
        </w:trPr>
        <w:tc>
          <w:tcPr>
            <w:tcW w:w="74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Payments of long-term debt and financing lease obligations</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(65,400)</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(50,000)</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189"/>
        </w:trPr>
        <w:tc>
          <w:tcPr>
            <w:tcW w:w="740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Advances on line of credit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20,000</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90,400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Dividends paid</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(32,949)</w:t>
            </w:r>
          </w:p>
        </w:tc>
        <w:tc>
          <w:tcPr>
            <w:tcW w:w="0" w:type="dxa"/>
            <w:vAlign w:val="bottom"/>
          </w:tcPr>
          <w:p>
            <w:pPr>
              <w:spacing w:after="0"/>
              <w:rPr>
                <w:sz w:val="1"/>
                <w:szCs w:val="1"/>
                <w:color w:val="auto"/>
              </w:rPr>
            </w:pPr>
          </w:p>
        </w:tc>
      </w:tr>
      <w:tr>
        <w:trPr>
          <w:trHeight w:val="189"/>
        </w:trPr>
        <w:tc>
          <w:tcPr>
            <w:tcW w:w="740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Proceeds from exercise of stock options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Repurchases of common stock</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(30,171)</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740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Employee taxes paid for shares withheld</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(532)</w:t>
            </w:r>
          </w:p>
        </w:tc>
        <w:tc>
          <w:tcPr>
            <w:tcW w:w="240" w:type="dxa"/>
            <w:vAlign w:val="bottom"/>
          </w:tcPr>
          <w:p>
            <w:pPr>
              <w:spacing w:after="0"/>
              <w:rPr>
                <w:sz w:val="16"/>
                <w:szCs w:val="16"/>
                <w:color w:val="auto"/>
              </w:rPr>
            </w:pPr>
          </w:p>
        </w:tc>
        <w:tc>
          <w:tcPr>
            <w:tcW w:w="10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(755)</w:t>
            </w: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Debt issuance costs</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(360)</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7400" w:type="dxa"/>
            <w:vAlign w:val="bottom"/>
            <w:gridSpan w:val="2"/>
          </w:tcPr>
          <w:p>
            <w:pPr>
              <w:ind w:left="440"/>
              <w:spacing w:after="0" w:line="182" w:lineRule="exact"/>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(45,928)</w:t>
            </w:r>
          </w:p>
        </w:tc>
        <w:tc>
          <w:tcPr>
            <w:tcW w:w="1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9,114</w:t>
            </w:r>
          </w:p>
        </w:tc>
        <w:tc>
          <w:tcPr>
            <w:tcW w:w="1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(28,902)</w:t>
            </w: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Effect of exchange rate changes on cash</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(56)</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83"/>
        </w:trPr>
        <w:tc>
          <w:tcPr>
            <w:tcW w:w="7400" w:type="dxa"/>
            <w:vAlign w:val="bottom"/>
            <w:gridSpan w:val="2"/>
          </w:tcPr>
          <w:p>
            <w:pPr>
              <w:ind w:left="120"/>
              <w:spacing w:after="0" w:line="182" w:lineRule="exact"/>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861</w:t>
            </w:r>
          </w:p>
        </w:tc>
        <w:tc>
          <w:tcPr>
            <w:tcW w:w="1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(2,254)</w:t>
            </w:r>
          </w:p>
        </w:tc>
        <w:tc>
          <w:tcPr>
            <w:tcW w:w="1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7,759</w:t>
            </w:r>
          </w:p>
        </w:tc>
        <w:tc>
          <w:tcPr>
            <w:tcW w:w="1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10,013</w:t>
            </w:r>
          </w:p>
        </w:tc>
        <w:tc>
          <w:tcPr>
            <w:tcW w:w="1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10,272</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gridSpan w:val="2"/>
          </w:tcPr>
          <w:p>
            <w:pPr>
              <w:spacing w:after="0" w:line="182" w:lineRule="exact"/>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8,620</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7,759</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10,013</w:t>
            </w:r>
          </w:p>
        </w:tc>
        <w:tc>
          <w:tcPr>
            <w:tcW w:w="0" w:type="dxa"/>
            <w:vAlign w:val="bottom"/>
          </w:tcPr>
          <w:p>
            <w:pPr>
              <w:spacing w:after="0"/>
              <w:rPr>
                <w:sz w:val="1"/>
                <w:szCs w:val="1"/>
                <w:color w:val="auto"/>
              </w:rPr>
            </w:pPr>
          </w:p>
        </w:tc>
      </w:tr>
      <w:tr>
        <w:trPr>
          <w:trHeight w:val="170"/>
        </w:trPr>
        <w:tc>
          <w:tcPr>
            <w:tcW w:w="1280" w:type="dxa"/>
            <w:vAlign w:val="bottom"/>
            <w:shd w:val="clear" w:color="auto" w:fill="CCEEFF"/>
          </w:tcPr>
          <w:p>
            <w:pPr>
              <w:spacing w:after="0"/>
              <w:rPr>
                <w:sz w:val="14"/>
                <w:szCs w:val="14"/>
                <w:color w:val="auto"/>
              </w:rPr>
            </w:pPr>
          </w:p>
        </w:tc>
        <w:tc>
          <w:tcPr>
            <w:tcW w:w="6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4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gridSpan w:val="2"/>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8,620</w:t>
            </w:r>
          </w:p>
        </w:tc>
        <w:tc>
          <w:tcPr>
            <w:tcW w:w="160" w:type="dxa"/>
            <w:vAlign w:val="bottom"/>
          </w:tcPr>
          <w:p>
            <w:pPr>
              <w:spacing w:after="0"/>
              <w:rPr>
                <w:sz w:val="16"/>
                <w:szCs w:val="16"/>
                <w:color w:val="auto"/>
              </w:rPr>
            </w:pPr>
          </w:p>
        </w:tc>
        <w:tc>
          <w:tcPr>
            <w:tcW w:w="2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5,948</w:t>
            </w:r>
          </w:p>
        </w:tc>
        <w:tc>
          <w:tcPr>
            <w:tcW w:w="160" w:type="dxa"/>
            <w:vAlign w:val="bottom"/>
          </w:tcPr>
          <w:p>
            <w:pPr>
              <w:spacing w:after="0"/>
              <w:rPr>
                <w:sz w:val="16"/>
                <w:szCs w:val="16"/>
                <w:color w:val="auto"/>
              </w:rPr>
            </w:pPr>
          </w:p>
        </w:tc>
        <w:tc>
          <w:tcPr>
            <w:tcW w:w="220" w:type="dxa"/>
            <w:vAlign w:val="bottom"/>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9,358</w:t>
            </w: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1,811</w:t>
            </w:r>
          </w:p>
        </w:tc>
        <w:tc>
          <w:tcPr>
            <w:tcW w:w="1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8,620</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7,759</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10,013</w:t>
            </w:r>
          </w:p>
        </w:tc>
        <w:tc>
          <w:tcPr>
            <w:tcW w:w="0" w:type="dxa"/>
            <w:vAlign w:val="bottom"/>
          </w:tcPr>
          <w:p>
            <w:pPr>
              <w:spacing w:after="0"/>
              <w:rPr>
                <w:sz w:val="1"/>
                <w:szCs w:val="1"/>
                <w:color w:val="auto"/>
              </w:rPr>
            </w:pPr>
          </w:p>
        </w:tc>
      </w:tr>
      <w:tr>
        <w:trPr>
          <w:trHeight w:val="170"/>
        </w:trPr>
        <w:tc>
          <w:tcPr>
            <w:tcW w:w="1280" w:type="dxa"/>
            <w:vAlign w:val="bottom"/>
            <w:shd w:val="clear" w:color="auto" w:fill="CCEEFF"/>
          </w:tcPr>
          <w:p>
            <w:pPr>
              <w:spacing w:after="0"/>
              <w:rPr>
                <w:sz w:val="14"/>
                <w:szCs w:val="14"/>
                <w:color w:val="auto"/>
              </w:rPr>
            </w:pPr>
          </w:p>
        </w:tc>
        <w:tc>
          <w:tcPr>
            <w:tcW w:w="6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4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Purchases of property, plant and equipment included in accounts payable and accrued expenses</w:t>
            </w:r>
          </w:p>
        </w:tc>
        <w:tc>
          <w:tcPr>
            <w:tcW w:w="440" w:type="dxa"/>
            <w:vAlign w:val="bottom"/>
            <w:gridSpan w:val="2"/>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430</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714</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89"/>
        </w:trPr>
        <w:tc>
          <w:tcPr>
            <w:tcW w:w="740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Cash paid for interest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2,082</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1,257</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Cash (received) paid for income taxes, net of refunds</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(2,218)</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2,231</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5,298</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Business</w:t>
      </w:r>
    </w:p>
    <w:p>
      <w:pPr>
        <w:spacing w:after="0" w:line="189"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18"/>
          <w:szCs w:val="18"/>
          <w:color w:val="auto"/>
        </w:rPr>
        <w:t>The Tile Shop, LLC (“The Tile Shop”) was founded in 1985 and Tile Shop Holdings, Inc. (“Holdings,” and together with its wholly owned subsidiaries, including The Tile Shop, the “Company”) was incorporated in Delaware in June 2012. The Company is a specialty retailer of natural stone, man-made and luxury vinyl tiles, setting and maintenance materials, and related accessories in the United States. The Company’s assortment includes over 6,000 products from around the world. Natural stone products include marble, travertine, granite, quartz, sandstone, slate, and onyx tiles. Man-made products include ceramic, porcelain, glass, cement, wood look, metal and luxury vinyl tile. The majority of the tile products are sold under the Company's proprietary Rush River and Fired Earth brand names. The Company purchases tile products, accessories and tools directly from its network of suppliers. The Company manufactures its own setting and maintenance materials, such as thinset, grout and sealer, under the Superior brand name, as well as works with other suppliers to manufacture private label products. As of December 31, 2023, the Company operated 142 stores in 31 states and the District of Columbia, with an average size of approximately 20,000 square feet.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Holdings include the accounts of its wholly owned subsidiaries and variable interest entities for which the Company is the primary beneficiary. All significant intercompany transactions have been eliminated in consolidation.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in the United States (“GAAP”) requires management to make estimates and assumptions that affect the amounts reported in the consolidated financial statements. The Company’s estimates and judgments are based on historical experience and various other assumptions that it believes are reasonable under the circumstances. The amount of assets and liabilities reported on the Company's balance sheets and the amounts of income and expenses reported for each of the periods presented are affected by estimates and assumptions, which are used for, but not limited to, the accounting for revenue recognition and related reserves for sales returns, useful lives of property, plant and equipment, determining impairment of property, plant and equipment and right of use assets, accounting for leases, valuation of inventory, and income taxes. Actual results may differ from these estimates.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89"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18"/>
          <w:szCs w:val="18"/>
          <w:color w:val="auto"/>
        </w:rPr>
        <w:t>The Company had cash and cash equivalents of $8.6 million and $5.9 million at December 31, 2023 and 2022, respectively. The Company considers all highly liquid investments with an original maturity date of three months or less when purchased to be cash equivalents. The payments due from banks for debit and credit card transactions are generally received, or settled, within 24 to 48 hours of the transmission date. The Company considers all debit and credit card transactions that settle in less than seven days to be cash and cash equivalents. Amounts due from the banks for these transactions classified as cash and cash equivalents totaled $3.0 million and $1.6 million at December 31, 2023 and 2022,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Cash and cash equivalents that are restricted as to withdrawal or are under the terms of use for current operations are included in the restricted balance on the balance sheet.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Receivables</w:t>
      </w:r>
    </w:p>
    <w:p>
      <w:pPr>
        <w:spacing w:after="0" w:line="189"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8"/>
          <w:szCs w:val="18"/>
          <w:color w:val="auto"/>
        </w:rPr>
        <w:t>Trade receivables are carried at original invoice amount less an estimate made for doubtful accounts. Management determines the allowance for doubtful accounts on a specific identification basis and by leveraging information on historical losses, current conditions, and reasonable and supportable forecasts of future conditions. Trade receivables are written off when deemed uncollectible. Recoveries of trade receivables previously written off are recorded when received. The allowance for doubtful accounts was $0.3 million as of both December 31, 2023 and 2022. The Company does not accrue interest on accounts receivable.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8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The Company’s inventory consists of manufactured items and purchased merchandise held for resale. Inventories are stated at the lower of cost (determined using the moving average cost method) or net realizable value. The Company capitalizes the cost 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65"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inbound freight, duties, and receiving and handling costs to bring purchased materials into its distribution network. The labor and overhead costs incurred in connection with the production process are included in the value of manufactured finished goods.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Inventories were comprised of the following as of December 31:</w:t>
            </w: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8"/>
        </w:trPr>
        <w:tc>
          <w:tcPr>
            <w:tcW w:w="6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r>
      <w:tr>
        <w:trPr>
          <w:trHeight w:val="183"/>
        </w:trPr>
        <w:tc>
          <w:tcPr>
            <w:tcW w:w="6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gridSpan w:val="3"/>
          </w:tcPr>
          <w:p>
            <w:pPr>
              <w:jc w:val="right"/>
              <w:spacing w:after="0" w:line="182" w:lineRule="exact"/>
              <w:rPr>
                <w:sz w:val="20"/>
                <w:szCs w:val="20"/>
                <w:color w:val="auto"/>
              </w:rPr>
            </w:pPr>
            <w:r>
              <w:rPr>
                <w:rFonts w:ascii="Times New Roman" w:cs="Times New Roman" w:eastAsia="Times New Roman" w:hAnsi="Times New Roman"/>
                <w:sz w:val="18"/>
                <w:szCs w:val="18"/>
                <w:color w:val="auto"/>
              </w:rPr>
              <w:t>(in thousands)</w:t>
            </w:r>
          </w:p>
        </w:tc>
        <w:tc>
          <w:tcPr>
            <w:tcW w:w="900" w:type="dxa"/>
            <w:vAlign w:val="bottom"/>
          </w:tcPr>
          <w:p>
            <w:pPr>
              <w:spacing w:after="0"/>
              <w:rPr>
                <w:sz w:val="15"/>
                <w:szCs w:val="15"/>
                <w:color w:val="auto"/>
              </w:rPr>
            </w:pPr>
          </w:p>
        </w:tc>
      </w:tr>
      <w:tr>
        <w:trPr>
          <w:trHeight w:val="189"/>
        </w:trPr>
        <w:tc>
          <w:tcPr>
            <w:tcW w:w="6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Finished goods</w:t>
            </w:r>
          </w:p>
        </w:tc>
        <w:tc>
          <w:tcPr>
            <w:tcW w:w="2140" w:type="dxa"/>
            <w:vAlign w:val="bottom"/>
            <w:gridSpan w:val="2"/>
            <w:shd w:val="clear" w:color="auto" w:fill="CCEEFF"/>
          </w:tcPr>
          <w:p>
            <w:pPr>
              <w:jc w:val="right"/>
              <w:ind w:right="13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92,205</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29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119,517</w:t>
            </w:r>
          </w:p>
        </w:tc>
      </w:tr>
      <w:tr>
        <w:trPr>
          <w:trHeight w:val="189"/>
        </w:trPr>
        <w:tc>
          <w:tcPr>
            <w:tcW w:w="650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Raw materials</w:t>
            </w:r>
          </w:p>
        </w:tc>
        <w:tc>
          <w:tcPr>
            <w:tcW w:w="18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1,474</w:t>
            </w:r>
          </w:p>
        </w:tc>
        <w:tc>
          <w:tcPr>
            <w:tcW w:w="16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1,435</w:t>
            </w:r>
          </w:p>
        </w:tc>
      </w:tr>
      <w:tr>
        <w:trPr>
          <w:trHeight w:val="183"/>
        </w:trPr>
        <w:tc>
          <w:tcPr>
            <w:tcW w:w="65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8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93,679</w:t>
            </w:r>
          </w:p>
        </w:tc>
        <w:tc>
          <w:tcPr>
            <w:tcW w:w="1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2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120,952</w:t>
            </w:r>
          </w:p>
        </w:tc>
      </w:tr>
      <w:tr>
        <w:trPr>
          <w:trHeight w:val="20"/>
        </w:trPr>
        <w:tc>
          <w:tcPr>
            <w:tcW w:w="6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8"/>
          <w:szCs w:val="18"/>
          <w:color w:val="auto"/>
        </w:rPr>
        <w:t>The Company provides provisions for losses related to shrinkage and other amounts that are otherwise not expected to be fully recoverable. These provisions are calculated based on historical shrinkage, selling price, margin and current business trends. These estimates have calculations that require management to make assumptions based on the current rate of sales, age, salability and profitability of inventory, historical percentages that can be affected by changes in our merchandising mix, customer preferences, rates of sell through and changes in actual shrinkage trends. The provision for losses related to shrinkage and other amounts was $1.3 million and $0.7 million as of December 31, 2023 and 2022,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89" w:lineRule="exact"/>
        <w:rPr>
          <w:sz w:val="20"/>
          <w:szCs w:val="20"/>
          <w:color w:val="auto"/>
        </w:rPr>
      </w:pPr>
    </w:p>
    <w:p>
      <w:pPr>
        <w:ind w:right="160"/>
        <w:spacing w:after="0" w:line="233" w:lineRule="auto"/>
        <w:rPr>
          <w:sz w:val="20"/>
          <w:szCs w:val="20"/>
          <w:color w:val="auto"/>
        </w:rPr>
      </w:pPr>
      <w:r>
        <w:rPr>
          <w:rFonts w:ascii="Times New Roman" w:cs="Times New Roman" w:eastAsia="Times New Roman" w:hAnsi="Times New Roman"/>
          <w:sz w:val="18"/>
          <w:szCs w:val="18"/>
          <w:color w:val="auto"/>
        </w:rPr>
        <w:t>The Company recognizes deferred tax liabilities and assets for the expected future tax consequences of events that have been included in the financial statements or tax returns. Deferred tax liabilities and assets are determined based on the difference between the financial statement basis and tax basis of assets and liabilities using enacted tax rates in effect for the year in which the differences are expected to reverse. The Company estimates the degree to which tax assets and credit carryforwards will result in a benefit based on expected profitability by tax jurisdiction. A valuation allowance for such tax assets and loss carryforwards is provided when it is determined to be more likely than not that the benefit of such deferred tax asset will not be realized in future periods. If it becomes more likely than not that a tax asset will be used, the related valuation allowance on such assets would be reduced.</w:t>
      </w:r>
    </w:p>
    <w:p>
      <w:pPr>
        <w:spacing w:after="0" w:line="158"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The Company records interest and penalties relating to uncertain tax positions in income tax expense. As of December 31, 2023 and 2022, the Company has not recognized any liabilities for uncertain tax positions nor has the Company accrued interest and penalties related to uncertain tax positions.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89" w:lineRule="exact"/>
        <w:rPr>
          <w:sz w:val="20"/>
          <w:szCs w:val="20"/>
          <w:color w:val="auto"/>
        </w:rPr>
      </w:pPr>
    </w:p>
    <w:p>
      <w:pPr>
        <w:ind w:right="200"/>
        <w:spacing w:after="0" w:line="232" w:lineRule="auto"/>
        <w:rPr>
          <w:sz w:val="20"/>
          <w:szCs w:val="20"/>
          <w:color w:val="auto"/>
        </w:rPr>
      </w:pPr>
      <w:r>
        <w:rPr>
          <w:rFonts w:ascii="Times New Roman" w:cs="Times New Roman" w:eastAsia="Times New Roman" w:hAnsi="Times New Roman"/>
          <w:sz w:val="18"/>
          <w:szCs w:val="18"/>
          <w:color w:val="auto"/>
        </w:rPr>
        <w:t>Revenues are recognized when control of the promised goods or services is transferred to the Company’s customers, in an amount that reflects the consideration received in exchange for those goods or services. The Company recognizes service revenue, which consists primarily of freight charges for home delivery, when the service has been rendered. The Company is required to charge and collect sales and other taxes on sales to the</w:t>
      </w:r>
    </w:p>
    <w:p>
      <w:pPr>
        <w:ind w:right="60"/>
        <w:spacing w:after="0" w:line="234" w:lineRule="auto"/>
        <w:rPr>
          <w:sz w:val="20"/>
          <w:szCs w:val="20"/>
          <w:color w:val="auto"/>
        </w:rPr>
      </w:pPr>
      <w:r>
        <w:rPr>
          <w:rFonts w:ascii="Times New Roman" w:cs="Times New Roman" w:eastAsia="Times New Roman" w:hAnsi="Times New Roman"/>
          <w:sz w:val="18"/>
          <w:szCs w:val="18"/>
          <w:color w:val="auto"/>
        </w:rPr>
        <w:t>Company's customers and remit these taxes back to government authorities. Total revenues do not include sales tax because the Company is a pass-through conduit for collecting and remitting sales tax. Sales are reduced by an allowance for anticipated sales returns that the Company estimates based on historical returns.</w:t>
      </w:r>
    </w:p>
    <w:p>
      <w:pPr>
        <w:spacing w:after="0" w:line="14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generally requires customers to pay a deposit when purchasing inventory that is not regularly carried at the store location, or not currently in stock. These deposits are included in other current accrued liabilities until the customer takes possession of the merchandise.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Return Reserve</w:t>
      </w:r>
    </w:p>
    <w:p>
      <w:pPr>
        <w:spacing w:after="0" w:line="189"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18"/>
          <w:szCs w:val="18"/>
          <w:color w:val="auto"/>
        </w:rPr>
        <w:t>Customers may return purchased items for an exchange or refund. The process to establish a sales return reserve contains uncertainties because it requires management to make assumptions and to apply judgment to estimate future returns and exchanges. The customer may receive a refund or exchange the original product for a replacement of equal or similar quality for a period of two months from the time of original purchase. Products received back under this policy are reconditioned pursuant to state laws and resold. The Company records a reserve for estimated product returns, based on historical return trends together with current product sales performance.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 and Selling, General and Administrative Expenses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costs classified in each major expense category 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Sales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Materials cost;</w:t>
      </w:r>
    </w:p>
    <w:p>
      <w:pPr>
        <w:spacing w:after="0" w:line="2" w:lineRule="exact"/>
        <w:rPr>
          <w:sz w:val="20"/>
          <w:szCs w:val="20"/>
          <w:color w:val="auto"/>
        </w:rPr>
      </w:pPr>
    </w:p>
    <w:p>
      <w:pPr>
        <w:ind w:left="660" w:right="3680"/>
        <w:spacing w:after="0" w:line="226" w:lineRule="auto"/>
        <w:rPr>
          <w:sz w:val="20"/>
          <w:szCs w:val="20"/>
          <w:color w:val="auto"/>
        </w:rPr>
      </w:pPr>
      <w:r>
        <w:rPr>
          <w:rFonts w:ascii="Times New Roman" w:cs="Times New Roman" w:eastAsia="Times New Roman" w:hAnsi="Times New Roman"/>
          <w:sz w:val="18"/>
          <w:szCs w:val="18"/>
          <w:color w:val="auto"/>
        </w:rPr>
        <w:t>Shipping and transportation expenses to bring products into the Company's distribution centers; Customs and duty expenses;</w:t>
      </w:r>
    </w:p>
    <w:p>
      <w:pPr>
        <w:spacing w:after="0" w:line="1" w:lineRule="exact"/>
        <w:rPr>
          <w:sz w:val="20"/>
          <w:szCs w:val="20"/>
          <w:color w:val="auto"/>
        </w:rPr>
      </w:pPr>
    </w:p>
    <w:p>
      <w:pPr>
        <w:ind w:left="660" w:right="7480"/>
        <w:spacing w:after="0" w:line="219" w:lineRule="auto"/>
        <w:rPr>
          <w:sz w:val="20"/>
          <w:szCs w:val="20"/>
          <w:color w:val="auto"/>
        </w:rPr>
      </w:pPr>
      <w:r>
        <w:rPr>
          <w:rFonts w:ascii="Times New Roman" w:cs="Times New Roman" w:eastAsia="Times New Roman" w:hAnsi="Times New Roman"/>
          <w:sz w:val="18"/>
          <w:szCs w:val="18"/>
          <w:color w:val="auto"/>
        </w:rPr>
        <w:t>Customer shipping and handling expenses; Physical inventory losses;</w:t>
      </w:r>
    </w:p>
    <w:p>
      <w:pPr>
        <w:ind w:left="660" w:right="4620"/>
        <w:spacing w:after="0" w:line="233" w:lineRule="auto"/>
        <w:rPr>
          <w:sz w:val="20"/>
          <w:szCs w:val="20"/>
          <w:color w:val="auto"/>
        </w:rPr>
      </w:pPr>
      <w:r>
        <w:rPr>
          <w:rFonts w:ascii="Times New Roman" w:cs="Times New Roman" w:eastAsia="Times New Roman" w:hAnsi="Times New Roman"/>
          <w:sz w:val="18"/>
          <w:szCs w:val="18"/>
          <w:color w:val="auto"/>
        </w:rPr>
        <w:t>Costs incurred at distribution centers in connection with the receiving process; and Labor and overhead costs incurred to manufacture inventory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&amp; Administrative (sometimes referred to as “SG&amp;A”) Expenses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compensation costs for store, corporate and distribution employees;</w:t>
      </w:r>
    </w:p>
    <w:p>
      <w:pPr>
        <w:spacing w:after="0" w:line="2" w:lineRule="exact"/>
        <w:rPr>
          <w:sz w:val="20"/>
          <w:szCs w:val="20"/>
          <w:color w:val="auto"/>
        </w:rPr>
      </w:pPr>
    </w:p>
    <w:p>
      <w:pPr>
        <w:ind w:left="340"/>
        <w:spacing w:after="0" w:line="234" w:lineRule="auto"/>
        <w:rPr>
          <w:sz w:val="20"/>
          <w:szCs w:val="20"/>
          <w:color w:val="auto"/>
        </w:rPr>
      </w:pPr>
      <w:r>
        <w:rPr>
          <w:rFonts w:ascii="Times New Roman" w:cs="Times New Roman" w:eastAsia="Times New Roman" w:hAnsi="Times New Roman"/>
          <w:sz w:val="18"/>
          <w:szCs w:val="18"/>
          <w:color w:val="auto"/>
        </w:rPr>
        <w:t>Occupancy, utilities and maintenance costs of store and corporate facilities;</w:t>
      </w:r>
    </w:p>
    <w:p>
      <w:pPr>
        <w:ind w:left="660" w:right="1760"/>
        <w:spacing w:after="0" w:line="219" w:lineRule="auto"/>
        <w:rPr>
          <w:sz w:val="20"/>
          <w:szCs w:val="20"/>
          <w:color w:val="auto"/>
        </w:rPr>
      </w:pPr>
      <w:r>
        <w:rPr>
          <w:rFonts w:ascii="Times New Roman" w:cs="Times New Roman" w:eastAsia="Times New Roman" w:hAnsi="Times New Roman"/>
          <w:sz w:val="18"/>
          <w:szCs w:val="18"/>
          <w:color w:val="auto"/>
        </w:rPr>
        <w:t>Shipping and transportation expenses to move inventory from the Company's distribution centers to the Company's stores; Depreciation and amortization; and</w:t>
      </w:r>
    </w:p>
    <w:p>
      <w:pPr>
        <w:ind w:left="340"/>
        <w:spacing w:after="0"/>
        <w:rPr>
          <w:sz w:val="20"/>
          <w:szCs w:val="20"/>
          <w:color w:val="auto"/>
        </w:rPr>
      </w:pPr>
      <w:r>
        <w:rPr>
          <w:rFonts w:ascii="Times New Roman" w:cs="Times New Roman" w:eastAsia="Times New Roman" w:hAnsi="Times New Roman"/>
          <w:sz w:val="18"/>
          <w:szCs w:val="18"/>
          <w:color w:val="auto"/>
        </w:rPr>
        <w:t>Advertising costs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Based Compensation</w:t>
      </w:r>
    </w:p>
    <w:p>
      <w:pPr>
        <w:spacing w:after="0" w:line="189"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18"/>
          <w:szCs w:val="18"/>
          <w:color w:val="auto"/>
        </w:rPr>
        <w:t>The Company recognizes expense for its stock based compensation based on the fair value of the awards on the grant date. The Company may issue incentive awards in the form of stock options, restricted stock awards and other equity awards to employees and non-employee directors. Compensation expense is recognized on a straight-line basis over the requisite service period, net of actual forfeitures. Certain awards are also subject to forfeiture if the Company fails to attain its Adjusted EBITDA or Pretax Return on Capital Employed targets. The Company adjusts the cumulative expense recognized on awards with performance conditions based on a probability of achieving the performance condition.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189" w:lineRule="exact"/>
        <w:rPr>
          <w:sz w:val="20"/>
          <w:szCs w:val="20"/>
          <w:color w:val="auto"/>
        </w:rPr>
      </w:pPr>
    </w:p>
    <w:p>
      <w:pPr>
        <w:jc w:val="both"/>
        <w:ind w:right="520"/>
        <w:spacing w:after="0" w:line="24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and bank deposits. By their nature, all such instruments involve risks, including credit risks of non-performance by counterparties. A substantial portion of the Company's cash and cash equivalents and bank deposits are invested with banks with high investment grade credit ratings.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 Concentration</w:t>
      </w:r>
    </w:p>
    <w:p>
      <w:pPr>
        <w:spacing w:after="0" w:line="189"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The Company purchases merchandise inventories from approximately 190 different suppliers worldwide. Significant suppliers are those that account for greater than 10% of the Company’s annual purchases.</w:t>
      </w:r>
    </w:p>
    <w:p>
      <w:pPr>
        <w:spacing w:after="0" w:line="149" w:lineRule="exact"/>
        <w:rPr>
          <w:sz w:val="20"/>
          <w:szCs w:val="20"/>
          <w:color w:val="auto"/>
        </w:rPr>
      </w:pPr>
    </w:p>
    <w:p>
      <w:pPr>
        <w:jc w:val="both"/>
        <w:ind w:right="400"/>
        <w:spacing w:after="0" w:line="242" w:lineRule="auto"/>
        <w:rPr>
          <w:sz w:val="20"/>
          <w:szCs w:val="20"/>
          <w:color w:val="auto"/>
        </w:rPr>
      </w:pPr>
      <w:r>
        <w:rPr>
          <w:rFonts w:ascii="Times New Roman" w:cs="Times New Roman" w:eastAsia="Times New Roman" w:hAnsi="Times New Roman"/>
          <w:sz w:val="18"/>
          <w:szCs w:val="18"/>
          <w:color w:val="auto"/>
        </w:rPr>
        <w:t>During the year ended December 31, 2023, the Company purchased materials from two significant suppliers which represented a total of 25.5% of the Company’s total purchases. As of December 31, 2023, the accounts payable balance due to the significant suppliers was $0.6 million. During the year ended December 31, 2022, there were no suppliers considered significant suppliers.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Company’s operations consist primarily of retail sales of natural stone, man-made and luxury vinyl tiles, setting and maintenance materials, and related accessories in stores located in the United States. The Company’s chief operating decision maker only reviews the consolidated results of the Company and accordingly, the Company has concluded it has one reportable segment.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17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Advertising costs were $9.1 million, $8.1 million and $6.1 million for the years ended December 31, 2023, 2022 and 2021, respectively, and are included in selling, general and administrative expenses in the consolidated statements of income. The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65" w:lineRule="exact"/>
        <w:rPr>
          <w:sz w:val="20"/>
          <w:szCs w:val="20"/>
          <w:color w:val="auto"/>
        </w:rPr>
      </w:pPr>
    </w:p>
    <w:p>
      <w:pPr>
        <w:jc w:val="both"/>
        <w:ind w:right="200"/>
        <w:spacing w:after="0" w:line="250" w:lineRule="auto"/>
        <w:rPr>
          <w:sz w:val="20"/>
          <w:szCs w:val="20"/>
          <w:color w:val="auto"/>
        </w:rPr>
      </w:pPr>
      <w:r>
        <w:rPr>
          <w:rFonts w:ascii="Times New Roman" w:cs="Times New Roman" w:eastAsia="Times New Roman" w:hAnsi="Times New Roman"/>
          <w:sz w:val="18"/>
          <w:szCs w:val="18"/>
          <w:color w:val="auto"/>
        </w:rPr>
        <w:t>Company’s advertising consists primarily of digital media, direct marketing, events, traditional print media and mobile advertisements and is expensed at the time the media is distributed.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Pre-opening Costs</w:t>
      </w:r>
    </w:p>
    <w:p>
      <w:pPr>
        <w:spacing w:after="0" w:line="189" w:lineRule="exact"/>
        <w:rPr>
          <w:sz w:val="20"/>
          <w:szCs w:val="20"/>
          <w:color w:val="auto"/>
        </w:rPr>
      </w:pPr>
    </w:p>
    <w:p>
      <w:pPr>
        <w:jc w:val="both"/>
        <w:ind w:right="220"/>
        <w:spacing w:after="0" w:line="236" w:lineRule="auto"/>
        <w:rPr>
          <w:sz w:val="20"/>
          <w:szCs w:val="20"/>
          <w:color w:val="auto"/>
        </w:rPr>
      </w:pPr>
      <w:r>
        <w:rPr>
          <w:rFonts w:ascii="Times New Roman" w:cs="Times New Roman" w:eastAsia="Times New Roman" w:hAnsi="Times New Roman"/>
          <w:sz w:val="18"/>
          <w:szCs w:val="18"/>
          <w:color w:val="auto"/>
        </w:rPr>
        <w:t>The Company’s pre-opening costs are those typically associated with the opening of a new store and generally include rent expense, compensation costs and promotional costs. The Company expenses pre-opening costs as incurred which are recorded in selling, general and administrative expenses. During both the years ended December 31, 2023 and 2021, the Company recorded pre-opening costs of $0.1 million. During the year ended December 31, 2022, the Company did not record any pre-opening costs.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89" w:lineRule="exact"/>
        <w:rPr>
          <w:sz w:val="20"/>
          <w:szCs w:val="20"/>
          <w:color w:val="auto"/>
        </w:rPr>
      </w:pPr>
    </w:p>
    <w:p>
      <w:pPr>
        <w:ind w:right="180"/>
        <w:spacing w:after="0" w:line="232" w:lineRule="auto"/>
        <w:rPr>
          <w:sz w:val="20"/>
          <w:szCs w:val="20"/>
          <w:color w:val="auto"/>
        </w:rPr>
      </w:pPr>
      <w:r>
        <w:rPr>
          <w:rFonts w:ascii="Times New Roman" w:cs="Times New Roman" w:eastAsia="Times New Roman" w:hAnsi="Times New Roman"/>
          <w:sz w:val="18"/>
          <w:szCs w:val="18"/>
          <w:color w:val="auto"/>
        </w:rPr>
        <w:t>Property, plant and equipment and leasehold improvements are recorded at cost. Improvements are capitalized while repairs and maintenance costs are charged to selling, general and administrative expenses when incurred. Property, plant and equipment are depreciated or amortized using the straight-line method over each asset’s estimated useful life. Leasehold improvements and fixtures at leased locations are amortized using the straight-line method over the shorter of the lease term or the estimated useful life of the asset. The cost and accumulated depreciation of assets sold or otherwise disposed of are removed from the accounts and any gain or loss thereon is included in other income and expense.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6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Asset life (in years)</w:t>
            </w:r>
          </w:p>
        </w:tc>
      </w:tr>
      <w:tr>
        <w:trPr>
          <w:trHeight w:val="183"/>
        </w:trPr>
        <w:tc>
          <w:tcPr>
            <w:tcW w:w="96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Buildings and building improvements</w:t>
            </w:r>
          </w:p>
        </w:tc>
        <w:tc>
          <w:tcPr>
            <w:tcW w:w="54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40</w:t>
            </w:r>
          </w:p>
        </w:tc>
        <w:tc>
          <w:tcPr>
            <w:tcW w:w="540" w:type="dxa"/>
            <w:vAlign w:val="bottom"/>
            <w:shd w:val="clear" w:color="auto" w:fill="CCEEFF"/>
          </w:tcPr>
          <w:p>
            <w:pPr>
              <w:spacing w:after="0"/>
              <w:rPr>
                <w:sz w:val="15"/>
                <w:szCs w:val="15"/>
                <w:color w:val="auto"/>
              </w:rPr>
            </w:pPr>
          </w:p>
        </w:tc>
      </w:tr>
      <w:tr>
        <w:trPr>
          <w:trHeight w:val="189"/>
        </w:trPr>
        <w:tc>
          <w:tcPr>
            <w:tcW w:w="9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Leasehold improvements</w:t>
            </w:r>
          </w:p>
        </w:tc>
        <w:tc>
          <w:tcPr>
            <w:tcW w:w="540" w:type="dxa"/>
            <w:vAlign w:val="bottom"/>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5</w:t>
            </w:r>
          </w:p>
        </w:tc>
        <w:tc>
          <w:tcPr>
            <w:tcW w:w="5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w:t>
            </w:r>
          </w:p>
        </w:tc>
      </w:tr>
      <w:tr>
        <w:trPr>
          <w:trHeight w:val="189"/>
        </w:trPr>
        <w:tc>
          <w:tcPr>
            <w:tcW w:w="96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Furniture and fixtures</w:t>
            </w:r>
          </w:p>
        </w:tc>
        <w:tc>
          <w:tcPr>
            <w:tcW w:w="540" w:type="dxa"/>
            <w:vAlign w:val="bottom"/>
            <w:shd w:val="clear" w:color="auto" w:fill="CCEEFF"/>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2</w:t>
            </w:r>
          </w:p>
        </w:tc>
        <w:tc>
          <w:tcPr>
            <w:tcW w:w="5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7</w:t>
            </w:r>
          </w:p>
        </w:tc>
      </w:tr>
      <w:tr>
        <w:trPr>
          <w:trHeight w:val="189"/>
        </w:trPr>
        <w:tc>
          <w:tcPr>
            <w:tcW w:w="9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Machinery and equipment</w:t>
            </w:r>
          </w:p>
        </w:tc>
        <w:tc>
          <w:tcPr>
            <w:tcW w:w="540" w:type="dxa"/>
            <w:vAlign w:val="bottom"/>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5</w:t>
            </w:r>
          </w:p>
        </w:tc>
        <w:tc>
          <w:tcPr>
            <w:tcW w:w="5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10</w:t>
            </w:r>
          </w:p>
        </w:tc>
      </w:tr>
      <w:tr>
        <w:trPr>
          <w:trHeight w:val="189"/>
        </w:trPr>
        <w:tc>
          <w:tcPr>
            <w:tcW w:w="96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Computer equipment and software</w:t>
            </w:r>
          </w:p>
        </w:tc>
        <w:tc>
          <w:tcPr>
            <w:tcW w:w="540" w:type="dxa"/>
            <w:vAlign w:val="bottom"/>
            <w:shd w:val="clear" w:color="auto" w:fill="CCEEFF"/>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3</w:t>
            </w:r>
          </w:p>
        </w:tc>
        <w:tc>
          <w:tcPr>
            <w:tcW w:w="5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7</w:t>
            </w:r>
          </w:p>
        </w:tc>
      </w:tr>
      <w:tr>
        <w:trPr>
          <w:trHeight w:val="234"/>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54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540" w:type="dxa"/>
            <w:vAlign w:val="bottom"/>
          </w:tcPr>
          <w:p>
            <w:pPr>
              <w:spacing w:after="0"/>
              <w:rPr>
                <w:sz w:val="20"/>
                <w:szCs w:val="20"/>
                <w:color w:val="auto"/>
              </w:rPr>
            </w:pPr>
          </w:p>
        </w:tc>
      </w:tr>
    </w:tbl>
    <w:p>
      <w:pPr>
        <w:spacing w:after="0" w:line="112"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8"/>
          <w:szCs w:val="18"/>
          <w:color w:val="auto"/>
        </w:rPr>
        <w:t>The Company evaluates potential impairment losses on long-lived assets used in operations at the individual retail store level, which is the lowest level at which cash flows can be identified, when events and circumstances indicate that the assets may be impaired, and the undiscounted cash flows estimated to be generated by those assets are less than the carrying amounts of those assets. If impairment exists and the undiscounted cash flows estimated to be generated by those assets are less than the carrying amount of those assets, an impairment loss is recorded based on the excess of the carrying value of the asset group over its fair value. Fair value is measured using discounted cash flows or independent opinions of value, as appropriate. During the fiscal years ended December 31, 2023, 2022 and 2021, the Company recorded asset impairment charges of $1.0 million, $0.4 million and $0.7 million, respectively, which were classified in selling, general and administrative expenses.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Use Software</w:t>
      </w:r>
    </w:p>
    <w:p>
      <w:pPr>
        <w:spacing w:after="0" w:line="189"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18"/>
          <w:szCs w:val="18"/>
          <w:color w:val="auto"/>
        </w:rPr>
        <w:t>The Company capitalizes software development costs incurred during the application development stage related to new software or major enhancements to the functionality of existing software that is developed solely to meet the Company’s internal operational needs and when there are no plans to market the software externally. Costs capitalized include external direct costs of materials and services and internal compensation costs. Any costs during the preliminary project stage or related to training or maintenance are expensed as incurred. Capitalization ceases when the software project is substantially complete and ready for its intended use. The capitalization and ongoing assessment of recoverability of development costs requires judgment by management with respect to certain external factors, including, but not limited to, technological and economic feasibility, and estimated economic life. As of December 31, 2023 and 2022, $2.8 million and $3.8 million was included in computer equipment and software, respectively. The internal use software costs are amortized over estimated useful lives of three to seven years. There was $1.6 million, $2.0 million and $1.5 million of amortization expense related to capitalized software during the years ended December 31, 2023, 2022 and 2021, respectively.</w:t>
      </w:r>
    </w:p>
    <w:p>
      <w:pPr>
        <w:spacing w:after="0" w:line="159" w:lineRule="exact"/>
        <w:rPr>
          <w:sz w:val="20"/>
          <w:szCs w:val="20"/>
          <w:color w:val="auto"/>
        </w:rPr>
      </w:pPr>
    </w:p>
    <w:p>
      <w:pPr>
        <w:jc w:val="both"/>
        <w:ind w:right="120"/>
        <w:spacing w:after="0" w:line="242" w:lineRule="auto"/>
        <w:rPr>
          <w:sz w:val="20"/>
          <w:szCs w:val="20"/>
          <w:color w:val="auto"/>
        </w:rPr>
      </w:pPr>
      <w:r>
        <w:rPr>
          <w:rFonts w:ascii="Times New Roman" w:cs="Times New Roman" w:eastAsia="Times New Roman" w:hAnsi="Times New Roman"/>
          <w:sz w:val="18"/>
          <w:szCs w:val="18"/>
          <w:color w:val="auto"/>
        </w:rPr>
        <w:t>The Company licenses software for internal use from third parties. The Company accounts for costs associated with software contracts considered cloud computing arrangements as operating expenses. If a software contract gives the Company the right and it is feasible to take possession of the software, the Company recognizes an asset for the entire contractual cost and recognizes a liability for future payments under the license agreement.</w:t>
      </w:r>
    </w:p>
    <w:p>
      <w:pPr>
        <w:spacing w:after="0" w:line="157" w:lineRule="exact"/>
        <w:rPr>
          <w:sz w:val="20"/>
          <w:szCs w:val="20"/>
          <w:color w:val="auto"/>
        </w:rPr>
      </w:pPr>
    </w:p>
    <w:p>
      <w:pPr>
        <w:ind w:right="600"/>
        <w:spacing w:after="0" w:line="230" w:lineRule="auto"/>
        <w:rPr>
          <w:sz w:val="20"/>
          <w:szCs w:val="20"/>
          <w:color w:val="auto"/>
        </w:rPr>
      </w:pPr>
      <w:r>
        <w:rPr>
          <w:rFonts w:ascii="Times New Roman" w:cs="Times New Roman" w:eastAsia="Times New Roman" w:hAnsi="Times New Roman"/>
          <w:sz w:val="18"/>
          <w:szCs w:val="18"/>
          <w:color w:val="auto"/>
        </w:rPr>
        <w:t>The Company has contractual obligations related to software service arrangements with suppliers for fixed or minimum amounts. Future minimum payments at December 31, 2023 for purchase obligations were $4.7 million. Amounts due under these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65" w:lineRule="exact"/>
        <w:rPr>
          <w:sz w:val="20"/>
          <w:szCs w:val="20"/>
          <w:color w:val="auto"/>
        </w:rPr>
      </w:pPr>
    </w:p>
    <w:p>
      <w:pPr>
        <w:ind w:right="1140"/>
        <w:spacing w:after="0" w:line="453" w:lineRule="auto"/>
        <w:rPr>
          <w:sz w:val="20"/>
          <w:szCs w:val="20"/>
          <w:color w:val="auto"/>
        </w:rPr>
      </w:pPr>
      <w:r>
        <w:rPr>
          <w:rFonts w:ascii="Times New Roman" w:cs="Times New Roman" w:eastAsia="Times New Roman" w:hAnsi="Times New Roman"/>
          <w:sz w:val="18"/>
          <w:szCs w:val="18"/>
          <w:color w:val="auto"/>
        </w:rPr>
        <w:t xml:space="preserve">arrangements in 2024, 2025, 2026, 2027 and 2028 total $2.0 million, $1.2 million, $0.7 million, $0.4 million, and $0.4 million, respectively. </w:t>
      </w:r>
      <w:r>
        <w:rPr>
          <w:rFonts w:ascii="Times New Roman" w:cs="Times New Roman" w:eastAsia="Times New Roman" w:hAnsi="Times New Roman"/>
          <w:sz w:val="18"/>
          <w:szCs w:val="18"/>
          <w:b w:val="1"/>
          <w:bCs w:val="1"/>
          <w:color w:val="auto"/>
        </w:rPr>
        <w:t>Leases</w:t>
      </w:r>
    </w:p>
    <w:p>
      <w:pPr>
        <w:spacing w:after="0" w:line="2" w:lineRule="exact"/>
        <w:rPr>
          <w:sz w:val="20"/>
          <w:szCs w:val="20"/>
          <w:color w:val="auto"/>
        </w:rPr>
      </w:pPr>
    </w:p>
    <w:p>
      <w:pPr>
        <w:ind w:right="120"/>
        <w:spacing w:after="0" w:line="231"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included in right of use assets and lease liabilities on the consolidated balance sheets. The right of use assets and lease liabilities are recognized as the present value of the future minimum lease payments over the lease term at commencement date. As most of the leases do not provide an implicit rate, the Company uses its incremental borrowing rate based on the information available at commencement date in determining the present value of future payments. The right of use asset is also adjusted for any lease incentives received pursuant to the lease agreement. The Company’s lease terms may include options to extend or terminate the lease typically at its own discretion. The Company regularly evaluates the renewal options and when such options are reasonably certain of exercise, the Company includes the renewal period in its lease term. The Company does not apply the recognition requirements to short term leases.</w:t>
      </w:r>
    </w:p>
    <w:p>
      <w:pPr>
        <w:spacing w:after="0" w:line="158"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18"/>
          <w:szCs w:val="18"/>
          <w:color w:val="auto"/>
        </w:rPr>
        <w:t>Certain lease arrangements contain provisions requiring the Company to restore the leased property to its original condition at the end of the lease. The fair values of these obligations are recorded as liabilities on a discounted basis, which occurs at the time the Company enters into the lease arrangement. In the estimation of fair value, the Company uses assumptions and judgements regarding such factors as the existence of a legal obligation for an asset retirement obligation, estimated amounts and timing of settlements, discount rates and inflation rates. The costs associated with these liabilities are capitalized and depreciated over the lease term and the liabilities are accreted over the same period. Asset retirement obligations attributable to leases with a remaining lease term of 12 months or less are presented as other accrued liabilities. As of December 31, 2023 and 2022, asset retirement obligations classified as other accrued liabilities were $0.1 million and $0.2 million, respectively. Asset retirement obligations attributable to leases with a remaining lease term of 12 months or more are presented as other long-term liabilities. As of December 31, 2023 and 2022, asset retirement obligations classified as other long-term liabilities were $3.5 million and $2.7 million,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Self-Insurance</w:t>
      </w:r>
    </w:p>
    <w:p>
      <w:pPr>
        <w:spacing w:after="0" w:line="175"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The Company is self-insured for certain employee health and workers’ compensation claims. The Company estimates a liability for aggregate losses below stop-loss coverage limits based on estimates of the ultimate costs to be incurred to settle known claims and claims not reported as of the balance sheet date. The estimated liability is not discounted and is based on a number of assumptions and factors including historical trends, and economic conditions. As of both December 31, 2023 and 2022, an accrual of $1.1 million related to estimated employee health claims was included in other accrued liabilities. As of December 31, 2023 and 2022, an accrual of $1.5 million and $2.0 million related to estimated workers’ compensation claims was included in other accrued liabilities, respectively.</w:t>
      </w:r>
    </w:p>
    <w:p>
      <w:pPr>
        <w:spacing w:after="0" w:line="158" w:lineRule="exact"/>
        <w:rPr>
          <w:sz w:val="20"/>
          <w:szCs w:val="20"/>
          <w:color w:val="auto"/>
        </w:rPr>
      </w:pPr>
    </w:p>
    <w:p>
      <w:pPr>
        <w:ind w:right="380"/>
        <w:spacing w:after="0" w:line="250" w:lineRule="auto"/>
        <w:rPr>
          <w:sz w:val="20"/>
          <w:szCs w:val="20"/>
          <w:color w:val="auto"/>
        </w:rPr>
      </w:pPr>
      <w:r>
        <w:rPr>
          <w:rFonts w:ascii="Times New Roman" w:cs="Times New Roman" w:eastAsia="Times New Roman" w:hAnsi="Times New Roman"/>
          <w:sz w:val="18"/>
          <w:szCs w:val="18"/>
          <w:color w:val="auto"/>
        </w:rPr>
        <w:t>The Company has standby letters of credit outstanding related to the Company's workers’ compensation and employee health insurance policies. As of December 31, 2023 and 2022, the standby letters of credit totaled $1.4 million and $2.4 million,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Revenues</w:t>
      </w:r>
    </w:p>
    <w:p>
      <w:pPr>
        <w:spacing w:after="0" w:line="189" w:lineRule="exact"/>
        <w:rPr>
          <w:sz w:val="20"/>
          <w:szCs w:val="20"/>
          <w:color w:val="auto"/>
        </w:rPr>
      </w:pPr>
    </w:p>
    <w:p>
      <w:pPr>
        <w:ind w:right="720"/>
        <w:spacing w:after="0" w:line="250" w:lineRule="auto"/>
        <w:rPr>
          <w:sz w:val="20"/>
          <w:szCs w:val="20"/>
          <w:color w:val="auto"/>
        </w:rPr>
      </w:pPr>
      <w:r>
        <w:rPr>
          <w:rFonts w:ascii="Times New Roman" w:cs="Times New Roman" w:eastAsia="Times New Roman" w:hAnsi="Times New Roman"/>
          <w:sz w:val="18"/>
          <w:szCs w:val="18"/>
          <w:color w:val="auto"/>
        </w:rPr>
        <w:t>Revenues are recognized when control of the promised goods or services is transferred to the Company’s customers, in an amount that reflects the consideration received in exchange for those goods or services. Sales taxes are excluded from revenue.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revenues disaggregated by product category:</w:t>
            </w:r>
          </w:p>
        </w:tc>
        <w:tc>
          <w:tcPr>
            <w:tcW w:w="2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54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68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color w:val="auto"/>
              </w:rPr>
              <w:t>Years Ended December 31,</w:t>
            </w:r>
          </w:p>
        </w:tc>
        <w:tc>
          <w:tcPr>
            <w:tcW w:w="0" w:type="dxa"/>
            <w:vAlign w:val="bottom"/>
          </w:tcPr>
          <w:p>
            <w:pPr>
              <w:spacing w:after="0"/>
              <w:rPr>
                <w:sz w:val="1"/>
                <w:szCs w:val="1"/>
                <w:color w:val="auto"/>
              </w:rPr>
            </w:pPr>
          </w:p>
        </w:tc>
      </w:tr>
      <w:tr>
        <w:trPr>
          <w:trHeight w:val="221"/>
        </w:trPr>
        <w:tc>
          <w:tcPr>
            <w:tcW w:w="5420" w:type="dxa"/>
            <w:vAlign w:val="bottom"/>
          </w:tcPr>
          <w:p>
            <w:pPr>
              <w:spacing w:after="0"/>
              <w:rPr>
                <w:sz w:val="19"/>
                <w:szCs w:val="19"/>
                <w:color w:val="auto"/>
              </w:rPr>
            </w:pPr>
          </w:p>
        </w:tc>
        <w:tc>
          <w:tcPr>
            <w:tcW w:w="390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19"/>
                <w:szCs w:val="19"/>
                <w:color w:val="auto"/>
              </w:rPr>
            </w:pPr>
          </w:p>
        </w:tc>
        <w:tc>
          <w:tcPr>
            <w:tcW w:w="17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183"/>
        </w:trPr>
        <w:tc>
          <w:tcPr>
            <w:tcW w:w="54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Man-made tiles</w:t>
            </w:r>
          </w:p>
        </w:tc>
        <w:tc>
          <w:tcPr>
            <w:tcW w:w="214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jc w:val="right"/>
              <w:ind w:right="230"/>
              <w:spacing w:after="0" w:line="182" w:lineRule="exact"/>
              <w:rPr>
                <w:sz w:val="20"/>
                <w:szCs w:val="20"/>
                <w:color w:val="auto"/>
              </w:rPr>
            </w:pPr>
            <w:r>
              <w:rPr>
                <w:rFonts w:ascii="Times New Roman" w:cs="Times New Roman" w:eastAsia="Times New Roman" w:hAnsi="Times New Roman"/>
                <w:sz w:val="18"/>
                <w:szCs w:val="18"/>
                <w:color w:val="auto"/>
              </w:rPr>
              <w:t>54 %</w:t>
            </w:r>
          </w:p>
        </w:tc>
        <w:tc>
          <w:tcPr>
            <w:tcW w:w="16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jc w:val="right"/>
              <w:ind w:right="310"/>
              <w:spacing w:after="0" w:line="182" w:lineRule="exact"/>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189"/>
        </w:trPr>
        <w:tc>
          <w:tcPr>
            <w:tcW w:w="54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Natural stone tiles</w:t>
            </w:r>
          </w:p>
        </w:tc>
        <w:tc>
          <w:tcPr>
            <w:tcW w:w="3900" w:type="dxa"/>
            <w:vAlign w:val="bottom"/>
            <w:gridSpan w:val="2"/>
          </w:tcPr>
          <w:p>
            <w:pPr>
              <w:jc w:val="right"/>
              <w:ind w:right="450"/>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6"/>
                <w:szCs w:val="16"/>
                <w:color w:val="auto"/>
              </w:rPr>
            </w:pPr>
          </w:p>
        </w:tc>
        <w:tc>
          <w:tcPr>
            <w:tcW w:w="1760" w:type="dxa"/>
            <w:vAlign w:val="bottom"/>
          </w:tcPr>
          <w:p>
            <w:pPr>
              <w:jc w:val="right"/>
              <w:ind w:right="530"/>
              <w:spacing w:after="0" w:line="189"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89"/>
        </w:trPr>
        <w:tc>
          <w:tcPr>
            <w:tcW w:w="54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Setting and maintenance materials</w:t>
            </w:r>
          </w:p>
        </w:tc>
        <w:tc>
          <w:tcPr>
            <w:tcW w:w="3900" w:type="dxa"/>
            <w:vAlign w:val="bottom"/>
            <w:gridSpan w:val="2"/>
            <w:shd w:val="clear" w:color="auto" w:fill="CCEEFF"/>
          </w:tcPr>
          <w:p>
            <w:pPr>
              <w:jc w:val="right"/>
              <w:ind w:right="450"/>
              <w:spacing w:after="0" w:line="189" w:lineRule="exact"/>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530"/>
              <w:spacing w:after="0" w:line="189"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89"/>
        </w:trPr>
        <w:tc>
          <w:tcPr>
            <w:tcW w:w="54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Accessories</w:t>
            </w:r>
          </w:p>
        </w:tc>
        <w:tc>
          <w:tcPr>
            <w:tcW w:w="3900" w:type="dxa"/>
            <w:vAlign w:val="bottom"/>
            <w:gridSpan w:val="2"/>
          </w:tcPr>
          <w:p>
            <w:pPr>
              <w:jc w:val="right"/>
              <w:ind w:right="450"/>
              <w:spacing w:after="0" w:line="189" w:lineRule="exact"/>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6"/>
                <w:szCs w:val="16"/>
                <w:color w:val="auto"/>
              </w:rPr>
            </w:pPr>
          </w:p>
        </w:tc>
        <w:tc>
          <w:tcPr>
            <w:tcW w:w="1760" w:type="dxa"/>
            <w:vAlign w:val="bottom"/>
          </w:tcPr>
          <w:p>
            <w:pPr>
              <w:jc w:val="right"/>
              <w:ind w:right="53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89"/>
        </w:trPr>
        <w:tc>
          <w:tcPr>
            <w:tcW w:w="54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Delivery service</w:t>
            </w:r>
          </w:p>
        </w:tc>
        <w:tc>
          <w:tcPr>
            <w:tcW w:w="3900" w:type="dxa"/>
            <w:vAlign w:val="bottom"/>
            <w:gridSpan w:val="2"/>
            <w:shd w:val="clear" w:color="auto" w:fill="CCEEFF"/>
          </w:tcPr>
          <w:p>
            <w:pPr>
              <w:jc w:val="right"/>
              <w:ind w:right="450"/>
              <w:spacing w:after="0" w:line="189" w:lineRule="exact"/>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530"/>
              <w:spacing w:after="0" w:line="189"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83"/>
        </w:trPr>
        <w:tc>
          <w:tcPr>
            <w:tcW w:w="54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760" w:type="dxa"/>
            <w:vAlign w:val="bottom"/>
            <w:tcBorders>
              <w:top w:val="single" w:sz="8" w:color="auto"/>
              <w:bottom w:val="single" w:sz="8" w:color="auto"/>
            </w:tcBorders>
          </w:tcPr>
          <w:p>
            <w:pPr>
              <w:jc w:val="right"/>
              <w:ind w:right="230"/>
              <w:spacing w:after="0" w:line="182" w:lineRule="exact"/>
              <w:rPr>
                <w:sz w:val="20"/>
                <w:szCs w:val="20"/>
                <w:color w:val="auto"/>
              </w:rPr>
            </w:pPr>
            <w:r>
              <w:rPr>
                <w:rFonts w:ascii="Times New Roman" w:cs="Times New Roman" w:eastAsia="Times New Roman" w:hAnsi="Times New Roman"/>
                <w:sz w:val="18"/>
                <w:szCs w:val="18"/>
                <w:color w:val="auto"/>
              </w:rPr>
              <w:t>100 %</w:t>
            </w:r>
          </w:p>
        </w:tc>
        <w:tc>
          <w:tcPr>
            <w:tcW w:w="160" w:type="dxa"/>
            <w:vAlign w:val="bottom"/>
          </w:tcPr>
          <w:p>
            <w:pPr>
              <w:spacing w:after="0"/>
              <w:rPr>
                <w:sz w:val="15"/>
                <w:szCs w:val="15"/>
                <w:color w:val="auto"/>
              </w:rPr>
            </w:pPr>
          </w:p>
        </w:tc>
        <w:tc>
          <w:tcPr>
            <w:tcW w:w="1760" w:type="dxa"/>
            <w:vAlign w:val="bottom"/>
            <w:tcBorders>
              <w:top w:val="single" w:sz="8" w:color="auto"/>
              <w:bottom w:val="single" w:sz="8" w:color="auto"/>
            </w:tcBorders>
          </w:tcPr>
          <w:p>
            <w:pPr>
              <w:jc w:val="right"/>
              <w:ind w:right="310"/>
              <w:spacing w:after="0" w:line="182" w:lineRule="exact"/>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140" w:type="dxa"/>
            <w:vAlign w:val="bottom"/>
            <w:vMerge w:val="restart"/>
          </w:tcPr>
          <w:p>
            <w:pPr>
              <w:jc w:val="right"/>
              <w:ind w:right="1750"/>
              <w:spacing w:after="0"/>
              <w:rPr>
                <w:sz w:val="20"/>
                <w:szCs w:val="20"/>
                <w:color w:val="auto"/>
              </w:rPr>
            </w:pPr>
            <w:r>
              <w:rPr>
                <w:rFonts w:ascii="Times New Roman" w:cs="Times New Roman" w:eastAsia="Times New Roman" w:hAnsi="Times New Roman"/>
                <w:sz w:val="18"/>
                <w:szCs w:val="18"/>
                <w:color w:val="auto"/>
              </w:rPr>
              <w:t>52</w:t>
            </w: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42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4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54" w:lineRule="exact"/>
        <w:rPr>
          <w:sz w:val="20"/>
          <w:szCs w:val="20"/>
          <w:color w:val="auto"/>
        </w:rPr>
      </w:pPr>
    </w:p>
    <w:p>
      <w:pPr>
        <w:jc w:val="both"/>
        <w:ind w:right="40"/>
        <w:spacing w:after="0" w:line="242" w:lineRule="auto"/>
        <w:rPr>
          <w:sz w:val="20"/>
          <w:szCs w:val="20"/>
          <w:color w:val="auto"/>
        </w:rPr>
      </w:pPr>
      <w:r>
        <w:rPr>
          <w:rFonts w:ascii="Times New Roman" w:cs="Times New Roman" w:eastAsia="Times New Roman" w:hAnsi="Times New Roman"/>
          <w:sz w:val="18"/>
          <w:szCs w:val="18"/>
          <w:color w:val="auto"/>
        </w:rPr>
        <w:t>The Company generates revenues by selling tile products, setting and maintenance materials, accessories, and delivery services to its customers through its store locations. The timing of revenue recognition coincides with the transfer of control of goods and services ordered by the customer, which falls into one of three categories described below:</w:t>
      </w:r>
    </w:p>
    <w:p>
      <w:pPr>
        <w:spacing w:after="0" w:line="157" w:lineRule="exact"/>
        <w:rPr>
          <w:sz w:val="20"/>
          <w:szCs w:val="20"/>
          <w:color w:val="auto"/>
        </w:rPr>
      </w:pPr>
    </w:p>
    <w:p>
      <w:pPr>
        <w:ind w:left="660" w:right="180"/>
        <w:spacing w:after="0" w:line="230" w:lineRule="auto"/>
        <w:rPr>
          <w:sz w:val="20"/>
          <w:szCs w:val="20"/>
          <w:color w:val="auto"/>
        </w:rPr>
      </w:pPr>
      <w:r>
        <w:rPr>
          <w:rFonts w:ascii="Times New Roman" w:cs="Times New Roman" w:eastAsia="Times New Roman" w:hAnsi="Times New Roman"/>
          <w:sz w:val="18"/>
          <w:szCs w:val="18"/>
          <w:color w:val="auto"/>
        </w:rPr>
        <w:t>Revenue recognized when an order is placed – If a customer places an order in a store and the contents of their order are available, the Company recognizes revenue concurrent with the exchange of goods for consideration from the customer.</w:t>
      </w:r>
    </w:p>
    <w:p>
      <w:pPr>
        <w:spacing w:after="0" w:line="1" w:lineRule="exact"/>
        <w:rPr>
          <w:sz w:val="20"/>
          <w:szCs w:val="20"/>
          <w:color w:val="auto"/>
        </w:rPr>
      </w:pPr>
    </w:p>
    <w:p>
      <w:pPr>
        <w:ind w:left="660" w:right="120"/>
        <w:spacing w:after="0" w:line="226" w:lineRule="auto"/>
        <w:rPr>
          <w:sz w:val="20"/>
          <w:szCs w:val="20"/>
          <w:color w:val="auto"/>
        </w:rPr>
      </w:pPr>
      <w:r>
        <w:rPr>
          <w:rFonts w:ascii="Times New Roman" w:cs="Times New Roman" w:eastAsia="Times New Roman" w:hAnsi="Times New Roman"/>
          <w:sz w:val="18"/>
          <w:szCs w:val="18"/>
          <w:color w:val="auto"/>
        </w:rPr>
        <w:t>Revenue recognized when an order is picked up – If a customer places an order for items held in a centralized distribution center, the Company requests a deposit from the customer at the time they place the order. Subsequently when the contents of the customer’s order are delivered to the store, the customer returns to the store and picks up the items that were ordered. The Company recognizes revenue on this transaction when the customer picks up their order.</w:t>
      </w:r>
    </w:p>
    <w:p>
      <w:pPr>
        <w:spacing w:after="0" w:line="3" w:lineRule="exact"/>
        <w:rPr>
          <w:sz w:val="20"/>
          <w:szCs w:val="20"/>
          <w:color w:val="auto"/>
        </w:rPr>
      </w:pPr>
    </w:p>
    <w:p>
      <w:pPr>
        <w:ind w:left="660" w:right="160"/>
        <w:spacing w:after="0" w:line="255" w:lineRule="auto"/>
        <w:rPr>
          <w:sz w:val="20"/>
          <w:szCs w:val="20"/>
          <w:color w:val="auto"/>
        </w:rPr>
      </w:pPr>
      <w:r>
        <w:rPr>
          <w:rFonts w:ascii="Times New Roman" w:cs="Times New Roman" w:eastAsia="Times New Roman" w:hAnsi="Times New Roman"/>
          <w:sz w:val="17"/>
          <w:szCs w:val="17"/>
          <w:color w:val="auto"/>
        </w:rPr>
        <w:t>Revenue recognized when an order is delivered – If a customer places an order in a store and requests delivery of their order, the Company prepares the contents of their order, initiates the delivery service, and recognizes revenue once the contents of the customer’s order are delivered.</w:t>
      </w:r>
    </w:p>
    <w:p>
      <w:pPr>
        <w:spacing w:after="0" w:line="132"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The Company determines the transaction price of its contracts based on the pricing established at the time a customer places an order. The transaction price does not include sales tax as the Company is a pass-through conduit for collecting and remitting sales tax. Any discounts applied to an order are allocated proportionately to the base price of the goods and services ordered. Deposits made by customers are recorded in other accrued liabilities. Deferred revenues associated with customer deposits are recognized at the time the Company transfers control of the items ordered or renders the delivery service. In the event an order is partially fulfilled as of the end of a reporting period, revenue will be recognized based on the transaction price allocated to the goods delivered and services rendered. The customer deposit balance was $10.7 million and $11.3 million as of December 31, 2023 and 2022, respectively. Revenues recognized during the year ended December 31, 2023 that were included in the customer deposit balance as of the beginning of the period were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 million.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extends financing to qualified professional customers who apply for credit. The accounts receivable balance was $2.9 million and</w:t>
      </w:r>
    </w:p>
    <w:p>
      <w:pPr>
        <w:spacing w:after="0" w:line="2" w:lineRule="exact"/>
        <w:rPr>
          <w:sz w:val="20"/>
          <w:szCs w:val="20"/>
          <w:color w:val="auto"/>
        </w:rPr>
      </w:pPr>
    </w:p>
    <w:p>
      <w:pPr>
        <w:jc w:val="both"/>
        <w:ind w:right="80"/>
        <w:spacing w:after="0" w:line="251" w:lineRule="auto"/>
        <w:rPr>
          <w:sz w:val="20"/>
          <w:szCs w:val="20"/>
          <w:color w:val="auto"/>
        </w:rPr>
      </w:pPr>
      <w:r>
        <w:rPr>
          <w:rFonts w:ascii="Times New Roman" w:cs="Times New Roman" w:eastAsia="Times New Roman" w:hAnsi="Times New Roman"/>
          <w:sz w:val="17"/>
          <w:szCs w:val="17"/>
          <w:color w:val="auto"/>
        </w:rPr>
        <w:t>$3.4 million as of December 31, 2023 and 2022, respectively. Customers who qualify for an account receive 30-day payment terms. The Company expects that the customer will pay for the goods and services ordered within one year from the date the order is placed. Accordingly, the Company qualifies for the practical expedient outlined in ASC 606-10-32-18 and does not adjust the promised amount of consideration for the effects of the financing component.</w:t>
      </w:r>
    </w:p>
    <w:p>
      <w:pPr>
        <w:spacing w:after="0" w:line="150" w:lineRule="exact"/>
        <w:rPr>
          <w:sz w:val="20"/>
          <w:szCs w:val="20"/>
          <w:color w:val="auto"/>
        </w:rPr>
      </w:pPr>
    </w:p>
    <w:p>
      <w:pPr>
        <w:ind w:right="360"/>
        <w:spacing w:after="0" w:line="236" w:lineRule="auto"/>
        <w:rPr>
          <w:sz w:val="20"/>
          <w:szCs w:val="20"/>
          <w:color w:val="auto"/>
        </w:rPr>
      </w:pPr>
      <w:r>
        <w:rPr>
          <w:rFonts w:ascii="Times New Roman" w:cs="Times New Roman" w:eastAsia="Times New Roman" w:hAnsi="Times New Roman"/>
          <w:sz w:val="18"/>
          <w:szCs w:val="18"/>
          <w:color w:val="auto"/>
        </w:rPr>
        <w:t>Customers may return purchased items for an exchange or refund. The Company records a reserve for estimated product returns based on the historical returns trends and the current product sales performance. The Company presents the sales returns reserve as an other current accrued liability and the estimated value of the inventory that will be returned as an other current asset in the Consolidated Balance Sheet. The components of the sales returns reserve reflected in the Consolidated Balance Sheet as of December 31, 2023 and 2022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December 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21"/>
        </w:trPr>
        <w:tc>
          <w:tcPr>
            <w:tcW w:w="39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183"/>
        </w:trPr>
        <w:tc>
          <w:tcPr>
            <w:tcW w:w="39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60" w:type="dxa"/>
            <w:vAlign w:val="bottom"/>
            <w:gridSpan w:val="4"/>
          </w:tcPr>
          <w:p>
            <w:pPr>
              <w:jc w:val="right"/>
              <w:ind w:right="850"/>
              <w:spacing w:after="0" w:line="182" w:lineRule="exact"/>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189"/>
        </w:trPr>
        <w:tc>
          <w:tcPr>
            <w:tcW w:w="3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Other current accrued liabilities</w:t>
            </w:r>
          </w:p>
        </w:tc>
        <w:tc>
          <w:tcPr>
            <w:tcW w:w="456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3,640</w:t>
            </w:r>
          </w:p>
        </w:tc>
        <w:tc>
          <w:tcPr>
            <w:tcW w:w="3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4,993</w:t>
            </w:r>
          </w:p>
        </w:tc>
        <w:tc>
          <w:tcPr>
            <w:tcW w:w="0" w:type="dxa"/>
            <w:vAlign w:val="bottom"/>
          </w:tcPr>
          <w:p>
            <w:pPr>
              <w:spacing w:after="0"/>
              <w:rPr>
                <w:sz w:val="1"/>
                <w:szCs w:val="1"/>
                <w:color w:val="auto"/>
              </w:rPr>
            </w:pPr>
          </w:p>
        </w:tc>
      </w:tr>
      <w:tr>
        <w:trPr>
          <w:trHeight w:val="189"/>
        </w:trPr>
        <w:tc>
          <w:tcPr>
            <w:tcW w:w="392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Other current assets</w:t>
            </w:r>
          </w:p>
        </w:tc>
        <w:tc>
          <w:tcPr>
            <w:tcW w:w="44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1,220</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1,687</w:t>
            </w:r>
          </w:p>
        </w:tc>
        <w:tc>
          <w:tcPr>
            <w:tcW w:w="0" w:type="dxa"/>
            <w:vAlign w:val="bottom"/>
          </w:tcPr>
          <w:p>
            <w:pPr>
              <w:spacing w:after="0"/>
              <w:rPr>
                <w:sz w:val="1"/>
                <w:szCs w:val="1"/>
                <w:color w:val="auto"/>
              </w:rPr>
            </w:pPr>
          </w:p>
        </w:tc>
      </w:tr>
      <w:tr>
        <w:trPr>
          <w:trHeight w:val="183"/>
        </w:trPr>
        <w:tc>
          <w:tcPr>
            <w:tcW w:w="392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Sales returns reserve, net</w:t>
            </w:r>
          </w:p>
        </w:tc>
        <w:tc>
          <w:tcPr>
            <w:tcW w:w="44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2,420</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3,306</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440" w:type="dxa"/>
            <w:vAlign w:val="bottom"/>
            <w:vMerge w:val="restart"/>
          </w:tcPr>
          <w:p>
            <w:pPr>
              <w:jc w:val="right"/>
              <w:ind w:right="255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2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392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Property, Plant and Equipment</w:t>
            </w: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92"/>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at December 31:</w:t>
            </w: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8"/>
        </w:trPr>
        <w:tc>
          <w:tcPr>
            <w:tcW w:w="6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r>
      <w:tr>
        <w:trPr>
          <w:trHeight w:val="183"/>
        </w:trPr>
        <w:tc>
          <w:tcPr>
            <w:tcW w:w="6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gridSpan w:val="3"/>
          </w:tcPr>
          <w:p>
            <w:pPr>
              <w:jc w:val="right"/>
              <w:spacing w:after="0" w:line="182" w:lineRule="exact"/>
              <w:rPr>
                <w:sz w:val="20"/>
                <w:szCs w:val="20"/>
                <w:color w:val="auto"/>
              </w:rPr>
            </w:pPr>
            <w:r>
              <w:rPr>
                <w:rFonts w:ascii="Times New Roman" w:cs="Times New Roman" w:eastAsia="Times New Roman" w:hAnsi="Times New Roman"/>
                <w:sz w:val="18"/>
                <w:szCs w:val="18"/>
                <w:color w:val="auto"/>
              </w:rPr>
              <w:t>(in thousands)</w:t>
            </w:r>
          </w:p>
        </w:tc>
        <w:tc>
          <w:tcPr>
            <w:tcW w:w="900" w:type="dxa"/>
            <w:vAlign w:val="bottom"/>
          </w:tcPr>
          <w:p>
            <w:pPr>
              <w:spacing w:after="0"/>
              <w:rPr>
                <w:sz w:val="15"/>
                <w:szCs w:val="15"/>
                <w:color w:val="auto"/>
              </w:rPr>
            </w:pPr>
          </w:p>
        </w:tc>
      </w:tr>
      <w:tr>
        <w:trPr>
          <w:trHeight w:val="189"/>
        </w:trPr>
        <w:tc>
          <w:tcPr>
            <w:tcW w:w="6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Land</w:t>
            </w:r>
          </w:p>
        </w:tc>
        <w:tc>
          <w:tcPr>
            <w:tcW w:w="1800" w:type="dxa"/>
            <w:vAlign w:val="bottom"/>
            <w:gridSpan w:val="2"/>
            <w:shd w:val="clear" w:color="auto" w:fill="CCEEFF"/>
          </w:tcPr>
          <w:p>
            <w:pPr>
              <w:jc w:val="right"/>
              <w:ind w:right="13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904</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29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904</w:t>
            </w:r>
          </w:p>
        </w:tc>
      </w:tr>
      <w:tr>
        <w:trPr>
          <w:trHeight w:val="189"/>
        </w:trPr>
        <w:tc>
          <w:tcPr>
            <w:tcW w:w="68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Building and building improvements</w:t>
            </w: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25,979</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25,835</w:t>
            </w:r>
          </w:p>
        </w:tc>
      </w:tr>
      <w:tr>
        <w:trPr>
          <w:trHeight w:val="189"/>
        </w:trPr>
        <w:tc>
          <w:tcPr>
            <w:tcW w:w="6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Leasehold improvements</w:t>
            </w:r>
          </w:p>
        </w:tc>
        <w:tc>
          <w:tcPr>
            <w:tcW w:w="1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102,244</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99,949</w:t>
            </w:r>
          </w:p>
        </w:tc>
      </w:tr>
      <w:tr>
        <w:trPr>
          <w:trHeight w:val="189"/>
        </w:trPr>
        <w:tc>
          <w:tcPr>
            <w:tcW w:w="68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Furniture and fixtures</w:t>
            </w: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146,033</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148,298</w:t>
            </w:r>
          </w:p>
        </w:tc>
      </w:tr>
      <w:tr>
        <w:trPr>
          <w:trHeight w:val="189"/>
        </w:trPr>
        <w:tc>
          <w:tcPr>
            <w:tcW w:w="6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Machinery and equipment</w:t>
            </w:r>
          </w:p>
        </w:tc>
        <w:tc>
          <w:tcPr>
            <w:tcW w:w="1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32,263</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31,261</w:t>
            </w:r>
          </w:p>
        </w:tc>
      </w:tr>
      <w:tr>
        <w:trPr>
          <w:trHeight w:val="189"/>
        </w:trPr>
        <w:tc>
          <w:tcPr>
            <w:tcW w:w="68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Computer equipment and software</w:t>
            </w: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50,878</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49,313</w:t>
            </w:r>
          </w:p>
        </w:tc>
      </w:tr>
      <w:tr>
        <w:trPr>
          <w:trHeight w:val="189"/>
        </w:trPr>
        <w:tc>
          <w:tcPr>
            <w:tcW w:w="6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Vehicles</w:t>
            </w:r>
          </w:p>
        </w:tc>
        <w:tc>
          <w:tcPr>
            <w:tcW w:w="1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8,428</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8,064</w:t>
            </w:r>
          </w:p>
        </w:tc>
      </w:tr>
      <w:tr>
        <w:trPr>
          <w:trHeight w:val="189"/>
        </w:trPr>
        <w:tc>
          <w:tcPr>
            <w:tcW w:w="684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Construction in progress</w:t>
            </w:r>
          </w:p>
        </w:tc>
        <w:tc>
          <w:tcPr>
            <w:tcW w:w="15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2,873</w:t>
            </w:r>
          </w:p>
        </w:tc>
        <w:tc>
          <w:tcPr>
            <w:tcW w:w="16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1,648</w:t>
            </w:r>
          </w:p>
        </w:tc>
      </w:tr>
      <w:tr>
        <w:trPr>
          <w:trHeight w:val="183"/>
        </w:trPr>
        <w:tc>
          <w:tcPr>
            <w:tcW w:w="6840" w:type="dxa"/>
            <w:vAlign w:val="bottom"/>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property, plant and equipment</w:t>
            </w:r>
          </w:p>
        </w:tc>
        <w:tc>
          <w:tcPr>
            <w:tcW w:w="1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369,602</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365,272</w:t>
            </w:r>
          </w:p>
        </w:tc>
      </w:tr>
      <w:tr>
        <w:trPr>
          <w:trHeight w:val="189"/>
        </w:trPr>
        <w:tc>
          <w:tcPr>
            <w:tcW w:w="68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Less accumulated depreciation</w:t>
            </w: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(305,285)</w:t>
            </w:r>
          </w:p>
        </w:tc>
        <w:tc>
          <w:tcPr>
            <w:tcW w:w="4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(294,177)</w:t>
            </w:r>
          </w:p>
        </w:tc>
      </w:tr>
      <w:tr>
        <w:trPr>
          <w:trHeight w:val="183"/>
        </w:trPr>
        <w:tc>
          <w:tcPr>
            <w:tcW w:w="684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property, plant and equipment, net</w:t>
            </w:r>
          </w:p>
        </w:tc>
        <w:tc>
          <w:tcPr>
            <w:tcW w:w="15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64,317</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ind w:right="2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71,095</w:t>
            </w:r>
          </w:p>
        </w:tc>
      </w:tr>
      <w:tr>
        <w:trPr>
          <w:trHeight w:val="20"/>
        </w:trPr>
        <w:tc>
          <w:tcPr>
            <w:tcW w:w="6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Depreciation expense on property and equipment, including financing leases, was $21.2 million, $25.1 million and $27.4 million for the years ended December 31, 2023, 2022 and 2021, respectively. Property, plant and equipment is measured at fair value when an impairment is recognized and the related assets are written down to fair value. During the years ended December 31, 2023, 2022 and 2021, the Company recorded asset impairment charges of $1.0 million, $0.4 million and $0.7 million, respectively.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Other Accrued Liabilities</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 consisted of the following at December 31:</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183"/>
        </w:trPr>
        <w:tc>
          <w:tcPr>
            <w:tcW w:w="7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8"/>
                <w:szCs w:val="18"/>
                <w:color w:val="auto"/>
              </w:rPr>
              <w:t>(in thousands)</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2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Customer deposits</w:t>
            </w:r>
          </w:p>
        </w:tc>
        <w:tc>
          <w:tcPr>
            <w:tcW w:w="1340" w:type="dxa"/>
            <w:vAlign w:val="bottom"/>
            <w:gridSpan w:val="3"/>
            <w:shd w:val="clear" w:color="auto" w:fill="CCEEFF"/>
          </w:tcPr>
          <w:p>
            <w:pPr>
              <w:jc w:val="right"/>
              <w:ind w:right="11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10,719</w:t>
            </w:r>
          </w:p>
        </w:tc>
        <w:tc>
          <w:tcPr>
            <w:tcW w:w="1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96"/>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11,315</w:t>
            </w:r>
          </w:p>
        </w:tc>
        <w:tc>
          <w:tcPr>
            <w:tcW w:w="0" w:type="dxa"/>
            <w:vAlign w:val="bottom"/>
          </w:tcPr>
          <w:p>
            <w:pPr>
              <w:spacing w:after="0"/>
              <w:rPr>
                <w:sz w:val="1"/>
                <w:szCs w:val="1"/>
                <w:color w:val="auto"/>
              </w:rPr>
            </w:pPr>
          </w:p>
        </w:tc>
      </w:tr>
      <w:tr>
        <w:trPr>
          <w:trHeight w:val="189"/>
        </w:trPr>
        <w:tc>
          <w:tcPr>
            <w:tcW w:w="7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Sales returns reserve</w:t>
            </w: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3,640</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4,993</w:t>
            </w:r>
          </w:p>
        </w:tc>
        <w:tc>
          <w:tcPr>
            <w:tcW w:w="0" w:type="dxa"/>
            <w:vAlign w:val="bottom"/>
          </w:tcPr>
          <w:p>
            <w:pPr>
              <w:spacing w:after="0"/>
              <w:rPr>
                <w:sz w:val="1"/>
                <w:szCs w:val="1"/>
                <w:color w:val="auto"/>
              </w:rPr>
            </w:pPr>
          </w:p>
        </w:tc>
      </w:tr>
      <w:tr>
        <w:trPr>
          <w:trHeight w:val="189"/>
        </w:trPr>
        <w:tc>
          <w:tcPr>
            <w:tcW w:w="72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Accrued wages and salaries</w:t>
            </w: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5,523</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6,040</w:t>
            </w:r>
          </w:p>
        </w:tc>
        <w:tc>
          <w:tcPr>
            <w:tcW w:w="0" w:type="dxa"/>
            <w:vAlign w:val="bottom"/>
          </w:tcPr>
          <w:p>
            <w:pPr>
              <w:spacing w:after="0"/>
              <w:rPr>
                <w:sz w:val="1"/>
                <w:szCs w:val="1"/>
                <w:color w:val="auto"/>
              </w:rPr>
            </w:pPr>
          </w:p>
        </w:tc>
      </w:tr>
      <w:tr>
        <w:trPr>
          <w:trHeight w:val="189"/>
        </w:trPr>
        <w:tc>
          <w:tcPr>
            <w:tcW w:w="7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Payroll and sales taxes</w:t>
            </w: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2,129</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2,286</w:t>
            </w:r>
          </w:p>
        </w:tc>
        <w:tc>
          <w:tcPr>
            <w:tcW w:w="0" w:type="dxa"/>
            <w:vAlign w:val="bottom"/>
          </w:tcPr>
          <w:p>
            <w:pPr>
              <w:spacing w:after="0"/>
              <w:rPr>
                <w:sz w:val="1"/>
                <w:szCs w:val="1"/>
                <w:color w:val="auto"/>
              </w:rPr>
            </w:pPr>
          </w:p>
        </w:tc>
      </w:tr>
      <w:tr>
        <w:trPr>
          <w:trHeight w:val="189"/>
        </w:trPr>
        <w:tc>
          <w:tcPr>
            <w:tcW w:w="72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Other current liabilities</w:t>
            </w: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4,989</w:t>
            </w:r>
          </w:p>
        </w:tc>
        <w:tc>
          <w:tcPr>
            <w:tcW w:w="16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7,282</w:t>
            </w:r>
          </w:p>
        </w:tc>
        <w:tc>
          <w:tcPr>
            <w:tcW w:w="0" w:type="dxa"/>
            <w:vAlign w:val="bottom"/>
          </w:tcPr>
          <w:p>
            <w:pPr>
              <w:spacing w:after="0"/>
              <w:rPr>
                <w:sz w:val="1"/>
                <w:szCs w:val="1"/>
                <w:color w:val="auto"/>
              </w:rPr>
            </w:pPr>
          </w:p>
        </w:tc>
      </w:tr>
      <w:tr>
        <w:trPr>
          <w:trHeight w:val="183"/>
        </w:trPr>
        <w:tc>
          <w:tcPr>
            <w:tcW w:w="728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other accrued liabilities</w:t>
            </w: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bottom w:val="single" w:sz="8" w:color="auto"/>
            </w:tcBorders>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27,000</w:t>
            </w:r>
          </w:p>
        </w:tc>
        <w:tc>
          <w:tcPr>
            <w:tcW w:w="160" w:type="dxa"/>
            <w:vAlign w:val="bottom"/>
          </w:tcPr>
          <w:p>
            <w:pPr>
              <w:spacing w:after="0"/>
              <w:rPr>
                <w:sz w:val="15"/>
                <w:szCs w:val="15"/>
                <w:color w:val="auto"/>
              </w:rPr>
            </w:pPr>
          </w:p>
        </w:tc>
        <w:tc>
          <w:tcPr>
            <w:tcW w:w="480" w:type="dxa"/>
            <w:vAlign w:val="bottom"/>
            <w:tcBorders>
              <w:bottom w:val="single" w:sz="8" w:color="auto"/>
            </w:tcBorders>
            <w:gridSpan w:val="2"/>
          </w:tcPr>
          <w:p>
            <w:pPr>
              <w:jc w:val="right"/>
              <w:ind w:right="296"/>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31,916</w:t>
            </w: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Long-term Debt</w:t>
            </w: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2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debt issuance costs, consisted of the following at December 31:</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183"/>
        </w:trPr>
        <w:tc>
          <w:tcPr>
            <w:tcW w:w="7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8"/>
                <w:szCs w:val="18"/>
                <w:color w:val="auto"/>
              </w:rPr>
              <w:t>(in thousands)</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2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Total debt obligations</w:t>
            </w:r>
          </w:p>
        </w:tc>
        <w:tc>
          <w:tcPr>
            <w:tcW w:w="1340" w:type="dxa"/>
            <w:vAlign w:val="bottom"/>
            <w:gridSpan w:val="3"/>
            <w:shd w:val="clear" w:color="auto" w:fill="CCEEFF"/>
          </w:tcPr>
          <w:p>
            <w:pPr>
              <w:jc w:val="right"/>
              <w:ind w:right="13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96"/>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45,400</w:t>
            </w:r>
          </w:p>
        </w:tc>
        <w:tc>
          <w:tcPr>
            <w:tcW w:w="0" w:type="dxa"/>
            <w:vAlign w:val="bottom"/>
          </w:tcPr>
          <w:p>
            <w:pPr>
              <w:spacing w:after="0"/>
              <w:rPr>
                <w:sz w:val="1"/>
                <w:szCs w:val="1"/>
                <w:color w:val="auto"/>
              </w:rPr>
            </w:pPr>
          </w:p>
        </w:tc>
      </w:tr>
      <w:tr>
        <w:trPr>
          <w:trHeight w:val="189"/>
        </w:trPr>
        <w:tc>
          <w:tcPr>
            <w:tcW w:w="728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Less: current portion</w:t>
            </w:r>
          </w:p>
        </w:tc>
        <w:tc>
          <w:tcPr>
            <w:tcW w:w="10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728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Debt obligations, net of current portion</w:t>
            </w:r>
          </w:p>
        </w:tc>
        <w:tc>
          <w:tcPr>
            <w:tcW w:w="10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gridSpan w:val="2"/>
            <w:shd w:val="clear" w:color="auto" w:fill="CCEEFF"/>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2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45,400</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18"/>
          <w:szCs w:val="18"/>
          <w:color w:val="auto"/>
        </w:rPr>
        <w:t>On September 30, 2022, Holdings and its operating subsidiary, The Tile Shop, and certain subsidiaries of each entered into a Credit Agreement with JPMorgan Chase Bank, N.A. and the lenders party thereto, including Fifth Third Bank (the “Credit Agreement”). The Credit Agreement provides the Company with a senior credit facility consisting of a $75.0 million revolving line of credit through September 30, 2027. Borrowings pursuant to the Credit Agreement initially bear interest at a rate per annum equal to: (i) Adjusted Term SOFR Rate (as defined in the Credit Agreement), plus a margin ranging from 1.25% to 1.75%; (ii) Adjusted Daily Simple SOFR (as defined in the Credit Agreement), plus a margin ranging from 1.25% to 1.75%; or (iii) the Alternate Base Rate (as defined in the Credit Agreement), plus a margin ranging from 0.25% to 0.75%. The margin is determined based on The Tile Shop’s Rent Adjusted Leverage Ratio (as defined in the Credit Agreement).</w:t>
      </w:r>
    </w:p>
    <w:p>
      <w:pPr>
        <w:spacing w:after="0" w:line="158" w:lineRule="exact"/>
        <w:rPr>
          <w:sz w:val="20"/>
          <w:szCs w:val="20"/>
          <w:color w:val="auto"/>
        </w:rPr>
      </w:pPr>
    </w:p>
    <w:p>
      <w:pPr>
        <w:jc w:val="both"/>
        <w:ind w:right="100"/>
        <w:spacing w:after="0" w:line="232" w:lineRule="auto"/>
        <w:rPr>
          <w:sz w:val="20"/>
          <w:szCs w:val="20"/>
          <w:color w:val="auto"/>
        </w:rPr>
      </w:pPr>
      <w:r>
        <w:rPr>
          <w:rFonts w:ascii="Times New Roman" w:cs="Times New Roman" w:eastAsia="Times New Roman" w:hAnsi="Times New Roman"/>
          <w:sz w:val="18"/>
          <w:szCs w:val="18"/>
          <w:color w:val="auto"/>
        </w:rPr>
        <w:t>The Credit Agreement is secured by virtually all of the assets of the Company, including, but not limited to, inventory, accounts receivable, equipment and general intangibles. The Credit Agreement contains customary events of default, conditions to borrowing and restrictive covenants, including restrictions on the Company’s ability to dispose of assets, engage in acquisitions or mergers, make</w:t>
      </w: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6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distributions on or repurchases of capital stock, incur additional debt, incur liens or make investments. The Credit Agreement also includes financial and other covenants, including covenants to maintain a Fixed Charge Coverage Ratio (as defined in the Credit Agreement) of no less than 1.20 to 1.00 and a Rent Adjusted Leverage Ratio (as defined in the Credit Agreement) of no greater than 3.50 to 1.00. The Company was in compliance with the covenants as of December 31, 2023.</w:t>
      </w:r>
    </w:p>
    <w:p>
      <w:pPr>
        <w:spacing w:after="0" w:line="158"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color w:val="auto"/>
        </w:rPr>
        <w:t>The Company had no borrowings outstanding on its line of credit as of December 31, 2023. The Company has standby letters of credit outstanding related to its workers’ compensation and medical insurance policies. As of December 31, 2023, standby letters of credit totaled $1.4 million. As of December 31, 2023, there was $73.6 million available for borrowing on the revolving line of credit, which may be used for maintaining the Company’s existing stores, purchasing additional merchandise inventory, and general corporate purposes.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Leases</w:t>
      </w:r>
    </w:p>
    <w:p>
      <w:pPr>
        <w:spacing w:after="0" w:line="189"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18"/>
          <w:szCs w:val="18"/>
          <w:color w:val="auto"/>
        </w:rPr>
        <w:t>The Company leases its retail stores, certain distribution space, and office space. Leases generally have a term of ten to fifteen years, and contain renewal options. Assets acquired under operating leases are included in the Company’s right of use assets in the accompanying consolidated balance sheet. The depreciable life of assets and leasehold improvements is limited by the expected lease term.</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December 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Leases (in thousands)</w:t>
            </w:r>
          </w:p>
        </w:tc>
        <w:tc>
          <w:tcPr>
            <w:tcW w:w="56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Classification</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r>
      <w:tr>
        <w:trPr>
          <w:trHeight w:val="183"/>
        </w:trPr>
        <w:tc>
          <w:tcPr>
            <w:tcW w:w="22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Assets</w:t>
            </w:r>
          </w:p>
        </w:tc>
        <w:tc>
          <w:tcPr>
            <w:tcW w:w="5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9"/>
        </w:trPr>
        <w:tc>
          <w:tcPr>
            <w:tcW w:w="22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Operating lease assets</w:t>
            </w:r>
          </w:p>
        </w:tc>
        <w:tc>
          <w:tcPr>
            <w:tcW w:w="5680" w:type="dxa"/>
            <w:vAlign w:val="bottom"/>
            <w:shd w:val="clear" w:color="auto" w:fill="CCEEFF"/>
          </w:tcPr>
          <w:p>
            <w:pPr>
              <w:ind w:left="440"/>
              <w:spacing w:after="0" w:line="189" w:lineRule="exact"/>
              <w:rPr>
                <w:sz w:val="20"/>
                <w:szCs w:val="20"/>
                <w:color w:val="auto"/>
              </w:rPr>
            </w:pPr>
            <w:r>
              <w:rPr>
                <w:rFonts w:ascii="Times New Roman" w:cs="Times New Roman" w:eastAsia="Times New Roman" w:hAnsi="Times New Roman"/>
                <w:sz w:val="18"/>
                <w:szCs w:val="18"/>
                <w:color w:val="auto"/>
              </w:rPr>
              <w:t>Right of use asset</w:t>
            </w:r>
          </w:p>
        </w:tc>
        <w:tc>
          <w:tcPr>
            <w:tcW w:w="360" w:type="dxa"/>
            <w:vAlign w:val="bottom"/>
            <w:gridSpan w:val="4"/>
            <w:shd w:val="clear" w:color="auto" w:fill="CCEEFF"/>
          </w:tcPr>
          <w:p>
            <w:pPr>
              <w:jc w:val="right"/>
              <w:ind w:right="5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129,092</w:t>
            </w:r>
          </w:p>
        </w:tc>
        <w:tc>
          <w:tcPr>
            <w:tcW w:w="3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118,501</w:t>
            </w:r>
          </w:p>
        </w:tc>
      </w:tr>
      <w:tr>
        <w:trPr>
          <w:trHeight w:val="223"/>
        </w:trPr>
        <w:tc>
          <w:tcPr>
            <w:tcW w:w="2260" w:type="dxa"/>
            <w:vAlign w:val="bottom"/>
            <w:tcBorders>
              <w:bottom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color w:val="auto"/>
              </w:rPr>
              <w:t>Total leased assets</w:t>
            </w:r>
          </w:p>
        </w:tc>
        <w:tc>
          <w:tcPr>
            <w:tcW w:w="56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56"/>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129,092</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118,501</w:t>
            </w:r>
          </w:p>
        </w:tc>
      </w:tr>
      <w:tr>
        <w:trPr>
          <w:trHeight w:val="169"/>
        </w:trPr>
        <w:tc>
          <w:tcPr>
            <w:tcW w:w="2260" w:type="dxa"/>
            <w:vAlign w:val="bottom"/>
            <w:shd w:val="clear" w:color="auto" w:fill="CCEEFF"/>
          </w:tcPr>
          <w:p>
            <w:pPr>
              <w:spacing w:after="0"/>
              <w:rPr>
                <w:sz w:val="14"/>
                <w:szCs w:val="14"/>
                <w:color w:val="auto"/>
              </w:rPr>
            </w:pPr>
          </w:p>
        </w:tc>
        <w:tc>
          <w:tcPr>
            <w:tcW w:w="5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89"/>
        </w:trPr>
        <w:tc>
          <w:tcPr>
            <w:tcW w:w="22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Liabilities</w:t>
            </w:r>
          </w:p>
        </w:tc>
        <w:tc>
          <w:tcPr>
            <w:tcW w:w="5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22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Current</w:t>
            </w:r>
          </w:p>
        </w:tc>
        <w:tc>
          <w:tcPr>
            <w:tcW w:w="5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89"/>
        </w:trPr>
        <w:tc>
          <w:tcPr>
            <w:tcW w:w="22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Operating</w:t>
            </w:r>
          </w:p>
        </w:tc>
        <w:tc>
          <w:tcPr>
            <w:tcW w:w="568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Current portion of lease liability</w:t>
            </w:r>
          </w:p>
        </w:tc>
        <w:tc>
          <w:tcPr>
            <w:tcW w:w="360" w:type="dxa"/>
            <w:vAlign w:val="bottom"/>
            <w:gridSpan w:val="4"/>
          </w:tcPr>
          <w:p>
            <w:pPr>
              <w:jc w:val="right"/>
              <w:ind w:right="5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27,265</w:t>
            </w:r>
          </w:p>
        </w:tc>
        <w:tc>
          <w:tcPr>
            <w:tcW w:w="3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27,866</w:t>
            </w:r>
          </w:p>
        </w:tc>
      </w:tr>
      <w:tr>
        <w:trPr>
          <w:trHeight w:val="189"/>
        </w:trPr>
        <w:tc>
          <w:tcPr>
            <w:tcW w:w="22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Noncurrent</w:t>
            </w:r>
          </w:p>
        </w:tc>
        <w:tc>
          <w:tcPr>
            <w:tcW w:w="5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89"/>
        </w:trPr>
        <w:tc>
          <w:tcPr>
            <w:tcW w:w="2260" w:type="dxa"/>
            <w:vAlign w:val="bottom"/>
            <w:tcBorders>
              <w:bottom w:val="single" w:sz="8" w:color="CCEEFF"/>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Operating</w:t>
            </w:r>
          </w:p>
        </w:tc>
        <w:tc>
          <w:tcPr>
            <w:tcW w:w="5680" w:type="dxa"/>
            <w:vAlign w:val="bottom"/>
            <w:tcBorders>
              <w:bottom w:val="single" w:sz="8" w:color="CCEEFF"/>
            </w:tcBorders>
          </w:tcPr>
          <w:p>
            <w:pPr>
              <w:ind w:left="440"/>
              <w:spacing w:after="0" w:line="189" w:lineRule="exact"/>
              <w:rPr>
                <w:sz w:val="20"/>
                <w:szCs w:val="20"/>
                <w:color w:val="auto"/>
              </w:rPr>
            </w:pPr>
            <w:r>
              <w:rPr>
                <w:rFonts w:ascii="Times New Roman" w:cs="Times New Roman" w:eastAsia="Times New Roman" w:hAnsi="Times New Roman"/>
                <w:sz w:val="18"/>
                <w:szCs w:val="18"/>
                <w:color w:val="auto"/>
              </w:rPr>
              <w:t>Long-term lease liability, net</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112,697</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103,353</w:t>
            </w:r>
          </w:p>
        </w:tc>
      </w:tr>
      <w:tr>
        <w:trPr>
          <w:trHeight w:val="183"/>
        </w:trPr>
        <w:tc>
          <w:tcPr>
            <w:tcW w:w="226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lease liabilities</w:t>
            </w:r>
          </w:p>
        </w:tc>
        <w:tc>
          <w:tcPr>
            <w:tcW w:w="56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gridSpan w:val="2"/>
            <w:shd w:val="clear" w:color="auto" w:fill="CCEEFF"/>
          </w:tcPr>
          <w:p>
            <w:pPr>
              <w:jc w:val="right"/>
              <w:ind w:right="56"/>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139,962</w:t>
            </w: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131,219</w:t>
            </w:r>
          </w:p>
        </w:tc>
      </w:tr>
      <w:tr>
        <w:trPr>
          <w:trHeight w:val="20"/>
        </w:trPr>
        <w:tc>
          <w:tcPr>
            <w:tcW w:w="22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367"/>
        </w:trPr>
        <w:tc>
          <w:tcPr>
            <w:tcW w:w="22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40" w:type="dxa"/>
            <w:vAlign w:val="bottom"/>
            <w:gridSpan w:val="5"/>
          </w:tcPr>
          <w:p>
            <w:pPr>
              <w:jc w:val="right"/>
              <w:ind w:right="470"/>
              <w:spacing w:after="0"/>
              <w:rPr>
                <w:sz w:val="20"/>
                <w:szCs w:val="20"/>
                <w:color w:val="auto"/>
              </w:rPr>
            </w:pPr>
            <w:r>
              <w:rPr>
                <w:rFonts w:ascii="Times New Roman" w:cs="Times New Roman" w:eastAsia="Times New Roman" w:hAnsi="Times New Roman"/>
                <w:sz w:val="18"/>
                <w:szCs w:val="18"/>
                <w:color w:val="auto"/>
              </w:rPr>
              <w:t>Year Ended December 31,</w:t>
            </w:r>
          </w:p>
        </w:tc>
      </w:tr>
      <w:tr>
        <w:trPr>
          <w:trHeight w:val="221"/>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Lease cost (in thousands)</w:t>
            </w:r>
          </w:p>
        </w:tc>
        <w:tc>
          <w:tcPr>
            <w:tcW w:w="56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Classification</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r>
      <w:tr>
        <w:trPr>
          <w:trHeight w:val="183"/>
        </w:trPr>
        <w:tc>
          <w:tcPr>
            <w:tcW w:w="22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Operating lease cost</w:t>
            </w:r>
          </w:p>
        </w:tc>
        <w:tc>
          <w:tcPr>
            <w:tcW w:w="5680" w:type="dxa"/>
            <w:vAlign w:val="bottom"/>
            <w:shd w:val="clear" w:color="auto" w:fill="CCEEFF"/>
          </w:tcPr>
          <w:p>
            <w:pPr>
              <w:ind w:left="440"/>
              <w:spacing w:after="0" w:line="182" w:lineRule="exact"/>
              <w:rPr>
                <w:sz w:val="20"/>
                <w:szCs w:val="20"/>
                <w:color w:val="auto"/>
              </w:rPr>
            </w:pPr>
            <w:r>
              <w:rPr>
                <w:rFonts w:ascii="Times New Roman" w:cs="Times New Roman" w:eastAsia="Times New Roman" w:hAnsi="Times New Roman"/>
                <w:sz w:val="18"/>
                <w:szCs w:val="18"/>
                <w:color w:val="auto"/>
              </w:rPr>
              <w:t>SG&amp;A expenses</w:t>
            </w:r>
          </w:p>
        </w:tc>
        <w:tc>
          <w:tcPr>
            <w:tcW w:w="40" w:type="dxa"/>
            <w:vAlign w:val="bottom"/>
            <w:shd w:val="clear" w:color="auto" w:fill="CCEEFF"/>
          </w:tcPr>
          <w:p>
            <w:pPr>
              <w:spacing w:after="0"/>
              <w:rPr>
                <w:sz w:val="15"/>
                <w:szCs w:val="15"/>
                <w:color w:val="auto"/>
              </w:rPr>
            </w:pPr>
          </w:p>
        </w:tc>
        <w:tc>
          <w:tcPr>
            <w:tcW w:w="120" w:type="dxa"/>
            <w:vAlign w:val="bottom"/>
            <w:gridSpan w:val="2"/>
            <w:shd w:val="clear" w:color="auto" w:fill="CCEEFF"/>
          </w:tcPr>
          <w:p>
            <w:pPr>
              <w:spacing w:after="0"/>
              <w:rPr>
                <w:sz w:val="15"/>
                <w:szCs w:val="15"/>
                <w:color w:val="auto"/>
              </w:rPr>
            </w:pPr>
          </w:p>
        </w:tc>
        <w:tc>
          <w:tcPr>
            <w:tcW w:w="200" w:type="dxa"/>
            <w:vAlign w:val="bottom"/>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36,023</w:t>
            </w:r>
          </w:p>
        </w:tc>
        <w:tc>
          <w:tcPr>
            <w:tcW w:w="140" w:type="dxa"/>
            <w:vAlign w:val="bottom"/>
            <w:gridSpan w:val="2"/>
            <w:shd w:val="clear" w:color="auto" w:fill="CCEEFF"/>
          </w:tcPr>
          <w:p>
            <w:pPr>
              <w:spacing w:after="0"/>
              <w:rPr>
                <w:sz w:val="15"/>
                <w:szCs w:val="15"/>
                <w:color w:val="auto"/>
              </w:rPr>
            </w:pPr>
          </w:p>
        </w:tc>
        <w:tc>
          <w:tcPr>
            <w:tcW w:w="16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33,286</w:t>
            </w:r>
          </w:p>
        </w:tc>
      </w:tr>
      <w:tr>
        <w:trPr>
          <w:trHeight w:val="257"/>
        </w:trPr>
        <w:tc>
          <w:tcPr>
            <w:tcW w:w="22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Variable lease cost</w:t>
            </w:r>
            <w:r>
              <w:rPr>
                <w:rFonts w:ascii="Times New Roman" w:cs="Times New Roman" w:eastAsia="Times New Roman" w:hAnsi="Times New Roman"/>
                <w:sz w:val="29"/>
                <w:szCs w:val="29"/>
                <w:color w:val="auto"/>
                <w:vertAlign w:val="superscript"/>
              </w:rPr>
              <w:t>(1)</w:t>
            </w:r>
          </w:p>
        </w:tc>
        <w:tc>
          <w:tcPr>
            <w:tcW w:w="5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SG&amp;A expenses</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14,019</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14,052</w:t>
            </w:r>
          </w:p>
        </w:tc>
      </w:tr>
      <w:tr>
        <w:trPr>
          <w:trHeight w:val="189"/>
        </w:trPr>
        <w:tc>
          <w:tcPr>
            <w:tcW w:w="22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Short term lease cost</w:t>
            </w:r>
          </w:p>
        </w:tc>
        <w:tc>
          <w:tcPr>
            <w:tcW w:w="5680" w:type="dxa"/>
            <w:vAlign w:val="bottom"/>
            <w:shd w:val="clear" w:color="auto" w:fill="CCEEFF"/>
          </w:tcPr>
          <w:p>
            <w:pPr>
              <w:ind w:left="440"/>
              <w:spacing w:after="0" w:line="189" w:lineRule="exact"/>
              <w:rPr>
                <w:sz w:val="20"/>
                <w:szCs w:val="20"/>
                <w:color w:val="auto"/>
              </w:rPr>
            </w:pPr>
            <w:r>
              <w:rPr>
                <w:rFonts w:ascii="Times New Roman" w:cs="Times New Roman" w:eastAsia="Times New Roman" w:hAnsi="Times New Roman"/>
                <w:sz w:val="18"/>
                <w:szCs w:val="18"/>
                <w:color w:val="auto"/>
              </w:rPr>
              <w:t>SG&amp;A expenses</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372</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424</w:t>
            </w:r>
          </w:p>
        </w:tc>
      </w:tr>
      <w:tr>
        <w:trPr>
          <w:trHeight w:val="183"/>
        </w:trPr>
        <w:tc>
          <w:tcPr>
            <w:tcW w:w="22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Net lease cost</w:t>
            </w:r>
          </w:p>
        </w:tc>
        <w:tc>
          <w:tcPr>
            <w:tcW w:w="5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0" w:type="dxa"/>
            <w:vAlign w:val="bottom"/>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50,414</w:t>
            </w:r>
          </w:p>
        </w:tc>
        <w:tc>
          <w:tcPr>
            <w:tcW w:w="140" w:type="dxa"/>
            <w:vAlign w:val="bottom"/>
            <w:gridSpan w:val="2"/>
          </w:tcPr>
          <w:p>
            <w:pPr>
              <w:spacing w:after="0"/>
              <w:rPr>
                <w:sz w:val="15"/>
                <w:szCs w:val="15"/>
                <w:color w:val="auto"/>
              </w:rPr>
            </w:pPr>
          </w:p>
        </w:tc>
        <w:tc>
          <w:tcPr>
            <w:tcW w:w="16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47,762</w:t>
            </w:r>
          </w:p>
        </w:tc>
      </w:tr>
      <w:tr>
        <w:trPr>
          <w:trHeight w:val="20"/>
        </w:trPr>
        <w:tc>
          <w:tcPr>
            <w:tcW w:w="22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220" w:hanging="212"/>
        <w:spacing w:after="0"/>
        <w:tabs>
          <w:tab w:leader="none" w:pos="220" w:val="left"/>
        </w:tabs>
        <w:numPr>
          <w:ilvl w:val="0"/>
          <w:numId w:val="2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Variable lease costs consist primarily of taxes, insurance, and common area or other maintenance costs for the Company’s leased facilities.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Maturity of Lease Liabilities (in thousands)</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Operating Leases</w:t>
            </w:r>
          </w:p>
        </w:tc>
        <w:tc>
          <w:tcPr>
            <w:tcW w:w="660" w:type="dxa"/>
            <w:vAlign w:val="bottom"/>
            <w:tcBorders>
              <w:bottom w:val="single" w:sz="8" w:color="auto"/>
            </w:tcBorders>
          </w:tcPr>
          <w:p>
            <w:pPr>
              <w:spacing w:after="0"/>
              <w:rPr>
                <w:sz w:val="19"/>
                <w:szCs w:val="19"/>
                <w:color w:val="auto"/>
              </w:rPr>
            </w:pPr>
          </w:p>
        </w:tc>
      </w:tr>
      <w:tr>
        <w:trPr>
          <w:trHeight w:val="183"/>
        </w:trPr>
        <w:tc>
          <w:tcPr>
            <w:tcW w:w="71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38,748</w:t>
            </w:r>
          </w:p>
        </w:tc>
      </w:tr>
      <w:tr>
        <w:trPr>
          <w:trHeight w:val="189"/>
        </w:trPr>
        <w:tc>
          <w:tcPr>
            <w:tcW w:w="7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35,900</w:t>
            </w:r>
          </w:p>
        </w:tc>
      </w:tr>
      <w:tr>
        <w:trPr>
          <w:trHeight w:val="189"/>
        </w:trPr>
        <w:tc>
          <w:tcPr>
            <w:tcW w:w="71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31,206</w:t>
            </w:r>
          </w:p>
        </w:tc>
      </w:tr>
      <w:tr>
        <w:trPr>
          <w:trHeight w:val="189"/>
        </w:trPr>
        <w:tc>
          <w:tcPr>
            <w:tcW w:w="7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24,893</w:t>
            </w:r>
          </w:p>
        </w:tc>
      </w:tr>
      <w:tr>
        <w:trPr>
          <w:trHeight w:val="189"/>
        </w:trPr>
        <w:tc>
          <w:tcPr>
            <w:tcW w:w="71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16,950</w:t>
            </w:r>
          </w:p>
        </w:tc>
      </w:tr>
      <w:tr>
        <w:trPr>
          <w:trHeight w:val="189"/>
        </w:trPr>
        <w:tc>
          <w:tcPr>
            <w:tcW w:w="7280" w:type="dxa"/>
            <w:vAlign w:val="bottom"/>
            <w:tcBorders>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Thereafter</w:t>
            </w:r>
          </w:p>
        </w:tc>
        <w:tc>
          <w:tcPr>
            <w:tcW w:w="7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28,904</w:t>
            </w:r>
          </w:p>
        </w:tc>
      </w:tr>
      <w:tr>
        <w:trPr>
          <w:trHeight w:val="183"/>
        </w:trPr>
        <w:tc>
          <w:tcPr>
            <w:tcW w:w="728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lease payments</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99"/>
              </w:rPr>
              <w:t>176,601</w:t>
            </w:r>
          </w:p>
        </w:tc>
      </w:tr>
      <w:tr>
        <w:trPr>
          <w:trHeight w:val="189"/>
        </w:trPr>
        <w:tc>
          <w:tcPr>
            <w:tcW w:w="7280" w:type="dxa"/>
            <w:vAlign w:val="bottom"/>
            <w:tcBorders>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Less: interest</w:t>
            </w:r>
          </w:p>
        </w:tc>
        <w:tc>
          <w:tcPr>
            <w:tcW w:w="7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(36,639)</w:t>
            </w:r>
          </w:p>
        </w:tc>
      </w:tr>
      <w:tr>
        <w:trPr>
          <w:trHeight w:val="183"/>
        </w:trPr>
        <w:tc>
          <w:tcPr>
            <w:tcW w:w="7280" w:type="dxa"/>
            <w:vAlign w:val="bottom"/>
            <w:tcBorders>
              <w:bottom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Present value of lease liabilities</w:t>
            </w: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99"/>
              </w:rPr>
              <w:t>139,962</w:t>
            </w:r>
          </w:p>
        </w:tc>
      </w:tr>
      <w:tr>
        <w:trPr>
          <w:trHeight w:val="20"/>
        </w:trPr>
        <w:tc>
          <w:tcPr>
            <w:tcW w:w="7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381"/>
        </w:trPr>
        <w:tc>
          <w:tcPr>
            <w:tcW w:w="7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color w:val="auto"/>
              </w:rPr>
              <w:t>Year Ended December 31,</w:t>
            </w:r>
          </w:p>
        </w:tc>
        <w:tc>
          <w:tcPr>
            <w:tcW w:w="660" w:type="dxa"/>
            <w:vAlign w:val="bottom"/>
          </w:tcPr>
          <w:p>
            <w:pPr>
              <w:spacing w:after="0"/>
              <w:rPr>
                <w:sz w:val="24"/>
                <w:szCs w:val="24"/>
                <w:color w:val="auto"/>
              </w:rPr>
            </w:pPr>
          </w:p>
        </w:tc>
      </w:tr>
      <w:tr>
        <w:trPr>
          <w:trHeight w:val="221"/>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Information (in thousands)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60" w:type="dxa"/>
            <w:vAlign w:val="bottom"/>
          </w:tcPr>
          <w:p>
            <w:pPr>
              <w:spacing w:after="0"/>
              <w:rPr>
                <w:sz w:val="19"/>
                <w:szCs w:val="19"/>
                <w:color w:val="auto"/>
              </w:rPr>
            </w:pPr>
          </w:p>
        </w:tc>
      </w:tr>
      <w:tr>
        <w:trPr>
          <w:trHeight w:val="183"/>
        </w:trPr>
        <w:tc>
          <w:tcPr>
            <w:tcW w:w="714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4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r>
      <w:tr>
        <w:trPr>
          <w:trHeight w:val="189"/>
        </w:trPr>
        <w:tc>
          <w:tcPr>
            <w:tcW w:w="728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Operating cash flows from operating leases</w:t>
            </w:r>
          </w:p>
        </w:tc>
        <w:tc>
          <w:tcPr>
            <w:tcW w:w="700" w:type="dxa"/>
            <w:vAlign w:val="bottom"/>
            <w:shd w:val="clear" w:color="auto" w:fill="CCEEFF"/>
          </w:tcPr>
          <w:p>
            <w:pPr>
              <w:jc w:val="right"/>
              <w:ind w:right="534"/>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(38,234)</w:t>
            </w:r>
          </w:p>
        </w:tc>
        <w:tc>
          <w:tcPr>
            <w:tcW w:w="1300" w:type="dxa"/>
            <w:vAlign w:val="bottom"/>
            <w:gridSpan w:val="2"/>
            <w:shd w:val="clear" w:color="auto" w:fill="CCEEFF"/>
          </w:tcPr>
          <w:p>
            <w:pPr>
              <w:jc w:val="right"/>
              <w:ind w:right="1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(37,587)</w:t>
            </w:r>
          </w:p>
        </w:tc>
      </w:tr>
      <w:tr>
        <w:trPr>
          <w:trHeight w:val="157"/>
        </w:trPr>
        <w:tc>
          <w:tcPr>
            <w:tcW w:w="7280" w:type="dxa"/>
            <w:vAlign w:val="bottom"/>
            <w:gridSpan w:val="2"/>
          </w:tcPr>
          <w:p>
            <w:pPr>
              <w:ind w:left="120"/>
              <w:spacing w:after="0" w:line="157" w:lineRule="exact"/>
              <w:rPr>
                <w:sz w:val="20"/>
                <w:szCs w:val="20"/>
                <w:color w:val="auto"/>
              </w:rPr>
            </w:pPr>
            <w:r>
              <w:rPr>
                <w:rFonts w:ascii="Times New Roman" w:cs="Times New Roman" w:eastAsia="Times New Roman" w:hAnsi="Times New Roman"/>
                <w:sz w:val="18"/>
                <w:szCs w:val="18"/>
                <w:color w:val="auto"/>
              </w:rPr>
              <w:t>Lease right-of-use assets obtained or modified in exchange for lease obligations</w:t>
            </w:r>
          </w:p>
        </w:tc>
        <w:tc>
          <w:tcPr>
            <w:tcW w:w="700" w:type="dxa"/>
            <w:vAlign w:val="bottom"/>
          </w:tcPr>
          <w:p>
            <w:pPr>
              <w:jc w:val="right"/>
              <w:ind w:right="534"/>
              <w:spacing w:after="0" w:line="157" w:lineRule="exact"/>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36,579</w:t>
            </w:r>
          </w:p>
        </w:tc>
        <w:tc>
          <w:tcPr>
            <w:tcW w:w="100" w:type="dxa"/>
            <w:vAlign w:val="bottom"/>
          </w:tcPr>
          <w:p>
            <w:pPr>
              <w:spacing w:after="0"/>
              <w:rPr>
                <w:sz w:val="13"/>
                <w:szCs w:val="13"/>
                <w:color w:val="auto"/>
              </w:rPr>
            </w:pPr>
          </w:p>
        </w:tc>
        <w:tc>
          <w:tcPr>
            <w:tcW w:w="1300" w:type="dxa"/>
            <w:vAlign w:val="bottom"/>
            <w:gridSpan w:val="2"/>
          </w:tcPr>
          <w:p>
            <w:pPr>
              <w:jc w:val="right"/>
              <w:ind w:right="1100"/>
              <w:spacing w:after="0" w:line="157"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21,302</w:t>
            </w:r>
          </w:p>
        </w:tc>
      </w:tr>
      <w:tr>
        <w:trPr>
          <w:trHeight w:val="234"/>
        </w:trPr>
        <w:tc>
          <w:tcPr>
            <w:tcW w:w="71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18"/>
        </w:trPr>
        <w:tc>
          <w:tcPr>
            <w:tcW w:w="7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Term and Discount Rate</w:t>
            </w:r>
          </w:p>
        </w:tc>
        <w:tc>
          <w:tcPr>
            <w:tcW w:w="25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December 31, 2023</w:t>
            </w:r>
          </w:p>
        </w:tc>
        <w:tc>
          <w:tcPr>
            <w:tcW w:w="380" w:type="dxa"/>
            <w:vAlign w:val="bottom"/>
          </w:tcPr>
          <w:p>
            <w:pPr>
              <w:spacing w:after="0"/>
              <w:rPr>
                <w:sz w:val="19"/>
                <w:szCs w:val="19"/>
                <w:color w:val="auto"/>
              </w:rPr>
            </w:pPr>
          </w:p>
        </w:tc>
        <w:tc>
          <w:tcPr>
            <w:tcW w:w="25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December 31, 2022</w:t>
            </w:r>
          </w:p>
        </w:tc>
        <w:tc>
          <w:tcPr>
            <w:tcW w:w="320" w:type="dxa"/>
            <w:vAlign w:val="bottom"/>
          </w:tcPr>
          <w:p>
            <w:pPr>
              <w:spacing w:after="0"/>
              <w:rPr>
                <w:sz w:val="19"/>
                <w:szCs w:val="19"/>
                <w:color w:val="auto"/>
              </w:rPr>
            </w:pPr>
          </w:p>
        </w:tc>
      </w:tr>
      <w:tr>
        <w:trPr>
          <w:trHeight w:val="183"/>
        </w:trPr>
        <w:tc>
          <w:tcPr>
            <w:tcW w:w="532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Weighted average remaining term (years)</w:t>
            </w:r>
          </w:p>
        </w:tc>
        <w:tc>
          <w:tcPr>
            <w:tcW w:w="180" w:type="dxa"/>
            <w:vAlign w:val="bottom"/>
          </w:tcPr>
          <w:p>
            <w:pPr>
              <w:spacing w:after="0"/>
              <w:rPr>
                <w:sz w:val="15"/>
                <w:szCs w:val="15"/>
                <w:color w:val="auto"/>
              </w:rPr>
            </w:pPr>
          </w:p>
        </w:tc>
        <w:tc>
          <w:tcPr>
            <w:tcW w:w="252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5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r>
      <w:tr>
        <w:trPr>
          <w:trHeight w:val="189"/>
        </w:trPr>
        <w:tc>
          <w:tcPr>
            <w:tcW w:w="550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Operating leases</w:t>
            </w:r>
          </w:p>
        </w:tc>
        <w:tc>
          <w:tcPr>
            <w:tcW w:w="25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5.4</w:t>
            </w:r>
          </w:p>
        </w:tc>
        <w:tc>
          <w:tcPr>
            <w:tcW w:w="380" w:type="dxa"/>
            <w:vAlign w:val="bottom"/>
            <w:shd w:val="clear" w:color="auto" w:fill="CCEEFF"/>
          </w:tcPr>
          <w:p>
            <w:pPr>
              <w:spacing w:after="0"/>
              <w:rPr>
                <w:sz w:val="16"/>
                <w:szCs w:val="16"/>
                <w:color w:val="auto"/>
              </w:rPr>
            </w:pPr>
          </w:p>
        </w:tc>
        <w:tc>
          <w:tcPr>
            <w:tcW w:w="25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5.1</w:t>
            </w:r>
          </w:p>
        </w:tc>
        <w:tc>
          <w:tcPr>
            <w:tcW w:w="320" w:type="dxa"/>
            <w:vAlign w:val="bottom"/>
            <w:shd w:val="clear" w:color="auto" w:fill="CCEEFF"/>
          </w:tcPr>
          <w:p>
            <w:pPr>
              <w:spacing w:after="0"/>
              <w:rPr>
                <w:sz w:val="16"/>
                <w:szCs w:val="16"/>
                <w:color w:val="auto"/>
              </w:rPr>
            </w:pPr>
          </w:p>
        </w:tc>
      </w:tr>
      <w:tr>
        <w:trPr>
          <w:trHeight w:val="189"/>
        </w:trPr>
        <w:tc>
          <w:tcPr>
            <w:tcW w:w="5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Weighted average discount rate</w:t>
            </w:r>
          </w:p>
        </w:tc>
        <w:tc>
          <w:tcPr>
            <w:tcW w:w="2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189"/>
        </w:trPr>
        <w:tc>
          <w:tcPr>
            <w:tcW w:w="550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Operating leases</w:t>
            </w:r>
          </w:p>
        </w:tc>
        <w:tc>
          <w:tcPr>
            <w:tcW w:w="25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7.90</w:t>
            </w:r>
          </w:p>
        </w:tc>
        <w:tc>
          <w:tcPr>
            <w:tcW w:w="380" w:type="dxa"/>
            <w:vAlign w:val="bottom"/>
            <w:shd w:val="clear" w:color="auto" w:fill="CCEEFF"/>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w w:val="93"/>
              </w:rPr>
              <w:t>%</w:t>
            </w:r>
          </w:p>
        </w:tc>
        <w:tc>
          <w:tcPr>
            <w:tcW w:w="25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7.67</w:t>
            </w:r>
          </w:p>
        </w:tc>
        <w:tc>
          <w:tcPr>
            <w:tcW w:w="320" w:type="dxa"/>
            <w:vAlign w:val="bottom"/>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r>
    </w:tbl>
    <w:p>
      <w:pPr>
        <w:spacing w:after="0" w:line="157" w:lineRule="exact"/>
        <w:rPr>
          <w:sz w:val="20"/>
          <w:szCs w:val="20"/>
          <w:color w:val="auto"/>
        </w:rPr>
      </w:pPr>
    </w:p>
    <w:p>
      <w:pPr>
        <w:ind w:right="180"/>
        <w:spacing w:after="0" w:line="235" w:lineRule="auto"/>
        <w:rPr>
          <w:sz w:val="20"/>
          <w:szCs w:val="20"/>
          <w:color w:val="auto"/>
        </w:rPr>
      </w:pPr>
      <w:r>
        <w:rPr>
          <w:rFonts w:ascii="Times New Roman" w:cs="Times New Roman" w:eastAsia="Times New Roman" w:hAnsi="Times New Roman"/>
          <w:sz w:val="18"/>
          <w:szCs w:val="18"/>
          <w:color w:val="auto"/>
        </w:rPr>
        <w:t>In July 2022, the Company entered into an agreement to modify one of its store leases. The terms of the agreement required the Company to vacate the store during the fourth quarter of 2022 in exchange for a $1.4 million lease incentive payment from the landlord. During the fourth quarter, the Company fulfilled its obligation to close the store and received the $1.4 million lease incentive payment from the landlord. The Company recognized the $1.4 million benefit associated with the modified lease during the year ended December 31, 2022. The Company did not receive any lease incentives tied to a store closure or recognize a reduction to rent expense in connection with this type of lease incentive during the twelve months ended December 31, 2023.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Fair Value of Financial Instruments</w:t>
      </w:r>
    </w:p>
    <w:p>
      <w:pPr>
        <w:spacing w:after="0" w:line="189" w:lineRule="exact"/>
        <w:rPr>
          <w:sz w:val="20"/>
          <w:szCs w:val="20"/>
          <w:color w:val="auto"/>
        </w:rPr>
      </w:pPr>
    </w:p>
    <w:p>
      <w:pPr>
        <w:jc w:val="both"/>
        <w:ind w:right="220"/>
        <w:spacing w:after="0" w:line="242"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To measure fair value, the Company uses a three-tier valuation hierarchy based upon observable and non-observable inputs:</w:t>
      </w:r>
    </w:p>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1 – Unadjusted quoted prices that are available in active markets for the identical assets or liabilities at the measurement date.</w:t>
      </w:r>
    </w:p>
    <w:p>
      <w:pPr>
        <w:spacing w:after="0" w:line="171" w:lineRule="exact"/>
        <w:rPr>
          <w:sz w:val="20"/>
          <w:szCs w:val="20"/>
          <w:color w:val="auto"/>
        </w:rPr>
      </w:pPr>
    </w:p>
    <w:p>
      <w:pPr>
        <w:ind w:left="500" w:right="460"/>
        <w:spacing w:after="0" w:line="266" w:lineRule="auto"/>
        <w:rPr>
          <w:sz w:val="20"/>
          <w:szCs w:val="20"/>
          <w:color w:val="auto"/>
        </w:rPr>
      </w:pPr>
      <w:r>
        <w:rPr>
          <w:rFonts w:ascii="Times New Roman" w:cs="Times New Roman" w:eastAsia="Times New Roman" w:hAnsi="Times New Roman"/>
          <w:sz w:val="18"/>
          <w:szCs w:val="18"/>
          <w:color w:val="auto"/>
        </w:rPr>
        <w:t>Level 2 – Significant other observable inputs available at the measurement date, other than quoted prices included in Level 1, either directly or indirectly, including:</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2" w:lineRule="exact"/>
        <w:rPr>
          <w:sz w:val="20"/>
          <w:szCs w:val="20"/>
          <w:color w:val="auto"/>
        </w:rPr>
      </w:pPr>
    </w:p>
    <w:p>
      <w:pPr>
        <w:jc w:val="both"/>
        <w:ind w:left="660" w:right="4880"/>
        <w:spacing w:after="0" w:line="232" w:lineRule="auto"/>
        <w:rPr>
          <w:sz w:val="20"/>
          <w:szCs w:val="20"/>
          <w:color w:val="auto"/>
        </w:rPr>
      </w:pPr>
      <w:r>
        <w:rPr>
          <w:rFonts w:ascii="Times New Roman" w:cs="Times New Roman" w:eastAsia="Times New Roman" w:hAnsi="Times New Roman"/>
          <w:sz w:val="17"/>
          <w:szCs w:val="17"/>
          <w:color w:val="auto"/>
        </w:rPr>
        <w:t>Quoted prices for identical or similar assets or liabilities in non-active markets; Inputs other than quoted prices that are observable for the asset or liability; and</w:t>
      </w:r>
    </w:p>
    <w:p>
      <w:pPr>
        <w:ind w:left="340"/>
        <w:spacing w:after="0"/>
        <w:rPr>
          <w:sz w:val="20"/>
          <w:szCs w:val="20"/>
          <w:color w:val="auto"/>
        </w:rPr>
      </w:pPr>
      <w:r>
        <w:rPr>
          <w:rFonts w:ascii="Times New Roman" w:cs="Times New Roman" w:eastAsia="Times New Roman" w:hAnsi="Times New Roman"/>
          <w:sz w:val="18"/>
          <w:szCs w:val="18"/>
          <w:color w:val="auto"/>
        </w:rPr>
        <w:t>Inputs that are derived principally from or corroborated by other observable market data.</w:t>
      </w:r>
    </w:p>
    <w:p>
      <w:pPr>
        <w:spacing w:after="0" w:line="165" w:lineRule="exact"/>
        <w:rPr>
          <w:sz w:val="20"/>
          <w:szCs w:val="20"/>
          <w:color w:val="auto"/>
        </w:rPr>
      </w:pPr>
    </w:p>
    <w:p>
      <w:pPr>
        <w:ind w:left="500" w:right="460"/>
        <w:spacing w:after="0" w:line="250" w:lineRule="auto"/>
        <w:rPr>
          <w:sz w:val="20"/>
          <w:szCs w:val="20"/>
          <w:color w:val="auto"/>
        </w:rPr>
      </w:pPr>
      <w:r>
        <w:rPr>
          <w:rFonts w:ascii="Times New Roman" w:cs="Times New Roman" w:eastAsia="Times New Roman" w:hAnsi="Times New Roman"/>
          <w:sz w:val="18"/>
          <w:szCs w:val="18"/>
          <w:color w:val="auto"/>
        </w:rPr>
        <w:t>Level 3 – Significant unobservable inputs that cannot be corroborated by observable market data and reflect the use of significant management judgment.</w:t>
      </w:r>
    </w:p>
    <w:p>
      <w:pPr>
        <w:spacing w:after="0" w:line="149"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Company’s financial assets that were accounted for at fair value on a recurring basis at December 31, 2023 and 2022 according to the valuation techniques the Company uses to determine their fair values. There have been no transfers of assets among the fair value hierarchies presented.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Pricing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gridSpan w:val="3"/>
          </w:tcPr>
          <w:p>
            <w:pPr>
              <w:jc w:val="right"/>
              <w:ind w:right="1150"/>
              <w:spacing w:after="0"/>
              <w:rPr>
                <w:sz w:val="20"/>
                <w:szCs w:val="20"/>
                <w:color w:val="auto"/>
              </w:rPr>
            </w:pPr>
            <w:r>
              <w:rPr>
                <w:rFonts w:ascii="Times New Roman" w:cs="Times New Roman" w:eastAsia="Times New Roman" w:hAnsi="Times New Roman"/>
                <w:sz w:val="18"/>
                <w:szCs w:val="18"/>
                <w:color w:val="auto"/>
              </w:rPr>
              <w:t>Fair Value at</w:t>
            </w:r>
          </w:p>
        </w:tc>
        <w:tc>
          <w:tcPr>
            <w:tcW w:w="0" w:type="dxa"/>
            <w:vAlign w:val="bottom"/>
          </w:tcPr>
          <w:p>
            <w:pPr>
              <w:spacing w:after="0"/>
              <w:rPr>
                <w:sz w:val="1"/>
                <w:szCs w:val="1"/>
                <w:color w:val="auto"/>
              </w:rPr>
            </w:pPr>
          </w:p>
        </w:tc>
      </w:tr>
      <w:tr>
        <w:trPr>
          <w:trHeight w:val="221"/>
        </w:trPr>
        <w:tc>
          <w:tcPr>
            <w:tcW w:w="6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Category</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December 31, 2023</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8"/>
              </w:rPr>
              <w:t>December 31, 2022</w:t>
            </w:r>
          </w:p>
        </w:tc>
        <w:tc>
          <w:tcPr>
            <w:tcW w:w="0" w:type="dxa"/>
            <w:vAlign w:val="bottom"/>
          </w:tcPr>
          <w:p>
            <w:pPr>
              <w:spacing w:after="0"/>
              <w:rPr>
                <w:sz w:val="1"/>
                <w:szCs w:val="1"/>
                <w:color w:val="auto"/>
              </w:rPr>
            </w:pPr>
          </w:p>
        </w:tc>
      </w:tr>
      <w:tr>
        <w:trPr>
          <w:trHeight w:val="183"/>
        </w:trPr>
        <w:tc>
          <w:tcPr>
            <w:tcW w:w="65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20" w:type="dxa"/>
            <w:vAlign w:val="bottom"/>
            <w:gridSpan w:val="3"/>
          </w:tcPr>
          <w:p>
            <w:pPr>
              <w:jc w:val="right"/>
              <w:ind w:right="1110"/>
              <w:spacing w:after="0" w:line="182" w:lineRule="exact"/>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Level 1</w:t>
            </w:r>
          </w:p>
        </w:tc>
        <w:tc>
          <w:tcPr>
            <w:tcW w:w="26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8,620</w:t>
            </w:r>
          </w:p>
        </w:tc>
        <w:tc>
          <w:tcPr>
            <w:tcW w:w="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5,948</w:t>
            </w:r>
          </w:p>
        </w:tc>
        <w:tc>
          <w:tcPr>
            <w:tcW w:w="0" w:type="dxa"/>
            <w:vAlign w:val="bottom"/>
          </w:tcPr>
          <w:p>
            <w:pPr>
              <w:spacing w:after="0"/>
              <w:rPr>
                <w:sz w:val="1"/>
                <w:szCs w:val="1"/>
                <w:color w:val="auto"/>
              </w:rPr>
            </w:pPr>
          </w:p>
        </w:tc>
      </w:tr>
      <w:tr>
        <w:trPr>
          <w:trHeight w:val="234"/>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500"/>
        <w:spacing w:after="0" w:line="250" w:lineRule="auto"/>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 There have been no changes in the valuation techniques used by the Company to value the Company’s financial instruments.</w:t>
      </w:r>
    </w:p>
    <w:p>
      <w:pPr>
        <w:spacing w:after="0" w:line="147" w:lineRule="exact"/>
        <w:rPr>
          <w:sz w:val="20"/>
          <w:szCs w:val="20"/>
          <w:color w:val="auto"/>
        </w:rPr>
      </w:pPr>
    </w:p>
    <w:p>
      <w:pPr>
        <w:ind w:left="660" w:right="260"/>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Consists of cash on hand and bank deposits. The value was measured using quoted market prices in active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carrying amount approximates fair value.</w:t>
      </w:r>
    </w:p>
    <w:p>
      <w:pPr>
        <w:spacing w:after="0" w:line="1" w:lineRule="exact"/>
        <w:rPr>
          <w:sz w:val="20"/>
          <w:szCs w:val="20"/>
          <w:color w:val="auto"/>
        </w:rPr>
      </w:pPr>
    </w:p>
    <w:p>
      <w:pPr>
        <w:ind w:left="660" w:right="140"/>
        <w:spacing w:after="0" w:line="233" w:lineRule="auto"/>
        <w:rPr>
          <w:sz w:val="20"/>
          <w:szCs w:val="20"/>
          <w:color w:val="auto"/>
        </w:rPr>
      </w:pP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Consists of cash and cash equivalents held in bank deposit accounts restricted as to withdrawal or that are under the terms of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current operations. The value was measured using quoted market prices in active markets. The carrying amount approximates fair value.</w:t>
      </w:r>
    </w:p>
    <w:p>
      <w:pPr>
        <w:spacing w:after="0" w:line="145" w:lineRule="exact"/>
        <w:rPr>
          <w:sz w:val="20"/>
          <w:szCs w:val="20"/>
          <w:color w:val="auto"/>
        </w:rPr>
      </w:pPr>
    </w:p>
    <w:p>
      <w:pPr>
        <w:jc w:val="center"/>
        <w:ind w:right="260"/>
        <w:spacing w:after="0" w:line="485" w:lineRule="auto"/>
        <w:rPr>
          <w:sz w:val="20"/>
          <w:szCs w:val="20"/>
          <w:color w:val="auto"/>
        </w:rPr>
      </w:pPr>
      <w:r>
        <w:rPr>
          <w:rFonts w:ascii="Times New Roman" w:cs="Times New Roman" w:eastAsia="Times New Roman" w:hAnsi="Times New Roman"/>
          <w:sz w:val="18"/>
          <w:szCs w:val="18"/>
          <w:color w:val="auto"/>
        </w:rPr>
        <w:t>The carrying value of accounts receivable and accounts payable approximates their estimated fair values due to the short maturities of these instruments.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65"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18"/>
          <w:szCs w:val="18"/>
          <w:color w:val="auto"/>
        </w:rPr>
        <w:t>Fair value measurements also apply to certain non-financial assets and liabilities measured at fair value on a nonrecurring basis. Property, plant and equipment and right of use assets are measured at fair value when an impairment is recognized and the related assets are written down to fair value. During the years ended December 31, 2023, 2022 and 2021, the Company recognized charges in selling, general, and administrative expenses to write-down property, plant, and equipment and right of use assets to their estimated fair values of $1.0 million, $0.4 million and $0.7 million, respectively. The Company measured the fair value of these assets based on projected cash flows, an estimated risk-adjusted rate of return, and market rental rates for comparable properties. The following table presents quantitative information about significant level 2 and level 3 inputs used to estimate the fair value of property, plant and equipment and right of use assets during the twelve months ended December 31, 2023:</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Borders>
              <w:bottom w:val="single" w:sz="8" w:color="CCEEFF"/>
            </w:tcBorders>
          </w:tcPr>
          <w:p>
            <w:pPr>
              <w:spacing w:after="0"/>
              <w:rPr>
                <w:sz w:val="17"/>
                <w:szCs w:val="17"/>
                <w:color w:val="auto"/>
              </w:rPr>
            </w:pPr>
          </w:p>
        </w:tc>
        <w:tc>
          <w:tcPr>
            <w:tcW w:w="1860" w:type="dxa"/>
            <w:vAlign w:val="bottom"/>
            <w:tcBorders>
              <w:top w:val="single" w:sz="8" w:color="auto"/>
              <w:bottom w:val="single" w:sz="8" w:color="auto"/>
            </w:tcBorders>
          </w:tcPr>
          <w:p>
            <w:pPr>
              <w:ind w:left="140"/>
              <w:spacing w:after="0" w:line="202" w:lineRule="exact"/>
              <w:rPr>
                <w:sz w:val="20"/>
                <w:szCs w:val="20"/>
                <w:color w:val="auto"/>
              </w:rPr>
            </w:pPr>
            <w:r>
              <w:rPr>
                <w:rFonts w:ascii="Times New Roman" w:cs="Times New Roman" w:eastAsia="Times New Roman" w:hAnsi="Times New Roman"/>
                <w:sz w:val="18"/>
                <w:szCs w:val="18"/>
                <w:b w:val="1"/>
                <w:bCs w:val="1"/>
                <w:color w:val="auto"/>
              </w:rPr>
              <w:t>Valuation Technique</w:t>
            </w:r>
          </w:p>
        </w:tc>
        <w:tc>
          <w:tcPr>
            <w:tcW w:w="80" w:type="dxa"/>
            <w:vAlign w:val="bottom"/>
            <w:tcBorders>
              <w:top w:val="single" w:sz="8" w:color="auto"/>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Category</w:t>
            </w:r>
          </w:p>
        </w:tc>
        <w:tc>
          <w:tcPr>
            <w:tcW w:w="80" w:type="dxa"/>
            <w:vAlign w:val="bottom"/>
            <w:tcBorders>
              <w:top w:val="single" w:sz="8" w:color="auto"/>
              <w:bottom w:val="single" w:sz="8" w:color="CCEEFF"/>
            </w:tcBorders>
          </w:tcPr>
          <w:p>
            <w:pPr>
              <w:spacing w:after="0"/>
              <w:rPr>
                <w:sz w:val="17"/>
                <w:szCs w:val="17"/>
                <w:color w:val="auto"/>
              </w:rPr>
            </w:pPr>
          </w:p>
        </w:tc>
        <w:tc>
          <w:tcPr>
            <w:tcW w:w="1840" w:type="dxa"/>
            <w:vAlign w:val="bottom"/>
            <w:tcBorders>
              <w:top w:val="single" w:sz="8" w:color="auto"/>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Input</w:t>
            </w:r>
          </w:p>
        </w:tc>
        <w:tc>
          <w:tcPr>
            <w:tcW w:w="80" w:type="dxa"/>
            <w:vAlign w:val="bottom"/>
            <w:tcBorders>
              <w:top w:val="single" w:sz="8" w:color="auto"/>
              <w:bottom w:val="single" w:sz="8" w:color="CCEEFF"/>
            </w:tcBorders>
          </w:tcPr>
          <w:p>
            <w:pPr>
              <w:spacing w:after="0"/>
              <w:rPr>
                <w:sz w:val="17"/>
                <w:szCs w:val="17"/>
                <w:color w:val="auto"/>
              </w:rPr>
            </w:pPr>
          </w:p>
        </w:tc>
        <w:tc>
          <w:tcPr>
            <w:tcW w:w="2260" w:type="dxa"/>
            <w:vAlign w:val="bottom"/>
            <w:tcBorders>
              <w:top w:val="single" w:sz="8" w:color="auto"/>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Range</w:t>
            </w:r>
          </w:p>
        </w:tc>
      </w:tr>
      <w:tr>
        <w:trPr>
          <w:trHeight w:val="236"/>
        </w:trPr>
        <w:tc>
          <w:tcPr>
            <w:tcW w:w="286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 xml:space="preserve">Right of use assets </w:t>
            </w:r>
            <w:r>
              <w:rPr>
                <w:rFonts w:ascii="Times New Roman" w:cs="Times New Roman" w:eastAsia="Times New Roman" w:hAnsi="Times New Roman"/>
                <w:sz w:val="27"/>
                <w:szCs w:val="27"/>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0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Discounted cash flow</w:t>
            </w:r>
          </w:p>
        </w:tc>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Level 2</w:t>
            </w:r>
          </w:p>
        </w:tc>
        <w:tc>
          <w:tcPr>
            <w:tcW w:w="1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Market rental rates</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$14.50 to $33.44 per sq. ft.</w:t>
            </w:r>
          </w:p>
        </w:tc>
      </w:tr>
      <w:tr>
        <w:trPr>
          <w:trHeight w:val="189"/>
        </w:trPr>
        <w:tc>
          <w:tcPr>
            <w:tcW w:w="2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rPr>
              <w:t>Level 2</w:t>
            </w:r>
          </w:p>
        </w:tc>
        <w:tc>
          <w:tcPr>
            <w:tcW w:w="192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w w:val="99"/>
              </w:rPr>
              <w:t>Discount rate</w:t>
            </w:r>
          </w:p>
        </w:tc>
        <w:tc>
          <w:tcPr>
            <w:tcW w:w="22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8.3% to 8.8%</w:t>
            </w:r>
          </w:p>
        </w:tc>
      </w:tr>
      <w:tr>
        <w:trPr>
          <w:trHeight w:val="257"/>
        </w:trPr>
        <w:tc>
          <w:tcPr>
            <w:tcW w:w="28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Property, plant and equipment </w:t>
            </w:r>
            <w:r>
              <w:rPr>
                <w:rFonts w:ascii="Times New Roman" w:cs="Times New Roman" w:eastAsia="Times New Roman" w:hAnsi="Times New Roman"/>
                <w:sz w:val="29"/>
                <w:szCs w:val="29"/>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Discounted cash flow</w:t>
            </w:r>
          </w:p>
        </w:tc>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Level 3</w:t>
            </w:r>
          </w:p>
        </w:tc>
        <w:tc>
          <w:tcPr>
            <w:tcW w:w="1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Revenue growth rate</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to 20%</w:t>
            </w:r>
          </w:p>
        </w:tc>
      </w:tr>
      <w:tr>
        <w:trPr>
          <w:trHeight w:val="234"/>
        </w:trPr>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Level 3</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Discount rate</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 to 9.5%</w:t>
            </w:r>
          </w:p>
        </w:tc>
      </w:tr>
    </w:tbl>
    <w:p>
      <w:pPr>
        <w:spacing w:after="0" w:line="69"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fair value specifically relates to only those locations which had impairment charges during the twelve months ended December 31, 2023.</w:t>
      </w:r>
    </w:p>
    <w:p>
      <w:pPr>
        <w:spacing w:after="0" w:line="157"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During the twelve months ended December 31, 2023, the Company recorded a $0.8 million adjustment to reflect an increase in its estimate of the fair value to restore leased property to its original condition at the end of the lease. The change in the estimated value of the Company’s asset retirement obligation resulted in a $0.8 million increase in property, plant and equipment and a $0.8 million increase in other long-term liabilities. The Company measured the fair value of its asset retirement obligation based on the estimated amounts and timing of settlements, an estimated risk adjusted rate of return, and expected inflation rates, which are considered Level 2 inputs. The Company did not adjust its estimate of the fair value to restore leased property to its original condition during the twelve months ended December 31, 2022.</w:t>
      </w:r>
    </w:p>
    <w:p>
      <w:pPr>
        <w:spacing w:after="0" w:line="14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carrying value of the Company’s borrowings under its Credit Agreement approximates fair value based upon Level 2 inputs of the market interest rates available to the Company for debt obligations with similar risks and maturities.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Income per common share</w:t>
      </w:r>
    </w:p>
    <w:p>
      <w:pPr>
        <w:spacing w:after="0" w:line="175"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Basic earnings per share is calculated by dividing net income by the weighted average number of shares outstanding during the period. Diluted earnings per share is calculated by dividing net income by the weighted average number of common shares outstanding, after taking into consideration all dilutive potential common shares outstanding during the period.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income per share was calculated as follows:</w:t>
            </w: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97"/>
        </w:trPr>
        <w:tc>
          <w:tcPr>
            <w:tcW w:w="5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r>
      <w:tr>
        <w:trPr>
          <w:trHeight w:val="183"/>
        </w:trPr>
        <w:tc>
          <w:tcPr>
            <w:tcW w:w="5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120" w:type="dxa"/>
            <w:vAlign w:val="bottom"/>
            <w:gridSpan w:val="7"/>
          </w:tcPr>
          <w:p>
            <w:pPr>
              <w:jc w:val="right"/>
              <w:ind w:right="430"/>
              <w:spacing w:after="0" w:line="182" w:lineRule="exact"/>
              <w:rPr>
                <w:sz w:val="20"/>
                <w:szCs w:val="20"/>
                <w:color w:val="auto"/>
              </w:rPr>
            </w:pPr>
            <w:r>
              <w:rPr>
                <w:rFonts w:ascii="Times New Roman" w:cs="Times New Roman" w:eastAsia="Times New Roman" w:hAnsi="Times New Roman"/>
                <w:sz w:val="18"/>
                <w:szCs w:val="18"/>
                <w:color w:val="auto"/>
              </w:rPr>
              <w:t>(in thousands, except share and per share data)</w:t>
            </w:r>
          </w:p>
        </w:tc>
      </w:tr>
      <w:tr>
        <w:trPr>
          <w:trHeight w:val="189"/>
        </w:trPr>
        <w:tc>
          <w:tcPr>
            <w:tcW w:w="58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shd w:val="clear" w:color="auto" w:fill="CCEEFF"/>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10,071</w:t>
            </w:r>
          </w:p>
        </w:tc>
        <w:tc>
          <w:tcPr>
            <w:tcW w:w="460" w:type="dxa"/>
            <w:vAlign w:val="bottom"/>
            <w:gridSpan w:val="2"/>
            <w:shd w:val="clear" w:color="auto" w:fill="CCEEFF"/>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15,703</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14,774</w:t>
            </w:r>
          </w:p>
        </w:tc>
      </w:tr>
      <w:tr>
        <w:trPr>
          <w:trHeight w:val="189"/>
        </w:trPr>
        <w:tc>
          <w:tcPr>
            <w:tcW w:w="58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43,424,089</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48,855,701</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50,393,980</w:t>
            </w:r>
          </w:p>
        </w:tc>
      </w:tr>
      <w:tr>
        <w:trPr>
          <w:trHeight w:val="189"/>
        </w:trPr>
        <w:tc>
          <w:tcPr>
            <w:tcW w:w="58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Effect of dilutive securities attributable to stock based awards</w:t>
            </w:r>
          </w:p>
        </w:tc>
        <w:tc>
          <w:tcPr>
            <w:tcW w:w="9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196,701</w:t>
            </w:r>
          </w:p>
        </w:tc>
        <w:tc>
          <w:tcPr>
            <w:tcW w:w="1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391,346</w:t>
            </w:r>
          </w:p>
        </w:tc>
        <w:tc>
          <w:tcPr>
            <w:tcW w:w="1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691,483</w:t>
            </w:r>
          </w:p>
        </w:tc>
      </w:tr>
      <w:tr>
        <w:trPr>
          <w:trHeight w:val="183"/>
        </w:trPr>
        <w:tc>
          <w:tcPr>
            <w:tcW w:w="5880" w:type="dxa"/>
            <w:vAlign w:val="bottom"/>
            <w:tcBorders>
              <w:bottom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9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43,620,790</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49,247,047</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51,085,463</w:t>
            </w:r>
          </w:p>
        </w:tc>
      </w:tr>
      <w:tr>
        <w:trPr>
          <w:trHeight w:val="183"/>
        </w:trPr>
        <w:tc>
          <w:tcPr>
            <w:tcW w:w="5880" w:type="dxa"/>
            <w:vAlign w:val="bottom"/>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Basic net income per share</w:t>
            </w: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0.23</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0.32</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0.29</w:t>
            </w:r>
          </w:p>
        </w:tc>
      </w:tr>
      <w:tr>
        <w:trPr>
          <w:trHeight w:val="189"/>
        </w:trPr>
        <w:tc>
          <w:tcPr>
            <w:tcW w:w="58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Diluted net income per share</w:t>
            </w:r>
          </w:p>
        </w:tc>
        <w:tc>
          <w:tcPr>
            <w:tcW w:w="1240" w:type="dxa"/>
            <w:vAlign w:val="bottom"/>
            <w:gridSpan w:val="2"/>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0.23</w:t>
            </w:r>
          </w:p>
        </w:tc>
        <w:tc>
          <w:tcPr>
            <w:tcW w:w="460" w:type="dxa"/>
            <w:vAlign w:val="bottom"/>
            <w:gridSpan w:val="2"/>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0.32</w:t>
            </w:r>
          </w:p>
        </w:tc>
        <w:tc>
          <w:tcPr>
            <w:tcW w:w="160" w:type="dxa"/>
            <w:vAlign w:val="bottom"/>
          </w:tcPr>
          <w:p>
            <w:pPr>
              <w:spacing w:after="0"/>
              <w:rPr>
                <w:sz w:val="16"/>
                <w:szCs w:val="16"/>
                <w:color w:val="auto"/>
              </w:rPr>
            </w:pPr>
          </w:p>
        </w:tc>
        <w:tc>
          <w:tcPr>
            <w:tcW w:w="30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0.29</w:t>
            </w:r>
          </w:p>
        </w:tc>
      </w:tr>
      <w:tr>
        <w:trPr>
          <w:trHeight w:val="189"/>
        </w:trPr>
        <w:tc>
          <w:tcPr>
            <w:tcW w:w="58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Anti-dilutive securities excluded from earnings per share calculation</w:t>
            </w:r>
          </w:p>
        </w:tc>
        <w:tc>
          <w:tcPr>
            <w:tcW w:w="9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404,557</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640,993</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884,610</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Equity Incentive Plans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Plans:</w:t>
      </w:r>
    </w:p>
    <w:p>
      <w:pPr>
        <w:spacing w:after="0" w:line="189"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8"/>
          <w:szCs w:val="18"/>
          <w:color w:val="auto"/>
        </w:rPr>
        <w:t>On July 20, 2021, the stockholders of the Company approved the Tile Shop Holdings, Inc. 2021 Omnibus Equity Compensation Plan (the “2021 Plan”). The 2021 Plan replaced the 2012 Omnibus Award Plan (the “Prior Plan”). Awards granted under the Prior Plan that were outstanding on the date of stockholder approval remained outstanding in accordance with their terms. The maximum number of shares that may be delivered with respect to awards under the 2021 Plan is 3,500,000 shares, subject to adjustment in certain circumstances. Shares tendered or withheld to pay the exercise price of a stock option or to cover tax withholding will not be added back to the number of shares available under the 2021 Plan. To the extent that any award under the 2021 Plan, or any award granted under the Prior Plan prior to stockholder approval of the 2021 Plan, is forfeited, canceled, surrendered or otherwise terminated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6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without the issuance of shares or an award is settled only in cash, the shares subject to such awards granted but not delivered will be added to the number of shares available for awards under the 2021 Plan.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89"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did not grant any stock options to its employees. Prior to 2020, the Company granted stock options to its employees that included service condition requirements. The options provide for certain acceleration of vesting and cancellation of options under different circumstances, such as a change in control, death, disability and termination of service. The Company recognizes compensation expense on a straight-line basis over the requisite service period, net of actual forfeitures.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based compensation related to options for the years ended December 31, 2023, 2022 and 2021 was less than $0.1 million, $0.1 million, and</w:t>
      </w:r>
    </w:p>
    <w:p>
      <w:pPr>
        <w:spacing w:after="0" w:line="2"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8"/>
          <w:szCs w:val="18"/>
          <w:color w:val="auto"/>
        </w:rPr>
        <w:t>$0.3 million, respectively, and was included in selling, general and administrative expenses in the consolidated statements of income. As of December 31, 2023, all options outstanding were fully vested and all compensation cost has been recognized.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years ended December 31, 2023, 2022 and 2021: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Weighted</w:t>
            </w:r>
          </w:p>
        </w:tc>
        <w:tc>
          <w:tcPr>
            <w:tcW w:w="240" w:type="dxa"/>
            <w:vAlign w:val="bottom"/>
          </w:tcPr>
          <w:p>
            <w:pPr>
              <w:spacing w:after="0"/>
              <w:rPr>
                <w:sz w:val="17"/>
                <w:szCs w:val="17"/>
                <w:color w:val="auto"/>
              </w:rPr>
            </w:pPr>
          </w:p>
        </w:tc>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Weighted</w:t>
            </w:r>
          </w:p>
        </w:tc>
        <w:tc>
          <w:tcPr>
            <w:tcW w:w="158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6"/>
              </w:rPr>
              <w:t>Weighted Avg.</w:t>
            </w:r>
          </w:p>
        </w:tc>
        <w:tc>
          <w:tcPr>
            <w:tcW w:w="140" w:type="dxa"/>
            <w:vAlign w:val="bottom"/>
          </w:tcPr>
          <w:p>
            <w:pPr>
              <w:spacing w:after="0"/>
              <w:rPr>
                <w:sz w:val="17"/>
                <w:szCs w:val="17"/>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Aggregate</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8"/>
              </w:rPr>
              <w:t>Average‎</w:t>
            </w:r>
          </w:p>
        </w:tc>
        <w:tc>
          <w:tcPr>
            <w:tcW w:w="240" w:type="dxa"/>
            <w:vAlign w:val="bottom"/>
          </w:tcPr>
          <w:p>
            <w:pPr>
              <w:spacing w:after="0"/>
              <w:rPr>
                <w:sz w:val="16"/>
                <w:szCs w:val="16"/>
                <w:color w:val="auto"/>
              </w:rPr>
            </w:pPr>
          </w:p>
        </w:tc>
        <w:tc>
          <w:tcPr>
            <w:tcW w:w="112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color w:val="auto"/>
                <w:w w:val="96"/>
              </w:rPr>
              <w:t>Avg. Grant</w:t>
            </w:r>
          </w:p>
        </w:tc>
        <w:tc>
          <w:tcPr>
            <w:tcW w:w="1580" w:type="dxa"/>
            <w:vAlign w:val="bottom"/>
            <w:gridSpan w:val="2"/>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8"/>
              </w:rPr>
              <w:t>Remaining‎</w:t>
            </w:r>
          </w:p>
        </w:tc>
        <w:tc>
          <w:tcPr>
            <w:tcW w:w="140" w:type="dxa"/>
            <w:vAlign w:val="bottom"/>
          </w:tcPr>
          <w:p>
            <w:pPr>
              <w:spacing w:after="0"/>
              <w:rPr>
                <w:sz w:val="16"/>
                <w:szCs w:val="16"/>
                <w:color w:val="auto"/>
              </w:rPr>
            </w:pPr>
          </w:p>
        </w:tc>
        <w:tc>
          <w:tcPr>
            <w:tcW w:w="122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w w:val="99"/>
              </w:rPr>
              <w:t>Intrinsic‎</w:t>
            </w: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color w:val="auto"/>
                <w:w w:val="99"/>
              </w:rPr>
              <w:t>Exercise‎</w:t>
            </w:r>
          </w:p>
        </w:tc>
        <w:tc>
          <w:tcPr>
            <w:tcW w:w="240" w:type="dxa"/>
            <w:vAlign w:val="bottom"/>
          </w:tcPr>
          <w:p>
            <w:pPr>
              <w:spacing w:after="0"/>
              <w:rPr>
                <w:sz w:val="17"/>
                <w:szCs w:val="17"/>
                <w:color w:val="auto"/>
              </w:rPr>
            </w:pPr>
          </w:p>
        </w:tc>
        <w:tc>
          <w:tcPr>
            <w:tcW w:w="1120" w:type="dxa"/>
            <w:vAlign w:val="bottom"/>
          </w:tcPr>
          <w:p>
            <w:pPr>
              <w:jc w:val="right"/>
              <w:ind w:right="450"/>
              <w:spacing w:after="0" w:line="202" w:lineRule="exact"/>
              <w:rPr>
                <w:sz w:val="20"/>
                <w:szCs w:val="20"/>
                <w:color w:val="auto"/>
              </w:rPr>
            </w:pPr>
            <w:r>
              <w:rPr>
                <w:rFonts w:ascii="Times New Roman" w:cs="Times New Roman" w:eastAsia="Times New Roman" w:hAnsi="Times New Roman"/>
                <w:sz w:val="18"/>
                <w:szCs w:val="18"/>
                <w:color w:val="auto"/>
              </w:rPr>
              <w:t>Date</w:t>
            </w:r>
          </w:p>
        </w:tc>
        <w:tc>
          <w:tcPr>
            <w:tcW w:w="1580" w:type="dxa"/>
            <w:vAlign w:val="bottom"/>
            <w:gridSpan w:val="2"/>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9"/>
              </w:rPr>
              <w:t>Contractual‎</w:t>
            </w:r>
          </w:p>
        </w:tc>
        <w:tc>
          <w:tcPr>
            <w:tcW w:w="140" w:type="dxa"/>
            <w:vAlign w:val="bottom"/>
          </w:tcPr>
          <w:p>
            <w:pPr>
              <w:spacing w:after="0"/>
              <w:rPr>
                <w:sz w:val="17"/>
                <w:szCs w:val="17"/>
                <w:color w:val="auto"/>
              </w:rPr>
            </w:pPr>
          </w:p>
        </w:tc>
        <w:tc>
          <w:tcPr>
            <w:tcW w:w="122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color w:val="auto"/>
                <w:w w:val="92"/>
              </w:rPr>
              <w:t>Value‎</w:t>
            </w:r>
          </w:p>
        </w:tc>
        <w:tc>
          <w:tcPr>
            <w:tcW w:w="0" w:type="dxa"/>
            <w:vAlign w:val="bottom"/>
          </w:tcPr>
          <w:p>
            <w:pPr>
              <w:spacing w:after="0"/>
              <w:rPr>
                <w:sz w:val="1"/>
                <w:szCs w:val="1"/>
                <w:color w:val="auto"/>
              </w:rPr>
            </w:pPr>
          </w:p>
        </w:tc>
      </w:tr>
      <w:tr>
        <w:trPr>
          <w:trHeight w:val="234"/>
        </w:trPr>
        <w:tc>
          <w:tcPr>
            <w:tcW w:w="4780" w:type="dxa"/>
            <w:vAlign w:val="bottom"/>
          </w:tcPr>
          <w:p>
            <w:pPr>
              <w:spacing w:after="0"/>
              <w:rPr>
                <w:sz w:val="20"/>
                <w:szCs w:val="20"/>
                <w:color w:val="auto"/>
              </w:rPr>
            </w:pP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Shares</w:t>
            </w:r>
          </w:p>
        </w:tc>
        <w:tc>
          <w:tcPr>
            <w:tcW w:w="180" w:type="dxa"/>
            <w:vAlign w:val="bottom"/>
          </w:tcPr>
          <w:p>
            <w:pPr>
              <w:spacing w:after="0"/>
              <w:rPr>
                <w:sz w:val="20"/>
                <w:szCs w:val="20"/>
                <w:color w:val="auto"/>
              </w:rPr>
            </w:pPr>
          </w:p>
        </w:tc>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Price‎</w:t>
            </w:r>
          </w:p>
        </w:tc>
        <w:tc>
          <w:tcPr>
            <w:tcW w:w="240" w:type="dxa"/>
            <w:vAlign w:val="bottom"/>
          </w:tcPr>
          <w:p>
            <w:pPr>
              <w:spacing w:after="0"/>
              <w:rPr>
                <w:sz w:val="20"/>
                <w:szCs w:val="20"/>
                <w:color w:val="auto"/>
              </w:rPr>
            </w:pPr>
          </w:p>
        </w:tc>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Fair Value</w:t>
            </w:r>
          </w:p>
        </w:tc>
        <w:tc>
          <w:tcPr>
            <w:tcW w:w="6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7"/>
              </w:rPr>
              <w:t>Term‎</w:t>
            </w: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6"/>
              </w:rPr>
              <w:t>(Years)</w:t>
            </w:r>
          </w:p>
        </w:tc>
        <w:tc>
          <w:tcPr>
            <w:tcW w:w="140" w:type="dxa"/>
            <w:vAlign w:val="bottom"/>
          </w:tcPr>
          <w:p>
            <w:pPr>
              <w:spacing w:after="0"/>
              <w:rPr>
                <w:sz w:val="20"/>
                <w:szCs w:val="20"/>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(in‎ thousands)</w:t>
            </w:r>
          </w:p>
        </w:tc>
        <w:tc>
          <w:tcPr>
            <w:tcW w:w="0" w:type="dxa"/>
            <w:vAlign w:val="bottom"/>
          </w:tcPr>
          <w:p>
            <w:pPr>
              <w:spacing w:after="0"/>
              <w:rPr>
                <w:sz w:val="1"/>
                <w:szCs w:val="1"/>
                <w:color w:val="auto"/>
              </w:rPr>
            </w:pPr>
          </w:p>
        </w:tc>
      </w:tr>
      <w:tr>
        <w:trPr>
          <w:trHeight w:val="183"/>
        </w:trPr>
        <w:tc>
          <w:tcPr>
            <w:tcW w:w="47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Balance, January 1, 2021</w:t>
            </w: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1,010,447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bottom w:val="single" w:sz="8" w:color="CCEEFF"/>
            </w:tcBorders>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10.96</w:t>
            </w:r>
          </w:p>
        </w:tc>
        <w:tc>
          <w:tcPr>
            <w:tcW w:w="24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bottom w:val="single" w:sz="8" w:color="CCEEFF"/>
            </w:tcBorders>
            <w:shd w:val="clear" w:color="auto" w:fill="CCEEFF"/>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5.16</w:t>
            </w: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CCEEFF"/>
              <w:bottom w:val="single" w:sz="8" w:color="CCEEFF"/>
            </w:tcBorders>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4.6</w:t>
            </w: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80" w:type="dxa"/>
            <w:vAlign w:val="bottom"/>
            <w:vMerge w:val="continue"/>
          </w:tcPr>
          <w:p>
            <w:pPr>
              <w:spacing w:after="0"/>
              <w:rPr>
                <w:sz w:val="14"/>
                <w:szCs w:val="14"/>
                <w:color w:val="auto"/>
              </w:rPr>
            </w:pPr>
          </w:p>
        </w:tc>
        <w:tc>
          <w:tcPr>
            <w:tcW w:w="9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Exercised</w:t>
            </w:r>
          </w:p>
        </w:tc>
        <w:tc>
          <w:tcPr>
            <w:tcW w:w="9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Cancelled/Forfeited</w:t>
            </w:r>
          </w:p>
        </w:tc>
        <w:tc>
          <w:tcPr>
            <w:tcW w:w="106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(104,502)</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11.03</w:t>
            </w:r>
          </w:p>
        </w:tc>
        <w:tc>
          <w:tcPr>
            <w:tcW w:w="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4.90</w:t>
            </w: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7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Balance, December 31, 2021</w:t>
            </w: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905,945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bottom w:val="single" w:sz="8" w:color="CCEEFF"/>
            </w:tcBorders>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10.96</w:t>
            </w:r>
          </w:p>
        </w:tc>
        <w:tc>
          <w:tcPr>
            <w:tcW w:w="24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bottom w:val="single" w:sz="8" w:color="CCEEFF"/>
            </w:tcBorders>
            <w:shd w:val="clear" w:color="auto" w:fill="CCEEFF"/>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5.19</w:t>
            </w: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CCEEFF"/>
              <w:bottom w:val="single" w:sz="8" w:color="CCEEFF"/>
            </w:tcBorders>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80" w:type="dxa"/>
            <w:vAlign w:val="bottom"/>
            <w:vMerge w:val="continue"/>
          </w:tcPr>
          <w:p>
            <w:pPr>
              <w:spacing w:after="0"/>
              <w:rPr>
                <w:sz w:val="14"/>
                <w:szCs w:val="14"/>
                <w:color w:val="auto"/>
              </w:rPr>
            </w:pPr>
          </w:p>
        </w:tc>
        <w:tc>
          <w:tcPr>
            <w:tcW w:w="9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Exercised</w:t>
            </w:r>
          </w:p>
        </w:tc>
        <w:tc>
          <w:tcPr>
            <w:tcW w:w="9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Cancelled/Forfeited</w:t>
            </w:r>
          </w:p>
        </w:tc>
        <w:tc>
          <w:tcPr>
            <w:tcW w:w="106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(347,878)</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10.53</w:t>
            </w:r>
          </w:p>
        </w:tc>
        <w:tc>
          <w:tcPr>
            <w:tcW w:w="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5.45</w:t>
            </w: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Balance, December 31, 2022</w:t>
            </w: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558,067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bottom w:val="single" w:sz="8" w:color="CCEEFF"/>
            </w:tcBorders>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11.22</w:t>
            </w:r>
          </w:p>
        </w:tc>
        <w:tc>
          <w:tcPr>
            <w:tcW w:w="24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bottom w:val="single" w:sz="8" w:color="CCEEFF"/>
            </w:tcBorders>
            <w:shd w:val="clear" w:color="auto" w:fill="CCEEFF"/>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4.82</w:t>
            </w: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CCEEFF"/>
              <w:bottom w:val="single" w:sz="8" w:color="CCEEFF"/>
            </w:tcBorders>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4.2</w:t>
            </w: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80" w:type="dxa"/>
            <w:vAlign w:val="bottom"/>
            <w:vMerge w:val="continue"/>
          </w:tcPr>
          <w:p>
            <w:pPr>
              <w:spacing w:after="0"/>
              <w:rPr>
                <w:sz w:val="14"/>
                <w:szCs w:val="14"/>
                <w:color w:val="auto"/>
              </w:rPr>
            </w:pPr>
          </w:p>
        </w:tc>
        <w:tc>
          <w:tcPr>
            <w:tcW w:w="9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Exercised</w:t>
            </w:r>
          </w:p>
        </w:tc>
        <w:tc>
          <w:tcPr>
            <w:tcW w:w="9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6.26</w:t>
            </w:r>
          </w:p>
        </w:tc>
        <w:tc>
          <w:tcPr>
            <w:tcW w:w="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2.57</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Cancelled/Forfeited</w:t>
            </w:r>
          </w:p>
        </w:tc>
        <w:tc>
          <w:tcPr>
            <w:tcW w:w="106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(197,350)</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18.33</w:t>
            </w:r>
          </w:p>
        </w:tc>
        <w:tc>
          <w:tcPr>
            <w:tcW w:w="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8.58</w:t>
            </w: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Balance, December 31, 2023</w:t>
            </w: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310,717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bottom w:val="single" w:sz="8" w:color="CCEEFF"/>
            </w:tcBorders>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7.51</w:t>
            </w:r>
          </w:p>
        </w:tc>
        <w:tc>
          <w:tcPr>
            <w:tcW w:w="24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bottom w:val="single" w:sz="8" w:color="CCEEFF"/>
            </w:tcBorders>
            <w:shd w:val="clear" w:color="auto" w:fill="CCEEFF"/>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3.17</w:t>
            </w: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CCEEFF"/>
              <w:bottom w:val="single" w:sz="8" w:color="CCEEFF"/>
            </w:tcBorders>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3.8</w:t>
            </w: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9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7.51</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3.17</w:t>
            </w: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80" w:type="dxa"/>
            <w:vAlign w:val="bottom"/>
            <w:tcBorders>
              <w:bottom w:val="single" w:sz="8" w:color="CCEEFF"/>
            </w:tcBorders>
            <w:vMerge w:val="continue"/>
          </w:tcPr>
          <w:p>
            <w:pPr>
              <w:spacing w:after="0"/>
              <w:rPr>
                <w:sz w:val="14"/>
                <w:szCs w:val="14"/>
                <w:color w:val="auto"/>
              </w:rPr>
            </w:pPr>
          </w:p>
        </w:tc>
        <w:tc>
          <w:tcPr>
            <w:tcW w:w="980" w:type="dxa"/>
            <w:vAlign w:val="bottom"/>
            <w:tcBorders>
              <w:bottom w:val="single" w:sz="8" w:color="CCEEFF"/>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310,717</w:t>
            </w:r>
          </w:p>
        </w:tc>
        <w:tc>
          <w:tcPr>
            <w:tcW w:w="8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CCEEFF"/>
            </w:tcBorders>
            <w:vMerge w:val="continue"/>
          </w:tcPr>
          <w:p>
            <w:pPr>
              <w:spacing w:after="0"/>
              <w:rPr>
                <w:sz w:val="14"/>
                <w:szCs w:val="14"/>
                <w:color w:val="auto"/>
              </w:rPr>
            </w:pPr>
          </w:p>
        </w:tc>
        <w:tc>
          <w:tcPr>
            <w:tcW w:w="92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112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478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Vested and expected to vest, December 31, 2023</w:t>
            </w:r>
          </w:p>
        </w:tc>
        <w:tc>
          <w:tcPr>
            <w:tcW w:w="980" w:type="dxa"/>
            <w:vAlign w:val="bottom"/>
            <w:tcBorders>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310,717</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7.51</w:t>
            </w:r>
          </w:p>
        </w:tc>
        <w:tc>
          <w:tcPr>
            <w:tcW w:w="240" w:type="dxa"/>
            <w:vAlign w:val="bottom"/>
            <w:tcBorders>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3.17</w:t>
            </w:r>
          </w:p>
        </w:tc>
        <w:tc>
          <w:tcPr>
            <w:tcW w:w="6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intrinsic value is the difference between the exercise price and the closing price of the Company’s stock on December 31.</w:t>
      </w:r>
    </w:p>
    <w:p>
      <w:pPr>
        <w:spacing w:after="0" w:line="1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175"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The Company awards restricted common shares to selected employees and non-employee directors. Recipients are not required to provide any consideration upon vesting of the award. Restricted stock awards are subject to certain restrictions on transfer, and all or part of the shares awarded may be subject to forfeiture upon the occurrence of certain events, including employment termination. Certain awards are also subject to forfeiture if the Company fails to attain its Adjusted EBITDA or Pretax Return on Capital Employed performance targets. The restricted common stock is valued at its grant date fair value and expensed over the requisite service period or the vesting term of the awards. The Company adjusts the cumulative expense recognized on awards with performance conditions based on the probability of achieving the performance condition.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activity during the years ended December 31, 2023, 2022 and 2021:</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8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6"/>
              </w:rPr>
              <w:t>Weighted Avg.</w:t>
            </w:r>
          </w:p>
        </w:tc>
        <w:tc>
          <w:tcPr>
            <w:tcW w:w="0" w:type="dxa"/>
            <w:vAlign w:val="bottom"/>
          </w:tcPr>
          <w:p>
            <w:pPr>
              <w:spacing w:after="0"/>
              <w:rPr>
                <w:sz w:val="1"/>
                <w:szCs w:val="1"/>
                <w:color w:val="auto"/>
              </w:rPr>
            </w:pPr>
          </w:p>
        </w:tc>
      </w:tr>
      <w:tr>
        <w:trPr>
          <w:trHeight w:val="203"/>
        </w:trPr>
        <w:tc>
          <w:tcPr>
            <w:tcW w:w="8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color w:val="auto"/>
              </w:rPr>
              <w:t>‎Grant Date</w:t>
            </w:r>
          </w:p>
        </w:tc>
        <w:tc>
          <w:tcPr>
            <w:tcW w:w="0" w:type="dxa"/>
            <w:vAlign w:val="bottom"/>
          </w:tcPr>
          <w:p>
            <w:pPr>
              <w:spacing w:after="0"/>
              <w:rPr>
                <w:sz w:val="1"/>
                <w:szCs w:val="1"/>
                <w:color w:val="auto"/>
              </w:rPr>
            </w:pPr>
          </w:p>
        </w:tc>
      </w:tr>
      <w:tr>
        <w:trPr>
          <w:trHeight w:val="221"/>
        </w:trPr>
        <w:tc>
          <w:tcPr>
            <w:tcW w:w="8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Pr>
          <w:p>
            <w:pPr>
              <w:spacing w:after="0"/>
              <w:rPr>
                <w:sz w:val="19"/>
                <w:szCs w:val="19"/>
                <w:color w:val="auto"/>
              </w:rPr>
            </w:pPr>
          </w:p>
        </w:tc>
        <w:tc>
          <w:tcPr>
            <w:tcW w:w="12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6"/>
              </w:rPr>
              <w:t>‎Fair Value</w:t>
            </w:r>
          </w:p>
        </w:tc>
        <w:tc>
          <w:tcPr>
            <w:tcW w:w="0" w:type="dxa"/>
            <w:vAlign w:val="bottom"/>
          </w:tcPr>
          <w:p>
            <w:pPr>
              <w:spacing w:after="0"/>
              <w:rPr>
                <w:sz w:val="1"/>
                <w:szCs w:val="1"/>
                <w:color w:val="auto"/>
              </w:rPr>
            </w:pPr>
          </w:p>
        </w:tc>
      </w:tr>
      <w:tr>
        <w:trPr>
          <w:trHeight w:val="183"/>
        </w:trPr>
        <w:tc>
          <w:tcPr>
            <w:tcW w:w="836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Nonvested, January 1, 2021</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1,642,497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Granted</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line="20" w:lineRule="exact"/>
              <w:rPr>
                <w:sz w:val="1"/>
                <w:szCs w:val="1"/>
                <w:color w:val="auto"/>
              </w:rPr>
            </w:pPr>
          </w:p>
        </w:tc>
      </w:tr>
      <w:tr>
        <w:trPr>
          <w:trHeight w:val="169"/>
        </w:trPr>
        <w:tc>
          <w:tcPr>
            <w:tcW w:w="83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421,547</w:t>
            </w:r>
          </w:p>
        </w:tc>
        <w:tc>
          <w:tcPr>
            <w:tcW w:w="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6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Vested</w:t>
            </w:r>
          </w:p>
        </w:tc>
        <w:tc>
          <w:tcPr>
            <w:tcW w:w="116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(742,392)</w:t>
            </w:r>
          </w:p>
        </w:tc>
        <w:tc>
          <w:tcPr>
            <w:tcW w:w="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189"/>
        </w:trPr>
        <w:tc>
          <w:tcPr>
            <w:tcW w:w="86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(24,018)</w:t>
            </w:r>
          </w:p>
        </w:tc>
        <w:tc>
          <w:tcPr>
            <w:tcW w:w="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183"/>
        </w:trPr>
        <w:tc>
          <w:tcPr>
            <w:tcW w:w="836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Nonvested, December 31, 2021</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1,297,634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Granted</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line="20" w:lineRule="exact"/>
              <w:rPr>
                <w:sz w:val="1"/>
                <w:szCs w:val="1"/>
                <w:color w:val="auto"/>
              </w:rPr>
            </w:pPr>
          </w:p>
        </w:tc>
      </w:tr>
      <w:tr>
        <w:trPr>
          <w:trHeight w:val="169"/>
        </w:trPr>
        <w:tc>
          <w:tcPr>
            <w:tcW w:w="83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610,478</w:t>
            </w:r>
          </w:p>
        </w:tc>
        <w:tc>
          <w:tcPr>
            <w:tcW w:w="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6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Vested</w:t>
            </w:r>
          </w:p>
        </w:tc>
        <w:tc>
          <w:tcPr>
            <w:tcW w:w="116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(466,298)</w:t>
            </w:r>
          </w:p>
        </w:tc>
        <w:tc>
          <w:tcPr>
            <w:tcW w:w="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189"/>
        </w:trPr>
        <w:tc>
          <w:tcPr>
            <w:tcW w:w="86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(264,912)</w:t>
            </w:r>
          </w:p>
        </w:tc>
        <w:tc>
          <w:tcPr>
            <w:tcW w:w="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183"/>
        </w:trPr>
        <w:tc>
          <w:tcPr>
            <w:tcW w:w="836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Nonvested, December 31, 2022</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1,176,902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Granted</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line="20" w:lineRule="exact"/>
              <w:rPr>
                <w:sz w:val="1"/>
                <w:szCs w:val="1"/>
                <w:color w:val="auto"/>
              </w:rPr>
            </w:pPr>
          </w:p>
        </w:tc>
      </w:tr>
      <w:tr>
        <w:trPr>
          <w:trHeight w:val="169"/>
        </w:trPr>
        <w:tc>
          <w:tcPr>
            <w:tcW w:w="83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611,154</w:t>
            </w:r>
          </w:p>
        </w:tc>
        <w:tc>
          <w:tcPr>
            <w:tcW w:w="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6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Vested</w:t>
            </w:r>
          </w:p>
        </w:tc>
        <w:tc>
          <w:tcPr>
            <w:tcW w:w="116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(448,506)</w:t>
            </w:r>
          </w:p>
        </w:tc>
        <w:tc>
          <w:tcPr>
            <w:tcW w:w="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189"/>
        </w:trPr>
        <w:tc>
          <w:tcPr>
            <w:tcW w:w="86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(372,645)</w:t>
            </w:r>
          </w:p>
        </w:tc>
        <w:tc>
          <w:tcPr>
            <w:tcW w:w="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183"/>
        </w:trPr>
        <w:tc>
          <w:tcPr>
            <w:tcW w:w="836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Nonvested, December 31, 2023</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966,905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1020"/>
        <w:spacing w:after="0" w:line="266" w:lineRule="auto"/>
        <w:rPr>
          <w:sz w:val="20"/>
          <w:szCs w:val="20"/>
          <w:color w:val="auto"/>
        </w:rPr>
      </w:pPr>
      <w:r>
        <w:rPr>
          <w:rFonts w:ascii="Times New Roman" w:cs="Times New Roman" w:eastAsia="Times New Roman" w:hAnsi="Times New Roman"/>
          <w:sz w:val="18"/>
          <w:szCs w:val="18"/>
          <w:color w:val="auto"/>
        </w:rPr>
        <w:t>The total expense associated with restricted stock for the years ended December 31, 2023, 2022, and 2021 was $1.4 million, $1.7 million, and $2.0 million, respectively.</w:t>
      </w:r>
    </w:p>
    <w:p>
      <w:pPr>
        <w:spacing w:after="0" w:line="135"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18"/>
          <w:szCs w:val="18"/>
          <w:color w:val="auto"/>
        </w:rPr>
        <w:t>During 2021, the Company granted restricted share awards subject to forfeiture on the date the Company files its annual report on Form 10-K for each of the 2021, 2022 and 2023 fiscal years if the Company fails to attain certain Adjusted EBITDA margin performance targets in 2021, 2022 and 2023. In 2022, the Company granted restricted share awards subject to forfeiture on the date the Company files its annual report on Form 10-K for each of the 2022, 2023 and 2024 fiscal years if the Company fails to attain certain Pretax Return on Capital Employed performance targets in 2022, 2023 and 2024. In 2023, the Company granted restricted share awards subject to forfeiture on the date the Company files its annual report on Form 10-K for each of the 2023, 2024 and 2025 fiscal years if the Company fails to attain certain Pretax Return on Capital Employed performance targets in 2023, 2024 and</w:t>
      </w:r>
    </w:p>
    <w:p>
      <w:pPr>
        <w:spacing w:after="0" w:line="1" w:lineRule="exact"/>
        <w:rPr>
          <w:sz w:val="20"/>
          <w:szCs w:val="20"/>
          <w:color w:val="auto"/>
        </w:rPr>
      </w:pPr>
    </w:p>
    <w:p>
      <w:pPr>
        <w:jc w:val="both"/>
        <w:ind w:right="260"/>
        <w:spacing w:after="0" w:line="234" w:lineRule="auto"/>
        <w:rPr>
          <w:sz w:val="20"/>
          <w:szCs w:val="20"/>
          <w:color w:val="auto"/>
        </w:rPr>
      </w:pPr>
      <w:r>
        <w:rPr>
          <w:rFonts w:ascii="Times New Roman" w:cs="Times New Roman" w:eastAsia="Times New Roman" w:hAnsi="Times New Roman"/>
          <w:sz w:val="18"/>
          <w:szCs w:val="18"/>
          <w:color w:val="auto"/>
        </w:rPr>
        <w:t>2025. The Company did not attain any of the Adjusted EBITDA or Pretax Return on Capital Employed performance measures in 2023, and accordingly, did not record any expense in connection with the performance share awards in 2023. The Company anticipates cancelling 210,451 restricted shares on the date this Form 10-K is filed.</w:t>
      </w:r>
    </w:p>
    <w:p>
      <w:pPr>
        <w:spacing w:after="0" w:line="144"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8"/>
          <w:szCs w:val="18"/>
          <w:color w:val="auto"/>
        </w:rPr>
        <w:t>As of December 31, 2023, there was $2.7 million of total unrecognized expense related to unvested restricted stock awards, which are expected to vest, and will be expensed over a weighted average period of 1.4 years. The fair value of restricted stock granted in fiscal years 2023 and 2022 was $3.0 million and $3.4 million, respectively. The total fair value of restricted stock that vested in fiscal years 2023 and 2022 was $2.3 million and $1.9 million, respectively. Using the closing stock price of $7.36 on December 29, 2023 (the last trading day of fiscal 2023), the 966,905 restricted shares outstanding and expected to vest as of December 31, 2023 had an intrinsic value of $7.1 million.</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provision for income taxes consisted of the following:</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9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7"/>
          </w:tcPr>
          <w:p>
            <w:pPr>
              <w:jc w:val="center"/>
              <w:ind w:left="670"/>
              <w:spacing w:after="0"/>
              <w:rPr>
                <w:sz w:val="20"/>
                <w:szCs w:val="20"/>
                <w:color w:val="auto"/>
              </w:rPr>
            </w:pPr>
            <w:r>
              <w:rPr>
                <w:rFonts w:ascii="Times New Roman" w:cs="Times New Roman" w:eastAsia="Times New Roman" w:hAnsi="Times New Roman"/>
                <w:sz w:val="18"/>
                <w:szCs w:val="18"/>
                <w:color w:val="auto"/>
                <w:w w:val="99"/>
              </w:rPr>
              <w:t>Years Ended December 31,</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9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30"/>
              <w:spacing w:after="0" w:line="182" w:lineRule="exact"/>
              <w:rPr>
                <w:sz w:val="20"/>
                <w:szCs w:val="20"/>
                <w:color w:val="auto"/>
              </w:rPr>
            </w:pPr>
            <w:r>
              <w:rPr>
                <w:rFonts w:ascii="Times New Roman" w:cs="Times New Roman" w:eastAsia="Times New Roman" w:hAnsi="Times New Roman"/>
                <w:sz w:val="18"/>
                <w:szCs w:val="18"/>
                <w:color w:val="auto"/>
                <w:w w:val="99"/>
              </w:rPr>
              <w:t>2022</w:t>
            </w: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8"/>
        </w:trPr>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(in thousands)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4960" w:type="dxa"/>
            <w:vAlign w:val="bottom"/>
            <w:vMerge w:val="continue"/>
          </w:tcPr>
          <w:p>
            <w:pPr>
              <w:spacing w:after="0"/>
              <w:rPr>
                <w:sz w:val="12"/>
                <w:szCs w:val="12"/>
                <w:color w:val="auto"/>
              </w:rPr>
            </w:pPr>
          </w:p>
        </w:tc>
        <w:tc>
          <w:tcPr>
            <w:tcW w:w="1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96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Federal</w:t>
            </w:r>
          </w:p>
        </w:tc>
        <w:tc>
          <w:tcPr>
            <w:tcW w:w="2160" w:type="dxa"/>
            <w:vAlign w:val="bottom"/>
            <w:gridSpan w:val="2"/>
            <w:shd w:val="clear" w:color="auto" w:fill="CCEEFF"/>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(2,087)</w:t>
            </w:r>
          </w:p>
        </w:tc>
        <w:tc>
          <w:tcPr>
            <w:tcW w:w="2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(3,870)</w:t>
            </w:r>
          </w:p>
        </w:tc>
        <w:tc>
          <w:tcPr>
            <w:tcW w:w="320" w:type="dxa"/>
            <w:vAlign w:val="bottom"/>
            <w:shd w:val="clear" w:color="auto" w:fill="CCEEFF"/>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(5,397)</w:t>
            </w:r>
          </w:p>
        </w:tc>
        <w:tc>
          <w:tcPr>
            <w:tcW w:w="0" w:type="dxa"/>
            <w:vAlign w:val="bottom"/>
          </w:tcPr>
          <w:p>
            <w:pPr>
              <w:spacing w:after="0"/>
              <w:rPr>
                <w:sz w:val="1"/>
                <w:szCs w:val="1"/>
                <w:color w:val="auto"/>
              </w:rPr>
            </w:pPr>
          </w:p>
        </w:tc>
      </w:tr>
      <w:tr>
        <w:trPr>
          <w:trHeight w:val="189"/>
        </w:trPr>
        <w:tc>
          <w:tcPr>
            <w:tcW w:w="496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State</w:t>
            </w:r>
          </w:p>
        </w:tc>
        <w:tc>
          <w:tcPr>
            <w:tcW w:w="1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(556)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(1,040)</w:t>
            </w: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(1,390)</w:t>
            </w:r>
          </w:p>
        </w:tc>
        <w:tc>
          <w:tcPr>
            <w:tcW w:w="0" w:type="dxa"/>
            <w:vAlign w:val="bottom"/>
          </w:tcPr>
          <w:p>
            <w:pPr>
              <w:spacing w:after="0"/>
              <w:rPr>
                <w:sz w:val="1"/>
                <w:szCs w:val="1"/>
                <w:color w:val="auto"/>
              </w:rPr>
            </w:pPr>
          </w:p>
        </w:tc>
      </w:tr>
      <w:tr>
        <w:trPr>
          <w:trHeight w:val="189"/>
        </w:trPr>
        <w:tc>
          <w:tcPr>
            <w:tcW w:w="496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International</w:t>
            </w:r>
          </w:p>
        </w:tc>
        <w:tc>
          <w:tcPr>
            <w:tcW w:w="1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83"/>
        </w:trPr>
        <w:tc>
          <w:tcPr>
            <w:tcW w:w="49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Current</w:t>
            </w:r>
          </w:p>
        </w:tc>
        <w:tc>
          <w:tcPr>
            <w:tcW w:w="18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(2,643)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(4,910)</w:t>
            </w:r>
          </w:p>
        </w:tc>
        <w:tc>
          <w:tcPr>
            <w:tcW w:w="1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(6,791)</w:t>
            </w:r>
          </w:p>
        </w:tc>
        <w:tc>
          <w:tcPr>
            <w:tcW w:w="0" w:type="dxa"/>
            <w:vAlign w:val="bottom"/>
          </w:tcPr>
          <w:p>
            <w:pPr>
              <w:spacing w:after="0"/>
              <w:rPr>
                <w:sz w:val="1"/>
                <w:szCs w:val="1"/>
                <w:color w:val="auto"/>
              </w:rPr>
            </w:pPr>
          </w:p>
        </w:tc>
      </w:tr>
      <w:tr>
        <w:trPr>
          <w:trHeight w:val="189"/>
        </w:trPr>
        <w:tc>
          <w:tcPr>
            <w:tcW w:w="49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Deferred</w:t>
            </w:r>
          </w:p>
        </w:tc>
        <w:tc>
          <w:tcPr>
            <w:tcW w:w="1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6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Federal</w:t>
            </w:r>
          </w:p>
        </w:tc>
        <w:tc>
          <w:tcPr>
            <w:tcW w:w="1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(794)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(91)</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1,698</w:t>
            </w:r>
          </w:p>
        </w:tc>
        <w:tc>
          <w:tcPr>
            <w:tcW w:w="0" w:type="dxa"/>
            <w:vAlign w:val="bottom"/>
          </w:tcPr>
          <w:p>
            <w:pPr>
              <w:spacing w:after="0"/>
              <w:rPr>
                <w:sz w:val="1"/>
                <w:szCs w:val="1"/>
                <w:color w:val="auto"/>
              </w:rPr>
            </w:pPr>
          </w:p>
        </w:tc>
      </w:tr>
      <w:tr>
        <w:trPr>
          <w:trHeight w:val="189"/>
        </w:trPr>
        <w:tc>
          <w:tcPr>
            <w:tcW w:w="496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State</w:t>
            </w:r>
          </w:p>
        </w:tc>
        <w:tc>
          <w:tcPr>
            <w:tcW w:w="1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(486)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(281)</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189"/>
        </w:trPr>
        <w:tc>
          <w:tcPr>
            <w:tcW w:w="496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International</w:t>
            </w:r>
          </w:p>
        </w:tc>
        <w:tc>
          <w:tcPr>
            <w:tcW w:w="1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83"/>
        </w:trPr>
        <w:tc>
          <w:tcPr>
            <w:tcW w:w="496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Deferred</w:t>
            </w:r>
          </w:p>
        </w:tc>
        <w:tc>
          <w:tcPr>
            <w:tcW w:w="18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(1,280)</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(417)</w:t>
            </w: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183"/>
        </w:trPr>
        <w:tc>
          <w:tcPr>
            <w:tcW w:w="49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(Provision) Benefit for Income Taxes</w:t>
            </w:r>
          </w:p>
        </w:tc>
        <w:tc>
          <w:tcPr>
            <w:tcW w:w="186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(3,923)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(5,327)</w:t>
            </w:r>
          </w:p>
        </w:tc>
        <w:tc>
          <w:tcPr>
            <w:tcW w:w="160" w:type="dxa"/>
            <w:vAlign w:val="bottom"/>
          </w:tcPr>
          <w:p>
            <w:pPr>
              <w:spacing w:after="0"/>
              <w:rPr>
                <w:sz w:val="15"/>
                <w:szCs w:val="15"/>
                <w:color w:val="auto"/>
              </w:rPr>
            </w:pPr>
          </w:p>
        </w:tc>
        <w:tc>
          <w:tcPr>
            <w:tcW w:w="320" w:type="dxa"/>
            <w:vAlign w:val="bottom"/>
            <w:tcBorders>
              <w:bottom w:val="single" w:sz="8" w:color="auto"/>
            </w:tcBorders>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(5,180)</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majority of the Company's pretax income is from domestic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effective income tax rate reconciliation for the years ended December 31, 2023, 2022 and 2021: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8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Borders>
              <w:bottom w:val="single" w:sz="8" w:color="auto"/>
            </w:tcBorders>
          </w:tcPr>
          <w:p>
            <w:pPr>
              <w:spacing w:after="0"/>
              <w:rPr>
                <w:sz w:val="19"/>
                <w:szCs w:val="19"/>
                <w:color w:val="auto"/>
              </w:rPr>
            </w:pPr>
          </w:p>
        </w:tc>
      </w:tr>
      <w:tr>
        <w:trPr>
          <w:trHeight w:val="183"/>
        </w:trPr>
        <w:tc>
          <w:tcPr>
            <w:tcW w:w="68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Federal statutory rate</w:t>
            </w:r>
          </w:p>
        </w:tc>
        <w:tc>
          <w:tcPr>
            <w:tcW w:w="10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21.0</w:t>
            </w:r>
          </w:p>
        </w:tc>
        <w:tc>
          <w:tcPr>
            <w:tcW w:w="300" w:type="dxa"/>
            <w:vAlign w:val="bottom"/>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21.0</w:t>
            </w:r>
          </w:p>
        </w:tc>
        <w:tc>
          <w:tcPr>
            <w:tcW w:w="340" w:type="dxa"/>
            <w:vAlign w:val="bottom"/>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21.0</w:t>
            </w:r>
          </w:p>
        </w:tc>
        <w:tc>
          <w:tcPr>
            <w:tcW w:w="320" w:type="dxa"/>
            <w:vAlign w:val="bottom"/>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93"/>
              </w:rPr>
              <w:t>%</w:t>
            </w:r>
          </w:p>
        </w:tc>
      </w:tr>
      <w:tr>
        <w:trPr>
          <w:trHeight w:val="189"/>
        </w:trPr>
        <w:tc>
          <w:tcPr>
            <w:tcW w:w="68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State income taxes, net of the federal tax benefit</w:t>
            </w: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5.9</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5.5</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6.1</w:t>
            </w:r>
          </w:p>
        </w:tc>
        <w:tc>
          <w:tcPr>
            <w:tcW w:w="320" w:type="dxa"/>
            <w:vAlign w:val="bottom"/>
          </w:tcPr>
          <w:p>
            <w:pPr>
              <w:spacing w:after="0"/>
              <w:rPr>
                <w:sz w:val="16"/>
                <w:szCs w:val="16"/>
                <w:color w:val="auto"/>
              </w:rPr>
            </w:pPr>
          </w:p>
        </w:tc>
      </w:tr>
      <w:tr>
        <w:trPr>
          <w:trHeight w:val="189"/>
        </w:trPr>
        <w:tc>
          <w:tcPr>
            <w:tcW w:w="68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Stock based compensation</w:t>
            </w: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30"/>
              <w:spacing w:after="0" w:line="189" w:lineRule="exact"/>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w:t>
            </w:r>
          </w:p>
        </w:tc>
        <w:tc>
          <w:tcPr>
            <w:tcW w:w="320" w:type="dxa"/>
            <w:vAlign w:val="bottom"/>
            <w:shd w:val="clear" w:color="auto" w:fill="CCEEFF"/>
          </w:tcPr>
          <w:p>
            <w:pPr>
              <w:spacing w:after="0"/>
              <w:rPr>
                <w:sz w:val="16"/>
                <w:szCs w:val="16"/>
                <w:color w:val="auto"/>
              </w:rPr>
            </w:pPr>
          </w:p>
        </w:tc>
      </w:tr>
      <w:tr>
        <w:trPr>
          <w:trHeight w:val="189"/>
        </w:trPr>
        <w:tc>
          <w:tcPr>
            <w:tcW w:w="68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Tax credits</w:t>
            </w: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(0.6)</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right"/>
              <w:ind w:right="230"/>
              <w:spacing w:after="0" w:line="189" w:lineRule="exact"/>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(0.2)</w:t>
            </w:r>
          </w:p>
        </w:tc>
        <w:tc>
          <w:tcPr>
            <w:tcW w:w="320" w:type="dxa"/>
            <w:vAlign w:val="bottom"/>
          </w:tcPr>
          <w:p>
            <w:pPr>
              <w:spacing w:after="0"/>
              <w:rPr>
                <w:sz w:val="16"/>
                <w:szCs w:val="16"/>
                <w:color w:val="auto"/>
              </w:rPr>
            </w:pPr>
          </w:p>
        </w:tc>
      </w:tr>
      <w:tr>
        <w:trPr>
          <w:trHeight w:val="189"/>
        </w:trPr>
        <w:tc>
          <w:tcPr>
            <w:tcW w:w="68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0.1</w:t>
            </w:r>
          </w:p>
        </w:tc>
        <w:tc>
          <w:tcPr>
            <w:tcW w:w="300" w:type="dxa"/>
            <w:vAlign w:val="bottom"/>
            <w:tcBorders>
              <w:bottom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tcBorders>
              <w:bottom w:val="single" w:sz="8" w:color="auto"/>
            </w:tcBorders>
            <w:gridSpan w:val="2"/>
            <w:shd w:val="clear" w:color="auto" w:fill="CCEEFF"/>
          </w:tcPr>
          <w:p>
            <w:pPr>
              <w:jc w:val="right"/>
              <w:ind w:right="230"/>
              <w:spacing w:after="0" w:line="189" w:lineRule="exact"/>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0.4</w:t>
            </w:r>
          </w:p>
        </w:tc>
        <w:tc>
          <w:tcPr>
            <w:tcW w:w="320" w:type="dxa"/>
            <w:vAlign w:val="bottom"/>
            <w:tcBorders>
              <w:bottom w:val="single" w:sz="8" w:color="auto"/>
            </w:tcBorders>
            <w:shd w:val="clear" w:color="auto" w:fill="CCEEFF"/>
          </w:tcPr>
          <w:p>
            <w:pPr>
              <w:spacing w:after="0"/>
              <w:rPr>
                <w:sz w:val="16"/>
                <w:szCs w:val="16"/>
                <w:color w:val="auto"/>
              </w:rPr>
            </w:pPr>
          </w:p>
        </w:tc>
      </w:tr>
      <w:tr>
        <w:trPr>
          <w:trHeight w:val="183"/>
        </w:trPr>
        <w:tc>
          <w:tcPr>
            <w:tcW w:w="68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Effective tax rate</w:t>
            </w:r>
          </w:p>
        </w:tc>
        <w:tc>
          <w:tcPr>
            <w:tcW w:w="10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28.0</w:t>
            </w:r>
          </w:p>
        </w:tc>
        <w:tc>
          <w:tcPr>
            <w:tcW w:w="300" w:type="dxa"/>
            <w:vAlign w:val="bottom"/>
            <w:tcBorders>
              <w:bottom w:val="single" w:sz="8" w:color="auto"/>
            </w:tcBorders>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Pr>
          <w:p>
            <w:pPr>
              <w:spacing w:after="0"/>
              <w:rPr>
                <w:sz w:val="15"/>
                <w:szCs w:val="15"/>
                <w:color w:val="auto"/>
              </w:rPr>
            </w:pPr>
          </w:p>
        </w:tc>
        <w:tc>
          <w:tcPr>
            <w:tcW w:w="10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25.3</w:t>
            </w:r>
          </w:p>
        </w:tc>
        <w:tc>
          <w:tcPr>
            <w:tcW w:w="340" w:type="dxa"/>
            <w:vAlign w:val="bottom"/>
            <w:tcBorders>
              <w:bottom w:val="single" w:sz="8" w:color="auto"/>
            </w:tcBorders>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0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26.0</w:t>
            </w:r>
          </w:p>
        </w:tc>
        <w:tc>
          <w:tcPr>
            <w:tcW w:w="320" w:type="dxa"/>
            <w:vAlign w:val="bottom"/>
            <w:tcBorders>
              <w:bottom w:val="single" w:sz="8" w:color="auto"/>
            </w:tcBorders>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6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18"/>
          <w:szCs w:val="18"/>
          <w:color w:val="auto"/>
        </w:rPr>
        <w:t>The Company’s effective tax rate was 28.0%, 25.3% and 26.0% during the years ended December 31, 2023, 2022 and 2021, respectively. The increase in the effective tax rate in 2023 when compared to 2022 was primarily due to an increase in tax expense associated with stock based compensation. The decrease in the effective tax rate in 2022 when compared to 2021 was primarily due to a decrease in the Company’s state taxes.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Components of net deferred income taxes were as follows at December 31:</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3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8"/>
        </w:trPr>
        <w:tc>
          <w:tcPr>
            <w:tcW w:w="8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80" w:type="dxa"/>
            <w:vAlign w:val="bottom"/>
          </w:tcPr>
          <w:p>
            <w:pPr>
              <w:spacing w:after="0"/>
              <w:rPr>
                <w:sz w:val="19"/>
                <w:szCs w:val="19"/>
                <w:color w:val="auto"/>
              </w:rPr>
            </w:pP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83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Section 743 carryforward</w:t>
            </w:r>
          </w:p>
        </w:tc>
        <w:tc>
          <w:tcPr>
            <w:tcW w:w="280" w:type="dxa"/>
            <w:vAlign w:val="bottom"/>
            <w:shd w:val="clear" w:color="auto" w:fill="CCEEFF"/>
          </w:tcPr>
          <w:p>
            <w:pPr>
              <w:jc w:val="right"/>
              <w:ind w:right="11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6,070</w:t>
            </w:r>
          </w:p>
        </w:tc>
        <w:tc>
          <w:tcPr>
            <w:tcW w:w="1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324"/>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7,764</w:t>
            </w:r>
          </w:p>
        </w:tc>
        <w:tc>
          <w:tcPr>
            <w:tcW w:w="0" w:type="dxa"/>
            <w:vAlign w:val="bottom"/>
          </w:tcPr>
          <w:p>
            <w:pPr>
              <w:spacing w:after="0"/>
              <w:rPr>
                <w:sz w:val="1"/>
                <w:szCs w:val="1"/>
                <w:color w:val="auto"/>
              </w:rPr>
            </w:pPr>
          </w:p>
        </w:tc>
      </w:tr>
      <w:tr>
        <w:trPr>
          <w:trHeight w:val="189"/>
        </w:trPr>
        <w:tc>
          <w:tcPr>
            <w:tcW w:w="836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1,787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36,083</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33,901</w:t>
            </w:r>
          </w:p>
        </w:tc>
        <w:tc>
          <w:tcPr>
            <w:tcW w:w="0" w:type="dxa"/>
            <w:vAlign w:val="bottom"/>
          </w:tcPr>
          <w:p>
            <w:pPr>
              <w:spacing w:after="0"/>
              <w:rPr>
                <w:sz w:val="1"/>
                <w:szCs w:val="1"/>
                <w:color w:val="auto"/>
              </w:rPr>
            </w:pPr>
          </w:p>
        </w:tc>
      </w:tr>
      <w:tr>
        <w:trPr>
          <w:trHeight w:val="189"/>
        </w:trPr>
        <w:tc>
          <w:tcPr>
            <w:tcW w:w="8360" w:type="dxa"/>
            <w:vAlign w:val="bottom"/>
            <w:tcBorders>
              <w:bottom w:val="single" w:sz="8" w:color="CCEEFF"/>
            </w:tcBorders>
          </w:tcPr>
          <w:p>
            <w:pPr>
              <w:ind w:left="220"/>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2,790</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4,034</w:t>
            </w:r>
          </w:p>
        </w:tc>
        <w:tc>
          <w:tcPr>
            <w:tcW w:w="0" w:type="dxa"/>
            <w:vAlign w:val="bottom"/>
          </w:tcPr>
          <w:p>
            <w:pPr>
              <w:spacing w:after="0"/>
              <w:rPr>
                <w:sz w:val="1"/>
                <w:szCs w:val="1"/>
                <w:color w:val="auto"/>
              </w:rPr>
            </w:pPr>
          </w:p>
        </w:tc>
      </w:tr>
      <w:tr>
        <w:trPr>
          <w:trHeight w:val="183"/>
        </w:trPr>
        <w:tc>
          <w:tcPr>
            <w:tcW w:w="8360" w:type="dxa"/>
            <w:vAlign w:val="bottom"/>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Total deferred income tax assets</w:t>
            </w:r>
          </w:p>
        </w:tc>
        <w:tc>
          <w:tcPr>
            <w:tcW w:w="280" w:type="dxa"/>
            <w:vAlign w:val="bottom"/>
            <w:tcBorders>
              <w:bottom w:val="single" w:sz="8" w:color="auto"/>
            </w:tcBorders>
            <w:shd w:val="clear" w:color="auto" w:fill="CCEEFF"/>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46,730</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47,730</w:t>
            </w:r>
          </w:p>
        </w:tc>
        <w:tc>
          <w:tcPr>
            <w:tcW w:w="0" w:type="dxa"/>
            <w:vAlign w:val="bottom"/>
          </w:tcPr>
          <w:p>
            <w:pPr>
              <w:spacing w:after="0"/>
              <w:rPr>
                <w:sz w:val="1"/>
                <w:szCs w:val="1"/>
                <w:color w:val="auto"/>
              </w:rPr>
            </w:pPr>
          </w:p>
        </w:tc>
      </w:tr>
      <w:tr>
        <w:trPr>
          <w:trHeight w:val="183"/>
        </w:trPr>
        <w:tc>
          <w:tcPr>
            <w:tcW w:w="8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Deferred income tax liabilities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6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5,145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6,692</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35,337</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32,693</w:t>
            </w:r>
          </w:p>
        </w:tc>
        <w:tc>
          <w:tcPr>
            <w:tcW w:w="0" w:type="dxa"/>
            <w:vAlign w:val="bottom"/>
          </w:tcPr>
          <w:p>
            <w:pPr>
              <w:spacing w:after="0"/>
              <w:rPr>
                <w:sz w:val="1"/>
                <w:szCs w:val="1"/>
                <w:color w:val="auto"/>
              </w:rPr>
            </w:pPr>
          </w:p>
        </w:tc>
      </w:tr>
      <w:tr>
        <w:trPr>
          <w:trHeight w:val="189"/>
        </w:trPr>
        <w:tc>
          <w:tcPr>
            <w:tcW w:w="8360" w:type="dxa"/>
            <w:vAlign w:val="bottom"/>
            <w:tcBorders>
              <w:bottom w:val="single" w:sz="8" w:color="CCEEFF"/>
            </w:tcBorders>
          </w:tcPr>
          <w:p>
            <w:pPr>
              <w:ind w:left="220"/>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992</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1,809</w:t>
            </w:r>
          </w:p>
        </w:tc>
        <w:tc>
          <w:tcPr>
            <w:tcW w:w="0" w:type="dxa"/>
            <w:vAlign w:val="bottom"/>
          </w:tcPr>
          <w:p>
            <w:pPr>
              <w:spacing w:after="0"/>
              <w:rPr>
                <w:sz w:val="1"/>
                <w:szCs w:val="1"/>
                <w:color w:val="auto"/>
              </w:rPr>
            </w:pPr>
          </w:p>
        </w:tc>
      </w:tr>
      <w:tr>
        <w:trPr>
          <w:trHeight w:val="183"/>
        </w:trPr>
        <w:tc>
          <w:tcPr>
            <w:tcW w:w="8360" w:type="dxa"/>
            <w:vAlign w:val="bottom"/>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Total deferred income tax liabilities</w:t>
            </w:r>
          </w:p>
        </w:tc>
        <w:tc>
          <w:tcPr>
            <w:tcW w:w="2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41,474</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41,194</w:t>
            </w:r>
          </w:p>
        </w:tc>
        <w:tc>
          <w:tcPr>
            <w:tcW w:w="0" w:type="dxa"/>
            <w:vAlign w:val="bottom"/>
          </w:tcPr>
          <w:p>
            <w:pPr>
              <w:spacing w:after="0"/>
              <w:rPr>
                <w:sz w:val="1"/>
                <w:szCs w:val="1"/>
                <w:color w:val="auto"/>
              </w:rPr>
            </w:pPr>
          </w:p>
        </w:tc>
      </w:tr>
      <w:tr>
        <w:trPr>
          <w:trHeight w:val="183"/>
        </w:trPr>
        <w:tc>
          <w:tcPr>
            <w:tcW w:w="836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Net deferred income tax assets</w:t>
            </w:r>
          </w:p>
        </w:tc>
        <w:tc>
          <w:tcPr>
            <w:tcW w:w="280" w:type="dxa"/>
            <w:vAlign w:val="bottom"/>
            <w:tcBorders>
              <w:bottom w:val="single" w:sz="8" w:color="auto"/>
            </w:tcBorders>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5,256</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6,536</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The Company has recognized the tax consequences of all foreign unremitted earnings and management has no specific plans to indefinitely reinvest the unremitted earnings of its foreign subsidiary as of December 31, 2023. As of December 31, 2023, the total undistributed earnings of the Company's non-U.S. subsidiary was approximately $0.1 million. The Company has provided no deferred taxes on withholding taxes, state taxes, and foreign currency gains and losses due on the repatriation of those earnings.</w:t>
      </w:r>
    </w:p>
    <w:p>
      <w:pPr>
        <w:spacing w:after="0" w:line="15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Company records interest and penalties through income tax expense relating to uncertain tax positions. As of December 31, 2023, 2022 and 2021, the Company has not recognized any liabilities for uncertain tax positions nor has the Company accrued interest and penalties related to uncertain tax positions.</w:t>
      </w:r>
    </w:p>
    <w:p>
      <w:pPr>
        <w:spacing w:after="0" w:line="149"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8"/>
          <w:szCs w:val="18"/>
          <w:color w:val="auto"/>
        </w:rPr>
        <w:t>The Company's federal, state, and foreign income tax returns are subject to audit. The Company is not currently under audit by federal, state, or foreign taxing authorities. The years open to examination include years ending 2020 to 2022 for federal income tax purposes, years ending 2019 to 2022 for state income tax purposes, and years ending 2020 to 2022 for foreign income tax purposes.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New Markets Tax Credit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2016 New Markets Tax Credit</w:t>
      </w:r>
    </w:p>
    <w:p>
      <w:pPr>
        <w:spacing w:after="0" w:line="187"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18"/>
          <w:szCs w:val="18"/>
          <w:color w:val="auto"/>
        </w:rPr>
        <w:t>In December 2016, the Company entered into a financing transaction with U.S. Bank Community, LLC (“U.S. Bank”) related to a $9.2 million expansion of the Company’s facility in Durant, Oklahoma. U.S. Bank made a capital contribution to, and Tile Shop Lending, Inc. (“Tile Shop Lending”) made a loan to, Twain Investment Fund 192 LLC (the “Investment Fund”) under a qualified New Markets Tax Credit (“NMTC”) program. In this transaction, Tile Shop Lending loaned $6.7 million to the Investment Fund. U.S. Bank also contributed $3.2 million to the Investment Fund and, by virtue of such contribution, was entitled to substantially all of the tax benefits derived from the NMTC, while the Company effectively received net loan proceeds equal to U.S. Bank’s contributions to the Investment Fund. This transaction included a put/call provision whereby the Company may have been obligated or entitled to repurchase U.S. Bank’s interest. The value attributed to the put/call prior to the exercise of the put option was de minimis. The NMTC was subject to 100% recapture for a period of seven years as provided in the Internal Revenue Code. The Company was required to be in compliance with various regulations and contractual provisions that apply to the NMTC arrangement. Non-compliance with applicable requirements could have resulted in projected tax benefits not being realized and, therefore, could have required the Company to indemnify U.S. Bank for any loss or recapture of NMTCs related to the financing until such time as the obligation to deliver tax benefits was relieved. No credit recaptures were required in connection with this arrangement. In connection with this transaction, U.S. Bank contributed $3.2 million, net of syndication fees, to the Investment Fund. The Company incurred $1.3 million of syndication fees in connection with this transaction. The Company recognized the benefit of this net $1.9 million contribution over the seven-year compliance period as it was earned through the on-going compliance with the conditions of the NMTC program.</w:t>
      </w:r>
    </w:p>
    <w:p>
      <w:pPr>
        <w:spacing w:after="0" w:line="163"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In December 2023, U.S. Bank exercised the put option to sell its interest in the Investment Fund at the end of the tax credit recapture period. Upon closing, the balance in the Investment Fund that was previously classified as restricted cash in the Consolidated Balance Sheet was used to fund $0.1 million of closing costs. The remaining $0.5 million balance in the Investment Fund was transferred to the Company resulting in an increase in cash on the Consolidated Balance Sheet.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Retirement Savings Plan</w:t>
      </w:r>
    </w:p>
    <w:p>
      <w:pPr>
        <w:spacing w:after="0" w:line="189" w:lineRule="exact"/>
        <w:rPr>
          <w:sz w:val="20"/>
          <w:szCs w:val="20"/>
          <w:color w:val="auto"/>
        </w:rPr>
      </w:pPr>
    </w:p>
    <w:p>
      <w:pPr>
        <w:jc w:val="both"/>
        <w:ind w:right="120"/>
        <w:spacing w:after="0" w:line="242" w:lineRule="auto"/>
        <w:rPr>
          <w:sz w:val="20"/>
          <w:szCs w:val="20"/>
          <w:color w:val="auto"/>
        </w:rPr>
      </w:pPr>
      <w:r>
        <w:rPr>
          <w:rFonts w:ascii="Times New Roman" w:cs="Times New Roman" w:eastAsia="Times New Roman" w:hAnsi="Times New Roman"/>
          <w:sz w:val="18"/>
          <w:szCs w:val="18"/>
          <w:color w:val="auto"/>
        </w:rPr>
        <w:t>The Company has a 401(k) profit sharing plan covering substantially all full-time employees. Employee contributions are limited to the maximum amount allowable by the Internal Revenue Code. The Company matched employee contributions of $1.6 million in both 2023 and 2022, and $1.8 million in 2021. The Company made no discretionary contributions for any of the years presented.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Quarterly Financial Data (Unaudited)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results of operations for the years ended December 31, 2023 and 2022 are summarized below (in thousands, except per 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5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First Quarter</w:t>
            </w:r>
          </w:p>
        </w:tc>
        <w:tc>
          <w:tcPr>
            <w:tcW w:w="17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Second Quarter</w:t>
            </w:r>
          </w:p>
        </w:tc>
        <w:tc>
          <w:tcPr>
            <w:tcW w:w="17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Third Quarter</w:t>
            </w:r>
          </w:p>
        </w:tc>
        <w:tc>
          <w:tcPr>
            <w:tcW w:w="15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Fourth Quarter</w:t>
            </w:r>
          </w:p>
        </w:tc>
      </w:tr>
      <w:tr>
        <w:trPr>
          <w:trHeight w:val="372"/>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9"/>
        </w:trPr>
        <w:tc>
          <w:tcPr>
            <w:tcW w:w="45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102,019</w:t>
            </w:r>
          </w:p>
        </w:tc>
        <w:tc>
          <w:tcPr>
            <w:tcW w:w="1740" w:type="dxa"/>
            <w:vAlign w:val="bottom"/>
            <w:shd w:val="clear" w:color="auto" w:fill="CCEEFF"/>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98,557</w:t>
            </w:r>
          </w:p>
        </w:tc>
        <w:tc>
          <w:tcPr>
            <w:tcW w:w="1700" w:type="dxa"/>
            <w:vAlign w:val="bottom"/>
            <w:shd w:val="clear" w:color="auto" w:fill="CCEEFF"/>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92,112</w:t>
            </w:r>
          </w:p>
        </w:tc>
        <w:tc>
          <w:tcPr>
            <w:tcW w:w="15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84,458</w:t>
            </w:r>
          </w:p>
        </w:tc>
      </w:tr>
      <w:tr>
        <w:trPr>
          <w:trHeight w:val="189"/>
        </w:trPr>
        <w:tc>
          <w:tcPr>
            <w:tcW w:w="4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6"/>
                <w:szCs w:val="16"/>
                <w:color w:val="auto"/>
              </w:rPr>
            </w:pPr>
          </w:p>
        </w:tc>
        <w:tc>
          <w:tcPr>
            <w:tcW w:w="1520" w:type="dxa"/>
            <w:vAlign w:val="bottom"/>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65,538</w:t>
            </w:r>
          </w:p>
        </w:tc>
        <w:tc>
          <w:tcPr>
            <w:tcW w:w="174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63,302</w:t>
            </w:r>
          </w:p>
        </w:tc>
        <w:tc>
          <w:tcPr>
            <w:tcW w:w="170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59,563</w:t>
            </w:r>
          </w:p>
        </w:tc>
        <w:tc>
          <w:tcPr>
            <w:tcW w:w="15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54,658</w:t>
            </w:r>
          </w:p>
        </w:tc>
      </w:tr>
      <w:tr>
        <w:trPr>
          <w:trHeight w:val="189"/>
        </w:trPr>
        <w:tc>
          <w:tcPr>
            <w:tcW w:w="45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4,125</w:t>
            </w:r>
          </w:p>
        </w:tc>
        <w:tc>
          <w:tcPr>
            <w:tcW w:w="1740" w:type="dxa"/>
            <w:vAlign w:val="bottom"/>
            <w:shd w:val="clear" w:color="auto" w:fill="CCEEFF"/>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7,734</w:t>
            </w:r>
          </w:p>
        </w:tc>
        <w:tc>
          <w:tcPr>
            <w:tcW w:w="1700" w:type="dxa"/>
            <w:vAlign w:val="bottom"/>
            <w:shd w:val="clear" w:color="auto" w:fill="CCEEFF"/>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2,829</w:t>
            </w:r>
          </w:p>
        </w:tc>
        <w:tc>
          <w:tcPr>
            <w:tcW w:w="15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1,470</w:t>
            </w:r>
          </w:p>
        </w:tc>
      </w:tr>
      <w:tr>
        <w:trPr>
          <w:trHeight w:val="189"/>
        </w:trPr>
        <w:tc>
          <w:tcPr>
            <w:tcW w:w="4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6"/>
                <w:szCs w:val="16"/>
                <w:color w:val="auto"/>
              </w:rPr>
            </w:pPr>
          </w:p>
        </w:tc>
        <w:tc>
          <w:tcPr>
            <w:tcW w:w="1520" w:type="dxa"/>
            <w:vAlign w:val="bottom"/>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2,512</w:t>
            </w:r>
          </w:p>
        </w:tc>
        <w:tc>
          <w:tcPr>
            <w:tcW w:w="174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5,079</w:t>
            </w:r>
          </w:p>
        </w:tc>
        <w:tc>
          <w:tcPr>
            <w:tcW w:w="170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1,844</w:t>
            </w:r>
          </w:p>
        </w:tc>
        <w:tc>
          <w:tcPr>
            <w:tcW w:w="15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636</w:t>
            </w:r>
          </w:p>
        </w:tc>
      </w:tr>
      <w:tr>
        <w:trPr>
          <w:trHeight w:val="189"/>
        </w:trPr>
        <w:tc>
          <w:tcPr>
            <w:tcW w:w="45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Basic earnings per share</w:t>
            </w: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0.06</w:t>
            </w:r>
          </w:p>
        </w:tc>
        <w:tc>
          <w:tcPr>
            <w:tcW w:w="1740" w:type="dxa"/>
            <w:vAlign w:val="bottom"/>
            <w:shd w:val="clear" w:color="auto" w:fill="CCEEFF"/>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0.12</w:t>
            </w:r>
          </w:p>
        </w:tc>
        <w:tc>
          <w:tcPr>
            <w:tcW w:w="1700" w:type="dxa"/>
            <w:vAlign w:val="bottom"/>
            <w:shd w:val="clear" w:color="auto" w:fill="CCEEFF"/>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0.04</w:t>
            </w:r>
          </w:p>
        </w:tc>
        <w:tc>
          <w:tcPr>
            <w:tcW w:w="15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0.01</w:t>
            </w:r>
          </w:p>
        </w:tc>
      </w:tr>
      <w:tr>
        <w:trPr>
          <w:trHeight w:val="189"/>
        </w:trPr>
        <w:tc>
          <w:tcPr>
            <w:tcW w:w="4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tcPr>
          <w:p>
            <w:pPr>
              <w:spacing w:after="0"/>
              <w:rPr>
                <w:sz w:val="16"/>
                <w:szCs w:val="16"/>
                <w:color w:val="auto"/>
              </w:rPr>
            </w:pPr>
          </w:p>
        </w:tc>
        <w:tc>
          <w:tcPr>
            <w:tcW w:w="1520" w:type="dxa"/>
            <w:vAlign w:val="bottom"/>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0.06</w:t>
            </w:r>
          </w:p>
        </w:tc>
        <w:tc>
          <w:tcPr>
            <w:tcW w:w="174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0.12</w:t>
            </w:r>
          </w:p>
        </w:tc>
        <w:tc>
          <w:tcPr>
            <w:tcW w:w="170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0.04</w:t>
            </w:r>
          </w:p>
        </w:tc>
        <w:tc>
          <w:tcPr>
            <w:tcW w:w="15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0.01</w:t>
            </w:r>
          </w:p>
        </w:tc>
      </w:tr>
      <w:tr>
        <w:trPr>
          <w:trHeight w:val="189"/>
        </w:trPr>
        <w:tc>
          <w:tcPr>
            <w:tcW w:w="4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189"/>
        </w:trPr>
        <w:tc>
          <w:tcPr>
            <w:tcW w:w="454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9"/>
        </w:trPr>
        <w:tc>
          <w:tcPr>
            <w:tcW w:w="45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102,471</w:t>
            </w:r>
          </w:p>
        </w:tc>
        <w:tc>
          <w:tcPr>
            <w:tcW w:w="1740" w:type="dxa"/>
            <w:vAlign w:val="bottom"/>
            <w:shd w:val="clear" w:color="auto" w:fill="CCEEFF"/>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107,604</w:t>
            </w:r>
          </w:p>
        </w:tc>
        <w:tc>
          <w:tcPr>
            <w:tcW w:w="1700" w:type="dxa"/>
            <w:vAlign w:val="bottom"/>
            <w:shd w:val="clear" w:color="auto" w:fill="CCEEFF"/>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97,154</w:t>
            </w:r>
          </w:p>
        </w:tc>
        <w:tc>
          <w:tcPr>
            <w:tcW w:w="15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87,473</w:t>
            </w:r>
          </w:p>
        </w:tc>
      </w:tr>
      <w:tr>
        <w:trPr>
          <w:trHeight w:val="189"/>
        </w:trPr>
        <w:tc>
          <w:tcPr>
            <w:tcW w:w="4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6"/>
                <w:szCs w:val="16"/>
                <w:color w:val="auto"/>
              </w:rPr>
            </w:pPr>
          </w:p>
        </w:tc>
        <w:tc>
          <w:tcPr>
            <w:tcW w:w="1520" w:type="dxa"/>
            <w:vAlign w:val="bottom"/>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66,845</w:t>
            </w:r>
          </w:p>
        </w:tc>
        <w:tc>
          <w:tcPr>
            <w:tcW w:w="174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71,018</w:t>
            </w:r>
          </w:p>
        </w:tc>
        <w:tc>
          <w:tcPr>
            <w:tcW w:w="170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64,612</w:t>
            </w:r>
          </w:p>
        </w:tc>
        <w:tc>
          <w:tcPr>
            <w:tcW w:w="15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56,462</w:t>
            </w:r>
          </w:p>
        </w:tc>
      </w:tr>
      <w:tr>
        <w:trPr>
          <w:trHeight w:val="189"/>
        </w:trPr>
        <w:tc>
          <w:tcPr>
            <w:tcW w:w="45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4,736</w:t>
            </w:r>
          </w:p>
        </w:tc>
        <w:tc>
          <w:tcPr>
            <w:tcW w:w="1740" w:type="dxa"/>
            <w:vAlign w:val="bottom"/>
            <w:shd w:val="clear" w:color="auto" w:fill="CCEEFF"/>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9,778</w:t>
            </w:r>
          </w:p>
        </w:tc>
        <w:tc>
          <w:tcPr>
            <w:tcW w:w="1700" w:type="dxa"/>
            <w:vAlign w:val="bottom"/>
            <w:shd w:val="clear" w:color="auto" w:fill="CCEEFF"/>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5,503</w:t>
            </w:r>
          </w:p>
        </w:tc>
        <w:tc>
          <w:tcPr>
            <w:tcW w:w="15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2,592</w:t>
            </w:r>
          </w:p>
        </w:tc>
      </w:tr>
      <w:tr>
        <w:trPr>
          <w:trHeight w:val="189"/>
        </w:trPr>
        <w:tc>
          <w:tcPr>
            <w:tcW w:w="4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6"/>
                <w:szCs w:val="16"/>
                <w:color w:val="auto"/>
              </w:rPr>
            </w:pPr>
          </w:p>
        </w:tc>
        <w:tc>
          <w:tcPr>
            <w:tcW w:w="1520" w:type="dxa"/>
            <w:vAlign w:val="bottom"/>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3,513</w:t>
            </w:r>
          </w:p>
        </w:tc>
        <w:tc>
          <w:tcPr>
            <w:tcW w:w="174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6,914</w:t>
            </w:r>
          </w:p>
        </w:tc>
        <w:tc>
          <w:tcPr>
            <w:tcW w:w="170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3,823</w:t>
            </w:r>
          </w:p>
        </w:tc>
        <w:tc>
          <w:tcPr>
            <w:tcW w:w="15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1,453</w:t>
            </w:r>
          </w:p>
        </w:tc>
      </w:tr>
      <w:tr>
        <w:trPr>
          <w:trHeight w:val="189"/>
        </w:trPr>
        <w:tc>
          <w:tcPr>
            <w:tcW w:w="45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Basic earnings per share</w:t>
            </w: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0.07</w:t>
            </w:r>
          </w:p>
        </w:tc>
        <w:tc>
          <w:tcPr>
            <w:tcW w:w="1740" w:type="dxa"/>
            <w:vAlign w:val="bottom"/>
            <w:shd w:val="clear" w:color="auto" w:fill="CCEEFF"/>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0.14</w:t>
            </w:r>
          </w:p>
        </w:tc>
        <w:tc>
          <w:tcPr>
            <w:tcW w:w="1700" w:type="dxa"/>
            <w:vAlign w:val="bottom"/>
            <w:shd w:val="clear" w:color="auto" w:fill="CCEEFF"/>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0.08</w:t>
            </w:r>
          </w:p>
        </w:tc>
        <w:tc>
          <w:tcPr>
            <w:tcW w:w="15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0.03</w:t>
            </w:r>
          </w:p>
        </w:tc>
      </w:t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tcPr>
          <w:p>
            <w:pPr>
              <w:spacing w:after="0"/>
              <w:rPr>
                <w:sz w:val="20"/>
                <w:szCs w:val="20"/>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0.07</w:t>
            </w:r>
          </w:p>
        </w:tc>
        <w:tc>
          <w:tcPr>
            <w:tcW w:w="1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0.13</w:t>
            </w:r>
          </w:p>
        </w:tc>
        <w:tc>
          <w:tcPr>
            <w:tcW w:w="1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0.08</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819"/>
        </w:trPr>
        <w:tc>
          <w:tcPr>
            <w:tcW w:w="4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62</w:t>
            </w:r>
          </w:p>
        </w:tc>
        <w:tc>
          <w:tcPr>
            <w:tcW w:w="1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18"/>
        </w:trPr>
        <w:tc>
          <w:tcPr>
            <w:tcW w:w="4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13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54"/>
        </w:trPr>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960" w:type="dxa"/>
            <w:vAlign w:val="bottom"/>
            <w:gridSpan w:val="30"/>
          </w:tcPr>
          <w:p>
            <w:pPr>
              <w:jc w:val="center"/>
              <w:ind w:right="4320"/>
              <w:spacing w:after="0"/>
              <w:rPr>
                <w:sz w:val="20"/>
                <w:szCs w:val="20"/>
                <w:color w:val="auto"/>
              </w:rPr>
            </w:pPr>
            <w:r>
              <w:rPr>
                <w:rFonts w:ascii="Times New Roman" w:cs="Times New Roman" w:eastAsia="Times New Roman" w:hAnsi="Times New Roman"/>
                <w:sz w:val="18"/>
                <w:szCs w:val="18"/>
                <w:b w:val="1"/>
                <w:bCs w:val="1"/>
                <w:color w:val="auto"/>
                <w:w w:val="99"/>
              </w:rPr>
              <w:t>TILE SHOP HOLDINGS, INC.</w:t>
            </w:r>
          </w:p>
        </w:tc>
      </w:tr>
      <w:tr>
        <w:trPr>
          <w:trHeight w:val="238"/>
        </w:trPr>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360" w:type="dxa"/>
            <w:vAlign w:val="bottom"/>
            <w:gridSpan w:val="29"/>
          </w:tcPr>
          <w:p>
            <w:pPr>
              <w:jc w:val="center"/>
              <w:ind w:right="49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1"/>
        </w:trPr>
        <w:tc>
          <w:tcPr>
            <w:tcW w:w="138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3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2"/>
        </w:trPr>
        <w:tc>
          <w:tcPr>
            <w:tcW w:w="900" w:type="dxa"/>
            <w:vAlign w:val="bottom"/>
            <w:gridSpan w:val="5"/>
            <w:shd w:val="clear" w:color="auto" w:fill="CCEEFF"/>
          </w:tcPr>
          <w:p>
            <w:pPr>
              <w:jc w:val="center"/>
              <w:ind w:left="390"/>
              <w:spacing w:after="0" w:line="162" w:lineRule="exact"/>
              <w:rPr>
                <w:rFonts w:ascii="Times New Roman" w:cs="Times New Roman" w:eastAsia="Times New Roman" w:hAnsi="Times New Roman"/>
                <w:sz w:val="18"/>
                <w:szCs w:val="18"/>
                <w:color w:val="0000EE"/>
                <w:w w:val="97"/>
              </w:rPr>
            </w:pPr>
            <w:hyperlink r:id="rId87">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80" w:type="dxa"/>
            <w:vAlign w:val="bottom"/>
            <w:gridSpan w:val="36"/>
            <w:shd w:val="clear" w:color="auto" w:fill="CCEEFF"/>
          </w:tcPr>
          <w:p>
            <w:pPr>
              <w:spacing w:after="0" w:line="162"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Certificate of Incorporation of Tile Shop Holdings, Inc. – incorporated by reference to Exhibit 3.1 to the Company’s Form S-4 (Reg. No.</w:t>
              </w:r>
            </w:hyperlink>
          </w:p>
        </w:tc>
      </w:tr>
      <w:tr>
        <w:trPr>
          <w:trHeight w:val="169"/>
        </w:trPr>
        <w:tc>
          <w:tcPr>
            <w:tcW w:w="4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0000EE"/>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60" w:type="dxa"/>
            <w:vAlign w:val="bottom"/>
            <w:tcBorders>
              <w:top w:val="single" w:sz="8" w:color="0000EE"/>
            </w:tcBorders>
            <w:gridSpan w:val="35"/>
            <w:shd w:val="clear" w:color="auto" w:fill="CCEEFF"/>
          </w:tcPr>
          <w:p>
            <w:pPr>
              <w:spacing w:after="0" w:line="169"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333-182482) dated July 2, 2012.</w:t>
              </w:r>
            </w:hyperlink>
          </w:p>
        </w:tc>
        <w:tc>
          <w:tcPr>
            <w:tcW w:w="20" w:type="dxa"/>
            <w:vAlign w:val="bottom"/>
            <w:tcBorders>
              <w:top w:val="single" w:sz="8" w:color="CCEEFF"/>
            </w:tcBorders>
            <w:shd w:val="clear" w:color="auto" w:fill="CCEEFF"/>
          </w:tcPr>
          <w:p>
            <w:pPr>
              <w:spacing w:after="0"/>
              <w:rPr>
                <w:sz w:val="14"/>
                <w:szCs w:val="14"/>
                <w:color w:val="auto"/>
              </w:rPr>
            </w:pPr>
          </w:p>
        </w:tc>
      </w:tr>
      <w:tr>
        <w:trPr>
          <w:trHeight w:val="27"/>
        </w:trPr>
        <w:tc>
          <w:tcPr>
            <w:tcW w:w="4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220" w:type="dxa"/>
            <w:vAlign w:val="bottom"/>
            <w:shd w:val="clear" w:color="auto" w:fill="0000EE"/>
          </w:tcPr>
          <w:p>
            <w:pPr>
              <w:spacing w:after="0"/>
              <w:rPr>
                <w:sz w:val="2"/>
                <w:szCs w:val="2"/>
                <w:color w:val="auto"/>
              </w:rPr>
            </w:pPr>
          </w:p>
        </w:tc>
        <w:tc>
          <w:tcPr>
            <w:tcW w:w="220" w:type="dxa"/>
            <w:vAlign w:val="bottom"/>
            <w:tcBorders>
              <w:right w:val="single" w:sz="8" w:color="CCEEFF"/>
            </w:tcBorders>
            <w:shd w:val="clear" w:color="auto" w:fill="0000EE"/>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540" w:type="dxa"/>
            <w:vAlign w:val="bottom"/>
            <w:tcBorders>
              <w:right w:val="single" w:sz="8" w:color="CCEEFF"/>
            </w:tcBorders>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900" w:type="dxa"/>
            <w:vAlign w:val="bottom"/>
            <w:gridSpan w:val="5"/>
          </w:tcPr>
          <w:p>
            <w:pPr>
              <w:jc w:val="center"/>
              <w:ind w:left="390"/>
              <w:spacing w:after="0" w:line="162" w:lineRule="exact"/>
              <w:rPr>
                <w:rFonts w:ascii="Times New Roman" w:cs="Times New Roman" w:eastAsia="Times New Roman" w:hAnsi="Times New Roman"/>
                <w:sz w:val="18"/>
                <w:szCs w:val="18"/>
                <w:color w:val="0000FF"/>
                <w:w w:val="97"/>
              </w:rPr>
            </w:pPr>
            <w:hyperlink r:id="rId88">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80" w:type="dxa"/>
            <w:vAlign w:val="bottom"/>
            <w:gridSpan w:val="36"/>
          </w:tcPr>
          <w:p>
            <w:pPr>
              <w:spacing w:after="0" w:line="162"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Certificate of Amendment to the Certificate of Incorporation of Tile Shop Holdings, Inc. – incorporated by reference to Exhibit 3.2 to</w:t>
              </w:r>
            </w:hyperlink>
          </w:p>
        </w:tc>
      </w:tr>
      <w:tr>
        <w:trPr>
          <w:trHeight w:val="169"/>
        </w:trPr>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6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the Company’s Current Report on Form 8-K filed July 21, 2021.</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7"/>
        </w:trPr>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22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54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900" w:type="dxa"/>
            <w:vAlign w:val="bottom"/>
            <w:gridSpan w:val="5"/>
            <w:shd w:val="clear" w:color="auto" w:fill="CCEEFF"/>
          </w:tcPr>
          <w:p>
            <w:pPr>
              <w:jc w:val="center"/>
              <w:ind w:left="390"/>
              <w:spacing w:after="0" w:line="162" w:lineRule="exact"/>
              <w:rPr>
                <w:rFonts w:ascii="Times New Roman" w:cs="Times New Roman" w:eastAsia="Times New Roman" w:hAnsi="Times New Roman"/>
                <w:sz w:val="18"/>
                <w:szCs w:val="18"/>
                <w:color w:val="0000EE"/>
                <w:w w:val="97"/>
              </w:rPr>
            </w:pPr>
            <w:hyperlink r:id="rId89">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3</w:t>
              </w:r>
            </w:hyperlink>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80" w:type="dxa"/>
            <w:vAlign w:val="bottom"/>
            <w:gridSpan w:val="36"/>
            <w:shd w:val="clear" w:color="auto" w:fill="CCEEFF"/>
          </w:tcPr>
          <w:p>
            <w:pPr>
              <w:spacing w:after="0" w:line="162"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Bylaws of Tile Shop Holdings, Inc. – incorporated by reference to Exhibit 3.2 to the Company’s Form S-4 (Reg. No. 333-182482) dated</w:t>
              </w:r>
            </w:hyperlink>
          </w:p>
        </w:tc>
      </w:tr>
      <w:tr>
        <w:trPr>
          <w:trHeight w:val="176"/>
        </w:trPr>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0000EE"/>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0000EE"/>
              <w:bottom w:val="single" w:sz="8" w:color="0000EE"/>
            </w:tcBorders>
            <w:gridSpan w:val="2"/>
            <w:shd w:val="clear" w:color="auto" w:fill="CCEEFF"/>
          </w:tcPr>
          <w:p>
            <w:pPr>
              <w:spacing w:after="0" w:line="169" w:lineRule="exact"/>
              <w:rPr>
                <w:rFonts w:ascii="Times New Roman" w:cs="Times New Roman" w:eastAsia="Times New Roman" w:hAnsi="Times New Roman"/>
                <w:sz w:val="18"/>
                <w:szCs w:val="18"/>
                <w:color w:val="0000EE"/>
                <w:w w:val="98"/>
              </w:rPr>
            </w:pPr>
            <w:hyperlink r:id="rId89">
              <w:r>
                <w:rPr>
                  <w:rFonts w:ascii="Times New Roman" w:cs="Times New Roman" w:eastAsia="Times New Roman" w:hAnsi="Times New Roman"/>
                  <w:sz w:val="18"/>
                  <w:szCs w:val="18"/>
                  <w:color w:val="0000EE"/>
                  <w:w w:val="98"/>
                </w:rPr>
                <w:t>July 2, 2012.</w:t>
              </w:r>
            </w:hyperlink>
          </w:p>
        </w:tc>
        <w:tc>
          <w:tcPr>
            <w:tcW w:w="8920" w:type="dxa"/>
            <w:vAlign w:val="bottom"/>
            <w:tcBorders>
              <w:top w:val="single" w:sz="8" w:color="0000EE"/>
              <w:bottom w:val="single" w:sz="8" w:color="CCEEFF"/>
            </w:tcBorders>
            <w:gridSpan w:val="3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62"/>
        </w:trPr>
        <w:tc>
          <w:tcPr>
            <w:tcW w:w="900" w:type="dxa"/>
            <w:vAlign w:val="bottom"/>
            <w:gridSpan w:val="5"/>
          </w:tcPr>
          <w:p>
            <w:pPr>
              <w:jc w:val="center"/>
              <w:ind w:left="390"/>
              <w:spacing w:after="0" w:line="162" w:lineRule="exact"/>
              <w:rPr>
                <w:rFonts w:ascii="Times New Roman" w:cs="Times New Roman" w:eastAsia="Times New Roman" w:hAnsi="Times New Roman"/>
                <w:sz w:val="18"/>
                <w:szCs w:val="18"/>
                <w:color w:val="0000EE"/>
                <w:w w:val="97"/>
              </w:rPr>
            </w:pPr>
            <w:hyperlink r:id="rId90">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80" w:type="dxa"/>
            <w:vAlign w:val="bottom"/>
            <w:gridSpan w:val="36"/>
          </w:tcPr>
          <w:p>
            <w:pPr>
              <w:spacing w:after="0" w:line="162"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Specimen Common Stock Certificate – incorporated by reference to Exhibit 4.1 of Amendment No. 1 to the Company’s Form S-4 (Reg.</w:t>
              </w:r>
            </w:hyperlink>
          </w:p>
        </w:tc>
      </w:tr>
      <w:tr>
        <w:trPr>
          <w:trHeight w:val="169"/>
        </w:trPr>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60" w:type="dxa"/>
            <w:vAlign w:val="bottom"/>
            <w:tcBorders>
              <w:top w:val="single" w:sz="8" w:color="0000EE"/>
            </w:tcBorders>
            <w:gridSpan w:val="35"/>
          </w:tcPr>
          <w:p>
            <w:pPr>
              <w:spacing w:after="0" w:line="169"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No. 333-182482) dated July 23, 2012.</w:t>
              </w:r>
            </w:hyperlink>
          </w:p>
        </w:tc>
        <w:tc>
          <w:tcPr>
            <w:tcW w:w="20" w:type="dxa"/>
            <w:vAlign w:val="bottom"/>
          </w:tcPr>
          <w:p>
            <w:pPr>
              <w:spacing w:after="0"/>
              <w:rPr>
                <w:sz w:val="14"/>
                <w:szCs w:val="14"/>
                <w:color w:val="auto"/>
              </w:rPr>
            </w:pPr>
          </w:p>
        </w:tc>
      </w:tr>
      <w:tr>
        <w:trPr>
          <w:trHeight w:val="27"/>
        </w:trPr>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22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900" w:type="dxa"/>
            <w:vAlign w:val="bottom"/>
            <w:gridSpan w:val="5"/>
            <w:shd w:val="clear" w:color="auto" w:fill="CCEEFF"/>
          </w:tcPr>
          <w:p>
            <w:pPr>
              <w:jc w:val="center"/>
              <w:ind w:left="390"/>
              <w:spacing w:after="0" w:line="162" w:lineRule="exact"/>
              <w:rPr>
                <w:rFonts w:ascii="Times New Roman" w:cs="Times New Roman" w:eastAsia="Times New Roman" w:hAnsi="Times New Roman"/>
                <w:sz w:val="18"/>
                <w:szCs w:val="18"/>
                <w:color w:val="0000EE"/>
                <w:w w:val="97"/>
              </w:rPr>
            </w:pPr>
            <w:hyperlink r:id="rId91">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80" w:type="dxa"/>
            <w:vAlign w:val="bottom"/>
            <w:gridSpan w:val="36"/>
            <w:shd w:val="clear" w:color="auto" w:fill="CCEEFF"/>
          </w:tcPr>
          <w:p>
            <w:pPr>
              <w:spacing w:after="0" w:line="162"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Description of Tile Shop Holdings, Inc.’s Registered Securities – incorporated by reference to Exhibit 4.2 of the Company’s Annual</w:t>
              </w:r>
            </w:hyperlink>
          </w:p>
        </w:tc>
      </w:tr>
      <w:tr>
        <w:trPr>
          <w:trHeight w:val="169"/>
        </w:trPr>
        <w:tc>
          <w:tcPr>
            <w:tcW w:w="4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0000EE"/>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540" w:type="dxa"/>
            <w:vAlign w:val="bottom"/>
            <w:tcBorders>
              <w:top w:val="single" w:sz="8" w:color="0000FF"/>
            </w:tcBorders>
            <w:gridSpan w:val="25"/>
            <w:shd w:val="clear" w:color="auto" w:fill="CCEEFF"/>
          </w:tcPr>
          <w:p>
            <w:pPr>
              <w:spacing w:after="0" w:line="169"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Report on Form 10-K for the year ended December 31, 2022.</w:t>
              </w:r>
            </w:hyperlink>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27"/>
        </w:trPr>
        <w:tc>
          <w:tcPr>
            <w:tcW w:w="4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22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54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540" w:type="dxa"/>
            <w:vAlign w:val="bottom"/>
            <w:tcBorders>
              <w:right w:val="single" w:sz="8" w:color="CCEEFF"/>
            </w:tcBorders>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940" w:type="dxa"/>
            <w:vAlign w:val="bottom"/>
            <w:gridSpan w:val="6"/>
          </w:tcPr>
          <w:p>
            <w:pPr>
              <w:jc w:val="center"/>
              <w:ind w:left="350"/>
              <w:spacing w:after="0" w:line="162"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80" w:type="dxa"/>
            <w:vAlign w:val="bottom"/>
            <w:gridSpan w:val="36"/>
          </w:tcPr>
          <w:p>
            <w:pPr>
              <w:spacing w:after="0" w:line="162"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Tile Shop Holdings, Inc. 2012 Omnibus Award Plan (f/k/a 2012 Equity Award Plan) – incorporated by reference to Exhibit 10.1 to the</w:t>
              </w:r>
            </w:hyperlink>
          </w:p>
        </w:tc>
      </w:tr>
      <w:tr>
        <w:trPr>
          <w:trHeight w:val="176"/>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20" w:type="dxa"/>
            <w:vAlign w:val="bottom"/>
            <w:tcBorders>
              <w:top w:val="single" w:sz="8" w:color="0000EE"/>
              <w:bottom w:val="single" w:sz="8" w:color="0000EE"/>
            </w:tcBorders>
            <w:gridSpan w:val="9"/>
          </w:tcPr>
          <w:p>
            <w:pPr>
              <w:spacing w:after="0" w:line="169"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Company’s Current Report on Form 8-K filed July 26, 2013.</w:t>
              </w:r>
            </w:hyperlink>
          </w:p>
        </w:tc>
        <w:tc>
          <w:tcPr>
            <w:tcW w:w="5300" w:type="dxa"/>
            <w:vAlign w:val="bottom"/>
            <w:tcBorders>
              <w:top w:val="single" w:sz="8" w:color="0000EE"/>
            </w:tcBorders>
            <w:gridSpan w:val="20"/>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62"/>
        </w:trPr>
        <w:tc>
          <w:tcPr>
            <w:tcW w:w="940" w:type="dxa"/>
            <w:vAlign w:val="bottom"/>
            <w:gridSpan w:val="6"/>
            <w:shd w:val="clear" w:color="auto" w:fill="CCEEFF"/>
          </w:tcPr>
          <w:p>
            <w:pPr>
              <w:jc w:val="center"/>
              <w:ind w:left="350"/>
              <w:spacing w:after="0" w:line="162"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80" w:type="dxa"/>
            <w:vAlign w:val="bottom"/>
            <w:gridSpan w:val="36"/>
            <w:shd w:val="clear" w:color="auto" w:fill="CCEEFF"/>
          </w:tcPr>
          <w:p>
            <w:pPr>
              <w:spacing w:after="0" w:line="162"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Amended and Restated Amendment No. 1 to the Tile Shop Holdings, Inc. 2012 Omnibus Award Plan (f/k/a 2012 Equity Award Plan) –</w:t>
              </w:r>
            </w:hyperlink>
          </w:p>
        </w:tc>
      </w:tr>
      <w:tr>
        <w:trPr>
          <w:trHeight w:val="169"/>
        </w:trPr>
        <w:tc>
          <w:tcPr>
            <w:tcW w:w="4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0000EE"/>
            </w:tcBorders>
            <w:shd w:val="clear" w:color="auto" w:fill="CCEEFF"/>
          </w:tcPr>
          <w:p>
            <w:pPr>
              <w:spacing w:after="0"/>
              <w:rPr>
                <w:sz w:val="14"/>
                <w:szCs w:val="14"/>
                <w:color w:val="auto"/>
              </w:rPr>
            </w:pPr>
          </w:p>
        </w:tc>
        <w:tc>
          <w:tcPr>
            <w:tcW w:w="220" w:type="dxa"/>
            <w:vAlign w:val="bottom"/>
            <w:tcBorders>
              <w:top w:val="single" w:sz="8" w:color="0000EE"/>
            </w:tcBorders>
            <w:shd w:val="clear" w:color="auto" w:fill="CCEEFF"/>
          </w:tcPr>
          <w:p>
            <w:pPr>
              <w:spacing w:after="0"/>
              <w:rPr>
                <w:sz w:val="14"/>
                <w:szCs w:val="14"/>
                <w:color w:val="auto"/>
              </w:rPr>
            </w:pPr>
          </w:p>
        </w:tc>
        <w:tc>
          <w:tcPr>
            <w:tcW w:w="100" w:type="dxa"/>
            <w:vAlign w:val="bottom"/>
            <w:tcBorders>
              <w:top w:val="single" w:sz="8" w:color="0000EE"/>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0" w:type="dxa"/>
            <w:vAlign w:val="bottom"/>
            <w:tcBorders>
              <w:top w:val="single" w:sz="8" w:color="0000FF"/>
            </w:tcBorders>
            <w:gridSpan w:val="32"/>
            <w:shd w:val="clear" w:color="auto" w:fill="CCEEFF"/>
          </w:tcPr>
          <w:p>
            <w:pPr>
              <w:spacing w:after="0" w:line="169"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incorporated by reference to Exhibit 10.2 to the Company’s Current Report on Form 8-K filed July 26, 2013.</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27"/>
        </w:trPr>
        <w:tc>
          <w:tcPr>
            <w:tcW w:w="4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22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54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2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540" w:type="dxa"/>
            <w:vAlign w:val="bottom"/>
            <w:tcBorders>
              <w:right w:val="single" w:sz="8" w:color="0000FF"/>
            </w:tcBorders>
            <w:shd w:val="clear" w:color="auto" w:fill="0000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940" w:type="dxa"/>
            <w:vAlign w:val="bottom"/>
            <w:gridSpan w:val="6"/>
          </w:tcPr>
          <w:p>
            <w:pPr>
              <w:jc w:val="center"/>
              <w:ind w:left="350"/>
              <w:spacing w:after="0" w:line="162"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80" w:type="dxa"/>
            <w:vAlign w:val="bottom"/>
            <w:gridSpan w:val="36"/>
          </w:tcPr>
          <w:p>
            <w:pPr>
              <w:spacing w:after="0" w:line="162"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Form of Indemnification Agreement by and between Tile Shop Holdings, Inc. and each of its directors and executive officers –</w:t>
              </w:r>
            </w:hyperlink>
          </w:p>
        </w:tc>
      </w:tr>
      <w:tr>
        <w:trPr>
          <w:trHeight w:val="169"/>
        </w:trPr>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180" w:type="dxa"/>
            <w:vAlign w:val="bottom"/>
            <w:tcBorders>
              <w:top w:val="single" w:sz="8" w:color="0000FF"/>
              <w:bottom w:val="single" w:sz="8" w:color="0000FF"/>
            </w:tcBorders>
            <w:gridSpan w:val="17"/>
          </w:tcPr>
          <w:p>
            <w:pPr>
              <w:spacing w:after="0" w:line="169" w:lineRule="exact"/>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incorporated by reference to Exhibit 10.13 of Amendment No. 1 to the Company’s Form S-4 (Reg. No. 333-182482) dated July</w:t>
              </w:r>
            </w:hyperlink>
          </w:p>
        </w:tc>
        <w:tc>
          <w:tcPr>
            <w:tcW w:w="300" w:type="dxa"/>
            <w:vAlign w:val="bottom"/>
            <w:tcBorders>
              <w:bottom w:val="single" w:sz="8" w:color="0000FF"/>
            </w:tcBorders>
            <w:gridSpan w:val="5"/>
          </w:tcPr>
          <w:p>
            <w:pPr>
              <w:jc w:val="right"/>
              <w:ind w:right="20"/>
              <w:spacing w:after="0" w:line="169"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23,</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69"/>
        </w:trPr>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spacing w:after="0" w:line="169"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2012.</w:t>
              </w:r>
            </w:hyperlink>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7"/>
        </w:trPr>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940" w:type="dxa"/>
            <w:vAlign w:val="bottom"/>
            <w:gridSpan w:val="6"/>
            <w:shd w:val="clear" w:color="auto" w:fill="CCEEFF"/>
          </w:tcPr>
          <w:p>
            <w:pPr>
              <w:jc w:val="center"/>
              <w:ind w:left="350"/>
              <w:spacing w:after="0" w:line="162"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hyperlink>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80" w:type="dxa"/>
            <w:vAlign w:val="bottom"/>
            <w:gridSpan w:val="36"/>
            <w:shd w:val="clear" w:color="auto" w:fill="CCEEFF"/>
          </w:tcPr>
          <w:p>
            <w:pPr>
              <w:spacing w:after="0" w:line="162"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Tile Shop Holdings, Inc. Form of Incentive Stock Option Agreement (2012 Plan) – incorporated by reference to Exhibit 10.3 to the</w:t>
              </w:r>
            </w:hyperlink>
          </w:p>
        </w:tc>
      </w:tr>
      <w:tr>
        <w:trPr>
          <w:trHeight w:val="176"/>
        </w:trPr>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0000EE"/>
              <w:bottom w:val="single" w:sz="8" w:color="CCEEFF"/>
            </w:tcBorders>
            <w:shd w:val="clear" w:color="auto" w:fill="CCEEFF"/>
          </w:tcPr>
          <w:p>
            <w:pPr>
              <w:spacing w:after="0"/>
              <w:rPr>
                <w:sz w:val="15"/>
                <w:szCs w:val="15"/>
                <w:color w:val="auto"/>
              </w:rPr>
            </w:pPr>
          </w:p>
        </w:tc>
        <w:tc>
          <w:tcPr>
            <w:tcW w:w="220" w:type="dxa"/>
            <w:vAlign w:val="bottom"/>
            <w:tcBorders>
              <w:top w:val="single" w:sz="8" w:color="0000EE"/>
              <w:bottom w:val="single" w:sz="8" w:color="CCEEFF"/>
            </w:tcBorders>
            <w:shd w:val="clear" w:color="auto" w:fill="CCEEFF"/>
          </w:tcPr>
          <w:p>
            <w:pPr>
              <w:spacing w:after="0"/>
              <w:rPr>
                <w:sz w:val="15"/>
                <w:szCs w:val="15"/>
                <w:color w:val="auto"/>
              </w:rPr>
            </w:pPr>
          </w:p>
        </w:tc>
        <w:tc>
          <w:tcPr>
            <w:tcW w:w="100" w:type="dxa"/>
            <w:vAlign w:val="bottom"/>
            <w:tcBorders>
              <w:top w:val="single" w:sz="8" w:color="0000EE"/>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420" w:type="dxa"/>
            <w:vAlign w:val="bottom"/>
            <w:tcBorders>
              <w:top w:val="single" w:sz="8" w:color="0000EE"/>
              <w:bottom w:val="single" w:sz="8" w:color="0000EE"/>
              <w:right w:val="single" w:sz="8" w:color="CCEEFF"/>
            </w:tcBorders>
            <w:gridSpan w:val="9"/>
            <w:shd w:val="clear" w:color="auto" w:fill="CCEEFF"/>
          </w:tcPr>
          <w:p>
            <w:pPr>
              <w:spacing w:after="0" w:line="169"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Company’s Current Report on Form 8-K filed July 26, 2013.</w:t>
              </w:r>
            </w:hyperlink>
          </w:p>
        </w:tc>
        <w:tc>
          <w:tcPr>
            <w:tcW w:w="5080" w:type="dxa"/>
            <w:vAlign w:val="bottom"/>
            <w:tcBorders>
              <w:top w:val="single" w:sz="8" w:color="0000EE"/>
              <w:bottom w:val="single" w:sz="8" w:color="CCEEFF"/>
            </w:tcBorders>
            <w:gridSpan w:val="14"/>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r>
      <w:tr>
        <w:trPr>
          <w:trHeight w:val="162"/>
        </w:trPr>
        <w:tc>
          <w:tcPr>
            <w:tcW w:w="940" w:type="dxa"/>
            <w:vAlign w:val="bottom"/>
            <w:gridSpan w:val="6"/>
          </w:tcPr>
          <w:p>
            <w:pPr>
              <w:jc w:val="center"/>
              <w:ind w:left="350"/>
              <w:spacing w:after="0" w:line="162"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hyperlink>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80" w:type="dxa"/>
            <w:vAlign w:val="bottom"/>
            <w:gridSpan w:val="36"/>
          </w:tcPr>
          <w:p>
            <w:pPr>
              <w:spacing w:after="0" w:line="162"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Tile Shop Holdings, Inc. Form of Nonstatutory Stock Option Agreement (2012 Plan) – incorporated by reference to Exhibit 10.4 to the</w:t>
              </w:r>
            </w:hyperlink>
          </w:p>
        </w:tc>
      </w:tr>
      <w:tr>
        <w:trPr>
          <w:trHeight w:val="176"/>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20" w:type="dxa"/>
            <w:vAlign w:val="bottom"/>
            <w:tcBorders>
              <w:top w:val="single" w:sz="8" w:color="0000EE"/>
              <w:bottom w:val="single" w:sz="8" w:color="0000EE"/>
            </w:tcBorders>
            <w:gridSpan w:val="9"/>
          </w:tcPr>
          <w:p>
            <w:pPr>
              <w:spacing w:after="0" w:line="169"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Company’s Current Report on Form 8-K filed July 26, 2013.</w:t>
              </w:r>
            </w:hyperlink>
          </w:p>
        </w:tc>
        <w:tc>
          <w:tcPr>
            <w:tcW w:w="5340" w:type="dxa"/>
            <w:vAlign w:val="bottom"/>
            <w:tcBorders>
              <w:top w:val="single" w:sz="8" w:color="0000EE"/>
            </w:tcBorders>
            <w:gridSpan w:val="2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62"/>
        </w:trPr>
        <w:tc>
          <w:tcPr>
            <w:tcW w:w="940" w:type="dxa"/>
            <w:vAlign w:val="bottom"/>
            <w:gridSpan w:val="6"/>
            <w:shd w:val="clear" w:color="auto" w:fill="CCEEFF"/>
          </w:tcPr>
          <w:p>
            <w:pPr>
              <w:jc w:val="center"/>
              <w:ind w:left="350"/>
              <w:spacing w:after="0" w:line="162"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6*</w:t>
              </w:r>
            </w:hyperlink>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80" w:type="dxa"/>
            <w:vAlign w:val="bottom"/>
            <w:gridSpan w:val="36"/>
            <w:shd w:val="clear" w:color="auto" w:fill="CCEEFF"/>
          </w:tcPr>
          <w:p>
            <w:pPr>
              <w:spacing w:after="0" w:line="162"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Tile Shop Holdings, Inc. Form of Stock Restriction Agreement (2012 Plan) – incorporated by reference to Exhibit 10.5 to the</w:t>
              </w:r>
            </w:hyperlink>
          </w:p>
        </w:tc>
      </w:tr>
      <w:tr>
        <w:trPr>
          <w:trHeight w:val="176"/>
        </w:trPr>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0000EE"/>
              <w:bottom w:val="single" w:sz="8" w:color="CCEEFF"/>
            </w:tcBorders>
            <w:shd w:val="clear" w:color="auto" w:fill="CCEEFF"/>
          </w:tcPr>
          <w:p>
            <w:pPr>
              <w:spacing w:after="0"/>
              <w:rPr>
                <w:sz w:val="15"/>
                <w:szCs w:val="15"/>
                <w:color w:val="auto"/>
              </w:rPr>
            </w:pPr>
          </w:p>
        </w:tc>
        <w:tc>
          <w:tcPr>
            <w:tcW w:w="220" w:type="dxa"/>
            <w:vAlign w:val="bottom"/>
            <w:tcBorders>
              <w:top w:val="single" w:sz="8" w:color="0000EE"/>
              <w:bottom w:val="single" w:sz="8" w:color="CCEEFF"/>
            </w:tcBorders>
            <w:shd w:val="clear" w:color="auto" w:fill="CCEEFF"/>
          </w:tcPr>
          <w:p>
            <w:pPr>
              <w:spacing w:after="0"/>
              <w:rPr>
                <w:sz w:val="15"/>
                <w:szCs w:val="15"/>
                <w:color w:val="auto"/>
              </w:rPr>
            </w:pPr>
          </w:p>
        </w:tc>
        <w:tc>
          <w:tcPr>
            <w:tcW w:w="100" w:type="dxa"/>
            <w:vAlign w:val="bottom"/>
            <w:tcBorders>
              <w:top w:val="single" w:sz="8" w:color="0000EE"/>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420" w:type="dxa"/>
            <w:vAlign w:val="bottom"/>
            <w:tcBorders>
              <w:top w:val="single" w:sz="8" w:color="0000EE"/>
              <w:bottom w:val="single" w:sz="8" w:color="0000EE"/>
              <w:right w:val="single" w:sz="8" w:color="CCEEFF"/>
            </w:tcBorders>
            <w:gridSpan w:val="9"/>
            <w:shd w:val="clear" w:color="auto" w:fill="CCEEFF"/>
          </w:tcPr>
          <w:p>
            <w:pPr>
              <w:spacing w:after="0" w:line="169"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Company’s Current Report on Form 8-K filed July 26, 2013.</w:t>
              </w:r>
            </w:hyperlink>
          </w:p>
        </w:tc>
        <w:tc>
          <w:tcPr>
            <w:tcW w:w="4640" w:type="dxa"/>
            <w:vAlign w:val="bottom"/>
            <w:tcBorders>
              <w:top w:val="single" w:sz="8" w:color="0000EE"/>
              <w:bottom w:val="single" w:sz="8" w:color="CCEEFF"/>
            </w:tcBorders>
            <w:gridSpan w:val="7"/>
            <w:shd w:val="clear" w:color="auto" w:fill="CCEEFF"/>
          </w:tcPr>
          <w:p>
            <w:pPr>
              <w:spacing w:after="0"/>
              <w:rPr>
                <w:sz w:val="15"/>
                <w:szCs w:val="15"/>
                <w:color w:val="auto"/>
              </w:rPr>
            </w:pPr>
          </w:p>
        </w:tc>
        <w:tc>
          <w:tcPr>
            <w:tcW w:w="2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r>
      <w:tr>
        <w:trPr>
          <w:trHeight w:val="162"/>
        </w:trPr>
        <w:tc>
          <w:tcPr>
            <w:tcW w:w="940" w:type="dxa"/>
            <w:vAlign w:val="bottom"/>
            <w:gridSpan w:val="6"/>
          </w:tcPr>
          <w:p>
            <w:pPr>
              <w:jc w:val="center"/>
              <w:ind w:left="350"/>
              <w:spacing w:after="0" w:line="162"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w:t>
              </w:r>
            </w:hyperlink>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80" w:type="dxa"/>
            <w:vAlign w:val="bottom"/>
            <w:gridSpan w:val="36"/>
          </w:tcPr>
          <w:p>
            <w:pPr>
              <w:spacing w:after="0" w:line="162"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Tile Shop Holdings, Inc. Form of Stock Restriction Agreement (2012 Plan) – incorporated by reference to Exhibit 10.2 to the</w:t>
              </w:r>
            </w:hyperlink>
          </w:p>
        </w:tc>
      </w:tr>
      <w:tr>
        <w:trPr>
          <w:trHeight w:val="176"/>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60" w:type="dxa"/>
            <w:vAlign w:val="bottom"/>
            <w:tcBorders>
              <w:top w:val="single" w:sz="8" w:color="0000EE"/>
              <w:bottom w:val="single" w:sz="8" w:color="0000EE"/>
            </w:tcBorders>
            <w:gridSpan w:val="12"/>
          </w:tcPr>
          <w:p>
            <w:pPr>
              <w:spacing w:after="0" w:line="169"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Company’s Quarterly Report on Form 10-Q for the quarter ended September 30, 2017.</w:t>
              </w:r>
            </w:hyperlink>
          </w:p>
        </w:tc>
        <w:tc>
          <w:tcPr>
            <w:tcW w:w="2800" w:type="dxa"/>
            <w:vAlign w:val="bottom"/>
            <w:tcBorders>
              <w:top w:val="single" w:sz="8" w:color="0000EE"/>
            </w:tcBorders>
            <w:gridSpan w:val="4"/>
          </w:tcPr>
          <w:p>
            <w:pPr>
              <w:spacing w:after="0"/>
              <w:rPr>
                <w:sz w:val="15"/>
                <w:szCs w:val="15"/>
                <w:color w:val="auto"/>
              </w:rPr>
            </w:pPr>
          </w:p>
        </w:tc>
        <w:tc>
          <w:tcPr>
            <w:tcW w:w="20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gridSpan w:val="4"/>
          </w:tcPr>
          <w:p>
            <w:pPr>
              <w:spacing w:after="0"/>
              <w:rPr>
                <w:sz w:val="15"/>
                <w:szCs w:val="15"/>
                <w:color w:val="auto"/>
              </w:rPr>
            </w:pPr>
          </w:p>
        </w:tc>
        <w:tc>
          <w:tcPr>
            <w:tcW w:w="10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62"/>
        </w:trPr>
        <w:tc>
          <w:tcPr>
            <w:tcW w:w="940" w:type="dxa"/>
            <w:vAlign w:val="bottom"/>
            <w:gridSpan w:val="6"/>
            <w:shd w:val="clear" w:color="auto" w:fill="CCEEFF"/>
          </w:tcPr>
          <w:p>
            <w:pPr>
              <w:jc w:val="center"/>
              <w:ind w:left="350"/>
              <w:spacing w:after="0" w:line="162"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8*</w:t>
              </w:r>
            </w:hyperlink>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80" w:type="dxa"/>
            <w:vAlign w:val="bottom"/>
            <w:gridSpan w:val="36"/>
            <w:shd w:val="clear" w:color="auto" w:fill="CCEEFF"/>
          </w:tcPr>
          <w:p>
            <w:pPr>
              <w:spacing w:after="0" w:line="162"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Employment Agreement, dated February 19, 2018, between Tile Shop Holdings, Inc. and Cabell Lolmaugh – incorporated by reference</w:t>
              </w:r>
            </w:hyperlink>
          </w:p>
        </w:tc>
      </w:tr>
      <w:tr>
        <w:trPr>
          <w:trHeight w:val="176"/>
        </w:trPr>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0000EE"/>
              <w:bottom w:val="single" w:sz="8" w:color="CCEEFF"/>
            </w:tcBorders>
            <w:shd w:val="clear" w:color="auto" w:fill="CCEEFF"/>
          </w:tcPr>
          <w:p>
            <w:pPr>
              <w:spacing w:after="0"/>
              <w:rPr>
                <w:sz w:val="15"/>
                <w:szCs w:val="15"/>
                <w:color w:val="auto"/>
              </w:rPr>
            </w:pPr>
          </w:p>
        </w:tc>
        <w:tc>
          <w:tcPr>
            <w:tcW w:w="220" w:type="dxa"/>
            <w:vAlign w:val="bottom"/>
            <w:tcBorders>
              <w:top w:val="single" w:sz="8" w:color="0000EE"/>
              <w:bottom w:val="single" w:sz="8" w:color="CCEEFF"/>
            </w:tcBorders>
            <w:shd w:val="clear" w:color="auto" w:fill="CCEEFF"/>
          </w:tcPr>
          <w:p>
            <w:pPr>
              <w:spacing w:after="0"/>
              <w:rPr>
                <w:sz w:val="15"/>
                <w:szCs w:val="15"/>
                <w:color w:val="auto"/>
              </w:rPr>
            </w:pPr>
          </w:p>
        </w:tc>
        <w:tc>
          <w:tcPr>
            <w:tcW w:w="100" w:type="dxa"/>
            <w:vAlign w:val="bottom"/>
            <w:tcBorders>
              <w:top w:val="single" w:sz="8" w:color="0000EE"/>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300" w:type="dxa"/>
            <w:vAlign w:val="bottom"/>
            <w:tcBorders>
              <w:top w:val="single" w:sz="8" w:color="0000EE"/>
              <w:bottom w:val="single" w:sz="8" w:color="0000EE"/>
            </w:tcBorders>
            <w:gridSpan w:val="13"/>
            <w:shd w:val="clear" w:color="auto" w:fill="CCEEFF"/>
          </w:tcPr>
          <w:p>
            <w:pPr>
              <w:spacing w:after="0" w:line="169"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to Exhibit 10.1 to the Company’s Current Report on Form 8-K filed February 21, 2018.</w:t>
              </w:r>
            </w:hyperlink>
          </w:p>
        </w:tc>
        <w:tc>
          <w:tcPr>
            <w:tcW w:w="3540" w:type="dxa"/>
            <w:vAlign w:val="bottom"/>
            <w:tcBorders>
              <w:top w:val="single" w:sz="8" w:color="0000EE"/>
              <w:bottom w:val="single" w:sz="8" w:color="CCEEFF"/>
            </w:tcBorders>
            <w:gridSpan w:val="21"/>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r>
      <w:tr>
        <w:trPr>
          <w:trHeight w:val="162"/>
        </w:trPr>
        <w:tc>
          <w:tcPr>
            <w:tcW w:w="940" w:type="dxa"/>
            <w:vAlign w:val="bottom"/>
            <w:gridSpan w:val="6"/>
          </w:tcPr>
          <w:p>
            <w:pPr>
              <w:jc w:val="center"/>
              <w:ind w:left="350"/>
              <w:spacing w:after="0" w:line="162"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9*</w:t>
              </w:r>
            </w:hyperlink>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80" w:type="dxa"/>
            <w:vAlign w:val="bottom"/>
            <w:gridSpan w:val="36"/>
          </w:tcPr>
          <w:p>
            <w:pPr>
              <w:spacing w:after="0" w:line="162"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Employment Agreement, dated September 6, 2019, by and between Tile Shop Holdings, Inc. and Mark Davis – incorporated by</w:t>
              </w:r>
            </w:hyperlink>
          </w:p>
        </w:tc>
      </w:tr>
      <w:tr>
        <w:trPr>
          <w:trHeight w:val="176"/>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540" w:type="dxa"/>
            <w:vAlign w:val="bottom"/>
            <w:tcBorders>
              <w:top w:val="single" w:sz="8" w:color="0000EE"/>
              <w:bottom w:val="single" w:sz="8" w:color="0000EE"/>
            </w:tcBorders>
            <w:gridSpan w:val="15"/>
          </w:tcPr>
          <w:p>
            <w:pPr>
              <w:spacing w:after="0" w:line="169"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reference to Exhibit 10.2 to the Company’s Quarterly Report on Form 10-Q for the quarter ended September 30, 2019.</w:t>
              </w:r>
            </w:hyperlink>
          </w:p>
        </w:tc>
        <w:tc>
          <w:tcPr>
            <w:tcW w:w="720" w:type="dxa"/>
            <w:vAlign w:val="bottom"/>
            <w:tcBorders>
              <w:top w:val="single" w:sz="8" w:color="0000EE"/>
            </w:tcBorders>
            <w:gridSpan w:val="3"/>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gridSpan w:val="4"/>
          </w:tcPr>
          <w:p>
            <w:pPr>
              <w:spacing w:after="0"/>
              <w:rPr>
                <w:sz w:val="15"/>
                <w:szCs w:val="15"/>
                <w:color w:val="auto"/>
              </w:rPr>
            </w:pPr>
          </w:p>
        </w:tc>
        <w:tc>
          <w:tcPr>
            <w:tcW w:w="10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62"/>
        </w:trPr>
        <w:tc>
          <w:tcPr>
            <w:tcW w:w="1280" w:type="dxa"/>
            <w:vAlign w:val="bottom"/>
            <w:gridSpan w:val="7"/>
            <w:shd w:val="clear" w:color="auto" w:fill="CCEEFF"/>
          </w:tcPr>
          <w:p>
            <w:pPr>
              <w:jc w:val="center"/>
              <w:ind w:left="10"/>
              <w:spacing w:after="0" w:line="162"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10*</w:t>
              </w:r>
            </w:hyperlink>
          </w:p>
        </w:tc>
        <w:tc>
          <w:tcPr>
            <w:tcW w:w="100" w:type="dxa"/>
            <w:vAlign w:val="bottom"/>
            <w:shd w:val="clear" w:color="auto" w:fill="CCEEFF"/>
          </w:tcPr>
          <w:p>
            <w:pPr>
              <w:spacing w:after="0"/>
              <w:rPr>
                <w:sz w:val="14"/>
                <w:szCs w:val="14"/>
                <w:color w:val="auto"/>
              </w:rPr>
            </w:pPr>
          </w:p>
        </w:tc>
        <w:tc>
          <w:tcPr>
            <w:tcW w:w="9880" w:type="dxa"/>
            <w:vAlign w:val="bottom"/>
            <w:gridSpan w:val="36"/>
            <w:shd w:val="clear" w:color="auto" w:fill="CCEEFF"/>
          </w:tcPr>
          <w:p>
            <w:pPr>
              <w:spacing w:after="0" w:line="162"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Employment Agreement, dated October 16, 2020, by and between Tile Shop Holdings, Inc. and Joe Kinder – incorporated by reference</w:t>
              </w:r>
            </w:hyperlink>
          </w:p>
        </w:tc>
      </w:tr>
      <w:tr>
        <w:trPr>
          <w:trHeight w:val="169"/>
        </w:trPr>
        <w:tc>
          <w:tcPr>
            <w:tcW w:w="4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0000EE"/>
            </w:tcBorders>
            <w:shd w:val="clear" w:color="auto" w:fill="CCEEFF"/>
          </w:tcPr>
          <w:p>
            <w:pPr>
              <w:spacing w:after="0"/>
              <w:rPr>
                <w:sz w:val="14"/>
                <w:szCs w:val="14"/>
                <w:color w:val="auto"/>
              </w:rPr>
            </w:pPr>
          </w:p>
        </w:tc>
        <w:tc>
          <w:tcPr>
            <w:tcW w:w="100" w:type="dxa"/>
            <w:vAlign w:val="bottom"/>
            <w:tcBorders>
              <w:top w:val="single" w:sz="8" w:color="0000EE"/>
            </w:tcBorders>
            <w:shd w:val="clear" w:color="auto" w:fill="CCEEFF"/>
          </w:tcPr>
          <w:p>
            <w:pPr>
              <w:spacing w:after="0"/>
              <w:rPr>
                <w:sz w:val="14"/>
                <w:szCs w:val="14"/>
                <w:color w:val="auto"/>
              </w:rPr>
            </w:pPr>
          </w:p>
        </w:tc>
        <w:tc>
          <w:tcPr>
            <w:tcW w:w="220" w:type="dxa"/>
            <w:vAlign w:val="bottom"/>
            <w:tcBorders>
              <w:top w:val="single" w:sz="8" w:color="0000EE"/>
            </w:tcBorders>
            <w:shd w:val="clear" w:color="auto" w:fill="CCEEFF"/>
          </w:tcPr>
          <w:p>
            <w:pPr>
              <w:spacing w:after="0"/>
              <w:rPr>
                <w:sz w:val="14"/>
                <w:szCs w:val="14"/>
                <w:color w:val="auto"/>
              </w:rPr>
            </w:pPr>
          </w:p>
        </w:tc>
        <w:tc>
          <w:tcPr>
            <w:tcW w:w="100" w:type="dxa"/>
            <w:vAlign w:val="bottom"/>
            <w:tcBorders>
              <w:top w:val="single" w:sz="8" w:color="0000EE"/>
            </w:tcBorders>
            <w:shd w:val="clear" w:color="auto" w:fill="CCEEFF"/>
          </w:tcPr>
          <w:p>
            <w:pPr>
              <w:spacing w:after="0"/>
              <w:rPr>
                <w:sz w:val="14"/>
                <w:szCs w:val="14"/>
                <w:color w:val="auto"/>
              </w:rPr>
            </w:pPr>
          </w:p>
        </w:tc>
        <w:tc>
          <w:tcPr>
            <w:tcW w:w="40" w:type="dxa"/>
            <w:vAlign w:val="bottom"/>
            <w:tcBorders>
              <w:top w:val="single" w:sz="8" w:color="0000EE"/>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20" w:type="dxa"/>
            <w:vAlign w:val="bottom"/>
            <w:tcBorders>
              <w:top w:val="single" w:sz="8" w:color="0000EE"/>
            </w:tcBorders>
            <w:gridSpan w:val="33"/>
            <w:shd w:val="clear" w:color="auto" w:fill="CCEEFF"/>
          </w:tcPr>
          <w:p>
            <w:pPr>
              <w:spacing w:after="0" w:line="169"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to Exhibit 10.1 to the Company’s Quarterly Report on Form 10-Q for the quarter ended September 30, 2020.</w:t>
              </w:r>
            </w:hyperlink>
          </w:p>
        </w:tc>
        <w:tc>
          <w:tcPr>
            <w:tcW w:w="60" w:type="dxa"/>
            <w:vAlign w:val="bottom"/>
            <w:tcBorders>
              <w:top w:val="single" w:sz="8" w:color="CCEEFF"/>
            </w:tcBorders>
            <w:gridSpan w:val="3"/>
            <w:shd w:val="clear" w:color="auto" w:fill="CCEEFF"/>
          </w:tcPr>
          <w:p>
            <w:pPr>
              <w:spacing w:after="0"/>
              <w:rPr>
                <w:sz w:val="14"/>
                <w:szCs w:val="14"/>
                <w:color w:val="auto"/>
              </w:rPr>
            </w:pPr>
          </w:p>
        </w:tc>
      </w:tr>
      <w:tr>
        <w:trPr>
          <w:trHeight w:val="27"/>
        </w:trPr>
        <w:tc>
          <w:tcPr>
            <w:tcW w:w="4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22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54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2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540" w:type="dxa"/>
            <w:vAlign w:val="bottom"/>
            <w:tcBorders>
              <w:right w:val="single" w:sz="8" w:color="CCEEFF"/>
            </w:tcBorders>
            <w:shd w:val="clear" w:color="auto" w:fill="0000EE"/>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940" w:type="dxa"/>
            <w:vAlign w:val="bottom"/>
            <w:gridSpan w:val="6"/>
          </w:tcPr>
          <w:p>
            <w:pPr>
              <w:jc w:val="center"/>
              <w:ind w:left="350"/>
              <w:spacing w:after="0" w:line="162"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11*</w:t>
              </w:r>
            </w:hyperlink>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80" w:type="dxa"/>
            <w:vAlign w:val="bottom"/>
            <w:gridSpan w:val="36"/>
          </w:tcPr>
          <w:p>
            <w:pPr>
              <w:spacing w:after="0" w:line="162"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Tile Shop Holdings, Inc. Form of Performance-Based Stock Restriction Agreement – incorporated by reference to Exhibit 10.20 to the</w:t>
              </w:r>
            </w:hyperlink>
          </w:p>
        </w:tc>
      </w:tr>
      <w:tr>
        <w:trPr>
          <w:trHeight w:val="169"/>
        </w:trPr>
        <w:tc>
          <w:tcPr>
            <w:tcW w:w="440" w:type="dxa"/>
            <w:vAlign w:val="bottom"/>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740" w:type="dxa"/>
            <w:vAlign w:val="bottom"/>
            <w:tcBorders>
              <w:top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Company’s Annual Report on Form 10-K for the year ended December 31, 2020.</w:t>
              </w:r>
            </w:hyperlink>
          </w:p>
        </w:tc>
        <w:tc>
          <w:tcPr>
            <w:tcW w:w="140" w:type="dxa"/>
            <w:vAlign w:val="bottom"/>
            <w:gridSpan w:val="6"/>
          </w:tcPr>
          <w:p>
            <w:pPr>
              <w:spacing w:after="0"/>
              <w:rPr>
                <w:sz w:val="14"/>
                <w:szCs w:val="14"/>
                <w:color w:val="auto"/>
              </w:rPr>
            </w:pPr>
          </w:p>
        </w:tc>
      </w:tr>
      <w:tr>
        <w:trPr>
          <w:trHeight w:val="27"/>
        </w:trPr>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22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54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220" w:type="dxa"/>
            <w:vAlign w:val="bottom"/>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1280" w:type="dxa"/>
            <w:vAlign w:val="bottom"/>
            <w:gridSpan w:val="7"/>
            <w:shd w:val="clear" w:color="auto" w:fill="CCEEFF"/>
          </w:tcPr>
          <w:p>
            <w:pPr>
              <w:jc w:val="center"/>
              <w:ind w:left="10"/>
              <w:spacing w:after="0" w:line="162"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hyperlink>
          </w:p>
        </w:tc>
        <w:tc>
          <w:tcPr>
            <w:tcW w:w="100" w:type="dxa"/>
            <w:vAlign w:val="bottom"/>
            <w:shd w:val="clear" w:color="auto" w:fill="CCEEFF"/>
          </w:tcPr>
          <w:p>
            <w:pPr>
              <w:spacing w:after="0"/>
              <w:rPr>
                <w:sz w:val="14"/>
                <w:szCs w:val="14"/>
                <w:color w:val="auto"/>
              </w:rPr>
            </w:pPr>
          </w:p>
        </w:tc>
        <w:tc>
          <w:tcPr>
            <w:tcW w:w="9880" w:type="dxa"/>
            <w:vAlign w:val="bottom"/>
            <w:gridSpan w:val="36"/>
            <w:shd w:val="clear" w:color="auto" w:fill="CCEEFF"/>
          </w:tcPr>
          <w:p>
            <w:pPr>
              <w:spacing w:after="0" w:line="162"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Tile Shop Holdings, Inc. 2021 Omnibus Equity Compensation Plan – incorporated by reference to Exhibit 10.1 to the Company’s</w:t>
              </w:r>
            </w:hyperlink>
          </w:p>
        </w:tc>
      </w:tr>
      <w:tr>
        <w:trPr>
          <w:trHeight w:val="176"/>
        </w:trPr>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0000FF"/>
              <w:bottom w:val="single" w:sz="8" w:color="CCEEFF"/>
            </w:tcBorders>
            <w:shd w:val="clear" w:color="auto" w:fill="CCEEFF"/>
          </w:tcPr>
          <w:p>
            <w:pPr>
              <w:spacing w:after="0"/>
              <w:rPr>
                <w:sz w:val="15"/>
                <w:szCs w:val="15"/>
                <w:color w:val="auto"/>
              </w:rPr>
            </w:pPr>
          </w:p>
        </w:tc>
        <w:tc>
          <w:tcPr>
            <w:tcW w:w="100" w:type="dxa"/>
            <w:vAlign w:val="bottom"/>
            <w:tcBorders>
              <w:top w:val="single" w:sz="8" w:color="0000FF"/>
              <w:bottom w:val="single" w:sz="8" w:color="CCEEFF"/>
            </w:tcBorders>
            <w:shd w:val="clear" w:color="auto" w:fill="CCEEFF"/>
          </w:tcPr>
          <w:p>
            <w:pPr>
              <w:spacing w:after="0"/>
              <w:rPr>
                <w:sz w:val="15"/>
                <w:szCs w:val="15"/>
                <w:color w:val="auto"/>
              </w:rPr>
            </w:pPr>
          </w:p>
        </w:tc>
        <w:tc>
          <w:tcPr>
            <w:tcW w:w="220" w:type="dxa"/>
            <w:vAlign w:val="bottom"/>
            <w:tcBorders>
              <w:top w:val="single" w:sz="8" w:color="0000FF"/>
              <w:bottom w:val="single" w:sz="8" w:color="CCEEFF"/>
            </w:tcBorders>
            <w:shd w:val="clear" w:color="auto" w:fill="CCEEFF"/>
          </w:tcPr>
          <w:p>
            <w:pPr>
              <w:spacing w:after="0"/>
              <w:rPr>
                <w:sz w:val="15"/>
                <w:szCs w:val="15"/>
                <w:color w:val="auto"/>
              </w:rPr>
            </w:pPr>
          </w:p>
        </w:tc>
        <w:tc>
          <w:tcPr>
            <w:tcW w:w="100" w:type="dxa"/>
            <w:vAlign w:val="bottom"/>
            <w:tcBorders>
              <w:top w:val="single" w:sz="8" w:color="0000FF"/>
              <w:bottom w:val="single" w:sz="8" w:color="CCEEFF"/>
            </w:tcBorders>
            <w:shd w:val="clear" w:color="auto" w:fill="CCEEFF"/>
          </w:tcPr>
          <w:p>
            <w:pPr>
              <w:spacing w:after="0"/>
              <w:rPr>
                <w:sz w:val="15"/>
                <w:szCs w:val="15"/>
                <w:color w:val="auto"/>
              </w:rPr>
            </w:pPr>
          </w:p>
        </w:tc>
        <w:tc>
          <w:tcPr>
            <w:tcW w:w="40" w:type="dxa"/>
            <w:vAlign w:val="bottom"/>
            <w:tcBorders>
              <w:top w:val="single" w:sz="8" w:color="0000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520" w:type="dxa"/>
            <w:vAlign w:val="bottom"/>
            <w:tcBorders>
              <w:top w:val="single" w:sz="8" w:color="0000FF"/>
              <w:bottom w:val="single" w:sz="8" w:color="0000FF"/>
            </w:tcBorders>
            <w:gridSpan w:val="7"/>
            <w:shd w:val="clear" w:color="auto" w:fill="CCEEFF"/>
          </w:tcPr>
          <w:p>
            <w:pPr>
              <w:spacing w:after="0" w:line="169" w:lineRule="exact"/>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Current Report on Form 8-K filed July 21, 2021.</w:t>
              </w:r>
            </w:hyperlink>
          </w:p>
        </w:tc>
        <w:tc>
          <w:tcPr>
            <w:tcW w:w="5840" w:type="dxa"/>
            <w:vAlign w:val="bottom"/>
            <w:tcBorders>
              <w:top w:val="single" w:sz="8" w:color="0000FF"/>
              <w:bottom w:val="single" w:sz="8" w:color="CCEEFF"/>
            </w:tcBorders>
            <w:gridSpan w:val="13"/>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0" w:type="dxa"/>
            <w:vAlign w:val="bottom"/>
            <w:tcBorders>
              <w:top w:val="single" w:sz="8" w:color="CCEEFF"/>
              <w:bottom w:val="single" w:sz="8" w:color="CCEEFF"/>
            </w:tcBorders>
            <w:gridSpan w:val="8"/>
            <w:shd w:val="clear" w:color="auto" w:fill="CCEEFF"/>
          </w:tcPr>
          <w:p>
            <w:pPr>
              <w:spacing w:after="0"/>
              <w:rPr>
                <w:sz w:val="15"/>
                <w:szCs w:val="15"/>
                <w:color w:val="auto"/>
              </w:rPr>
            </w:pPr>
          </w:p>
        </w:tc>
      </w:tr>
      <w:tr>
        <w:trPr>
          <w:trHeight w:val="162"/>
        </w:trPr>
        <w:tc>
          <w:tcPr>
            <w:tcW w:w="1280" w:type="dxa"/>
            <w:vAlign w:val="bottom"/>
            <w:gridSpan w:val="7"/>
          </w:tcPr>
          <w:p>
            <w:pPr>
              <w:jc w:val="center"/>
              <w:ind w:left="10"/>
              <w:spacing w:after="0" w:line="162"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hyperlink>
          </w:p>
        </w:tc>
        <w:tc>
          <w:tcPr>
            <w:tcW w:w="100" w:type="dxa"/>
            <w:vAlign w:val="bottom"/>
          </w:tcPr>
          <w:p>
            <w:pPr>
              <w:spacing w:after="0"/>
              <w:rPr>
                <w:sz w:val="14"/>
                <w:szCs w:val="14"/>
                <w:color w:val="auto"/>
              </w:rPr>
            </w:pPr>
          </w:p>
        </w:tc>
        <w:tc>
          <w:tcPr>
            <w:tcW w:w="9880" w:type="dxa"/>
            <w:vAlign w:val="bottom"/>
            <w:gridSpan w:val="36"/>
          </w:tcPr>
          <w:p>
            <w:pPr>
              <w:spacing w:after="0" w:line="162"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Form of Nonqualified Stock Option Agreement (2021 Plan) – incorporated by reference to Exhibit 10.2 to the Company’s Current</w:t>
              </w:r>
            </w:hyperlink>
          </w:p>
        </w:tc>
      </w:tr>
      <w:tr>
        <w:trPr>
          <w:trHeight w:val="176"/>
        </w:trPr>
        <w:tc>
          <w:tcPr>
            <w:tcW w:w="44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2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Report on Form 8-K filed July 21, 2021.</w:t>
              </w:r>
            </w:hyperlink>
          </w:p>
        </w:tc>
        <w:tc>
          <w:tcPr>
            <w:tcW w:w="6500" w:type="dxa"/>
            <w:vAlign w:val="bottom"/>
            <w:tcBorders>
              <w:top w:val="single" w:sz="8" w:color="0000FF"/>
            </w:tcBorders>
            <w:gridSpan w:val="15"/>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gridSpan w:val="4"/>
          </w:tcPr>
          <w:p>
            <w:pPr>
              <w:spacing w:after="0"/>
              <w:rPr>
                <w:sz w:val="15"/>
                <w:szCs w:val="15"/>
                <w:color w:val="auto"/>
              </w:rPr>
            </w:pPr>
          </w:p>
        </w:tc>
        <w:tc>
          <w:tcPr>
            <w:tcW w:w="100" w:type="dxa"/>
            <w:vAlign w:val="bottom"/>
            <w:gridSpan w:val="2"/>
          </w:tcPr>
          <w:p>
            <w:pPr>
              <w:spacing w:after="0"/>
              <w:rPr>
                <w:sz w:val="15"/>
                <w:szCs w:val="15"/>
                <w:color w:val="auto"/>
              </w:rPr>
            </w:pPr>
          </w:p>
        </w:tc>
        <w:tc>
          <w:tcPr>
            <w:tcW w:w="200" w:type="dxa"/>
            <w:vAlign w:val="bottom"/>
            <w:gridSpan w:val="8"/>
          </w:tcPr>
          <w:p>
            <w:pPr>
              <w:spacing w:after="0"/>
              <w:rPr>
                <w:sz w:val="15"/>
                <w:szCs w:val="15"/>
                <w:color w:val="auto"/>
              </w:rPr>
            </w:pPr>
          </w:p>
        </w:tc>
      </w:tr>
      <w:tr>
        <w:trPr>
          <w:trHeight w:val="162"/>
        </w:trPr>
        <w:tc>
          <w:tcPr>
            <w:tcW w:w="1280" w:type="dxa"/>
            <w:vAlign w:val="bottom"/>
            <w:gridSpan w:val="7"/>
            <w:shd w:val="clear" w:color="auto" w:fill="CCEEFF"/>
          </w:tcPr>
          <w:p>
            <w:pPr>
              <w:jc w:val="center"/>
              <w:ind w:left="10"/>
              <w:spacing w:after="0" w:line="162"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14*</w:t>
              </w:r>
            </w:hyperlink>
          </w:p>
        </w:tc>
        <w:tc>
          <w:tcPr>
            <w:tcW w:w="100" w:type="dxa"/>
            <w:vAlign w:val="bottom"/>
            <w:shd w:val="clear" w:color="auto" w:fill="CCEEFF"/>
          </w:tcPr>
          <w:p>
            <w:pPr>
              <w:spacing w:after="0"/>
              <w:rPr>
                <w:sz w:val="14"/>
                <w:szCs w:val="14"/>
                <w:color w:val="auto"/>
              </w:rPr>
            </w:pPr>
          </w:p>
        </w:tc>
        <w:tc>
          <w:tcPr>
            <w:tcW w:w="9880" w:type="dxa"/>
            <w:vAlign w:val="bottom"/>
            <w:gridSpan w:val="36"/>
            <w:shd w:val="clear" w:color="auto" w:fill="CCEEFF"/>
          </w:tcPr>
          <w:p>
            <w:pPr>
              <w:spacing w:after="0" w:line="162"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Form of Incentive Stock Option Agreement (2021 Plan) – incorporated by reference to Exhibit 10.3 to the Company’s Current Report</w:t>
              </w:r>
            </w:hyperlink>
          </w:p>
        </w:tc>
      </w:tr>
      <w:tr>
        <w:trPr>
          <w:trHeight w:val="169"/>
        </w:trPr>
        <w:tc>
          <w:tcPr>
            <w:tcW w:w="4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0000FF"/>
            </w:tcBorders>
            <w:shd w:val="clear" w:color="auto" w:fill="CCEEFF"/>
          </w:tcPr>
          <w:p>
            <w:pPr>
              <w:spacing w:after="0"/>
              <w:rPr>
                <w:sz w:val="14"/>
                <w:szCs w:val="14"/>
                <w:color w:val="auto"/>
              </w:rPr>
            </w:pPr>
          </w:p>
        </w:tc>
        <w:tc>
          <w:tcPr>
            <w:tcW w:w="22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680" w:type="dxa"/>
            <w:vAlign w:val="bottom"/>
            <w:tcBorders>
              <w:top w:val="single" w:sz="8" w:color="0000FF"/>
            </w:tcBorders>
            <w:gridSpan w:val="28"/>
            <w:shd w:val="clear" w:color="auto" w:fill="CCEEFF"/>
          </w:tcPr>
          <w:p>
            <w:pPr>
              <w:spacing w:after="0" w:line="169"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on Form 8-K filed July 21, 2021.</w:t>
              </w:r>
            </w:hyperlink>
          </w:p>
        </w:tc>
        <w:tc>
          <w:tcPr>
            <w:tcW w:w="200" w:type="dxa"/>
            <w:vAlign w:val="bottom"/>
            <w:tcBorders>
              <w:top w:val="single" w:sz="8" w:color="CCEEFF"/>
            </w:tcBorders>
            <w:gridSpan w:val="8"/>
            <w:shd w:val="clear" w:color="auto" w:fill="CCEEFF"/>
          </w:tcPr>
          <w:p>
            <w:pPr>
              <w:spacing w:after="0"/>
              <w:rPr>
                <w:sz w:val="14"/>
                <w:szCs w:val="14"/>
                <w:color w:val="auto"/>
              </w:rPr>
            </w:pPr>
          </w:p>
        </w:tc>
      </w:tr>
      <w:tr>
        <w:trPr>
          <w:trHeight w:val="27"/>
        </w:trPr>
        <w:tc>
          <w:tcPr>
            <w:tcW w:w="4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22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540" w:type="dxa"/>
            <w:vAlign w:val="bottom"/>
            <w:tcBorders>
              <w:right w:val="single" w:sz="8" w:color="CCEEFF"/>
            </w:tcBorders>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1280" w:type="dxa"/>
            <w:vAlign w:val="bottom"/>
            <w:gridSpan w:val="7"/>
          </w:tcPr>
          <w:p>
            <w:pPr>
              <w:jc w:val="center"/>
              <w:ind w:left="10"/>
              <w:spacing w:after="0" w:line="162"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hyperlink>
          </w:p>
        </w:tc>
        <w:tc>
          <w:tcPr>
            <w:tcW w:w="100" w:type="dxa"/>
            <w:vAlign w:val="bottom"/>
          </w:tcPr>
          <w:p>
            <w:pPr>
              <w:spacing w:after="0"/>
              <w:rPr>
                <w:sz w:val="14"/>
                <w:szCs w:val="14"/>
                <w:color w:val="auto"/>
              </w:rPr>
            </w:pPr>
          </w:p>
        </w:tc>
        <w:tc>
          <w:tcPr>
            <w:tcW w:w="9880" w:type="dxa"/>
            <w:vAlign w:val="bottom"/>
            <w:gridSpan w:val="36"/>
          </w:tcPr>
          <w:p>
            <w:pPr>
              <w:spacing w:after="0" w:line="162"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Form of Stock Restriction Agreement (2021 Plan) – incorporated by reference to Exhibit 10.4 to the Company’s Current Report on</w:t>
              </w:r>
            </w:hyperlink>
          </w:p>
        </w:tc>
      </w:tr>
      <w:tr>
        <w:trPr>
          <w:trHeight w:val="176"/>
        </w:trPr>
        <w:tc>
          <w:tcPr>
            <w:tcW w:w="44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Form 8-K filed July 21, 2021.</w:t>
              </w:r>
            </w:hyperlink>
          </w:p>
        </w:tc>
        <w:tc>
          <w:tcPr>
            <w:tcW w:w="7320" w:type="dxa"/>
            <w:vAlign w:val="bottom"/>
            <w:tcBorders>
              <w:top w:val="single" w:sz="8" w:color="0000FF"/>
            </w:tcBorders>
            <w:gridSpan w:val="19"/>
          </w:tcPr>
          <w:p>
            <w:pPr>
              <w:spacing w:after="0"/>
              <w:rPr>
                <w:sz w:val="15"/>
                <w:szCs w:val="15"/>
                <w:color w:val="auto"/>
              </w:rPr>
            </w:pPr>
          </w:p>
        </w:tc>
        <w:tc>
          <w:tcPr>
            <w:tcW w:w="100" w:type="dxa"/>
            <w:vAlign w:val="bottom"/>
            <w:gridSpan w:val="4"/>
          </w:tcPr>
          <w:p>
            <w:pPr>
              <w:spacing w:after="0"/>
              <w:rPr>
                <w:sz w:val="15"/>
                <w:szCs w:val="15"/>
                <w:color w:val="auto"/>
              </w:rPr>
            </w:pPr>
          </w:p>
        </w:tc>
        <w:tc>
          <w:tcPr>
            <w:tcW w:w="300" w:type="dxa"/>
            <w:vAlign w:val="bottom"/>
            <w:gridSpan w:val="10"/>
          </w:tcPr>
          <w:p>
            <w:pPr>
              <w:spacing w:after="0"/>
              <w:rPr>
                <w:sz w:val="15"/>
                <w:szCs w:val="15"/>
                <w:color w:val="auto"/>
              </w:rPr>
            </w:pPr>
          </w:p>
        </w:tc>
      </w:tr>
      <w:tr>
        <w:trPr>
          <w:trHeight w:val="162"/>
        </w:trPr>
        <w:tc>
          <w:tcPr>
            <w:tcW w:w="1280" w:type="dxa"/>
            <w:vAlign w:val="bottom"/>
            <w:gridSpan w:val="7"/>
            <w:shd w:val="clear" w:color="auto" w:fill="CCEEFF"/>
          </w:tcPr>
          <w:p>
            <w:pPr>
              <w:jc w:val="center"/>
              <w:ind w:left="10"/>
              <w:spacing w:after="0" w:line="162"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w:t>
              </w:r>
            </w:hyperlink>
          </w:p>
        </w:tc>
        <w:tc>
          <w:tcPr>
            <w:tcW w:w="100" w:type="dxa"/>
            <w:vAlign w:val="bottom"/>
            <w:shd w:val="clear" w:color="auto" w:fill="CCEEFF"/>
          </w:tcPr>
          <w:p>
            <w:pPr>
              <w:spacing w:after="0"/>
              <w:rPr>
                <w:sz w:val="14"/>
                <w:szCs w:val="14"/>
                <w:color w:val="auto"/>
              </w:rPr>
            </w:pPr>
          </w:p>
        </w:tc>
        <w:tc>
          <w:tcPr>
            <w:tcW w:w="9880" w:type="dxa"/>
            <w:vAlign w:val="bottom"/>
            <w:gridSpan w:val="36"/>
            <w:shd w:val="clear" w:color="auto" w:fill="CCEEFF"/>
          </w:tcPr>
          <w:p>
            <w:pPr>
              <w:spacing w:after="0" w:line="162"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Form of Performance-Based Stock Restriction Agreement (2021 Plan) – incorporated by reference to Exhibit 10.5 to the Company’s</w:t>
              </w:r>
            </w:hyperlink>
          </w:p>
        </w:tc>
      </w:tr>
      <w:tr>
        <w:trPr>
          <w:trHeight w:val="176"/>
        </w:trPr>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0000FF"/>
              <w:bottom w:val="single" w:sz="8" w:color="CCEEFF"/>
            </w:tcBorders>
            <w:shd w:val="clear" w:color="auto" w:fill="CCEEFF"/>
          </w:tcPr>
          <w:p>
            <w:pPr>
              <w:spacing w:after="0"/>
              <w:rPr>
                <w:sz w:val="15"/>
                <w:szCs w:val="15"/>
                <w:color w:val="auto"/>
              </w:rPr>
            </w:pPr>
          </w:p>
        </w:tc>
        <w:tc>
          <w:tcPr>
            <w:tcW w:w="100" w:type="dxa"/>
            <w:vAlign w:val="bottom"/>
            <w:tcBorders>
              <w:top w:val="single" w:sz="8" w:color="0000FF"/>
              <w:bottom w:val="single" w:sz="8" w:color="CCEEFF"/>
            </w:tcBorders>
            <w:shd w:val="clear" w:color="auto" w:fill="CCEEFF"/>
          </w:tcPr>
          <w:p>
            <w:pPr>
              <w:spacing w:after="0"/>
              <w:rPr>
                <w:sz w:val="15"/>
                <w:szCs w:val="15"/>
                <w:color w:val="auto"/>
              </w:rPr>
            </w:pPr>
          </w:p>
        </w:tc>
        <w:tc>
          <w:tcPr>
            <w:tcW w:w="220" w:type="dxa"/>
            <w:vAlign w:val="bottom"/>
            <w:tcBorders>
              <w:top w:val="single" w:sz="8" w:color="0000FF"/>
              <w:bottom w:val="single" w:sz="8" w:color="CCEEFF"/>
            </w:tcBorders>
            <w:shd w:val="clear" w:color="auto" w:fill="CCEEFF"/>
          </w:tcPr>
          <w:p>
            <w:pPr>
              <w:spacing w:after="0"/>
              <w:rPr>
                <w:sz w:val="15"/>
                <w:szCs w:val="15"/>
                <w:color w:val="auto"/>
              </w:rPr>
            </w:pPr>
          </w:p>
        </w:tc>
        <w:tc>
          <w:tcPr>
            <w:tcW w:w="100" w:type="dxa"/>
            <w:vAlign w:val="bottom"/>
            <w:tcBorders>
              <w:top w:val="single" w:sz="8" w:color="0000FF"/>
              <w:bottom w:val="single" w:sz="8" w:color="CCEEFF"/>
            </w:tcBorders>
            <w:shd w:val="clear" w:color="auto" w:fill="CCEEFF"/>
          </w:tcPr>
          <w:p>
            <w:pPr>
              <w:spacing w:after="0"/>
              <w:rPr>
                <w:sz w:val="15"/>
                <w:szCs w:val="15"/>
                <w:color w:val="auto"/>
              </w:rPr>
            </w:pPr>
          </w:p>
        </w:tc>
        <w:tc>
          <w:tcPr>
            <w:tcW w:w="40" w:type="dxa"/>
            <w:vAlign w:val="bottom"/>
            <w:tcBorders>
              <w:top w:val="single" w:sz="8" w:color="0000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520" w:type="dxa"/>
            <w:vAlign w:val="bottom"/>
            <w:tcBorders>
              <w:top w:val="single" w:sz="8" w:color="0000FF"/>
              <w:bottom w:val="single" w:sz="8" w:color="0000FF"/>
            </w:tcBorders>
            <w:gridSpan w:val="7"/>
            <w:shd w:val="clear" w:color="auto" w:fill="CCEEFF"/>
          </w:tcPr>
          <w:p>
            <w:pPr>
              <w:spacing w:after="0" w:line="169" w:lineRule="exact"/>
              <w:rPr>
                <w:rFonts w:ascii="Times New Roman" w:cs="Times New Roman" w:eastAsia="Times New Roman" w:hAnsi="Times New Roman"/>
                <w:sz w:val="18"/>
                <w:szCs w:val="18"/>
                <w:color w:val="0000FF"/>
                <w:w w:val="99"/>
              </w:rPr>
            </w:pPr>
            <w:hyperlink r:id="rId107">
              <w:r>
                <w:rPr>
                  <w:rFonts w:ascii="Times New Roman" w:cs="Times New Roman" w:eastAsia="Times New Roman" w:hAnsi="Times New Roman"/>
                  <w:sz w:val="18"/>
                  <w:szCs w:val="18"/>
                  <w:color w:val="0000FF"/>
                  <w:w w:val="99"/>
                </w:rPr>
                <w:t>Current Report on Form 8-K filed July 21, 2021.</w:t>
              </w:r>
            </w:hyperlink>
          </w:p>
        </w:tc>
        <w:tc>
          <w:tcPr>
            <w:tcW w:w="6060" w:type="dxa"/>
            <w:vAlign w:val="bottom"/>
            <w:tcBorders>
              <w:top w:val="single" w:sz="8" w:color="0000FF"/>
              <w:bottom w:val="single" w:sz="8" w:color="CCEEFF"/>
            </w:tcBorders>
            <w:gridSpan w:val="19"/>
            <w:shd w:val="clear" w:color="auto" w:fill="CCEEFF"/>
          </w:tcPr>
          <w:p>
            <w:pPr>
              <w:spacing w:after="0"/>
              <w:rPr>
                <w:sz w:val="15"/>
                <w:szCs w:val="15"/>
                <w:color w:val="auto"/>
              </w:rPr>
            </w:pPr>
          </w:p>
        </w:tc>
        <w:tc>
          <w:tcPr>
            <w:tcW w:w="300" w:type="dxa"/>
            <w:vAlign w:val="bottom"/>
            <w:tcBorders>
              <w:top w:val="single" w:sz="8" w:color="CCEEFF"/>
              <w:bottom w:val="single" w:sz="8" w:color="CCEEFF"/>
            </w:tcBorders>
            <w:gridSpan w:val="10"/>
            <w:shd w:val="clear" w:color="auto" w:fill="CCEEFF"/>
          </w:tcPr>
          <w:p>
            <w:pPr>
              <w:spacing w:after="0"/>
              <w:rPr>
                <w:sz w:val="15"/>
                <w:szCs w:val="15"/>
                <w:color w:val="auto"/>
              </w:rPr>
            </w:pPr>
          </w:p>
        </w:tc>
      </w:tr>
      <w:tr>
        <w:trPr>
          <w:trHeight w:val="162"/>
        </w:trPr>
        <w:tc>
          <w:tcPr>
            <w:tcW w:w="1280" w:type="dxa"/>
            <w:vAlign w:val="bottom"/>
            <w:gridSpan w:val="7"/>
          </w:tcPr>
          <w:p>
            <w:pPr>
              <w:jc w:val="center"/>
              <w:ind w:left="10"/>
              <w:spacing w:after="0" w:line="162"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17*</w:t>
              </w:r>
            </w:hyperlink>
          </w:p>
        </w:tc>
        <w:tc>
          <w:tcPr>
            <w:tcW w:w="100" w:type="dxa"/>
            <w:vAlign w:val="bottom"/>
          </w:tcPr>
          <w:p>
            <w:pPr>
              <w:spacing w:after="0"/>
              <w:rPr>
                <w:sz w:val="14"/>
                <w:szCs w:val="14"/>
                <w:color w:val="auto"/>
              </w:rPr>
            </w:pPr>
          </w:p>
        </w:tc>
        <w:tc>
          <w:tcPr>
            <w:tcW w:w="9880" w:type="dxa"/>
            <w:vAlign w:val="bottom"/>
            <w:gridSpan w:val="36"/>
          </w:tcPr>
          <w:p>
            <w:pPr>
              <w:spacing w:after="0" w:line="162"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Form of Stock Restriction Agreement (2021 Plan) (2023) – incorporated by reference to Exhibit 10.19 of the Company’s Annual Report</w:t>
              </w:r>
            </w:hyperlink>
          </w:p>
        </w:tc>
      </w:tr>
      <w:tr>
        <w:trPr>
          <w:trHeight w:val="169"/>
        </w:trPr>
        <w:tc>
          <w:tcPr>
            <w:tcW w:w="440" w:type="dxa"/>
            <w:vAlign w:val="bottom"/>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60" w:type="dxa"/>
            <w:vAlign w:val="bottom"/>
            <w:tcBorders>
              <w:top w:val="single" w:sz="8" w:color="0000FF"/>
            </w:tcBorders>
            <w:gridSpan w:val="35"/>
          </w:tcPr>
          <w:p>
            <w:pPr>
              <w:spacing w:after="0" w:line="169"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on Form 10-K for the year ended December 31, 2022.</w:t>
              </w:r>
            </w:hyperlink>
          </w:p>
        </w:tc>
        <w:tc>
          <w:tcPr>
            <w:tcW w:w="20" w:type="dxa"/>
            <w:vAlign w:val="bottom"/>
          </w:tcPr>
          <w:p>
            <w:pPr>
              <w:spacing w:after="0"/>
              <w:rPr>
                <w:sz w:val="14"/>
                <w:szCs w:val="14"/>
                <w:color w:val="auto"/>
              </w:rPr>
            </w:pPr>
          </w:p>
        </w:tc>
      </w:tr>
      <w:tr>
        <w:trPr>
          <w:trHeight w:val="27"/>
        </w:trPr>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22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1280" w:type="dxa"/>
            <w:vAlign w:val="bottom"/>
            <w:gridSpan w:val="7"/>
            <w:shd w:val="clear" w:color="auto" w:fill="CCEEFF"/>
          </w:tcPr>
          <w:p>
            <w:pPr>
              <w:jc w:val="center"/>
              <w:ind w:left="10"/>
              <w:spacing w:after="0" w:line="162"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18*</w:t>
              </w:r>
            </w:hyperlink>
          </w:p>
        </w:tc>
        <w:tc>
          <w:tcPr>
            <w:tcW w:w="100" w:type="dxa"/>
            <w:vAlign w:val="bottom"/>
            <w:shd w:val="clear" w:color="auto" w:fill="CCEEFF"/>
          </w:tcPr>
          <w:p>
            <w:pPr>
              <w:spacing w:after="0"/>
              <w:rPr>
                <w:sz w:val="14"/>
                <w:szCs w:val="14"/>
                <w:color w:val="auto"/>
              </w:rPr>
            </w:pPr>
          </w:p>
        </w:tc>
        <w:tc>
          <w:tcPr>
            <w:tcW w:w="9880" w:type="dxa"/>
            <w:vAlign w:val="bottom"/>
            <w:gridSpan w:val="36"/>
            <w:shd w:val="clear" w:color="auto" w:fill="CCEEFF"/>
          </w:tcPr>
          <w:p>
            <w:pPr>
              <w:spacing w:after="0" w:line="162"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Form of Performance-Based Stock Restriction Agreement (2021 Plan) (2023) – incorporated by reference to Exhibit 10.20 of the</w:t>
              </w:r>
            </w:hyperlink>
          </w:p>
        </w:tc>
      </w:tr>
      <w:tr>
        <w:trPr>
          <w:trHeight w:val="176"/>
        </w:trPr>
        <w:tc>
          <w:tcPr>
            <w:tcW w:w="4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22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340" w:type="dxa"/>
            <w:vAlign w:val="bottom"/>
            <w:tcBorders>
              <w:top w:val="single" w:sz="8" w:color="0000FF"/>
            </w:tcBorders>
            <w:gridSpan w:val="19"/>
            <w:shd w:val="clear" w:color="auto" w:fill="CCEEFF"/>
          </w:tcPr>
          <w:p>
            <w:pPr>
              <w:spacing w:after="0" w:line="169"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Company’s Annual Report on Form 10-K for the year ended December 31, 2022.</w:t>
              </w:r>
            </w:hyperlink>
          </w:p>
        </w:tc>
        <w:tc>
          <w:tcPr>
            <w:tcW w:w="540" w:type="dxa"/>
            <w:vAlign w:val="bottom"/>
            <w:tcBorders>
              <w:top w:val="single" w:sz="8" w:color="CCEEFF"/>
            </w:tcBorders>
            <w:gridSpan w:val="17"/>
            <w:shd w:val="clear" w:color="auto" w:fill="CCEEFF"/>
          </w:tcPr>
          <w:p>
            <w:pPr>
              <w:spacing w:after="0"/>
              <w:rPr>
                <w:sz w:val="15"/>
                <w:szCs w:val="15"/>
                <w:color w:val="auto"/>
              </w:rPr>
            </w:pPr>
          </w:p>
        </w:tc>
      </w:tr>
      <w:tr>
        <w:trPr>
          <w:trHeight w:val="234"/>
        </w:trPr>
        <w:tc>
          <w:tcPr>
            <w:tcW w:w="44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4420" w:type="dxa"/>
            <w:vAlign w:val="bottom"/>
            <w:tcBorders>
              <w:top w:val="single" w:sz="8" w:color="0000FF"/>
            </w:tcBorders>
            <w:gridSpan w:val="9"/>
          </w:tcPr>
          <w:p>
            <w:pPr>
              <w:jc w:val="center"/>
              <w:ind w:left="3990"/>
              <w:spacing w:after="0"/>
              <w:rPr>
                <w:sz w:val="20"/>
                <w:szCs w:val="20"/>
                <w:color w:val="auto"/>
              </w:rPr>
            </w:pPr>
            <w:r>
              <w:rPr>
                <w:rFonts w:ascii="Times New Roman" w:cs="Times New Roman" w:eastAsia="Times New Roman" w:hAnsi="Times New Roman"/>
                <w:sz w:val="18"/>
                <w:szCs w:val="18"/>
                <w:color w:val="auto"/>
                <w:w w:val="99"/>
              </w:rPr>
              <w:t>63</w:t>
            </w:r>
          </w:p>
        </w:tc>
        <w:tc>
          <w:tcPr>
            <w:tcW w:w="220" w:type="dxa"/>
            <w:vAlign w:val="bottom"/>
            <w:tcBorders>
              <w:top w:val="single" w:sz="8" w:color="0000FF"/>
            </w:tcBorders>
          </w:tcPr>
          <w:p>
            <w:pPr>
              <w:spacing w:after="0"/>
              <w:rPr>
                <w:sz w:val="20"/>
                <w:szCs w:val="20"/>
                <w:color w:val="auto"/>
              </w:rPr>
            </w:pPr>
          </w:p>
        </w:tc>
        <w:tc>
          <w:tcPr>
            <w:tcW w:w="1220" w:type="dxa"/>
            <w:vAlign w:val="bottom"/>
            <w:tcBorders>
              <w:top w:val="single" w:sz="8" w:color="0000FF"/>
            </w:tcBorders>
          </w:tcPr>
          <w:p>
            <w:pPr>
              <w:spacing w:after="0"/>
              <w:rPr>
                <w:sz w:val="20"/>
                <w:szCs w:val="20"/>
                <w:color w:val="auto"/>
              </w:rPr>
            </w:pPr>
          </w:p>
        </w:tc>
        <w:tc>
          <w:tcPr>
            <w:tcW w:w="40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1540" w:type="dxa"/>
            <w:vAlign w:val="bottom"/>
            <w:tcBorders>
              <w:top w:val="single" w:sz="8" w:color="CCEEFF"/>
            </w:tcBorders>
          </w:tcPr>
          <w:p>
            <w:pPr>
              <w:spacing w:after="0"/>
              <w:rPr>
                <w:sz w:val="20"/>
                <w:szCs w:val="20"/>
                <w:color w:val="auto"/>
              </w:rPr>
            </w:pPr>
          </w:p>
        </w:tc>
        <w:tc>
          <w:tcPr>
            <w:tcW w:w="700" w:type="dxa"/>
            <w:vAlign w:val="bottom"/>
            <w:tcBorders>
              <w:top w:val="single" w:sz="8" w:color="CCEEFF"/>
            </w:tcBorders>
          </w:tcPr>
          <w:p>
            <w:pPr>
              <w:spacing w:after="0"/>
              <w:rPr>
                <w:sz w:val="20"/>
                <w:szCs w:val="20"/>
                <w:color w:val="auto"/>
              </w:rPr>
            </w:pPr>
          </w:p>
        </w:tc>
        <w:tc>
          <w:tcPr>
            <w:tcW w:w="5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r>
      <w:tr>
        <w:trPr>
          <w:trHeight w:val="286"/>
        </w:trPr>
        <w:tc>
          <w:tcPr>
            <w:tcW w:w="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gridSpan w:val="6"/>
          </w:tcPr>
          <w:p>
            <w:pPr>
              <w:jc w:val="center"/>
              <w:ind w:left="270"/>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19*</w:t>
              </w:r>
            </w:hyperlink>
          </w:p>
        </w:tc>
        <w:tc>
          <w:tcPr>
            <w:tcW w:w="360" w:type="dxa"/>
            <w:vAlign w:val="bottom"/>
          </w:tcPr>
          <w:p>
            <w:pPr>
              <w:spacing w:after="0"/>
              <w:rPr>
                <w:sz w:val="17"/>
                <w:szCs w:val="17"/>
                <w:color w:val="auto"/>
              </w:rPr>
            </w:pPr>
          </w:p>
        </w:tc>
        <w:tc>
          <w:tcPr>
            <w:tcW w:w="9880" w:type="dxa"/>
            <w:vAlign w:val="bottom"/>
            <w:gridSpan w:val="24"/>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Employment Agreement, effective as of January 3, 2022, by and between Tile Shop Holdings, Inc. and Karla Lunan – incorporated by</w:t>
              </w:r>
            </w:hyperlink>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72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reference to Exhibit 10.1 to the Company’s Current Report on Form 8-K filed December 23,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2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380" w:type="dxa"/>
            <w:vAlign w:val="bottom"/>
            <w:gridSpan w:val="7"/>
            <w:shd w:val="clear" w:color="auto" w:fill="CCEEFF"/>
          </w:tcPr>
          <w:p>
            <w:pPr>
              <w:jc w:val="center"/>
              <w:spacing w:after="0" w:line="162" w:lineRule="exact"/>
              <w:rPr>
                <w:rFonts w:ascii="Times New Roman" w:cs="Times New Roman" w:eastAsia="Times New Roman" w:hAnsi="Times New Roman"/>
                <w:sz w:val="18"/>
                <w:szCs w:val="18"/>
                <w:color w:val="0000FF"/>
                <w:w w:val="97"/>
              </w:rPr>
            </w:pPr>
            <w:hyperlink r:id="rId113">
              <w:r>
                <w:rPr>
                  <w:rFonts w:ascii="Times New Roman" w:cs="Times New Roman" w:eastAsia="Times New Roman" w:hAnsi="Times New Roman"/>
                  <w:sz w:val="18"/>
                  <w:szCs w:val="18"/>
                  <w:color w:val="0000FF"/>
                  <w:w w:val="97"/>
                </w:rPr>
                <w:t>10.</w:t>
              </w:r>
              <w:r>
                <w:rPr>
                  <w:rFonts w:ascii="Times New Roman" w:cs="Times New Roman" w:eastAsia="Times New Roman" w:hAnsi="Times New Roman"/>
                  <w:sz w:val="18"/>
                  <w:szCs w:val="18"/>
                  <w:u w:val="single" w:color="auto"/>
                  <w:color w:val="0000FF"/>
                  <w:w w:val="97"/>
                </w:rPr>
                <w:t>20***</w:t>
              </w:r>
            </w:hyperlink>
          </w:p>
        </w:tc>
        <w:tc>
          <w:tcPr>
            <w:tcW w:w="9880" w:type="dxa"/>
            <w:vAlign w:val="bottom"/>
            <w:gridSpan w:val="24"/>
            <w:shd w:val="clear" w:color="auto" w:fill="CCEEFF"/>
          </w:tcPr>
          <w:p>
            <w:pPr>
              <w:spacing w:after="0" w:line="162"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Credit Agreement, dated as of September 30, 2022, by and among The Tile Shop, LLC, as borrower and loan party, Tile Shop Holdings,</w:t>
              </w:r>
            </w:hyperlink>
          </w:p>
        </w:tc>
        <w:tc>
          <w:tcPr>
            <w:tcW w:w="0" w:type="dxa"/>
            <w:vAlign w:val="bottom"/>
          </w:tcPr>
          <w:p>
            <w:pPr>
              <w:spacing w:after="0"/>
              <w:rPr>
                <w:sz w:val="1"/>
                <w:szCs w:val="1"/>
                <w:color w:val="auto"/>
              </w:rPr>
            </w:pPr>
          </w:p>
        </w:tc>
      </w:tr>
      <w:tr>
        <w:trPr>
          <w:trHeight w:val="169"/>
        </w:trPr>
        <w:tc>
          <w:tcPr>
            <w:tcW w:w="3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0000FF"/>
              <w:bottom w:val="single" w:sz="8" w:color="CCEEFF"/>
            </w:tcBorders>
            <w:shd w:val="clear" w:color="auto" w:fill="CCEEFF"/>
          </w:tcPr>
          <w:p>
            <w:pPr>
              <w:spacing w:after="0"/>
              <w:rPr>
                <w:sz w:val="14"/>
                <w:szCs w:val="14"/>
                <w:color w:val="auto"/>
              </w:rPr>
            </w:pPr>
          </w:p>
        </w:tc>
        <w:tc>
          <w:tcPr>
            <w:tcW w:w="100" w:type="dxa"/>
            <w:vAlign w:val="bottom"/>
            <w:tcBorders>
              <w:top w:val="single" w:sz="8" w:color="0000FF"/>
              <w:bottom w:val="single" w:sz="8" w:color="CCEEFF"/>
            </w:tcBorders>
            <w:shd w:val="clear" w:color="auto" w:fill="CCEEFF"/>
          </w:tcPr>
          <w:p>
            <w:pPr>
              <w:spacing w:after="0"/>
              <w:rPr>
                <w:sz w:val="14"/>
                <w:szCs w:val="14"/>
                <w:color w:val="auto"/>
              </w:rPr>
            </w:pPr>
          </w:p>
        </w:tc>
        <w:tc>
          <w:tcPr>
            <w:tcW w:w="300" w:type="dxa"/>
            <w:vAlign w:val="bottom"/>
            <w:tcBorders>
              <w:top w:val="single" w:sz="8" w:color="0000FF"/>
              <w:bottom w:val="single" w:sz="8" w:color="CCEEFF"/>
            </w:tcBorders>
            <w:shd w:val="clear" w:color="auto" w:fill="CCEEFF"/>
          </w:tcPr>
          <w:p>
            <w:pPr>
              <w:spacing w:after="0"/>
              <w:rPr>
                <w:sz w:val="14"/>
                <w:szCs w:val="14"/>
                <w:color w:val="auto"/>
              </w:rPr>
            </w:pPr>
          </w:p>
        </w:tc>
        <w:tc>
          <w:tcPr>
            <w:tcW w:w="100" w:type="dxa"/>
            <w:vAlign w:val="bottom"/>
            <w:tcBorders>
              <w:top w:val="single" w:sz="8" w:color="0000FF"/>
              <w:bottom w:val="single" w:sz="8" w:color="CCEEFF"/>
            </w:tcBorders>
            <w:shd w:val="clear" w:color="auto" w:fill="CCEEFF"/>
          </w:tcPr>
          <w:p>
            <w:pPr>
              <w:spacing w:after="0"/>
              <w:rPr>
                <w:sz w:val="14"/>
                <w:szCs w:val="14"/>
                <w:color w:val="auto"/>
              </w:rPr>
            </w:pPr>
          </w:p>
        </w:tc>
        <w:tc>
          <w:tcPr>
            <w:tcW w:w="80" w:type="dxa"/>
            <w:vAlign w:val="bottom"/>
            <w:tcBorders>
              <w:top w:val="single" w:sz="8" w:color="0000FF"/>
              <w:bottom w:val="single" w:sz="8" w:color="CCEEFF"/>
            </w:tcBorders>
            <w:shd w:val="clear" w:color="auto" w:fill="CCEEFF"/>
          </w:tcPr>
          <w:p>
            <w:pPr>
              <w:spacing w:after="0"/>
              <w:rPr>
                <w:sz w:val="14"/>
                <w:szCs w:val="14"/>
                <w:color w:val="auto"/>
              </w:rPr>
            </w:pPr>
          </w:p>
        </w:tc>
        <w:tc>
          <w:tcPr>
            <w:tcW w:w="360" w:type="dxa"/>
            <w:vAlign w:val="bottom"/>
            <w:tcBorders>
              <w:top w:val="single" w:sz="8" w:color="CCEEFF"/>
              <w:bottom w:val="single" w:sz="8" w:color="CCEEFF"/>
            </w:tcBorders>
            <w:shd w:val="clear" w:color="auto" w:fill="CCEEFF"/>
          </w:tcPr>
          <w:p>
            <w:pPr>
              <w:spacing w:after="0"/>
              <w:rPr>
                <w:sz w:val="14"/>
                <w:szCs w:val="14"/>
                <w:color w:val="auto"/>
              </w:rPr>
            </w:pPr>
          </w:p>
        </w:tc>
        <w:tc>
          <w:tcPr>
            <w:tcW w:w="9760" w:type="dxa"/>
            <w:vAlign w:val="bottom"/>
            <w:tcBorders>
              <w:top w:val="single" w:sz="8" w:color="0000FF"/>
              <w:bottom w:val="single" w:sz="8" w:color="0000FF"/>
            </w:tcBorders>
            <w:gridSpan w:val="21"/>
            <w:shd w:val="clear" w:color="auto" w:fill="CCEEFF"/>
          </w:tcPr>
          <w:p>
            <w:pPr>
              <w:spacing w:after="0" w:line="169"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Inc., Tile Shop Lending, Inc., and The Tile Shop of Michigan, LLC, as guarantors and loan parties, each lender from time to time party</w:t>
              </w:r>
            </w:hyperlink>
          </w:p>
        </w:tc>
        <w:tc>
          <w:tcPr>
            <w:tcW w:w="100" w:type="dxa"/>
            <w:vAlign w:val="bottom"/>
            <w:tcBorders>
              <w:top w:val="single" w:sz="8" w:color="0000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80" w:type="dxa"/>
            <w:vAlign w:val="bottom"/>
            <w:gridSpan w:val="24"/>
            <w:shd w:val="clear" w:color="auto" w:fill="CCEEFF"/>
          </w:tcPr>
          <w:p>
            <w:pPr>
              <w:spacing w:after="0" w:line="169"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thereto, and JPMorgan Chase Bank, N.A., as administrative agent, sole bookrunner and sole lead arranger – incorporated by reference to</w:t>
              </w:r>
            </w:hyperlink>
          </w:p>
        </w:tc>
        <w:tc>
          <w:tcPr>
            <w:tcW w:w="0" w:type="dxa"/>
            <w:vAlign w:val="bottom"/>
          </w:tcPr>
          <w:p>
            <w:pPr>
              <w:spacing w:after="0"/>
              <w:rPr>
                <w:sz w:val="1"/>
                <w:szCs w:val="1"/>
                <w:color w:val="auto"/>
              </w:rPr>
            </w:pPr>
          </w:p>
        </w:tc>
      </w:tr>
      <w:tr>
        <w:trPr>
          <w:trHeight w:val="189"/>
        </w:trPr>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6240" w:type="dxa"/>
            <w:vAlign w:val="bottom"/>
            <w:tcBorders>
              <w:top w:val="single" w:sz="8" w:color="0000FF"/>
              <w:bottom w:val="single" w:sz="8" w:color="0000FF"/>
            </w:tcBorders>
            <w:gridSpan w:val="5"/>
            <w:shd w:val="clear" w:color="auto" w:fill="CCEEFF"/>
          </w:tcPr>
          <w:p>
            <w:pPr>
              <w:spacing w:after="0" w:line="169" w:lineRule="exact"/>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Exhibit 10.1 to the Company’s Current Report on Form 8-K filed September 30, 2022.</w:t>
              </w:r>
            </w:hyperlink>
          </w:p>
        </w:tc>
        <w:tc>
          <w:tcPr>
            <w:tcW w:w="3620" w:type="dxa"/>
            <w:vAlign w:val="bottom"/>
            <w:tcBorders>
              <w:top w:val="single" w:sz="8" w:color="0000FF"/>
              <w:bottom w:val="single" w:sz="8" w:color="CCEEFF"/>
            </w:tcBorders>
            <w:gridSpan w:val="18"/>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380" w:type="dxa"/>
            <w:vAlign w:val="bottom"/>
            <w:gridSpan w:val="7"/>
          </w:tcPr>
          <w:p>
            <w:pPr>
              <w:jc w:val="center"/>
              <w:spacing w:after="0" w:line="162" w:lineRule="exact"/>
              <w:rPr>
                <w:rFonts w:ascii="Times New Roman" w:cs="Times New Roman" w:eastAsia="Times New Roman" w:hAnsi="Times New Roman"/>
                <w:sz w:val="18"/>
                <w:szCs w:val="18"/>
                <w:color w:val="0000FF"/>
                <w:w w:val="97"/>
              </w:rPr>
            </w:pPr>
            <w:hyperlink r:id="rId114">
              <w:r>
                <w:rPr>
                  <w:rFonts w:ascii="Times New Roman" w:cs="Times New Roman" w:eastAsia="Times New Roman" w:hAnsi="Times New Roman"/>
                  <w:sz w:val="18"/>
                  <w:szCs w:val="18"/>
                  <w:color w:val="0000FF"/>
                  <w:w w:val="97"/>
                </w:rPr>
                <w:t>10.</w:t>
              </w:r>
              <w:r>
                <w:rPr>
                  <w:rFonts w:ascii="Times New Roman" w:cs="Times New Roman" w:eastAsia="Times New Roman" w:hAnsi="Times New Roman"/>
                  <w:sz w:val="18"/>
                  <w:szCs w:val="18"/>
                  <w:u w:val="single" w:color="auto"/>
                  <w:color w:val="0000FF"/>
                  <w:w w:val="97"/>
                </w:rPr>
                <w:t>21***</w:t>
              </w:r>
            </w:hyperlink>
          </w:p>
        </w:tc>
        <w:tc>
          <w:tcPr>
            <w:tcW w:w="9880" w:type="dxa"/>
            <w:vAlign w:val="bottom"/>
            <w:gridSpan w:val="24"/>
          </w:tcPr>
          <w:p>
            <w:pPr>
              <w:spacing w:after="0" w:line="162"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Pledge and Security Agreement, dated as of September 30, 2022, by and among The Tile Shop, LLC, Tile Shop Holdings, Inc., Tile</w:t>
              </w:r>
            </w:hyperlink>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60" w:type="dxa"/>
            <w:vAlign w:val="bottom"/>
          </w:tcPr>
          <w:p>
            <w:pPr>
              <w:spacing w:after="0"/>
              <w:rPr>
                <w:sz w:val="14"/>
                <w:szCs w:val="14"/>
                <w:color w:val="auto"/>
              </w:rPr>
            </w:pPr>
          </w:p>
        </w:tc>
        <w:tc>
          <w:tcPr>
            <w:tcW w:w="954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Shop Lending, Inc., and The Tile Shop of Michigan, LLC, as grantors, and JPMorgan Chase Bank, N.A., as administrative agent –</w:t>
              </w:r>
            </w:hyperlink>
          </w:p>
        </w:tc>
        <w:tc>
          <w:tcPr>
            <w:tcW w:w="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4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incorporated by reference to Exhibit 10.2 to the Company’s Current Report on Form 8-K filed September 30, 2022.</w:t>
              </w:r>
            </w:hyperlink>
          </w:p>
        </w:tc>
        <w:tc>
          <w:tcPr>
            <w:tcW w:w="120" w:type="dxa"/>
            <w:vAlign w:val="bottom"/>
            <w:gridSpan w:val="2"/>
          </w:tcPr>
          <w:p>
            <w:pPr>
              <w:spacing w:after="0"/>
              <w:rPr>
                <w:sz w:val="14"/>
                <w:szCs w:val="14"/>
                <w:color w:val="auto"/>
              </w:rPr>
            </w:pPr>
          </w:p>
        </w:tc>
        <w:tc>
          <w:tcPr>
            <w:tcW w:w="18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2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80" w:type="dxa"/>
            <w:vAlign w:val="bottom"/>
            <w:tcBorders>
              <w:lef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gridSpan w:val="5"/>
            <w:shd w:val="clear" w:color="auto" w:fill="CCEEFF"/>
          </w:tcPr>
          <w:p>
            <w:pPr>
              <w:jc w:val="center"/>
              <w:ind w:left="350"/>
              <w:spacing w:after="0" w:line="162" w:lineRule="exact"/>
              <w:rPr>
                <w:rFonts w:ascii="Times New Roman" w:cs="Times New Roman" w:eastAsia="Times New Roman" w:hAnsi="Times New Roman"/>
                <w:sz w:val="18"/>
                <w:szCs w:val="18"/>
                <w:color w:val="0000FF"/>
                <w:w w:val="95"/>
              </w:rPr>
            </w:pPr>
            <w:hyperlink r:id="rId115">
              <w:r>
                <w:rPr>
                  <w:rFonts w:ascii="Times New Roman" w:cs="Times New Roman" w:eastAsia="Times New Roman" w:hAnsi="Times New Roman"/>
                  <w:sz w:val="18"/>
                  <w:szCs w:val="18"/>
                  <w:color w:val="0000FF"/>
                  <w:w w:val="95"/>
                </w:rPr>
                <w:t>16.</w:t>
              </w:r>
              <w:r>
                <w:rPr>
                  <w:rFonts w:ascii="Times New Roman" w:cs="Times New Roman" w:eastAsia="Times New Roman" w:hAnsi="Times New Roman"/>
                  <w:sz w:val="18"/>
                  <w:szCs w:val="18"/>
                  <w:u w:val="single" w:color="auto"/>
                  <w:color w:val="0000FF"/>
                  <w:w w:val="95"/>
                </w:rPr>
                <w:t>1</w:t>
              </w:r>
            </w:hyperlink>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80" w:type="dxa"/>
            <w:vAlign w:val="bottom"/>
            <w:gridSpan w:val="24"/>
            <w:shd w:val="clear" w:color="auto" w:fill="CCEEFF"/>
          </w:tcPr>
          <w:p>
            <w:pPr>
              <w:spacing w:after="0" w:line="162"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Letter from Ernst &amp; Young LLP to the Securities and Exchange Commission, dated May 25, 2023 – incorporated by reference to</w:t>
              </w:r>
            </w:hyperlink>
          </w:p>
        </w:tc>
        <w:tc>
          <w:tcPr>
            <w:tcW w:w="0" w:type="dxa"/>
            <w:vAlign w:val="bottom"/>
          </w:tcPr>
          <w:p>
            <w:pPr>
              <w:spacing w:after="0"/>
              <w:rPr>
                <w:sz w:val="1"/>
                <w:szCs w:val="1"/>
                <w:color w:val="auto"/>
              </w:rPr>
            </w:pPr>
          </w:p>
        </w:tc>
      </w:tr>
      <w:tr>
        <w:trPr>
          <w:trHeight w:val="176"/>
        </w:trPr>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0000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5800" w:type="dxa"/>
            <w:vAlign w:val="bottom"/>
            <w:tcBorders>
              <w:top w:val="single" w:sz="8" w:color="0000FF"/>
              <w:bottom w:val="single" w:sz="8" w:color="0000FF"/>
            </w:tcBorders>
            <w:gridSpan w:val="4"/>
            <w:shd w:val="clear" w:color="auto" w:fill="CCEEFF"/>
          </w:tcPr>
          <w:p>
            <w:pPr>
              <w:spacing w:after="0" w:line="169" w:lineRule="exact"/>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Exhibit 16.1 to the Company’s Current Report on Form 8-K filed May 25, 2023.</w:t>
              </w:r>
            </w:hyperlink>
          </w:p>
        </w:tc>
        <w:tc>
          <w:tcPr>
            <w:tcW w:w="3520" w:type="dxa"/>
            <w:vAlign w:val="bottom"/>
            <w:tcBorders>
              <w:top w:val="single" w:sz="8" w:color="0000FF"/>
              <w:bottom w:val="single" w:sz="8" w:color="CCEEFF"/>
            </w:tcBorders>
            <w:gridSpan w:val="11"/>
            <w:shd w:val="clear" w:color="auto" w:fill="CCEEFF"/>
          </w:tcPr>
          <w:p>
            <w:pPr>
              <w:spacing w:after="0"/>
              <w:rPr>
                <w:sz w:val="15"/>
                <w:szCs w:val="15"/>
                <w:color w:val="auto"/>
              </w:rPr>
            </w:pPr>
          </w:p>
        </w:tc>
        <w:tc>
          <w:tcPr>
            <w:tcW w:w="24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1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940" w:type="dxa"/>
            <w:vAlign w:val="bottom"/>
            <w:gridSpan w:val="5"/>
          </w:tcPr>
          <w:p>
            <w:pPr>
              <w:jc w:val="center"/>
              <w:ind w:left="350"/>
              <w:spacing w:after="0" w:line="162" w:lineRule="exact"/>
              <w:rPr>
                <w:sz w:val="20"/>
                <w:szCs w:val="20"/>
                <w:color w:val="auto"/>
              </w:rPr>
            </w:pPr>
            <w:r>
              <w:rPr>
                <w:rFonts w:ascii="Times New Roman" w:cs="Times New Roman" w:eastAsia="Times New Roman" w:hAnsi="Times New Roman"/>
                <w:sz w:val="18"/>
                <w:szCs w:val="18"/>
                <w:color w:val="0000FF"/>
                <w:w w:val="95"/>
              </w:rPr>
              <w:t>19.</w:t>
            </w:r>
            <w:r>
              <w:rPr>
                <w:rFonts w:ascii="Times New Roman" w:cs="Times New Roman" w:eastAsia="Times New Roman" w:hAnsi="Times New Roman"/>
                <w:sz w:val="18"/>
                <w:szCs w:val="18"/>
                <w:u w:val="single" w:color="auto"/>
                <w:color w:val="0000FF"/>
                <w:w w:val="95"/>
              </w:rPr>
              <w:t>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80" w:type="dxa"/>
            <w:vAlign w:val="bottom"/>
            <w:gridSpan w:val="24"/>
          </w:tcPr>
          <w:p>
            <w:pPr>
              <w:spacing w:after="0" w:line="162" w:lineRule="exact"/>
              <w:rPr>
                <w:sz w:val="20"/>
                <w:szCs w:val="20"/>
                <w:color w:val="auto"/>
              </w:rPr>
            </w:pPr>
            <w:r>
              <w:rPr>
                <w:rFonts w:ascii="Times New Roman" w:cs="Times New Roman" w:eastAsia="Times New Roman" w:hAnsi="Times New Roman"/>
                <w:sz w:val="18"/>
                <w:szCs w:val="18"/>
                <w:color w:val="0000FF"/>
              </w:rPr>
              <w:t>Tile Shop Holdings, Inc. Insider Trading Policy (last amended February 28, 2023) – filed herewith.</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2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80" w:type="dxa"/>
            <w:vAlign w:val="bottom"/>
            <w:tcBorders>
              <w:left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gridSpan w:val="5"/>
            <w:shd w:val="clear" w:color="auto" w:fill="CCEEFF"/>
          </w:tcPr>
          <w:p>
            <w:pPr>
              <w:jc w:val="center"/>
              <w:ind w:left="350"/>
              <w:spacing w:after="0" w:line="162" w:lineRule="exact"/>
              <w:rPr>
                <w:rFonts w:ascii="Times New Roman" w:cs="Times New Roman" w:eastAsia="Times New Roman" w:hAnsi="Times New Roman"/>
                <w:sz w:val="18"/>
                <w:szCs w:val="18"/>
                <w:color w:val="0000EE"/>
                <w:w w:val="95"/>
              </w:rPr>
            </w:pPr>
            <w:hyperlink r:id="rId116">
              <w:r>
                <w:rPr>
                  <w:rFonts w:ascii="Times New Roman" w:cs="Times New Roman" w:eastAsia="Times New Roman" w:hAnsi="Times New Roman"/>
                  <w:sz w:val="18"/>
                  <w:szCs w:val="18"/>
                  <w:color w:val="0000EE"/>
                  <w:w w:val="95"/>
                </w:rPr>
                <w:t>21.</w:t>
              </w:r>
              <w:r>
                <w:rPr>
                  <w:rFonts w:ascii="Times New Roman" w:cs="Times New Roman" w:eastAsia="Times New Roman" w:hAnsi="Times New Roman"/>
                  <w:sz w:val="18"/>
                  <w:szCs w:val="18"/>
                  <w:u w:val="single" w:color="auto"/>
                  <w:color w:val="0000EE"/>
                  <w:w w:val="95"/>
                </w:rPr>
                <w:t>1</w:t>
              </w:r>
            </w:hyperlink>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80" w:type="dxa"/>
            <w:vAlign w:val="bottom"/>
            <w:gridSpan w:val="24"/>
            <w:shd w:val="clear" w:color="auto" w:fill="CCEEFF"/>
          </w:tcPr>
          <w:p>
            <w:pPr>
              <w:spacing w:after="0" w:line="162"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Subsidiaries of Tile Shop Holdings, Inc. – incorporated by reference to Exhibit 21.1 to the Company’s Annual Report on Form 10-K for</w:t>
              </w:r>
            </w:hyperlink>
          </w:p>
        </w:tc>
        <w:tc>
          <w:tcPr>
            <w:tcW w:w="0" w:type="dxa"/>
            <w:vAlign w:val="bottom"/>
          </w:tcPr>
          <w:p>
            <w:pPr>
              <w:spacing w:after="0"/>
              <w:rPr>
                <w:sz w:val="1"/>
                <w:szCs w:val="1"/>
                <w:color w:val="auto"/>
              </w:rPr>
            </w:pPr>
          </w:p>
        </w:tc>
      </w:tr>
      <w:tr>
        <w:trPr>
          <w:trHeight w:val="176"/>
        </w:trPr>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0000EE"/>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2560" w:type="dxa"/>
            <w:vAlign w:val="bottom"/>
            <w:tcBorders>
              <w:top w:val="single" w:sz="8" w:color="0000EE"/>
              <w:bottom w:val="single" w:sz="8" w:color="0000EE"/>
            </w:tcBorders>
            <w:gridSpan w:val="3"/>
            <w:shd w:val="clear" w:color="auto" w:fill="CCEEFF"/>
          </w:tcPr>
          <w:p>
            <w:pPr>
              <w:spacing w:after="0" w:line="169"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the year ended December 31, 2017.</w:t>
              </w:r>
            </w:hyperlink>
          </w:p>
        </w:tc>
        <w:tc>
          <w:tcPr>
            <w:tcW w:w="7280" w:type="dxa"/>
            <w:vAlign w:val="bottom"/>
            <w:tcBorders>
              <w:top w:val="single" w:sz="8" w:color="0000EE"/>
              <w:bottom w:val="single" w:sz="8" w:color="CCEEFF"/>
            </w:tcBorders>
            <w:gridSpan w:val="19"/>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940" w:type="dxa"/>
            <w:vAlign w:val="bottom"/>
            <w:gridSpan w:val="5"/>
          </w:tcPr>
          <w:p>
            <w:pPr>
              <w:jc w:val="center"/>
              <w:ind w:left="350"/>
              <w:spacing w:after="0" w:line="162" w:lineRule="exact"/>
              <w:rPr>
                <w:sz w:val="20"/>
                <w:szCs w:val="20"/>
                <w:color w:val="auto"/>
              </w:rPr>
            </w:pPr>
            <w:r>
              <w:rPr>
                <w:rFonts w:ascii="Times New Roman" w:cs="Times New Roman" w:eastAsia="Times New Roman" w:hAnsi="Times New Roman"/>
                <w:sz w:val="18"/>
                <w:szCs w:val="18"/>
                <w:color w:val="0000FF"/>
                <w:w w:val="95"/>
              </w:rPr>
              <w:t>23.</w:t>
            </w:r>
            <w:r>
              <w:rPr>
                <w:rFonts w:ascii="Times New Roman" w:cs="Times New Roman" w:eastAsia="Times New Roman" w:hAnsi="Times New Roman"/>
                <w:sz w:val="18"/>
                <w:szCs w:val="18"/>
                <w:u w:val="single" w:color="auto"/>
                <w:color w:val="0000FF"/>
                <w:w w:val="95"/>
              </w:rPr>
              <w:t>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80" w:type="dxa"/>
            <w:vAlign w:val="bottom"/>
            <w:gridSpan w:val="24"/>
          </w:tcPr>
          <w:p>
            <w:pPr>
              <w:spacing w:after="0" w:line="162" w:lineRule="exact"/>
              <w:rPr>
                <w:sz w:val="20"/>
                <w:szCs w:val="20"/>
                <w:color w:val="auto"/>
              </w:rPr>
            </w:pPr>
            <w:r>
              <w:rPr>
                <w:rFonts w:ascii="Times New Roman" w:cs="Times New Roman" w:eastAsia="Times New Roman" w:hAnsi="Times New Roman"/>
                <w:sz w:val="18"/>
                <w:szCs w:val="18"/>
                <w:color w:val="0000FF"/>
              </w:rPr>
              <w:t>Consent of RSM US LLP, independent registered public accounting firm – filed herewith.</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2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gridSpan w:val="5"/>
            <w:shd w:val="clear" w:color="auto" w:fill="CCEEFF"/>
          </w:tcPr>
          <w:p>
            <w:pPr>
              <w:jc w:val="center"/>
              <w:ind w:left="350"/>
              <w:spacing w:after="0" w:line="162" w:lineRule="exact"/>
              <w:rPr>
                <w:sz w:val="20"/>
                <w:szCs w:val="20"/>
                <w:color w:val="auto"/>
              </w:rPr>
            </w:pPr>
            <w:r>
              <w:rPr>
                <w:rFonts w:ascii="Times New Roman" w:cs="Times New Roman" w:eastAsia="Times New Roman" w:hAnsi="Times New Roman"/>
                <w:sz w:val="18"/>
                <w:szCs w:val="18"/>
                <w:color w:val="0000FF"/>
                <w:w w:val="95"/>
              </w:rPr>
              <w:t>23.</w:t>
            </w:r>
            <w:r>
              <w:rPr>
                <w:rFonts w:ascii="Times New Roman" w:cs="Times New Roman" w:eastAsia="Times New Roman" w:hAnsi="Times New Roman"/>
                <w:sz w:val="18"/>
                <w:szCs w:val="18"/>
                <w:u w:val="single" w:color="auto"/>
                <w:color w:val="0000FF"/>
                <w:w w:val="95"/>
              </w:rPr>
              <w:t>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80" w:type="dxa"/>
            <w:vAlign w:val="bottom"/>
            <w:gridSpan w:val="24"/>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Consent of Ernst &amp; Young LLP, independent registered public accounting firm – filed herewith.</w:t>
            </w:r>
          </w:p>
        </w:tc>
        <w:tc>
          <w:tcPr>
            <w:tcW w:w="0" w:type="dxa"/>
            <w:vAlign w:val="bottom"/>
          </w:tcPr>
          <w:p>
            <w:pPr>
              <w:spacing w:after="0"/>
              <w:rPr>
                <w:sz w:val="1"/>
                <w:szCs w:val="1"/>
                <w:color w:val="auto"/>
              </w:rPr>
            </w:pPr>
          </w:p>
        </w:tc>
      </w:tr>
      <w:tr>
        <w:trPr>
          <w:trHeight w:val="27"/>
        </w:trPr>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8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2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tcBorders>
              <w:lef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tcBorders>
              <w:lef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gridSpan w:val="5"/>
          </w:tcPr>
          <w:p>
            <w:pPr>
              <w:jc w:val="center"/>
              <w:ind w:left="350"/>
              <w:spacing w:after="0" w:line="162" w:lineRule="exact"/>
              <w:rPr>
                <w:sz w:val="20"/>
                <w:szCs w:val="20"/>
                <w:color w:val="auto"/>
              </w:rPr>
            </w:pPr>
            <w:r>
              <w:rPr>
                <w:rFonts w:ascii="Times New Roman" w:cs="Times New Roman" w:eastAsia="Times New Roman" w:hAnsi="Times New Roman"/>
                <w:sz w:val="18"/>
                <w:szCs w:val="18"/>
                <w:color w:val="0000FF"/>
                <w:w w:val="95"/>
              </w:rPr>
              <w:t>24.</w:t>
            </w:r>
            <w:r>
              <w:rPr>
                <w:rFonts w:ascii="Times New Roman" w:cs="Times New Roman" w:eastAsia="Times New Roman" w:hAnsi="Times New Roman"/>
                <w:sz w:val="18"/>
                <w:szCs w:val="18"/>
                <w:u w:val="single" w:color="auto"/>
                <w:color w:val="0000FF"/>
                <w:w w:val="95"/>
              </w:rPr>
              <w:t>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80" w:type="dxa"/>
            <w:vAlign w:val="bottom"/>
            <w:gridSpan w:val="24"/>
          </w:tcPr>
          <w:p>
            <w:pPr>
              <w:spacing w:after="0" w:line="162" w:lineRule="exact"/>
              <w:rPr>
                <w:sz w:val="20"/>
                <w:szCs w:val="20"/>
                <w:color w:val="auto"/>
              </w:rPr>
            </w:pPr>
            <w:r>
              <w:rPr>
                <w:rFonts w:ascii="Times New Roman" w:cs="Times New Roman" w:eastAsia="Times New Roman" w:hAnsi="Times New Roman"/>
                <w:sz w:val="18"/>
                <w:szCs w:val="18"/>
                <w:color w:val="0000FF"/>
              </w:rPr>
              <w:t>Power of Attorney (included on the “Signatures” page of this Annual Report on Form 10-K) – filed herewith.</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2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80" w:type="dxa"/>
            <w:vAlign w:val="bottom"/>
            <w:tcBorders>
              <w:lef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gridSpan w:val="5"/>
            <w:shd w:val="clear" w:color="auto" w:fill="CCEEFF"/>
          </w:tcPr>
          <w:p>
            <w:pPr>
              <w:jc w:val="center"/>
              <w:ind w:left="350"/>
              <w:spacing w:after="0" w:line="162"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80" w:type="dxa"/>
            <w:vAlign w:val="bottom"/>
            <w:gridSpan w:val="24"/>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Certification by Chief Executive Officer Pursuant to Section 302 of the Sarbanes-Oxley Act of 2002 – filed herewith.</w:t>
            </w:r>
          </w:p>
        </w:tc>
        <w:tc>
          <w:tcPr>
            <w:tcW w:w="0" w:type="dxa"/>
            <w:vAlign w:val="bottom"/>
          </w:tcPr>
          <w:p>
            <w:pPr>
              <w:spacing w:after="0"/>
              <w:rPr>
                <w:sz w:val="1"/>
                <w:szCs w:val="1"/>
                <w:color w:val="auto"/>
              </w:rPr>
            </w:pPr>
          </w:p>
        </w:tc>
      </w:tr>
      <w:tr>
        <w:trPr>
          <w:trHeight w:val="27"/>
        </w:trPr>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8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2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80" w:type="dxa"/>
            <w:vAlign w:val="bottom"/>
            <w:tcBorders>
              <w:lef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60" w:type="dxa"/>
            <w:vAlign w:val="bottom"/>
            <w:tcBorders>
              <w:left w:val="single" w:sz="8" w:color="0000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gridSpan w:val="5"/>
          </w:tcPr>
          <w:p>
            <w:pPr>
              <w:jc w:val="center"/>
              <w:ind w:left="350"/>
              <w:spacing w:after="0" w:line="162"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80" w:type="dxa"/>
            <w:vAlign w:val="bottom"/>
            <w:gridSpan w:val="24"/>
          </w:tcPr>
          <w:p>
            <w:pPr>
              <w:spacing w:after="0" w:line="162" w:lineRule="exact"/>
              <w:rPr>
                <w:sz w:val="20"/>
                <w:szCs w:val="20"/>
                <w:color w:val="auto"/>
              </w:rPr>
            </w:pPr>
            <w:r>
              <w:rPr>
                <w:rFonts w:ascii="Times New Roman" w:cs="Times New Roman" w:eastAsia="Times New Roman" w:hAnsi="Times New Roman"/>
                <w:sz w:val="18"/>
                <w:szCs w:val="18"/>
                <w:color w:val="0000FF"/>
              </w:rPr>
              <w:t>Certification by Chief Financial Officer Pursuant to Section 302 of the Sarbanes-Oxley Act of 2002 – filed herewith.</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2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80" w:type="dxa"/>
            <w:vAlign w:val="bottom"/>
            <w:tcBorders>
              <w:lef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40" w:type="dxa"/>
            <w:vAlign w:val="bottom"/>
            <w:gridSpan w:val="2"/>
            <w:shd w:val="clear" w:color="auto" w:fill="CCEEFF"/>
          </w:tcPr>
          <w:p>
            <w:pPr>
              <w:spacing w:after="0"/>
              <w:rPr>
                <w:sz w:val="14"/>
                <w:szCs w:val="14"/>
                <w:color w:val="auto"/>
              </w:rPr>
            </w:pPr>
          </w:p>
        </w:tc>
        <w:tc>
          <w:tcPr>
            <w:tcW w:w="500" w:type="dxa"/>
            <w:vAlign w:val="bottom"/>
            <w:gridSpan w:val="3"/>
            <w:shd w:val="clear" w:color="auto" w:fill="CCEEFF"/>
          </w:tcPr>
          <w:p>
            <w:pPr>
              <w:jc w:val="center"/>
              <w:spacing w:after="0" w:line="162"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80" w:type="dxa"/>
            <w:vAlign w:val="bottom"/>
            <w:gridSpan w:val="24"/>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Certification by Chief Executive Officer Pursuant to Section 906 of the Sarbanes-Oxley Act of 2002 – furnished herewith.</w:t>
            </w:r>
          </w:p>
        </w:tc>
        <w:tc>
          <w:tcPr>
            <w:tcW w:w="0" w:type="dxa"/>
            <w:vAlign w:val="bottom"/>
          </w:tcPr>
          <w:p>
            <w:pPr>
              <w:spacing w:after="0"/>
              <w:rPr>
                <w:sz w:val="1"/>
                <w:szCs w:val="1"/>
                <w:color w:val="auto"/>
              </w:rPr>
            </w:pPr>
          </w:p>
        </w:tc>
      </w:tr>
      <w:tr>
        <w:trPr>
          <w:trHeight w:val="169"/>
        </w:trPr>
        <w:tc>
          <w:tcPr>
            <w:tcW w:w="440" w:type="dxa"/>
            <w:vAlign w:val="bottom"/>
            <w:tcBorders>
              <w:top w:val="single" w:sz="8" w:color="CCEEFF"/>
            </w:tcBorders>
            <w:gridSpan w:val="2"/>
          </w:tcPr>
          <w:p>
            <w:pPr>
              <w:spacing w:after="0"/>
              <w:rPr>
                <w:sz w:val="14"/>
                <w:szCs w:val="14"/>
                <w:color w:val="auto"/>
              </w:rPr>
            </w:pPr>
          </w:p>
        </w:tc>
        <w:tc>
          <w:tcPr>
            <w:tcW w:w="500" w:type="dxa"/>
            <w:vAlign w:val="bottom"/>
            <w:tcBorders>
              <w:top w:val="single" w:sz="8" w:color="0000FF"/>
              <w:bottom w:val="single" w:sz="8" w:color="0000FF"/>
            </w:tcBorders>
            <w:gridSpan w:val="3"/>
          </w:tcPr>
          <w:p>
            <w:pPr>
              <w:jc w:val="center"/>
              <w:spacing w:after="0" w:line="162"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8760" w:type="dxa"/>
            <w:vAlign w:val="bottom"/>
            <w:tcBorders>
              <w:top w:val="single" w:sz="8" w:color="0000FF"/>
              <w:bottom w:val="single" w:sz="8" w:color="0000FF"/>
            </w:tcBorders>
            <w:gridSpan w:val="13"/>
          </w:tcPr>
          <w:p>
            <w:pPr>
              <w:spacing w:after="0" w:line="162" w:lineRule="exact"/>
              <w:rPr>
                <w:sz w:val="20"/>
                <w:szCs w:val="20"/>
                <w:color w:val="auto"/>
              </w:rPr>
            </w:pPr>
            <w:r>
              <w:rPr>
                <w:rFonts w:ascii="Times New Roman" w:cs="Times New Roman" w:eastAsia="Times New Roman" w:hAnsi="Times New Roman"/>
                <w:sz w:val="18"/>
                <w:szCs w:val="18"/>
                <w:color w:val="0000FF"/>
                <w:w w:val="99"/>
              </w:rPr>
              <w:t>Certification by Chief Financial Officer Pursuant to Section 906 of the Sarbanes-Oxley Act of 2002 – furnished herewith.</w:t>
            </w:r>
          </w:p>
        </w:tc>
        <w:tc>
          <w:tcPr>
            <w:tcW w:w="40" w:type="dxa"/>
            <w:vAlign w:val="bottom"/>
            <w:tcBorders>
              <w:top w:val="single" w:sz="8" w:color="0000FF"/>
            </w:tcBorders>
          </w:tcPr>
          <w:p>
            <w:pPr>
              <w:spacing w:after="0"/>
              <w:rPr>
                <w:sz w:val="14"/>
                <w:szCs w:val="14"/>
                <w:color w:val="auto"/>
              </w:rPr>
            </w:pPr>
          </w:p>
        </w:tc>
        <w:tc>
          <w:tcPr>
            <w:tcW w:w="1080" w:type="dxa"/>
            <w:vAlign w:val="bottom"/>
            <w:tcBorders>
              <w:top w:val="single" w:sz="8" w:color="CCEEFF"/>
            </w:tcBorders>
            <w:gridSpan w:val="10"/>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gridSpan w:val="5"/>
            <w:shd w:val="clear" w:color="auto" w:fill="CCEEFF"/>
          </w:tcPr>
          <w:p>
            <w:pPr>
              <w:jc w:val="center"/>
              <w:ind w:left="350"/>
              <w:spacing w:after="0" w:line="162" w:lineRule="exact"/>
              <w:rPr>
                <w:sz w:val="20"/>
                <w:szCs w:val="20"/>
                <w:color w:val="auto"/>
              </w:rPr>
            </w:pPr>
            <w:r>
              <w:rPr>
                <w:rFonts w:ascii="Times New Roman" w:cs="Times New Roman" w:eastAsia="Times New Roman" w:hAnsi="Times New Roman"/>
                <w:sz w:val="18"/>
                <w:szCs w:val="18"/>
                <w:color w:val="0000FF"/>
                <w:w w:val="95"/>
              </w:rPr>
              <w:t>97.</w:t>
            </w:r>
            <w:r>
              <w:rPr>
                <w:rFonts w:ascii="Times New Roman" w:cs="Times New Roman" w:eastAsia="Times New Roman" w:hAnsi="Times New Roman"/>
                <w:sz w:val="18"/>
                <w:szCs w:val="18"/>
                <w:u w:val="single" w:color="auto"/>
                <w:color w:val="0000FF"/>
                <w:w w:val="95"/>
              </w:rPr>
              <w:t>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80" w:type="dxa"/>
            <w:vAlign w:val="bottom"/>
            <w:gridSpan w:val="24"/>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Tile Shop Holdings, Inc. Compensation Recovery Policy (effective February 28, 2023) – filed herewith.</w:t>
            </w:r>
          </w:p>
        </w:tc>
        <w:tc>
          <w:tcPr>
            <w:tcW w:w="0" w:type="dxa"/>
            <w:vAlign w:val="bottom"/>
          </w:tcPr>
          <w:p>
            <w:pPr>
              <w:spacing w:after="0"/>
              <w:rPr>
                <w:sz w:val="1"/>
                <w:szCs w:val="1"/>
                <w:color w:val="auto"/>
              </w:rPr>
            </w:pPr>
          </w:p>
        </w:tc>
      </w:tr>
      <w:tr>
        <w:trPr>
          <w:trHeight w:val="27"/>
        </w:trPr>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8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2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80" w:type="dxa"/>
            <w:vAlign w:val="bottom"/>
            <w:tcBorders>
              <w:left w:val="single" w:sz="8" w:color="0000FF"/>
            </w:tcBorders>
            <w:shd w:val="clear" w:color="auto" w:fill="0000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tcBorders>
              <w:lef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gridSpan w:val="5"/>
          </w:tcPr>
          <w:p>
            <w:pPr>
              <w:jc w:val="center"/>
              <w:ind w:left="350"/>
              <w:spacing w:after="0" w:line="162" w:lineRule="exact"/>
              <w:rPr>
                <w:rFonts w:ascii="Times New Roman" w:cs="Times New Roman" w:eastAsia="Times New Roman" w:hAnsi="Times New Roman"/>
                <w:sz w:val="18"/>
                <w:szCs w:val="18"/>
                <w:color w:val="0000EE"/>
                <w:w w:val="95"/>
              </w:rPr>
            </w:pPr>
            <w:hyperlink r:id="rId117">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hyperlink>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80" w:type="dxa"/>
            <w:vAlign w:val="bottom"/>
            <w:gridSpan w:val="24"/>
          </w:tcPr>
          <w:p>
            <w:pPr>
              <w:spacing w:after="0" w:line="162"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Director Standstill Commitment – incorporated by reference to Exhibit 99.1 to the Company’s Current Report on Form 8-K filed on</w:t>
              </w:r>
            </w:hyperlink>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480" w:type="dxa"/>
            <w:vAlign w:val="bottom"/>
            <w:gridSpan w:val="16"/>
            <w:shd w:val="clear" w:color="auto" w:fill="0000EE"/>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140" w:type="dxa"/>
            <w:vAlign w:val="bottom"/>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40" w:type="dxa"/>
            <w:vAlign w:val="bottom"/>
            <w:gridSpan w:val="5"/>
            <w:vMerge w:val="restart"/>
          </w:tcPr>
          <w:p>
            <w:pPr>
              <w:jc w:val="center"/>
              <w:ind w:left="350"/>
              <w:spacing w:after="0"/>
              <w:rPr>
                <w:rFonts w:ascii="Times New Roman" w:cs="Times New Roman" w:eastAsia="Times New Roman" w:hAnsi="Times New Roman"/>
                <w:sz w:val="18"/>
                <w:szCs w:val="18"/>
                <w:color w:val="0000EE"/>
                <w:w w:val="95"/>
              </w:rPr>
            </w:pPr>
            <w:hyperlink r:id="rId118">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hyperlink>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560" w:type="dxa"/>
            <w:vAlign w:val="bottom"/>
            <w:gridSpan w:val="18"/>
          </w:tcPr>
          <w:p>
            <w:pPr>
              <w:spacing w:after="0" w:line="169"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January 13, 2020.</w:t>
              </w:r>
            </w:hyperlink>
          </w:p>
        </w:tc>
        <w:tc>
          <w:tcPr>
            <w:tcW w:w="180" w:type="dxa"/>
            <w:vAlign w:val="bottom"/>
            <w:gridSpan w:val="2"/>
            <w:vMerge w:val="continue"/>
          </w:tcPr>
          <w:p>
            <w:pPr>
              <w:spacing w:after="0"/>
              <w:rPr>
                <w:sz w:val="14"/>
                <w:szCs w:val="14"/>
                <w:color w:val="auto"/>
              </w:rPr>
            </w:pPr>
          </w:p>
        </w:tc>
        <w:tc>
          <w:tcPr>
            <w:tcW w:w="1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gridSpan w:val="5"/>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60" w:type="dxa"/>
            <w:vAlign w:val="bottom"/>
            <w:gridSpan w:val="18"/>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4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80" w:type="dxa"/>
            <w:vAlign w:val="bottom"/>
            <w:gridSpan w:val="24"/>
          </w:tcPr>
          <w:p>
            <w:pPr>
              <w:spacing w:after="0" w:line="169"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Stipulation of Settlement, dated August 7, 2020 – incorporated by reference to Exhibit 99.1 to the Company’s Current Report on Form</w:t>
              </w:r>
            </w:hyperlink>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80" w:type="dxa"/>
            <w:vAlign w:val="bottom"/>
            <w:tcBorders>
              <w:top w:val="single" w:sz="8" w:color="0000EE"/>
              <w:bottom w:val="single" w:sz="8" w:color="0000EE"/>
            </w:tcBorders>
            <w:gridSpan w:val="2"/>
          </w:tcPr>
          <w:p>
            <w:pPr>
              <w:spacing w:after="0" w:line="169"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8-K filed on August 7, 2020.</w:t>
              </w:r>
            </w:hyperlink>
          </w:p>
        </w:tc>
        <w:tc>
          <w:tcPr>
            <w:tcW w:w="7660" w:type="dxa"/>
            <w:vAlign w:val="bottom"/>
            <w:tcBorders>
              <w:top w:val="single" w:sz="8" w:color="0000EE"/>
            </w:tcBorders>
            <w:gridSpan w:val="18"/>
          </w:tcPr>
          <w:p>
            <w:pPr>
              <w:spacing w:after="0"/>
              <w:rPr>
                <w:sz w:val="14"/>
                <w:szCs w:val="14"/>
                <w:color w:val="auto"/>
              </w:rPr>
            </w:pPr>
          </w:p>
        </w:tc>
        <w:tc>
          <w:tcPr>
            <w:tcW w:w="14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2400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1380" w:right="40" w:hanging="825"/>
        <w:spacing w:after="0" w:line="223" w:lineRule="auto"/>
        <w:tabs>
          <w:tab w:leader="none" w:pos="1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the Annual Report on Form 10-K for the year ended December 31, 2023 are formatted in iXBRL (Inline eXtensible Business Reporting Language): (i) Consolidated Balance Sheets, (ii) Consolidated Statements of Income, (iii) Consolidated Statements of Comprehensive Income, (iv) Consolidated Statements of Stockholders’ Equity, (v) Consolidated Statements of Cash Flows, and (vi) the Notes to Consolidated Financial Statements – filed herewith.</w:t>
      </w:r>
    </w:p>
    <w:p>
      <w:pPr>
        <w:spacing w:after="0" w:line="2" w:lineRule="exact"/>
        <w:rPr>
          <w:sz w:val="20"/>
          <w:szCs w:val="20"/>
          <w:color w:val="auto"/>
        </w:rPr>
      </w:pPr>
    </w:p>
    <w:p>
      <w:pPr>
        <w:ind w:left="560"/>
        <w:spacing w:after="0"/>
        <w:tabs>
          <w:tab w:leader="none" w:pos="13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200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compensatory plan or arrangement.</w:t>
      </w:r>
    </w:p>
    <w:p>
      <w:pPr>
        <w:spacing w:after="0" w:line="185" w:lineRule="exact"/>
        <w:rPr>
          <w:sz w:val="20"/>
          <w:szCs w:val="20"/>
          <w:color w:val="auto"/>
        </w:rPr>
      </w:pPr>
    </w:p>
    <w:p>
      <w:pPr>
        <w:ind w:right="360" w:firstLine="8"/>
        <w:spacing w:after="0" w:line="266" w:lineRule="auto"/>
        <w:tabs>
          <w:tab w:leader="none" w:pos="22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not deemed filed with the Securities and Exchange Commission and are not to be incorporated by reference in any filing we make under the Securities Act of 1933, as amended, or the Exchange Act.</w:t>
      </w:r>
    </w:p>
    <w:p>
      <w:pPr>
        <w:spacing w:after="0" w:line="121" w:lineRule="exact"/>
        <w:rPr>
          <w:rFonts w:ascii="Times New Roman" w:cs="Times New Roman" w:eastAsia="Times New Roman" w:hAnsi="Times New Roman"/>
          <w:sz w:val="18"/>
          <w:szCs w:val="18"/>
          <w:color w:val="auto"/>
        </w:rPr>
      </w:pPr>
    </w:p>
    <w:p>
      <w:pPr>
        <w:ind w:right="220" w:firstLine="8"/>
        <w:spacing w:after="0" w:line="266" w:lineRule="auto"/>
        <w:tabs>
          <w:tab w:leader="none" w:pos="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Regulation S-K, Item 601(a)(5). The Company will provide a copy of any omitted schedule or exhibit to the Securities and Exchange Commission or its staff upon request.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560"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TILE SHOP HOLDINGS, INC.</w:t>
            </w:r>
          </w:p>
        </w:tc>
      </w:tr>
      <w:tr>
        <w:trPr>
          <w:trHeight w:val="36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29, 2024</w:t>
            </w:r>
          </w:p>
        </w:tc>
        <w:tc>
          <w:tcPr>
            <w:tcW w:w="5000" w:type="dxa"/>
            <w:vAlign w:val="bottom"/>
          </w:tcPr>
          <w:p>
            <w:pPr>
              <w:spacing w:after="0"/>
              <w:rPr>
                <w:sz w:val="24"/>
                <w:szCs w:val="24"/>
                <w:color w:val="auto"/>
              </w:rPr>
            </w:pPr>
          </w:p>
        </w:tc>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CABELL H. LOLMAUGH</w:t>
            </w:r>
          </w:p>
        </w:tc>
      </w:tr>
      <w:tr>
        <w:trPr>
          <w:trHeight w:val="216"/>
        </w:trPr>
        <w:tc>
          <w:tcPr>
            <w:tcW w:w="36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Cabell H. Lolmaugh</w:t>
            </w:r>
          </w:p>
        </w:tc>
      </w:tr>
      <w:tr>
        <w:trPr>
          <w:trHeight w:val="236"/>
        </w:trPr>
        <w:tc>
          <w:tcPr>
            <w:tcW w:w="366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392"/>
        </w:trPr>
        <w:tc>
          <w:tcPr>
            <w:tcW w:w="3660" w:type="dxa"/>
            <w:vAlign w:val="bottom"/>
          </w:tcPr>
          <w:p>
            <w:pPr>
              <w:spacing w:after="0"/>
              <w:rPr>
                <w:sz w:val="24"/>
                <w:szCs w:val="24"/>
                <w:color w:val="auto"/>
              </w:rPr>
            </w:pPr>
          </w:p>
        </w:tc>
        <w:tc>
          <w:tcPr>
            <w:tcW w:w="5000" w:type="dxa"/>
            <w:vAlign w:val="bottom"/>
          </w:tcPr>
          <w:p>
            <w:pPr>
              <w:jc w:val="right"/>
              <w:ind w:right="2850"/>
              <w:spacing w:after="0"/>
              <w:rPr>
                <w:sz w:val="20"/>
                <w:szCs w:val="20"/>
                <w:color w:val="auto"/>
              </w:rPr>
            </w:pPr>
            <w:r>
              <w:rPr>
                <w:rFonts w:ascii="Times New Roman" w:cs="Times New Roman" w:eastAsia="Times New Roman" w:hAnsi="Times New Roman"/>
                <w:sz w:val="18"/>
                <w:szCs w:val="18"/>
                <w:color w:val="auto"/>
              </w:rPr>
              <w:t>65</w:t>
            </w:r>
          </w:p>
        </w:tc>
        <w:tc>
          <w:tcPr>
            <w:tcW w:w="2580" w:type="dxa"/>
            <w:vAlign w:val="bottom"/>
          </w:tcPr>
          <w:p>
            <w:pPr>
              <w:spacing w:after="0"/>
              <w:rPr>
                <w:sz w:val="24"/>
                <w:szCs w:val="24"/>
                <w:color w:val="auto"/>
              </w:rPr>
            </w:pPr>
          </w:p>
        </w:tc>
      </w:tr>
      <w:tr>
        <w:trPr>
          <w:trHeight w:val="318"/>
        </w:trPr>
        <w:tc>
          <w:tcPr>
            <w:tcW w:w="366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89" w:lineRule="exact"/>
        <w:rPr>
          <w:sz w:val="20"/>
          <w:szCs w:val="20"/>
          <w:color w:val="auto"/>
        </w:rPr>
      </w:pPr>
    </w:p>
    <w:p>
      <w:pPr>
        <w:ind w:firstLine="622"/>
        <w:spacing w:after="0" w:line="231" w:lineRule="auto"/>
        <w:rPr>
          <w:sz w:val="20"/>
          <w:szCs w:val="20"/>
          <w:color w:val="auto"/>
        </w:rPr>
      </w:pPr>
      <w:r>
        <w:rPr>
          <w:rFonts w:ascii="Times New Roman" w:cs="Times New Roman" w:eastAsia="Times New Roman" w:hAnsi="Times New Roman"/>
          <w:sz w:val="18"/>
          <w:szCs w:val="18"/>
          <w:color w:val="auto"/>
        </w:rPr>
        <w:t>Each person whose signature appears below constitutes CABELL H. LOLMAUGH, KARLA LUNAN and MARK B. DAVIS, or any of them, as his or her true and lawful attorney-in-fact and agent, with full power of substitution and resubstitution, for him or her and in his or her name, place and stead, in any and all capacities, to sign any or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said attorney-in-fact and agent, or his or her substitute or substitutes, may lawfully do or cause to be done by virtue thereof.</w:t>
      </w:r>
    </w:p>
    <w:p>
      <w:pPr>
        <w:spacing w:after="0" w:line="158" w:lineRule="exact"/>
        <w:rPr>
          <w:sz w:val="20"/>
          <w:szCs w:val="20"/>
          <w:color w:val="auto"/>
        </w:rPr>
      </w:pPr>
    </w:p>
    <w:p>
      <w:pPr>
        <w:ind w:right="180" w:firstLine="622"/>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0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19"/>
                <w:szCs w:val="19"/>
                <w:color w:val="auto"/>
              </w:rPr>
            </w:pPr>
          </w:p>
        </w:tc>
        <w:tc>
          <w:tcPr>
            <w:tcW w:w="5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20" w:type="dxa"/>
            <w:vAlign w:val="bottom"/>
          </w:tcPr>
          <w:p>
            <w:pPr>
              <w:spacing w:after="0"/>
              <w:rPr>
                <w:sz w:val="19"/>
                <w:szCs w:val="19"/>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34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 CABELL H. LOLMAUGH</w:t>
            </w:r>
          </w:p>
        </w:tc>
        <w:tc>
          <w:tcPr>
            <w:tcW w:w="220" w:type="dxa"/>
            <w:vAlign w:val="bottom"/>
          </w:tcPr>
          <w:p>
            <w:pPr>
              <w:spacing w:after="0"/>
              <w:rPr>
                <w:sz w:val="24"/>
                <w:szCs w:val="24"/>
                <w:color w:val="auto"/>
              </w:rPr>
            </w:pPr>
          </w:p>
        </w:tc>
        <w:tc>
          <w:tcPr>
            <w:tcW w:w="5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Chief Executive Officer, 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0" w:type="dxa"/>
            <w:vAlign w:val="bottom"/>
          </w:tcPr>
          <w:p>
            <w:pPr>
              <w:spacing w:after="0"/>
              <w:rPr>
                <w:sz w:val="1"/>
                <w:szCs w:val="1"/>
                <w:color w:val="auto"/>
              </w:rPr>
            </w:pPr>
          </w:p>
        </w:tc>
      </w:tr>
      <w:tr>
        <w:trPr>
          <w:trHeight w:val="32"/>
        </w:trPr>
        <w:tc>
          <w:tcPr>
            <w:tcW w:w="350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5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Cabell H. Lolmaugh</w:t>
            </w:r>
          </w:p>
        </w:tc>
        <w:tc>
          <w:tcPr>
            <w:tcW w:w="220" w:type="dxa"/>
            <w:vAlign w:val="bottom"/>
            <w:vMerge w:val="continue"/>
          </w:tcPr>
          <w:p>
            <w:pPr>
              <w:spacing w:after="0"/>
              <w:rPr>
                <w:sz w:val="19"/>
                <w:szCs w:val="19"/>
                <w:color w:val="auto"/>
              </w:rPr>
            </w:pPr>
          </w:p>
        </w:tc>
        <w:tc>
          <w:tcPr>
            <w:tcW w:w="5320" w:type="dxa"/>
            <w:vAlign w:val="bottom"/>
            <w:gridSpan w:val="2"/>
            <w:vMerge w:val="continue"/>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1"/>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 KARLA LUNAN</w:t>
            </w:r>
          </w:p>
        </w:tc>
        <w:tc>
          <w:tcPr>
            <w:tcW w:w="220" w:type="dxa"/>
            <w:vAlign w:val="bottom"/>
          </w:tcPr>
          <w:p>
            <w:pPr>
              <w:spacing w:after="0"/>
              <w:rPr>
                <w:sz w:val="24"/>
                <w:szCs w:val="24"/>
                <w:color w:val="auto"/>
              </w:rPr>
            </w:pPr>
          </w:p>
        </w:tc>
        <w:tc>
          <w:tcPr>
            <w:tcW w:w="5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Senior Vice President and Chief Financial Officer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0" w:type="dxa"/>
            <w:vAlign w:val="bottom"/>
          </w:tcPr>
          <w:p>
            <w:pPr>
              <w:spacing w:after="0"/>
              <w:rPr>
                <w:sz w:val="1"/>
                <w:szCs w:val="1"/>
                <w:color w:val="auto"/>
              </w:rPr>
            </w:pPr>
          </w:p>
        </w:tc>
      </w:tr>
      <w:tr>
        <w:trPr>
          <w:trHeight w:val="32"/>
        </w:trPr>
        <w:tc>
          <w:tcPr>
            <w:tcW w:w="350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5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Karla Lunan</w:t>
            </w:r>
          </w:p>
        </w:tc>
        <w:tc>
          <w:tcPr>
            <w:tcW w:w="220" w:type="dxa"/>
            <w:vAlign w:val="bottom"/>
            <w:vMerge w:val="continue"/>
          </w:tcPr>
          <w:p>
            <w:pPr>
              <w:spacing w:after="0"/>
              <w:rPr>
                <w:sz w:val="19"/>
                <w:szCs w:val="19"/>
                <w:color w:val="auto"/>
              </w:rPr>
            </w:pPr>
          </w:p>
        </w:tc>
        <w:tc>
          <w:tcPr>
            <w:tcW w:w="5320" w:type="dxa"/>
            <w:vAlign w:val="bottom"/>
            <w:gridSpan w:val="2"/>
            <w:vMerge w:val="continue"/>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1"/>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 MARK B. DAVIS</w:t>
            </w:r>
          </w:p>
        </w:tc>
        <w:tc>
          <w:tcPr>
            <w:tcW w:w="220" w:type="dxa"/>
            <w:vAlign w:val="bottom"/>
          </w:tcPr>
          <w:p>
            <w:pPr>
              <w:spacing w:after="0"/>
              <w:rPr>
                <w:sz w:val="24"/>
                <w:szCs w:val="24"/>
                <w:color w:val="auto"/>
              </w:rPr>
            </w:pPr>
          </w:p>
        </w:tc>
        <w:tc>
          <w:tcPr>
            <w:tcW w:w="5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Vice President, Investor Relations, and Chief</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0" w:type="dxa"/>
            <w:vAlign w:val="bottom"/>
          </w:tcPr>
          <w:p>
            <w:pPr>
              <w:spacing w:after="0"/>
              <w:rPr>
                <w:sz w:val="1"/>
                <w:szCs w:val="1"/>
                <w:color w:val="auto"/>
              </w:rPr>
            </w:pPr>
          </w:p>
        </w:tc>
      </w:tr>
      <w:tr>
        <w:trPr>
          <w:trHeight w:val="32"/>
        </w:trPr>
        <w:tc>
          <w:tcPr>
            <w:tcW w:w="350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5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9"/>
              </w:rPr>
              <w:t>Accounting Officer (Principal Accounting Officer)</w:t>
            </w:r>
          </w:p>
        </w:tc>
        <w:tc>
          <w:tcPr>
            <w:tcW w:w="2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Mark B. Davis</w:t>
            </w:r>
          </w:p>
        </w:tc>
        <w:tc>
          <w:tcPr>
            <w:tcW w:w="220" w:type="dxa"/>
            <w:vAlign w:val="bottom"/>
            <w:vMerge w:val="continue"/>
          </w:tcPr>
          <w:p>
            <w:pPr>
              <w:spacing w:after="0"/>
              <w:rPr>
                <w:sz w:val="19"/>
                <w:szCs w:val="19"/>
                <w:color w:val="auto"/>
              </w:rPr>
            </w:pPr>
          </w:p>
        </w:tc>
        <w:tc>
          <w:tcPr>
            <w:tcW w:w="5320" w:type="dxa"/>
            <w:vAlign w:val="bottom"/>
            <w:gridSpan w:val="2"/>
            <w:vMerge w:val="continue"/>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H. KAMIN</w:t>
            </w:r>
          </w:p>
        </w:tc>
        <w:tc>
          <w:tcPr>
            <w:tcW w:w="220" w:type="dxa"/>
            <w:vAlign w:val="bottom"/>
          </w:tcPr>
          <w:p>
            <w:pPr>
              <w:spacing w:after="0"/>
              <w:rPr>
                <w:sz w:val="24"/>
                <w:szCs w:val="24"/>
                <w:color w:val="auto"/>
              </w:rPr>
            </w:pPr>
          </w:p>
        </w:tc>
        <w:tc>
          <w:tcPr>
            <w:tcW w:w="5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 and Chairman of the Board of Directors</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0" w:type="dxa"/>
            <w:vAlign w:val="bottom"/>
          </w:tcPr>
          <w:p>
            <w:pPr>
              <w:spacing w:after="0"/>
              <w:rPr>
                <w:sz w:val="1"/>
                <w:szCs w:val="1"/>
                <w:color w:val="auto"/>
              </w:rPr>
            </w:pPr>
          </w:p>
        </w:tc>
      </w:tr>
      <w:tr>
        <w:trPr>
          <w:trHeight w:val="22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Peter H. Kamin</w:t>
            </w:r>
          </w:p>
        </w:tc>
        <w:tc>
          <w:tcPr>
            <w:tcW w:w="2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J. BONNEY</w:t>
            </w:r>
          </w:p>
        </w:tc>
        <w:tc>
          <w:tcPr>
            <w:tcW w:w="220" w:type="dxa"/>
            <w:vAlign w:val="bottom"/>
          </w:tcPr>
          <w:p>
            <w:pPr>
              <w:spacing w:after="0"/>
              <w:rPr>
                <w:sz w:val="24"/>
                <w:szCs w:val="24"/>
                <w:color w:val="auto"/>
              </w:rPr>
            </w:pPr>
          </w:p>
        </w:tc>
        <w:tc>
          <w:tcPr>
            <w:tcW w:w="5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0" w:type="dxa"/>
            <w:vAlign w:val="bottom"/>
          </w:tcPr>
          <w:p>
            <w:pPr>
              <w:spacing w:after="0"/>
              <w:rPr>
                <w:sz w:val="1"/>
                <w:szCs w:val="1"/>
                <w:color w:val="auto"/>
              </w:rPr>
            </w:pPr>
          </w:p>
        </w:tc>
      </w:tr>
      <w:tr>
        <w:trPr>
          <w:trHeight w:val="22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Mark J. Bonney</w:t>
            </w:r>
          </w:p>
        </w:tc>
        <w:tc>
          <w:tcPr>
            <w:tcW w:w="2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DEBORAH K. GLASSER</w:t>
            </w:r>
          </w:p>
        </w:tc>
        <w:tc>
          <w:tcPr>
            <w:tcW w:w="220" w:type="dxa"/>
            <w:vAlign w:val="bottom"/>
          </w:tcPr>
          <w:p>
            <w:pPr>
              <w:spacing w:after="0"/>
              <w:rPr>
                <w:sz w:val="24"/>
                <w:szCs w:val="24"/>
                <w:color w:val="auto"/>
              </w:rPr>
            </w:pPr>
          </w:p>
        </w:tc>
        <w:tc>
          <w:tcPr>
            <w:tcW w:w="5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0" w:type="dxa"/>
            <w:vAlign w:val="bottom"/>
          </w:tcPr>
          <w:p>
            <w:pPr>
              <w:spacing w:after="0"/>
              <w:rPr>
                <w:sz w:val="1"/>
                <w:szCs w:val="1"/>
                <w:color w:val="auto"/>
              </w:rPr>
            </w:pPr>
          </w:p>
        </w:tc>
      </w:tr>
      <w:tr>
        <w:trPr>
          <w:trHeight w:val="22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Deborah K. Glasser</w:t>
            </w:r>
          </w:p>
        </w:tc>
        <w:tc>
          <w:tcPr>
            <w:tcW w:w="2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J. JACULLO, III</w:t>
            </w:r>
          </w:p>
        </w:tc>
        <w:tc>
          <w:tcPr>
            <w:tcW w:w="220" w:type="dxa"/>
            <w:vAlign w:val="bottom"/>
          </w:tcPr>
          <w:p>
            <w:pPr>
              <w:spacing w:after="0"/>
              <w:rPr>
                <w:sz w:val="24"/>
                <w:szCs w:val="24"/>
                <w:color w:val="auto"/>
              </w:rPr>
            </w:pPr>
          </w:p>
        </w:tc>
        <w:tc>
          <w:tcPr>
            <w:tcW w:w="5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0" w:type="dxa"/>
            <w:vAlign w:val="bottom"/>
          </w:tcPr>
          <w:p>
            <w:pPr>
              <w:spacing w:after="0"/>
              <w:rPr>
                <w:sz w:val="1"/>
                <w:szCs w:val="1"/>
                <w:color w:val="auto"/>
              </w:rPr>
            </w:pPr>
          </w:p>
        </w:tc>
      </w:tr>
      <w:tr>
        <w:trPr>
          <w:trHeight w:val="22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Peter J. Jacullo, III</w:t>
            </w:r>
          </w:p>
        </w:tc>
        <w:tc>
          <w:tcPr>
            <w:tcW w:w="2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LINDA SOLHEID</w:t>
            </w:r>
          </w:p>
        </w:tc>
        <w:tc>
          <w:tcPr>
            <w:tcW w:w="220" w:type="dxa"/>
            <w:vAlign w:val="bottom"/>
          </w:tcPr>
          <w:p>
            <w:pPr>
              <w:spacing w:after="0"/>
              <w:rPr>
                <w:sz w:val="24"/>
                <w:szCs w:val="24"/>
                <w:color w:val="auto"/>
              </w:rPr>
            </w:pPr>
          </w:p>
        </w:tc>
        <w:tc>
          <w:tcPr>
            <w:tcW w:w="5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0" w:type="dxa"/>
            <w:vAlign w:val="bottom"/>
          </w:tcPr>
          <w:p>
            <w:pPr>
              <w:spacing w:after="0"/>
              <w:rPr>
                <w:sz w:val="1"/>
                <w:szCs w:val="1"/>
                <w:color w:val="auto"/>
              </w:rPr>
            </w:pPr>
          </w:p>
        </w:tc>
      </w:tr>
      <w:tr>
        <w:trPr>
          <w:trHeight w:val="22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Linda Solheid</w:t>
            </w:r>
          </w:p>
        </w:tc>
        <w:tc>
          <w:tcPr>
            <w:tcW w:w="2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3500" w:type="dxa"/>
            <w:vAlign w:val="bottom"/>
          </w:tcPr>
          <w:p>
            <w:pPr>
              <w:spacing w:after="0"/>
              <w:rPr>
                <w:sz w:val="24"/>
                <w:szCs w:val="24"/>
                <w:color w:val="auto"/>
              </w:rPr>
            </w:pPr>
          </w:p>
        </w:tc>
        <w:tc>
          <w:tcPr>
            <w:tcW w:w="5320" w:type="dxa"/>
            <w:vAlign w:val="bottom"/>
            <w:gridSpan w:val="2"/>
          </w:tcPr>
          <w:p>
            <w:pPr>
              <w:jc w:val="right"/>
              <w:ind w:right="3010"/>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19.1</w:t>
      </w:r>
    </w:p>
    <w:tbl>
      <w:tblPr>
        <w:tblLayout w:type="fixed"/>
        <w:tblInd w:w="0" w:type="dxa"/>
        <w:tblCellMar>
          <w:top w:w="0" w:type="dxa"/>
          <w:left w:w="0" w:type="dxa"/>
          <w:bottom w:w="0" w:type="dxa"/>
          <w:right w:w="0" w:type="dxa"/>
        </w:tblCellMar>
      </w:tblPr>
      <w:tr>
        <w:trPr>
          <w:trHeight w:val="347"/>
        </w:trPr>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tcBorders>
              <w:right w:val="single" w:sz="8" w:color="808080"/>
            </w:tcBorders>
          </w:tcPr>
          <w:p>
            <w:pPr>
              <w:spacing w:after="0"/>
              <w:rPr>
                <w:sz w:val="24"/>
                <w:szCs w:val="24"/>
                <w:color w:val="auto"/>
              </w:rPr>
            </w:pPr>
          </w:p>
        </w:tc>
        <w:tc>
          <w:tcPr>
            <w:tcW w:w="5680" w:type="dxa"/>
            <w:vAlign w:val="bottom"/>
            <w:gridSpan w:val="5"/>
          </w:tcPr>
          <w:p>
            <w:pPr>
              <w:ind w:left="120"/>
              <w:spacing w:after="0" w:line="346" w:lineRule="exact"/>
              <w:rPr>
                <w:sz w:val="20"/>
                <w:szCs w:val="20"/>
                <w:color w:val="auto"/>
              </w:rPr>
            </w:pPr>
            <w:r>
              <w:rPr>
                <w:rFonts w:ascii="Calibri" w:cs="Calibri" w:eastAsia="Calibri" w:hAnsi="Calibri"/>
                <w:sz w:val="29"/>
                <w:szCs w:val="29"/>
                <w:b w:val="1"/>
                <w:bCs w:val="1"/>
                <w:color w:val="auto"/>
              </w:rPr>
              <w:t>Insider Trading Policy</w:t>
            </w:r>
          </w:p>
        </w:tc>
      </w:tr>
      <w:tr>
        <w:trPr>
          <w:trHeight w:val="193"/>
        </w:trPr>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tcBorders>
              <w:right w:val="single" w:sz="8" w:color="808080"/>
            </w:tcBorders>
          </w:tcPr>
          <w:p>
            <w:pPr>
              <w:spacing w:after="0"/>
              <w:rPr>
                <w:sz w:val="16"/>
                <w:szCs w:val="16"/>
                <w:color w:val="auto"/>
              </w:rPr>
            </w:pPr>
          </w:p>
        </w:tc>
        <w:tc>
          <w:tcPr>
            <w:tcW w:w="5680" w:type="dxa"/>
            <w:vAlign w:val="bottom"/>
            <w:gridSpan w:val="5"/>
          </w:tcPr>
          <w:p>
            <w:pPr>
              <w:ind w:left="120"/>
              <w:spacing w:after="0" w:line="193" w:lineRule="exact"/>
              <w:rPr>
                <w:sz w:val="20"/>
                <w:szCs w:val="20"/>
                <w:color w:val="auto"/>
              </w:rPr>
            </w:pPr>
            <w:r>
              <w:rPr>
                <w:rFonts w:ascii="Calibri" w:cs="Calibri" w:eastAsia="Calibri" w:hAnsi="Calibri"/>
                <w:sz w:val="16"/>
                <w:szCs w:val="16"/>
                <w:color w:val="auto"/>
              </w:rPr>
              <w:t>Last Revision Date: February 28, 2023</w:t>
            </w:r>
          </w:p>
        </w:tc>
      </w:tr>
      <w:tr>
        <w:trPr>
          <w:trHeight w:val="318"/>
        </w:trPr>
        <w:tc>
          <w:tcPr>
            <w:tcW w:w="64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right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r>
      <w:tr>
        <w:trPr>
          <w:trHeight w:val="520"/>
        </w:trPr>
        <w:tc>
          <w:tcPr>
            <w:tcW w:w="64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Arial" w:cs="Arial" w:eastAsia="Arial" w:hAnsi="Arial"/>
                <w:sz w:val="18"/>
                <w:szCs w:val="18"/>
                <w:b w:val="1"/>
                <w:bCs w:val="1"/>
                <w:color w:val="auto"/>
              </w:rPr>
              <w:t>Section:</w:t>
            </w:r>
          </w:p>
        </w:tc>
        <w:tc>
          <w:tcPr>
            <w:tcW w:w="3480" w:type="dxa"/>
            <w:vAlign w:val="bottom"/>
            <w:gridSpan w:val="2"/>
          </w:tcPr>
          <w:p>
            <w:pPr>
              <w:ind w:left="160"/>
              <w:spacing w:after="0"/>
              <w:rPr>
                <w:sz w:val="20"/>
                <w:szCs w:val="20"/>
                <w:color w:val="auto"/>
              </w:rPr>
            </w:pPr>
            <w:r>
              <w:rPr>
                <w:rFonts w:ascii="Arial" w:cs="Arial" w:eastAsia="Arial" w:hAnsi="Arial"/>
                <w:sz w:val="18"/>
                <w:szCs w:val="18"/>
                <w:b w:val="1"/>
                <w:bCs w:val="1"/>
                <w:color w:val="auto"/>
              </w:rPr>
              <w:t>Tile Shop Holdings, Inc.</w:t>
            </w:r>
          </w:p>
        </w:tc>
        <w:tc>
          <w:tcPr>
            <w:tcW w:w="4300" w:type="dxa"/>
            <w:vAlign w:val="bottom"/>
            <w:gridSpan w:val="4"/>
          </w:tcPr>
          <w:p>
            <w:pPr>
              <w:spacing w:after="0"/>
              <w:rPr>
                <w:sz w:val="20"/>
                <w:szCs w:val="20"/>
                <w:color w:val="auto"/>
              </w:rPr>
            </w:pPr>
            <w:r>
              <w:rPr>
                <w:rFonts w:ascii="Arial" w:cs="Arial" w:eastAsia="Arial" w:hAnsi="Arial"/>
                <w:sz w:val="18"/>
                <w:szCs w:val="18"/>
                <w:b w:val="1"/>
                <w:bCs w:val="1"/>
                <w:color w:val="auto"/>
              </w:rPr>
              <w:t>Policy/Proc. No.:</w:t>
            </w:r>
          </w:p>
        </w:tc>
      </w:tr>
      <w:tr>
        <w:trPr>
          <w:trHeight w:val="162"/>
        </w:trPr>
        <w:tc>
          <w:tcPr>
            <w:tcW w:w="640" w:type="dxa"/>
            <w:vAlign w:val="bottom"/>
          </w:tcPr>
          <w:p>
            <w:pPr>
              <w:spacing w:after="0"/>
              <w:rPr>
                <w:sz w:val="14"/>
                <w:szCs w:val="14"/>
                <w:color w:val="auto"/>
              </w:rPr>
            </w:pPr>
          </w:p>
        </w:tc>
        <w:tc>
          <w:tcPr>
            <w:tcW w:w="720" w:type="dxa"/>
            <w:vAlign w:val="bottom"/>
            <w:tcBorders>
              <w:top w:val="single" w:sz="8" w:color="auto"/>
            </w:tcBorders>
            <w:gridSpan w:val="3"/>
          </w:tcPr>
          <w:p>
            <w:pPr>
              <w:spacing w:after="0" w:line="162" w:lineRule="exact"/>
              <w:rPr>
                <w:sz w:val="20"/>
                <w:szCs w:val="20"/>
                <w:color w:val="auto"/>
              </w:rPr>
            </w:pPr>
            <w:r>
              <w:rPr>
                <w:rFonts w:ascii="Arial" w:cs="Arial" w:eastAsia="Arial" w:hAnsi="Arial"/>
                <w:sz w:val="18"/>
                <w:szCs w:val="18"/>
                <w:b w:val="1"/>
                <w:bCs w:val="1"/>
                <w:color w:val="auto"/>
              </w:rPr>
              <w:t>Scope:</w:t>
            </w:r>
          </w:p>
        </w:tc>
        <w:tc>
          <w:tcPr>
            <w:tcW w:w="140" w:type="dxa"/>
            <w:vAlign w:val="bottom"/>
          </w:tcPr>
          <w:p>
            <w:pPr>
              <w:spacing w:after="0"/>
              <w:rPr>
                <w:sz w:val="14"/>
                <w:szCs w:val="14"/>
                <w:color w:val="auto"/>
              </w:rPr>
            </w:pPr>
          </w:p>
        </w:tc>
        <w:tc>
          <w:tcPr>
            <w:tcW w:w="3480" w:type="dxa"/>
            <w:vAlign w:val="bottom"/>
            <w:gridSpan w:val="2"/>
          </w:tcPr>
          <w:p>
            <w:pPr>
              <w:ind w:left="120"/>
              <w:spacing w:after="0" w:line="162" w:lineRule="exact"/>
              <w:rPr>
                <w:sz w:val="20"/>
                <w:szCs w:val="20"/>
                <w:color w:val="auto"/>
              </w:rPr>
            </w:pPr>
            <w:r>
              <w:rPr>
                <w:rFonts w:ascii="Arial" w:cs="Arial" w:eastAsia="Arial" w:hAnsi="Arial"/>
                <w:sz w:val="18"/>
                <w:szCs w:val="18"/>
                <w:b w:val="1"/>
                <w:bCs w:val="1"/>
                <w:color w:val="auto"/>
              </w:rPr>
              <w:t>All Employees of Tile Shop</w:t>
            </w:r>
          </w:p>
        </w:tc>
        <w:tc>
          <w:tcPr>
            <w:tcW w:w="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spacing w:after="0" w:line="162" w:lineRule="exact"/>
              <w:rPr>
                <w:sz w:val="20"/>
                <w:szCs w:val="20"/>
                <w:color w:val="auto"/>
              </w:rPr>
            </w:pPr>
            <w:r>
              <w:rPr>
                <w:rFonts w:ascii="Arial" w:cs="Arial" w:eastAsia="Arial" w:hAnsi="Arial"/>
                <w:sz w:val="18"/>
                <w:szCs w:val="18"/>
                <w:b w:val="1"/>
                <w:bCs w:val="1"/>
                <w:color w:val="auto"/>
              </w:rPr>
              <w:t>Doc</w:t>
            </w:r>
          </w:p>
        </w:tc>
        <w:tc>
          <w:tcPr>
            <w:tcW w:w="2860" w:type="dxa"/>
            <w:vAlign w:val="bottom"/>
          </w:tcPr>
          <w:p>
            <w:pPr>
              <w:spacing w:after="0"/>
              <w:rPr>
                <w:sz w:val="14"/>
                <w:szCs w:val="14"/>
                <w:color w:val="auto"/>
              </w:rPr>
            </w:pPr>
          </w:p>
        </w:tc>
      </w:tr>
      <w:tr>
        <w:trPr>
          <w:trHeight w:val="163"/>
        </w:trPr>
        <w:tc>
          <w:tcPr>
            <w:tcW w:w="640" w:type="dxa"/>
            <w:vAlign w:val="bottom"/>
          </w:tcPr>
          <w:p>
            <w:pPr>
              <w:spacing w:after="0"/>
              <w:rPr>
                <w:sz w:val="14"/>
                <w:szCs w:val="14"/>
                <w:color w:val="auto"/>
              </w:rPr>
            </w:pPr>
          </w:p>
        </w:tc>
        <w:tc>
          <w:tcPr>
            <w:tcW w:w="60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8"/>
                <w:szCs w:val="18"/>
                <w:b w:val="1"/>
                <w:bCs w:val="1"/>
                <w:color w:val="auto"/>
                <w:w w:val="93"/>
              </w:rPr>
              <w:t>Owner:</w:t>
            </w:r>
          </w:p>
        </w:tc>
        <w:tc>
          <w:tcPr>
            <w:tcW w:w="20" w:type="dxa"/>
            <w:vAlign w:val="bottom"/>
            <w:tcBorders>
              <w:bottom w:val="single" w:sz="8" w:color="auto"/>
            </w:tcBorders>
          </w:tcPr>
          <w:p>
            <w:pPr>
              <w:spacing w:after="0"/>
              <w:rPr>
                <w:sz w:val="14"/>
                <w:szCs w:val="14"/>
                <w:color w:val="auto"/>
              </w:rPr>
            </w:pPr>
          </w:p>
        </w:tc>
        <w:tc>
          <w:tcPr>
            <w:tcW w:w="240" w:type="dxa"/>
            <w:vAlign w:val="bottom"/>
            <w:gridSpan w:val="2"/>
          </w:tcPr>
          <w:p>
            <w:pPr>
              <w:spacing w:after="0"/>
              <w:rPr>
                <w:sz w:val="14"/>
                <w:szCs w:val="14"/>
                <w:color w:val="auto"/>
              </w:rPr>
            </w:pPr>
          </w:p>
        </w:tc>
        <w:tc>
          <w:tcPr>
            <w:tcW w:w="3480" w:type="dxa"/>
            <w:vAlign w:val="bottom"/>
            <w:gridSpan w:val="2"/>
          </w:tcPr>
          <w:p>
            <w:pPr>
              <w:ind w:left="1180"/>
              <w:spacing w:after="0" w:line="156" w:lineRule="exact"/>
              <w:rPr>
                <w:sz w:val="20"/>
                <w:szCs w:val="20"/>
                <w:color w:val="auto"/>
              </w:rPr>
            </w:pPr>
            <w:r>
              <w:rPr>
                <w:rFonts w:ascii="Arial" w:cs="Arial" w:eastAsia="Arial" w:hAnsi="Arial"/>
                <w:sz w:val="18"/>
                <w:szCs w:val="18"/>
                <w:b w:val="1"/>
                <w:bCs w:val="1"/>
                <w:color w:val="auto"/>
              </w:rPr>
              <w:t>Compliance Officer</w:t>
            </w:r>
          </w:p>
        </w:tc>
        <w:tc>
          <w:tcPr>
            <w:tcW w:w="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80" w:type="dxa"/>
            <w:vAlign w:val="bottom"/>
          </w:tcPr>
          <w:p>
            <w:pPr>
              <w:spacing w:after="0"/>
              <w:rPr>
                <w:sz w:val="14"/>
                <w:szCs w:val="14"/>
                <w:color w:val="auto"/>
              </w:rPr>
            </w:pPr>
          </w:p>
        </w:tc>
        <w:tc>
          <w:tcPr>
            <w:tcW w:w="2860" w:type="dxa"/>
            <w:vAlign w:val="bottom"/>
          </w:tcPr>
          <w:p>
            <w:pPr>
              <w:spacing w:after="0"/>
              <w:rPr>
                <w:sz w:val="14"/>
                <w:szCs w:val="14"/>
                <w:color w:val="auto"/>
              </w:rPr>
            </w:pPr>
          </w:p>
        </w:tc>
      </w:tr>
      <w:tr>
        <w:trPr>
          <w:trHeight w:val="220"/>
        </w:trPr>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80" w:type="dxa"/>
            <w:vAlign w:val="bottom"/>
            <w:gridSpan w:val="2"/>
          </w:tcPr>
          <w:p>
            <w:pPr>
              <w:ind w:left="140"/>
              <w:spacing w:after="0"/>
              <w:rPr>
                <w:sz w:val="20"/>
                <w:szCs w:val="20"/>
                <w:color w:val="auto"/>
              </w:rPr>
            </w:pPr>
            <w:r>
              <w:rPr>
                <w:rFonts w:ascii="Arial" w:cs="Arial" w:eastAsia="Arial" w:hAnsi="Arial"/>
                <w:sz w:val="18"/>
                <w:szCs w:val="18"/>
                <w:b w:val="1"/>
                <w:bCs w:val="1"/>
                <w:color w:val="auto"/>
              </w:rPr>
              <w:t>Holdings, Inc. and The Tile Shop, LLC</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-1227455</wp:posOffset>
            </wp:positionV>
            <wp:extent cx="1971675" cy="2400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4">
                      <a:extLst>
                        <a:ext uri="{28A0092B-C50C-407E-A947-70E740481C1C}"/>
                      </a:extLst>
                    </a:blip>
                    <a:srcRect/>
                    <a:stretch>
                      <a:fillRect/>
                    </a:stretch>
                  </pic:blipFill>
                  <pic:spPr bwMode="auto">
                    <a:xfrm>
                      <a:off x="0" y="0"/>
                      <a:ext cx="1971675" cy="24003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Application</w:t>
      </w:r>
    </w:p>
    <w:p>
      <w:pPr>
        <w:spacing w:after="0" w:line="198"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This Insider Trading Policy (the “</w:t>
      </w:r>
      <w:r>
        <w:rPr>
          <w:rFonts w:ascii="Arial" w:cs="Arial" w:eastAsia="Arial" w:hAnsi="Arial"/>
          <w:sz w:val="18"/>
          <w:szCs w:val="18"/>
          <w:u w:val="single" w:color="auto"/>
          <w:color w:val="auto"/>
        </w:rPr>
        <w:t>Policy</w:t>
      </w:r>
      <w:r>
        <w:rPr>
          <w:rFonts w:ascii="Arial" w:cs="Arial" w:eastAsia="Arial" w:hAnsi="Arial"/>
          <w:sz w:val="18"/>
          <w:szCs w:val="18"/>
          <w:color w:val="auto"/>
        </w:rPr>
        <w:t>”) applies to all officers, employees, consultants and directors and former directors who left the Board within the previous twelve (12) months (the “</w:t>
      </w:r>
      <w:r>
        <w:rPr>
          <w:rFonts w:ascii="Arial" w:cs="Arial" w:eastAsia="Arial" w:hAnsi="Arial"/>
          <w:sz w:val="18"/>
          <w:szCs w:val="18"/>
          <w:u w:val="single" w:color="auto"/>
          <w:color w:val="auto"/>
        </w:rPr>
        <w:t>Associates</w:t>
      </w:r>
      <w:r>
        <w:rPr>
          <w:rFonts w:ascii="Arial" w:cs="Arial" w:eastAsia="Arial" w:hAnsi="Arial"/>
          <w:sz w:val="18"/>
          <w:szCs w:val="18"/>
          <w:color w:val="auto"/>
        </w:rPr>
        <w:t>”), immediate family members of, and other individuals who share a household with, an Associate, and any person or entity, including corporations,</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partnerships or trusts, whose transactions are directed by an Associate or are subject to such Associate’s influence or control (collectively with the Associates, the “</w:t>
      </w:r>
      <w:r>
        <w:rPr>
          <w:rFonts w:ascii="Arial" w:cs="Arial" w:eastAsia="Arial" w:hAnsi="Arial"/>
          <w:sz w:val="18"/>
          <w:szCs w:val="18"/>
          <w:u w:val="single" w:color="auto"/>
          <w:color w:val="auto"/>
        </w:rPr>
        <w:t>Covered Persons</w:t>
      </w:r>
      <w:r>
        <w:rPr>
          <w:rFonts w:ascii="Arial" w:cs="Arial" w:eastAsia="Arial" w:hAnsi="Arial"/>
          <w:sz w:val="18"/>
          <w:szCs w:val="18"/>
          <w:color w:val="auto"/>
        </w:rPr>
        <w:t>”) of Tile Shop Holdings, Inc. and its subsidiaries (collectively,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66"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This Policy concerns (a) transactions in the Company’s equity, debt, and derivative securities (collectively, the “</w:t>
      </w:r>
      <w:r>
        <w:rPr>
          <w:rFonts w:ascii="Arial" w:cs="Arial" w:eastAsia="Arial" w:hAnsi="Arial"/>
          <w:sz w:val="18"/>
          <w:szCs w:val="18"/>
          <w:u w:val="single" w:color="auto"/>
          <w:color w:val="auto"/>
        </w:rPr>
        <w:t>Securities</w:t>
      </w:r>
      <w:r>
        <w:rPr>
          <w:rFonts w:ascii="Arial" w:cs="Arial" w:eastAsia="Arial" w:hAnsi="Arial"/>
          <w:sz w:val="18"/>
          <w:szCs w:val="18"/>
          <w:color w:val="auto"/>
        </w:rPr>
        <w:t>”) and (b) the use of Material Nonpublic Information (as defined below) (i) of the Company and (ii) regarding other entities when such Material Nonpublic Information is obtained by an Associate in connection with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Associate’s engagement with the Company.</w:t>
      </w:r>
    </w:p>
    <w:p>
      <w:pPr>
        <w:spacing w:after="0" w:line="167"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Directors and executive officers who are subject to Section 16 of the Securities Exchange Act of 1934, and certain other employees and consultants of the Company with access to Material Nonpublic Information, are subject to</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additional restrictions. As set forth in the Addendum hereto, these “Designated Persons” (i) are prohibited from trading in the Company’s securities during quarterly blackout periods and certain event-specific blackouts and (ii) must pre-clear all transactions in the Company’s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Policy</w:t>
      </w:r>
    </w:p>
    <w:p>
      <w:pPr>
        <w:spacing w:after="0" w:line="185"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It is the strict policy of the Company that no Covered Person shall misuse Material Nonpublic Information obtained in connection with the Covered Person’s relationship with the Company, including, but not limited to, engaging in any</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transaction in the Company’s Securities while in possession of Material Nonpublic Information or communicating such Material Nonpublic Information to any individual outside of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Mandatory Provisions</w:t>
      </w:r>
    </w:p>
    <w:p>
      <w:pPr>
        <w:spacing w:after="0" w:line="198" w:lineRule="exact"/>
        <w:rPr>
          <w:sz w:val="20"/>
          <w:szCs w:val="20"/>
          <w:color w:val="auto"/>
        </w:rPr>
      </w:pPr>
    </w:p>
    <w:p>
      <w:pPr>
        <w:jc w:val="both"/>
        <w:spacing w:after="0" w:line="214" w:lineRule="auto"/>
        <w:tabs>
          <w:tab w:leader="none" w:pos="798"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No Trading based on Material Nonpublic Information</w:t>
      </w:r>
      <w:r>
        <w:rPr>
          <w:rFonts w:ascii="Arial" w:cs="Arial" w:eastAsia="Arial" w:hAnsi="Arial"/>
          <w:sz w:val="18"/>
          <w:szCs w:val="18"/>
          <w:color w:val="auto"/>
        </w:rPr>
        <w:t>. No Covered Person shall engage in any transaction involving a purchase or sale of the Company’s Securities (including any offer to purchase or sell) while the Covered Person possesses Material Nonpublic Information concerning the Company. For the avoidance of doubt, gifts of the Company’s securities are subject to this Policy. The period during which this prohibition applies begins on the date that the Covered Person acquires or has access to any Material Nonpublic Information concerning the Company, and ends on the beginning of the third Trading Day (as defined below) following the date of public disclosure of such information, or at such time as such nonpublic information ceases to be material. The term “Trading Day” means a day on which national stock exchanges are open for trading. For example, if Material Nonpublic Information is publicly disclosed before the market opens on Wednesday, trading may begin on Friday morning; if such Material Nonpublic Information is publicly disclosed during the day or after the market closes on Wednesday, trading may begin on the following Monday.</w:t>
      </w:r>
    </w:p>
    <w:p>
      <w:pPr>
        <w:spacing w:after="0" w:line="156" w:lineRule="exact"/>
        <w:rPr>
          <w:rFonts w:ascii="Arial" w:cs="Arial" w:eastAsia="Arial" w:hAnsi="Arial"/>
          <w:sz w:val="18"/>
          <w:szCs w:val="18"/>
          <w:color w:val="auto"/>
        </w:rPr>
      </w:pPr>
    </w:p>
    <w:p>
      <w:pPr>
        <w:jc w:val="both"/>
        <w:spacing w:after="0" w:line="225" w:lineRule="auto"/>
        <w:tabs>
          <w:tab w:leader="none" w:pos="798"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Certain Exemptions</w:t>
      </w:r>
      <w:r>
        <w:rPr>
          <w:rFonts w:ascii="Arial" w:cs="Arial" w:eastAsia="Arial" w:hAnsi="Arial"/>
          <w:sz w:val="18"/>
          <w:szCs w:val="18"/>
          <w:color w:val="auto"/>
        </w:rPr>
        <w:t xml:space="preserve">. Notwithstanding the provisions of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hereof, Covered Persons may engage in the following transactions (each, an “</w:t>
      </w:r>
      <w:r>
        <w:rPr>
          <w:rFonts w:ascii="Arial" w:cs="Arial" w:eastAsia="Arial" w:hAnsi="Arial"/>
          <w:sz w:val="18"/>
          <w:szCs w:val="18"/>
          <w:u w:val="single" w:color="auto"/>
          <w:color w:val="auto"/>
        </w:rPr>
        <w:t>Exempt Transaction</w:t>
      </w:r>
      <w:r>
        <w:rPr>
          <w:rFonts w:ascii="Arial" w:cs="Arial" w:eastAsia="Arial" w:hAnsi="Arial"/>
          <w:sz w:val="18"/>
          <w:szCs w:val="18"/>
          <w:color w:val="auto"/>
        </w:rPr>
        <w:t>”) while in possession of Material Nonpublic Information, provided that any such transaction shall be cleared with the Company’s Chief Financial Officer and the Covered Person shall not simply assume that a transaction falls within an exemption: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363855</wp:posOffset>
            </wp:positionV>
            <wp:extent cx="5940425" cy="51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5">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70" w:name="page71"/>
    <w:bookmarkEnd w:id="70"/>
    <w:p>
      <w:pPr>
        <w:ind w:left="3680"/>
        <w:spacing w:after="0"/>
        <w:rPr>
          <w:sz w:val="20"/>
          <w:szCs w:val="20"/>
          <w:color w:val="auto"/>
        </w:rPr>
      </w:pPr>
      <w:r>
        <w:rPr>
          <w:rFonts w:ascii="Calibri" w:cs="Calibri" w:eastAsia="Calibri" w:hAnsi="Calibri"/>
          <w:sz w:val="29"/>
          <w:szCs w:val="29"/>
          <w:b w:val="1"/>
          <w:bCs w:val="1"/>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-179705</wp:posOffset>
            </wp:positionV>
            <wp:extent cx="1971675" cy="2400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6">
                      <a:extLst>
                        <a:ext uri="{28A0092B-C50C-407E-A947-70E740481C1C}"/>
                      </a:extLst>
                    </a:blip>
                    <a:srcRect/>
                    <a:stretch>
                      <a:fillRect/>
                    </a:stretch>
                  </pic:blipFill>
                  <pic:spPr bwMode="auto">
                    <a:xfrm>
                      <a:off x="0" y="0"/>
                      <a:ext cx="1971675" cy="240030"/>
                    </a:xfrm>
                    <a:prstGeom prst="rect">
                      <a:avLst/>
                    </a:prstGeom>
                    <a:noFill/>
                  </pic:spPr>
                </pic:pic>
              </a:graphicData>
            </a:graphic>
          </wp:anchor>
        </w:drawing>
      </w:r>
    </w:p>
    <w:p>
      <w:pPr>
        <w:ind w:left="3680"/>
        <w:spacing w:after="0" w:line="198" w:lineRule="auto"/>
        <w:rPr>
          <w:sz w:val="20"/>
          <w:szCs w:val="20"/>
          <w:color w:val="auto"/>
        </w:rPr>
      </w:pPr>
      <w:r>
        <w:rPr>
          <w:rFonts w:ascii="Calibri" w:cs="Calibri" w:eastAsia="Calibri" w:hAnsi="Calibri"/>
          <w:sz w:val="16"/>
          <w:szCs w:val="16"/>
          <w:color w:val="auto"/>
        </w:rPr>
        <w:t>Last Revision Date: 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589788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7">
                      <a:extLst>
                        <a:ext uri="{28A0092B-C50C-407E-A947-70E740481C1C}"/>
                      </a:extLst>
                    </a:blip>
                    <a:srcRect/>
                    <a:stretch>
                      <a:fillRect/>
                    </a:stretch>
                  </pic:blipFill>
                  <pic:spPr bwMode="auto">
                    <a:xfrm>
                      <a:off x="0" y="0"/>
                      <a:ext cx="5897880" cy="2603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60" w:hanging="636"/>
        <w:spacing w:after="0" w:line="255" w:lineRule="auto"/>
        <w:tabs>
          <w:tab w:leader="none" w:pos="960"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Acquisition of the Company’s Securities pursuant to a stock incentive plan or other employee benefit plans (provided, however that this exemption does not apply to the sale of Securities so acquired);</w:t>
      </w:r>
    </w:p>
    <w:p>
      <w:pPr>
        <w:spacing w:after="0" w:line="139" w:lineRule="exact"/>
        <w:rPr>
          <w:rFonts w:ascii="Times New Roman" w:cs="Times New Roman" w:eastAsia="Times New Roman" w:hAnsi="Times New Roman"/>
          <w:sz w:val="18"/>
          <w:szCs w:val="18"/>
          <w:color w:val="auto"/>
        </w:rPr>
      </w:pPr>
    </w:p>
    <w:p>
      <w:pPr>
        <w:jc w:val="both"/>
        <w:ind w:left="960" w:hanging="636"/>
        <w:spacing w:after="0" w:line="232" w:lineRule="auto"/>
        <w:tabs>
          <w:tab w:leader="none" w:pos="960"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Acquisition of the Company’s Securities pursuant to a previously established election to invest in a Company-sponsored employee benefit plan (provided, however that this exemption does not apply to the sale of Securities so acquired);</w:t>
      </w:r>
    </w:p>
    <w:p>
      <w:pPr>
        <w:spacing w:after="0" w:line="154" w:lineRule="exact"/>
        <w:rPr>
          <w:rFonts w:ascii="Times New Roman" w:cs="Times New Roman" w:eastAsia="Times New Roman" w:hAnsi="Times New Roman"/>
          <w:sz w:val="18"/>
          <w:szCs w:val="18"/>
          <w:color w:val="auto"/>
        </w:rPr>
      </w:pPr>
    </w:p>
    <w:p>
      <w:pPr>
        <w:jc w:val="both"/>
        <w:ind w:left="960" w:hanging="636"/>
        <w:spacing w:after="0" w:line="225" w:lineRule="auto"/>
        <w:tabs>
          <w:tab w:leader="none" w:pos="960"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Acquisition or disposition of Securities pursuant to a previously established trading plan that complies with the requirements of Rule 10b5-1 promulgated under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so long as the underlying contract, instruction or plan itself has been approved in accordance with the Policy; and</w:t>
      </w:r>
    </w:p>
    <w:p>
      <w:pPr>
        <w:spacing w:after="0" w:line="154" w:lineRule="exact"/>
        <w:rPr>
          <w:rFonts w:ascii="Times New Roman" w:cs="Times New Roman" w:eastAsia="Times New Roman" w:hAnsi="Times New Roman"/>
          <w:sz w:val="18"/>
          <w:szCs w:val="18"/>
          <w:color w:val="auto"/>
        </w:rPr>
      </w:pPr>
    </w:p>
    <w:p>
      <w:pPr>
        <w:ind w:left="960" w:hanging="636"/>
        <w:spacing w:after="0"/>
        <w:tabs>
          <w:tab w:leader="none" w:pos="960"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Acquisition or disposition of Securities as a result of a transfer by will or the laws of descent.</w:t>
      </w:r>
    </w:p>
    <w:p>
      <w:pPr>
        <w:spacing w:after="0" w:line="183" w:lineRule="exact"/>
        <w:rPr>
          <w:rFonts w:ascii="Times New Roman" w:cs="Times New Roman" w:eastAsia="Times New Roman" w:hAnsi="Times New Roman"/>
          <w:sz w:val="18"/>
          <w:szCs w:val="18"/>
          <w:color w:val="auto"/>
        </w:rPr>
      </w:pPr>
    </w:p>
    <w:p>
      <w:pPr>
        <w:ind w:left="960" w:hanging="636"/>
        <w:spacing w:after="0"/>
        <w:tabs>
          <w:tab w:leader="none" w:pos="960"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Acquisition, disposition or conversion of Securities in a transaction directly with the Company.</w:t>
      </w:r>
    </w:p>
    <w:p>
      <w:pPr>
        <w:spacing w:after="0" w:line="183" w:lineRule="exact"/>
        <w:rPr>
          <w:rFonts w:ascii="Times New Roman" w:cs="Times New Roman" w:eastAsia="Times New Roman" w:hAnsi="Times New Roman"/>
          <w:sz w:val="18"/>
          <w:szCs w:val="18"/>
          <w:color w:val="auto"/>
        </w:rPr>
      </w:pPr>
    </w:p>
    <w:p>
      <w:pPr>
        <w:jc w:val="both"/>
        <w:spacing w:after="0" w:line="218" w:lineRule="auto"/>
        <w:tabs>
          <w:tab w:leader="none" w:pos="798"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No Tipping; Confidentiality of Nonpublic Information</w:t>
      </w:r>
      <w:r>
        <w:rPr>
          <w:rFonts w:ascii="Arial" w:cs="Arial" w:eastAsia="Arial" w:hAnsi="Arial"/>
          <w:sz w:val="18"/>
          <w:szCs w:val="18"/>
          <w:color w:val="auto"/>
        </w:rPr>
        <w:t>. No Covered Person may disclose to any other person (“</w:t>
      </w:r>
      <w:r>
        <w:rPr>
          <w:rFonts w:ascii="Arial" w:cs="Arial" w:eastAsia="Arial" w:hAnsi="Arial"/>
          <w:sz w:val="18"/>
          <w:szCs w:val="18"/>
          <w:u w:val="single" w:color="auto"/>
          <w:color w:val="auto"/>
        </w:rPr>
        <w:t>Tip</w:t>
      </w:r>
      <w:r>
        <w:rPr>
          <w:rFonts w:ascii="Arial" w:cs="Arial" w:eastAsia="Arial" w:hAnsi="Arial"/>
          <w:sz w:val="18"/>
          <w:szCs w:val="18"/>
          <w:color w:val="auto"/>
        </w:rPr>
        <w:t>”) any Material Nonpublic Information pertaining to the Company. Further, all nonpublic information relating to the Company is the property of the Company. The unauthorized disclosure of all such nonpublic information is forbidden regardless of its materiality. No Covered Person who knows of any Material Nonpublic Information about the Company may communicate it to any person within the Company whose job does not require that information, or outside of the Company to other persons, including but not limited to, family, friends, business associates, investors, and consulting firms.</w:t>
      </w:r>
    </w:p>
    <w:p>
      <w:pPr>
        <w:spacing w:after="0" w:line="168" w:lineRule="exact"/>
        <w:rPr>
          <w:rFonts w:ascii="Arial" w:cs="Arial" w:eastAsia="Arial" w:hAnsi="Arial"/>
          <w:sz w:val="18"/>
          <w:szCs w:val="18"/>
          <w:color w:val="auto"/>
        </w:rPr>
      </w:pPr>
    </w:p>
    <w:p>
      <w:pPr>
        <w:jc w:val="both"/>
        <w:spacing w:after="0" w:line="225" w:lineRule="auto"/>
        <w:tabs>
          <w:tab w:leader="none" w:pos="798"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Definition of Material Nonpublic Information</w:t>
      </w:r>
      <w:r>
        <w:rPr>
          <w:rFonts w:ascii="Arial" w:cs="Arial" w:eastAsia="Arial" w:hAnsi="Arial"/>
          <w:sz w:val="18"/>
          <w:szCs w:val="18"/>
          <w:color w:val="auto"/>
        </w:rPr>
        <w:t>. “</w:t>
      </w:r>
      <w:r>
        <w:rPr>
          <w:rFonts w:ascii="Arial" w:cs="Arial" w:eastAsia="Arial" w:hAnsi="Arial"/>
          <w:sz w:val="18"/>
          <w:szCs w:val="18"/>
          <w:u w:val="single" w:color="auto"/>
          <w:color w:val="auto"/>
        </w:rPr>
        <w:t>Material Nonpublic Information</w:t>
      </w:r>
      <w:r>
        <w:rPr>
          <w:rFonts w:ascii="Arial" w:cs="Arial" w:eastAsia="Arial" w:hAnsi="Arial"/>
          <w:sz w:val="18"/>
          <w:szCs w:val="18"/>
          <w:color w:val="auto"/>
        </w:rPr>
        <w:t>” means information that is both material and nonpublic. Information should be regarded as “material” if a reasonable person would attach importance to such information in determining whether to buy, sell or hold a company’s equity, debt, or derivative securities. By way of illustration and not limitation, the following types of information may be material:</w:t>
      </w:r>
    </w:p>
    <w:p>
      <w:pPr>
        <w:spacing w:after="0" w:line="155" w:lineRule="exact"/>
        <w:rPr>
          <w:rFonts w:ascii="Arial" w:cs="Arial" w:eastAsia="Arial" w:hAnsi="Arial"/>
          <w:sz w:val="18"/>
          <w:szCs w:val="18"/>
          <w:color w:val="auto"/>
        </w:rPr>
      </w:pPr>
    </w:p>
    <w:p>
      <w:pPr>
        <w:ind w:left="960" w:hanging="636"/>
        <w:spacing w:after="0"/>
        <w:tabs>
          <w:tab w:leader="none" w:pos="960"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Financial results, quarterly or annual reports;</w:t>
      </w:r>
    </w:p>
    <w:p>
      <w:pPr>
        <w:spacing w:after="0" w:line="183" w:lineRule="exact"/>
        <w:rPr>
          <w:rFonts w:ascii="Times New Roman" w:cs="Times New Roman" w:eastAsia="Times New Roman" w:hAnsi="Times New Roman"/>
          <w:sz w:val="18"/>
          <w:szCs w:val="18"/>
          <w:color w:val="auto"/>
        </w:rPr>
      </w:pPr>
    </w:p>
    <w:p>
      <w:pPr>
        <w:ind w:left="960" w:hanging="636"/>
        <w:spacing w:after="0"/>
        <w:tabs>
          <w:tab w:leader="none" w:pos="960"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Projections of future earnings or losses;</w:t>
      </w:r>
    </w:p>
    <w:p>
      <w:pPr>
        <w:spacing w:after="0" w:line="183" w:lineRule="exact"/>
        <w:rPr>
          <w:rFonts w:ascii="Times New Roman" w:cs="Times New Roman" w:eastAsia="Times New Roman" w:hAnsi="Times New Roman"/>
          <w:sz w:val="18"/>
          <w:szCs w:val="18"/>
          <w:color w:val="auto"/>
        </w:rPr>
      </w:pPr>
    </w:p>
    <w:p>
      <w:pPr>
        <w:ind w:left="960" w:hanging="636"/>
        <w:spacing w:after="0"/>
        <w:tabs>
          <w:tab w:leader="none" w:pos="960"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Pending or proposed mergers, acquisitions, divestitures or joint ventures;</w:t>
      </w:r>
    </w:p>
    <w:p>
      <w:pPr>
        <w:spacing w:after="0" w:line="183" w:lineRule="exact"/>
        <w:rPr>
          <w:rFonts w:ascii="Times New Roman" w:cs="Times New Roman" w:eastAsia="Times New Roman" w:hAnsi="Times New Roman"/>
          <w:sz w:val="18"/>
          <w:szCs w:val="18"/>
          <w:color w:val="auto"/>
        </w:rPr>
      </w:pPr>
    </w:p>
    <w:p>
      <w:pPr>
        <w:ind w:left="960" w:hanging="636"/>
        <w:spacing w:after="0"/>
        <w:tabs>
          <w:tab w:leader="none" w:pos="960"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Information regarding a company’s products under development;</w:t>
      </w:r>
    </w:p>
    <w:p>
      <w:pPr>
        <w:spacing w:after="0" w:line="183" w:lineRule="exact"/>
        <w:rPr>
          <w:rFonts w:ascii="Times New Roman" w:cs="Times New Roman" w:eastAsia="Times New Roman" w:hAnsi="Times New Roman"/>
          <w:sz w:val="18"/>
          <w:szCs w:val="18"/>
          <w:color w:val="auto"/>
        </w:rPr>
      </w:pPr>
    </w:p>
    <w:p>
      <w:pPr>
        <w:ind w:left="960" w:hanging="636"/>
        <w:spacing w:after="0"/>
        <w:tabs>
          <w:tab w:leader="none" w:pos="960"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Impending bankruptcy or financial liquidity problems;</w:t>
      </w:r>
    </w:p>
    <w:p>
      <w:pPr>
        <w:spacing w:after="0" w:line="183" w:lineRule="exact"/>
        <w:rPr>
          <w:rFonts w:ascii="Times New Roman" w:cs="Times New Roman" w:eastAsia="Times New Roman" w:hAnsi="Times New Roman"/>
          <w:sz w:val="18"/>
          <w:szCs w:val="18"/>
          <w:color w:val="auto"/>
        </w:rPr>
      </w:pPr>
    </w:p>
    <w:p>
      <w:pPr>
        <w:ind w:left="960" w:hanging="636"/>
        <w:spacing w:after="0"/>
        <w:tabs>
          <w:tab w:leader="none" w:pos="960"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Gain or loss of a significant customer or supplier;</w:t>
      </w:r>
    </w:p>
    <w:p>
      <w:pPr>
        <w:spacing w:after="0" w:line="183" w:lineRule="exact"/>
        <w:rPr>
          <w:rFonts w:ascii="Times New Roman" w:cs="Times New Roman" w:eastAsia="Times New Roman" w:hAnsi="Times New Roman"/>
          <w:sz w:val="18"/>
          <w:szCs w:val="18"/>
          <w:color w:val="auto"/>
        </w:rPr>
      </w:pPr>
    </w:p>
    <w:p>
      <w:pPr>
        <w:ind w:left="960" w:hanging="636"/>
        <w:spacing w:after="0"/>
        <w:tabs>
          <w:tab w:leader="none" w:pos="960"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New product or service announcements of a significant nature;</w:t>
      </w:r>
    </w:p>
    <w:p>
      <w:pPr>
        <w:spacing w:after="0" w:line="183" w:lineRule="exact"/>
        <w:rPr>
          <w:rFonts w:ascii="Times New Roman" w:cs="Times New Roman" w:eastAsia="Times New Roman" w:hAnsi="Times New Roman"/>
          <w:sz w:val="18"/>
          <w:szCs w:val="18"/>
          <w:color w:val="auto"/>
        </w:rPr>
      </w:pPr>
    </w:p>
    <w:p>
      <w:pPr>
        <w:ind w:left="960" w:hanging="636"/>
        <w:spacing w:after="0"/>
        <w:tabs>
          <w:tab w:leader="none" w:pos="960"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product or service problems, defects or modifications;</w:t>
      </w:r>
    </w:p>
    <w:p>
      <w:pPr>
        <w:spacing w:after="0" w:line="183" w:lineRule="exact"/>
        <w:rPr>
          <w:rFonts w:ascii="Times New Roman" w:cs="Times New Roman" w:eastAsia="Times New Roman" w:hAnsi="Times New Roman"/>
          <w:sz w:val="18"/>
          <w:szCs w:val="18"/>
          <w:color w:val="auto"/>
        </w:rPr>
      </w:pPr>
    </w:p>
    <w:p>
      <w:pPr>
        <w:ind w:left="960" w:hanging="636"/>
        <w:spacing w:after="0"/>
        <w:tabs>
          <w:tab w:leader="none" w:pos="960"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pricing changes;</w:t>
      </w:r>
    </w:p>
    <w:p>
      <w:pPr>
        <w:spacing w:after="0" w:line="183" w:lineRule="exact"/>
        <w:rPr>
          <w:rFonts w:ascii="Times New Roman" w:cs="Times New Roman" w:eastAsia="Times New Roman" w:hAnsi="Times New Roman"/>
          <w:sz w:val="18"/>
          <w:szCs w:val="18"/>
          <w:color w:val="auto"/>
        </w:rPr>
      </w:pPr>
    </w:p>
    <w:p>
      <w:pPr>
        <w:ind w:left="960" w:hanging="636"/>
        <w:spacing w:after="0"/>
        <w:tabs>
          <w:tab w:leader="none" w:pos="960"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Stock splits;</w:t>
      </w:r>
    </w:p>
    <w:p>
      <w:pPr>
        <w:spacing w:after="0" w:line="183" w:lineRule="exact"/>
        <w:rPr>
          <w:rFonts w:ascii="Times New Roman" w:cs="Times New Roman" w:eastAsia="Times New Roman" w:hAnsi="Times New Roman"/>
          <w:sz w:val="18"/>
          <w:szCs w:val="18"/>
          <w:color w:val="auto"/>
        </w:rPr>
      </w:pPr>
    </w:p>
    <w:p>
      <w:pPr>
        <w:ind w:left="960" w:hanging="636"/>
        <w:spacing w:after="0"/>
        <w:tabs>
          <w:tab w:leader="none" w:pos="960"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New equity or debt offerings;</w:t>
      </w:r>
    </w:p>
    <w:p>
      <w:pPr>
        <w:spacing w:after="0" w:line="183" w:lineRule="exact"/>
        <w:rPr>
          <w:rFonts w:ascii="Times New Roman" w:cs="Times New Roman" w:eastAsia="Times New Roman" w:hAnsi="Times New Roman"/>
          <w:sz w:val="18"/>
          <w:szCs w:val="18"/>
          <w:color w:val="auto"/>
        </w:rPr>
      </w:pPr>
    </w:p>
    <w:p>
      <w:pPr>
        <w:ind w:left="960" w:hanging="636"/>
        <w:spacing w:after="0" w:line="239" w:lineRule="auto"/>
        <w:tabs>
          <w:tab w:leader="none" w:pos="960"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any natural disaster, terrorist event or other catastrophic event on the Company’s business, including any epidemic or pandemic;</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173990</wp:posOffset>
            </wp:positionV>
            <wp:extent cx="5940425" cy="514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8">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280"/>
          </w:cols>
          <w:pgMar w:left="1300" w:top="137" w:right="1319" w:bottom="1440" w:gutter="0" w:footer="0" w:header="0"/>
        </w:sectPr>
      </w:pPr>
    </w:p>
    <w:bookmarkStart w:id="71" w:name="page72"/>
    <w:bookmarkEnd w:id="71"/>
    <w:p>
      <w:pPr>
        <w:ind w:left="3680"/>
        <w:spacing w:after="0"/>
        <w:rPr>
          <w:sz w:val="20"/>
          <w:szCs w:val="20"/>
          <w:color w:val="auto"/>
        </w:rPr>
      </w:pPr>
      <w:r>
        <w:rPr>
          <w:rFonts w:ascii="Calibri" w:cs="Calibri" w:eastAsia="Calibri" w:hAnsi="Calibri"/>
          <w:sz w:val="29"/>
          <w:szCs w:val="29"/>
          <w:b w:val="1"/>
          <w:bCs w:val="1"/>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-179705</wp:posOffset>
            </wp:positionV>
            <wp:extent cx="1971675" cy="2400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9">
                      <a:extLst>
                        <a:ext uri="{28A0092B-C50C-407E-A947-70E740481C1C}"/>
                      </a:extLst>
                    </a:blip>
                    <a:srcRect/>
                    <a:stretch>
                      <a:fillRect/>
                    </a:stretch>
                  </pic:blipFill>
                  <pic:spPr bwMode="auto">
                    <a:xfrm>
                      <a:off x="0" y="0"/>
                      <a:ext cx="1971675" cy="240030"/>
                    </a:xfrm>
                    <a:prstGeom prst="rect">
                      <a:avLst/>
                    </a:prstGeom>
                    <a:noFill/>
                  </pic:spPr>
                </pic:pic>
              </a:graphicData>
            </a:graphic>
          </wp:anchor>
        </w:drawing>
      </w:r>
    </w:p>
    <w:p>
      <w:pPr>
        <w:ind w:left="3680"/>
        <w:spacing w:after="0" w:line="198" w:lineRule="auto"/>
        <w:rPr>
          <w:sz w:val="20"/>
          <w:szCs w:val="20"/>
          <w:color w:val="auto"/>
        </w:rPr>
      </w:pPr>
      <w:r>
        <w:rPr>
          <w:rFonts w:ascii="Calibri" w:cs="Calibri" w:eastAsia="Calibri" w:hAnsi="Calibri"/>
          <w:sz w:val="16"/>
          <w:szCs w:val="16"/>
          <w:color w:val="auto"/>
        </w:rPr>
        <w:t>Last Revision Date: 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589788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0">
                      <a:extLst>
                        <a:ext uri="{28A0092B-C50C-407E-A947-70E740481C1C}"/>
                      </a:extLst>
                    </a:blip>
                    <a:srcRect/>
                    <a:stretch>
                      <a:fillRect/>
                    </a:stretch>
                  </pic:blipFill>
                  <pic:spPr bwMode="auto">
                    <a:xfrm>
                      <a:off x="0" y="0"/>
                      <a:ext cx="5897880" cy="2603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60" w:hanging="636"/>
        <w:spacing w:after="0"/>
        <w:tabs>
          <w:tab w:leader="none" w:pos="9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 significant cybersecurity event, such as a data breach;</w:t>
      </w:r>
    </w:p>
    <w:p>
      <w:pPr>
        <w:spacing w:after="0" w:line="183" w:lineRule="exact"/>
        <w:rPr>
          <w:rFonts w:ascii="Times New Roman" w:cs="Times New Roman" w:eastAsia="Times New Roman" w:hAnsi="Times New Roman"/>
          <w:sz w:val="18"/>
          <w:szCs w:val="18"/>
          <w:color w:val="auto"/>
        </w:rPr>
      </w:pPr>
    </w:p>
    <w:p>
      <w:pPr>
        <w:ind w:left="960" w:hanging="636"/>
        <w:spacing w:after="0"/>
        <w:tabs>
          <w:tab w:leader="none" w:pos="9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threatened litigation; or</w:t>
      </w:r>
    </w:p>
    <w:p>
      <w:pPr>
        <w:spacing w:after="0" w:line="183" w:lineRule="exact"/>
        <w:rPr>
          <w:rFonts w:ascii="Times New Roman" w:cs="Times New Roman" w:eastAsia="Times New Roman" w:hAnsi="Times New Roman"/>
          <w:sz w:val="18"/>
          <w:szCs w:val="18"/>
          <w:color w:val="auto"/>
        </w:rPr>
      </w:pPr>
    </w:p>
    <w:p>
      <w:pPr>
        <w:ind w:left="960" w:hanging="636"/>
        <w:spacing w:after="0"/>
        <w:tabs>
          <w:tab w:leader="none" w:pos="9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senior management.</w:t>
      </w:r>
    </w:p>
    <w:p>
      <w:pPr>
        <w:spacing w:after="0" w:line="18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Information is considered to be “public” if it has been disseminated such that it is available to investors in the market at large or if it has become a matter of public record as a result of governmental filings.</w:t>
      </w:r>
    </w:p>
    <w:p>
      <w:pPr>
        <w:spacing w:after="0" w:line="139" w:lineRule="exact"/>
        <w:rPr>
          <w:sz w:val="20"/>
          <w:szCs w:val="20"/>
          <w:color w:val="auto"/>
        </w:rPr>
      </w:pPr>
    </w:p>
    <w:p>
      <w:pPr>
        <w:jc w:val="both"/>
        <w:spacing w:after="0" w:line="221" w:lineRule="auto"/>
        <w:tabs>
          <w:tab w:leader="none" w:pos="798"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Short-Term Trading</w:t>
      </w:r>
      <w:r>
        <w:rPr>
          <w:rFonts w:ascii="Arial" w:cs="Arial" w:eastAsia="Arial" w:hAnsi="Arial"/>
          <w:sz w:val="18"/>
          <w:szCs w:val="18"/>
          <w:color w:val="auto"/>
        </w:rPr>
        <w:t>. The Company encourages you to hold Company Securities purchased in the open market for a minimum of six months and ideally longer. Associates are prohibited from holding Company securities in a margin account, or pledging Company securities in connection with a loan, unless prior written approval has been granted by the Chief Financial Officer. Executive officers and directors must hold securities for at least six months after purchase pursuant to Section 16(b) of the Exchange Act.</w:t>
      </w:r>
    </w:p>
    <w:p>
      <w:pPr>
        <w:spacing w:after="0" w:line="167" w:lineRule="exact"/>
        <w:rPr>
          <w:rFonts w:ascii="Arial" w:cs="Arial" w:eastAsia="Arial" w:hAnsi="Arial"/>
          <w:sz w:val="18"/>
          <w:szCs w:val="18"/>
          <w:color w:val="auto"/>
        </w:rPr>
      </w:pPr>
    </w:p>
    <w:p>
      <w:pPr>
        <w:jc w:val="both"/>
        <w:spacing w:after="0" w:line="218" w:lineRule="auto"/>
        <w:tabs>
          <w:tab w:leader="none" w:pos="798"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Prohibition against Short Selling</w:t>
      </w:r>
      <w:r>
        <w:rPr>
          <w:rFonts w:ascii="Arial" w:cs="Arial" w:eastAsia="Arial" w:hAnsi="Arial"/>
          <w:sz w:val="18"/>
          <w:szCs w:val="18"/>
          <w:color w:val="auto"/>
        </w:rPr>
        <w:t>. No Covered Person may engage in any transaction where the Covered Person may benefit from a decline in the Company’s stock price (a “Short Sale”). While only officers or directors of the Company are prohibited by law from engaging in Short Sales, the Company has adopted a policy prohibiting all Covered Persons from engaging in such transactions. Specifically, no Covered Person may, directly or indirectly, sell any Securities of the Company if the Covered Person (i) does not own the Securities sold or (ii) if the Securities are owned, does not either deliver them against such sale within 20 days or does not deposit them in the mail or other usual channels of transportation for such delivery within five (5) days.</w:t>
      </w:r>
    </w:p>
    <w:p>
      <w:pPr>
        <w:spacing w:after="0" w:line="155" w:lineRule="exact"/>
        <w:rPr>
          <w:rFonts w:ascii="Arial" w:cs="Arial" w:eastAsia="Arial" w:hAnsi="Arial"/>
          <w:sz w:val="18"/>
          <w:szCs w:val="18"/>
          <w:color w:val="auto"/>
        </w:rPr>
      </w:pPr>
    </w:p>
    <w:p>
      <w:pPr>
        <w:jc w:val="both"/>
        <w:spacing w:after="0" w:line="220" w:lineRule="auto"/>
        <w:tabs>
          <w:tab w:leader="none" w:pos="798"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No Investments in Derivatives of Company Securities</w:t>
      </w:r>
      <w:r>
        <w:rPr>
          <w:rFonts w:ascii="Arial" w:cs="Arial" w:eastAsia="Arial" w:hAnsi="Arial"/>
          <w:sz w:val="18"/>
          <w:szCs w:val="18"/>
          <w:color w:val="auto"/>
        </w:rPr>
        <w:t>. No Covered Person shall invest in Company-based derivative securities, including options, warrants, stock appreciation rights, or similar rights whose value is derived from the value of any equity securities of the Company. This prohibition includes, without limitation, trading in Company-based put or call option contracts or trading in straddles. However, these provisions shall not prohibit receiving, holding and exercising stock options, restricted stock units, or other derivative securities granted under the Company’s equity compensation plans.</w:t>
      </w:r>
    </w:p>
    <w:p>
      <w:pPr>
        <w:spacing w:after="0" w:line="157" w:lineRule="exact"/>
        <w:rPr>
          <w:rFonts w:ascii="Arial" w:cs="Arial" w:eastAsia="Arial" w:hAnsi="Arial"/>
          <w:sz w:val="18"/>
          <w:szCs w:val="18"/>
          <w:color w:val="auto"/>
        </w:rPr>
      </w:pPr>
    </w:p>
    <w:p>
      <w:pPr>
        <w:jc w:val="both"/>
        <w:spacing w:after="0" w:line="216" w:lineRule="auto"/>
        <w:tabs>
          <w:tab w:leader="none" w:pos="798"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Additional Provisions for Covered Persons</w:t>
      </w:r>
      <w:r>
        <w:rPr>
          <w:rFonts w:ascii="Arial" w:cs="Arial" w:eastAsia="Arial" w:hAnsi="Arial"/>
          <w:sz w:val="18"/>
          <w:szCs w:val="18"/>
          <w:color w:val="auto"/>
        </w:rPr>
        <w:t>. Directors and officers of the Company and certain other persons, defined in the Addendum to this Policy as “Designated Persons,” are required to comply with the trading window, pre-transaction notification procedures and other restrictions described in the Addendum to this Policy. In addition, all Company personnel are required to notify, and obtain pre-approval from, the Chief Financial Officer prior to entering into, modifying or terminating a Rule 10b5-1 trading plan (providing a copy of such plan and any supporting documentation). Upon confirmation from the Chief Financial Officer or his/her designee of the existence of a trading window, such pre-transaction confirmation is valid until the end of the second full trading day following such confirmation. The Company’s Chief Financial Officer shall maintain written records of requests by Designated Persons for confirmation of a trading window, including the time such confirmation is provided.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Violations; Penalties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 zero tolerance policy regarding violations of this Policy by any Associate, and any violation by</w:t>
      </w:r>
    </w:p>
    <w:p>
      <w:pPr>
        <w:jc w:val="both"/>
        <w:spacing w:after="0" w:line="221" w:lineRule="auto"/>
        <w:rPr>
          <w:sz w:val="20"/>
          <w:szCs w:val="20"/>
          <w:color w:val="auto"/>
        </w:rPr>
      </w:pPr>
      <w:r>
        <w:rPr>
          <w:rFonts w:ascii="Arial" w:cs="Arial" w:eastAsia="Arial" w:hAnsi="Arial"/>
          <w:sz w:val="18"/>
          <w:szCs w:val="18"/>
          <w:color w:val="auto"/>
        </w:rPr>
        <w:t>an Associate will be met by the Company imposing sanctions up to and including termination and claw-back of any unlawful gains. Any sanctions imposed by the Company will be in addition to, and not in lieu of, any consequences imposed by under federal securities laws.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Company’s Chief Financial Officer, with the assistance of external counsel, shall be responsible for overseeing</w:t>
      </w:r>
    </w:p>
    <w:p>
      <w:pPr>
        <w:jc w:val="both"/>
        <w:spacing w:after="0" w:line="208" w:lineRule="auto"/>
        <w:rPr>
          <w:sz w:val="20"/>
          <w:szCs w:val="20"/>
          <w:color w:val="auto"/>
        </w:rPr>
      </w:pPr>
      <w:r>
        <w:rPr>
          <w:rFonts w:ascii="Arial" w:cs="Arial" w:eastAsia="Arial" w:hAnsi="Arial"/>
          <w:sz w:val="18"/>
          <w:szCs w:val="18"/>
          <w:color w:val="auto"/>
        </w:rPr>
        <w:t>all aspects of the Company’s Insider Trading Policy. All Associates should consult the Company’s Chief Financial Officer with any questions they might have, before engaging in a transaction regarding the Company’s Securities. Officers and supervisors (each, a “Control Person”) must take reasonable measures to ensure that all Associates</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under the Control Person’s supervision who are reasonably likely to have access to Material Nonpublic Information are aware of insider trading laws. Failure to do so can subject the Control Persons to liability. Any suspected violation of insider trading laws or this Policy must be promptly reported in writing to the Company’s Chief Financial</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Officer. Anyone who violates insider trading laws or this Policy is subject to disciplinary action up to and including termination with cause.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3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173990</wp:posOffset>
            </wp:positionV>
            <wp:extent cx="5940425" cy="514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1">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280"/>
          </w:cols>
          <w:pgMar w:left="1300" w:top="137" w:right="1319" w:bottom="1440" w:gutter="0" w:footer="0" w:header="0"/>
        </w:sectPr>
      </w:pPr>
    </w:p>
    <w:bookmarkStart w:id="72" w:name="page73"/>
    <w:bookmarkEnd w:id="72"/>
    <w:p>
      <w:pPr>
        <w:ind w:left="3680"/>
        <w:spacing w:after="0"/>
        <w:rPr>
          <w:sz w:val="20"/>
          <w:szCs w:val="20"/>
          <w:color w:val="auto"/>
        </w:rPr>
      </w:pPr>
      <w:r>
        <w:rPr>
          <w:rFonts w:ascii="Calibri" w:cs="Calibri" w:eastAsia="Calibri" w:hAnsi="Calibri"/>
          <w:sz w:val="29"/>
          <w:szCs w:val="29"/>
          <w:b w:val="1"/>
          <w:bCs w:val="1"/>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-179705</wp:posOffset>
            </wp:positionV>
            <wp:extent cx="1971675" cy="2400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2">
                      <a:extLst>
                        <a:ext uri="{28A0092B-C50C-407E-A947-70E740481C1C}"/>
                      </a:extLst>
                    </a:blip>
                    <a:srcRect/>
                    <a:stretch>
                      <a:fillRect/>
                    </a:stretch>
                  </pic:blipFill>
                  <pic:spPr bwMode="auto">
                    <a:xfrm>
                      <a:off x="0" y="0"/>
                      <a:ext cx="1971675" cy="240030"/>
                    </a:xfrm>
                    <a:prstGeom prst="rect">
                      <a:avLst/>
                    </a:prstGeom>
                    <a:noFill/>
                  </pic:spPr>
                </pic:pic>
              </a:graphicData>
            </a:graphic>
          </wp:anchor>
        </w:drawing>
      </w:r>
    </w:p>
    <w:p>
      <w:pPr>
        <w:ind w:left="3680"/>
        <w:spacing w:after="0" w:line="198" w:lineRule="auto"/>
        <w:rPr>
          <w:sz w:val="20"/>
          <w:szCs w:val="20"/>
          <w:color w:val="auto"/>
        </w:rPr>
      </w:pPr>
      <w:r>
        <w:rPr>
          <w:rFonts w:ascii="Calibri" w:cs="Calibri" w:eastAsia="Calibri" w:hAnsi="Calibri"/>
          <w:sz w:val="16"/>
          <w:szCs w:val="16"/>
          <w:color w:val="auto"/>
        </w:rPr>
        <w:t>Last Revision Date: 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589788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3">
                      <a:extLst>
                        <a:ext uri="{28A0092B-C50C-407E-A947-70E740481C1C}"/>
                      </a:extLst>
                    </a:blip>
                    <a:srcRect/>
                    <a:stretch>
                      <a:fillRect/>
                    </a:stretch>
                  </pic:blipFill>
                  <pic:spPr bwMode="auto">
                    <a:xfrm>
                      <a:off x="0" y="0"/>
                      <a:ext cx="5897880" cy="2603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Under Federal securities laws, an individual who engages in insider trading is subject to:</w:t>
      </w:r>
    </w:p>
    <w:p>
      <w:pPr>
        <w:spacing w:after="0" w:line="198" w:lineRule="exact"/>
        <w:rPr>
          <w:sz w:val="20"/>
          <w:szCs w:val="20"/>
          <w:color w:val="auto"/>
        </w:rPr>
      </w:pPr>
    </w:p>
    <w:p>
      <w:pPr>
        <w:ind w:left="960" w:hanging="636"/>
        <w:spacing w:after="0" w:line="239" w:lineRule="auto"/>
        <w:tabs>
          <w:tab w:leader="none" w:pos="9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Civil fines by the United States Securities and Exchange Commission (the “SEC”) of up to three times the profit gained or loss avoided;</w:t>
      </w:r>
    </w:p>
    <w:p>
      <w:pPr>
        <w:spacing w:after="0" w:line="167" w:lineRule="exact"/>
        <w:rPr>
          <w:rFonts w:ascii="Times New Roman" w:cs="Times New Roman" w:eastAsia="Times New Roman" w:hAnsi="Times New Roman"/>
          <w:sz w:val="18"/>
          <w:szCs w:val="18"/>
          <w:color w:val="auto"/>
        </w:rPr>
      </w:pPr>
    </w:p>
    <w:p>
      <w:pPr>
        <w:ind w:left="960" w:hanging="636"/>
        <w:spacing w:after="0"/>
        <w:tabs>
          <w:tab w:leader="none" w:pos="9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Injunctive action by the SEC;</w:t>
      </w:r>
    </w:p>
    <w:p>
      <w:pPr>
        <w:spacing w:after="0" w:line="183" w:lineRule="exact"/>
        <w:rPr>
          <w:rFonts w:ascii="Times New Roman" w:cs="Times New Roman" w:eastAsia="Times New Roman" w:hAnsi="Times New Roman"/>
          <w:sz w:val="18"/>
          <w:szCs w:val="18"/>
          <w:color w:val="auto"/>
        </w:rPr>
      </w:pPr>
    </w:p>
    <w:p>
      <w:pPr>
        <w:ind w:left="960" w:hanging="636"/>
        <w:spacing w:after="0"/>
        <w:tabs>
          <w:tab w:leader="none" w:pos="9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Private actions for rescission or damages; and</w:t>
      </w:r>
    </w:p>
    <w:p>
      <w:pPr>
        <w:spacing w:after="0" w:line="183" w:lineRule="exact"/>
        <w:rPr>
          <w:rFonts w:ascii="Times New Roman" w:cs="Times New Roman" w:eastAsia="Times New Roman" w:hAnsi="Times New Roman"/>
          <w:sz w:val="18"/>
          <w:szCs w:val="18"/>
          <w:color w:val="auto"/>
        </w:rPr>
      </w:pPr>
    </w:p>
    <w:p>
      <w:pPr>
        <w:ind w:left="960" w:hanging="636"/>
        <w:spacing w:after="0"/>
        <w:tabs>
          <w:tab w:leader="none" w:pos="9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Criminal fines up to $5 million and a prison sentence up to 20 years.</w:t>
      </w:r>
    </w:p>
    <w:p>
      <w:pPr>
        <w:spacing w:after="0" w:line="184"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The Company, as well as any implicated Control Person, is subject to liability if the Company or the Control Person knew and recklessly disregarded the fact that a person directly or indirectly under the Company’s or the Control Person’s control was likely to engage in insider trading and failed to take appropriate steps to prevent such an act</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before it occurred. The Company or a Control Person may face civil liability up to the greater of $1 million or three times the profit gained or loss avoided as a result of the inside trade as well as criminal fines of up to $25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Covered Persons may also be liable for improper transactions by any person (a “</w:t>
      </w:r>
      <w:r>
        <w:rPr>
          <w:rFonts w:ascii="Arial" w:cs="Arial" w:eastAsia="Arial" w:hAnsi="Arial"/>
          <w:sz w:val="18"/>
          <w:szCs w:val="18"/>
          <w:u w:val="single" w:color="auto"/>
          <w:color w:val="auto"/>
        </w:rPr>
        <w:t>Tippee</w:t>
      </w:r>
      <w:r>
        <w:rPr>
          <w:rFonts w:ascii="Arial" w:cs="Arial" w:eastAsia="Arial" w:hAnsi="Arial"/>
          <w:sz w:val="18"/>
          <w:szCs w:val="18"/>
          <w:color w:val="auto"/>
        </w:rPr>
        <w:t>”) to whom they have</w:t>
      </w:r>
    </w:p>
    <w:p>
      <w:pPr>
        <w:jc w:val="both"/>
        <w:spacing w:after="0" w:line="229" w:lineRule="auto"/>
        <w:rPr>
          <w:sz w:val="20"/>
          <w:szCs w:val="20"/>
          <w:color w:val="auto"/>
        </w:rPr>
      </w:pPr>
      <w:r>
        <w:rPr>
          <w:rFonts w:ascii="Arial" w:cs="Arial" w:eastAsia="Arial" w:hAnsi="Arial"/>
          <w:sz w:val="18"/>
          <w:szCs w:val="18"/>
          <w:color w:val="auto"/>
        </w:rPr>
        <w:t>disclosed Material Nonpublic Information. The SEC has imposed large penalties even when the disclosing person did not profit from the trading by a Tippee.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Applicability of Policy to Inside Information Regarding Other Companies</w:t>
      </w:r>
    </w:p>
    <w:p>
      <w:pPr>
        <w:spacing w:after="0" w:line="198"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This Policy and the guidelines described herein apply to Material Nonpublic Information relating to other publicly traded companies when such information is obtained in connection with a Covered Person’s relationship with the Company. In addition to civil and criminal penalties, termination of an Associate (with cause) may result from trading</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on, or providing a Tip with regard to, such Material Nonpublic Information. All Covered Persons should treat nonpublic information obtained in connection with their relationship with the Company regarding other companies and entities with the same care and confidentiality as they would treat nonpublic information about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 – Directors and Officers</w:t>
      </w:r>
    </w:p>
    <w:p>
      <w:pPr>
        <w:spacing w:after="0" w:line="185"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Directors and officers of the Company must also comply with the reporting obligations and limitations on short-swing transactions set forth in Section 16 of the Exchange Act. The practical effect of these provisions is that directors and</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officers who both purchase and sell the Company’s securities within a six (6) month period must disgorge all profits to the Company, whether or not they had any Material Nonpublic Information about the Company. Under these provisions, and so long as certain other criteria are met, the receipt of an option under the Company’s equity</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incentive (or similar) plans and the exercise of that option are not deemed “purchases” for the purposes of Section 16; however, the sale of any Securities so acquired are deemed to be “sales” for the purposes of Section 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Please direct your questions as to any of the matters discussed in this Policy to the Company’s Chief Financial Officer.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Every Associate of the Company has the individual responsibility to comply with this Policy regardless of whether the</w:t>
      </w:r>
    </w:p>
    <w:p>
      <w:pPr>
        <w:jc w:val="both"/>
        <w:spacing w:after="0" w:line="221" w:lineRule="auto"/>
        <w:rPr>
          <w:sz w:val="20"/>
          <w:szCs w:val="20"/>
          <w:color w:val="auto"/>
        </w:rPr>
      </w:pPr>
      <w:r>
        <w:rPr>
          <w:rFonts w:ascii="Arial" w:cs="Arial" w:eastAsia="Arial" w:hAnsi="Arial"/>
          <w:sz w:val="18"/>
          <w:szCs w:val="18"/>
          <w:color w:val="auto"/>
        </w:rPr>
        <w:t>Company has recommended or mandated a Window Period to that Associate or any other Associate of the Company. The guidelines set forth in this Policy are guidelines only, and appropriate judgment should be exercised in connection with any trade in the Company’s Securities to the extent it is not explicitly prohibited.</w:t>
      </w:r>
    </w:p>
    <w:p>
      <w:pPr>
        <w:spacing w:after="0" w:line="166"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An Associate may, from time to time, have to forego a proposed transaction in the Company’s Securities even if he or she planned to make the transaction before learning of the Material Nonpublic Information and even though the Associate believes he or she may suffer an economic loss or forego anticipated profit by waiting.</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4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173990</wp:posOffset>
            </wp:positionV>
            <wp:extent cx="5940425" cy="514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4">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280"/>
          </w:cols>
          <w:pgMar w:left="1300" w:top="137" w:right="1319" w:bottom="1440" w:gutter="0" w:footer="0" w:header="0"/>
        </w:sectPr>
      </w:pPr>
    </w:p>
    <w:bookmarkStart w:id="73" w:name="page74"/>
    <w:bookmarkEnd w:id="73"/>
    <w:p>
      <w:pPr>
        <w:ind w:left="3680"/>
        <w:spacing w:after="0"/>
        <w:rPr>
          <w:sz w:val="20"/>
          <w:szCs w:val="20"/>
          <w:color w:val="auto"/>
        </w:rPr>
      </w:pPr>
      <w:r>
        <w:rPr>
          <w:rFonts w:ascii="Calibri" w:cs="Calibri" w:eastAsia="Calibri" w:hAnsi="Calibri"/>
          <w:sz w:val="29"/>
          <w:szCs w:val="29"/>
          <w:b w:val="1"/>
          <w:bCs w:val="1"/>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-179070</wp:posOffset>
            </wp:positionV>
            <wp:extent cx="1971675" cy="2400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5">
                      <a:extLst>
                        <a:ext uri="{28A0092B-C50C-407E-A947-70E740481C1C}"/>
                      </a:extLst>
                    </a:blip>
                    <a:srcRect/>
                    <a:stretch>
                      <a:fillRect/>
                    </a:stretch>
                  </pic:blipFill>
                  <pic:spPr bwMode="auto">
                    <a:xfrm>
                      <a:off x="0" y="0"/>
                      <a:ext cx="1971675" cy="240030"/>
                    </a:xfrm>
                    <a:prstGeom prst="rect">
                      <a:avLst/>
                    </a:prstGeom>
                    <a:noFill/>
                  </pic:spPr>
                </pic:pic>
              </a:graphicData>
            </a:graphic>
          </wp:anchor>
        </w:drawing>
      </w:r>
    </w:p>
    <w:p>
      <w:pPr>
        <w:ind w:left="3680"/>
        <w:spacing w:after="0" w:line="198" w:lineRule="auto"/>
        <w:rPr>
          <w:sz w:val="20"/>
          <w:szCs w:val="20"/>
          <w:color w:val="auto"/>
        </w:rPr>
      </w:pPr>
      <w:r>
        <w:rPr>
          <w:rFonts w:ascii="Calibri" w:cs="Calibri" w:eastAsia="Calibri" w:hAnsi="Calibri"/>
          <w:sz w:val="16"/>
          <w:szCs w:val="16"/>
          <w:color w:val="auto"/>
        </w:rPr>
        <w:t>Last Revision Date: 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589788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6">
                      <a:extLst>
                        <a:ext uri="{28A0092B-C50C-407E-A947-70E740481C1C}"/>
                      </a:extLst>
                    </a:blip>
                    <a:srcRect/>
                    <a:stretch>
                      <a:fillRect/>
                    </a:stretch>
                  </pic:blipFill>
                  <pic:spPr bwMode="auto">
                    <a:xfrm>
                      <a:off x="0" y="0"/>
                      <a:ext cx="5897880" cy="2603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Amendment</w:t>
      </w:r>
    </w:p>
    <w:p>
      <w:pPr>
        <w:spacing w:after="0" w:line="198"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Company reserves the right to amend, supplement or discontinue this Policy at any time and without prior notice. The Audit Committee of the Board of Directors, with the input and assistance of external counsel, will review this policy at least annually.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5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173990</wp:posOffset>
            </wp:positionV>
            <wp:extent cx="5940425" cy="508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7">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37" w:right="1319" w:bottom="1440" w:gutter="0" w:footer="0" w:header="0"/>
        </w:sectPr>
      </w:pPr>
    </w:p>
    <w:bookmarkStart w:id="74" w:name="page75"/>
    <w:bookmarkEnd w:id="74"/>
    <w:p>
      <w:pPr>
        <w:ind w:left="3680"/>
        <w:spacing w:after="0"/>
        <w:rPr>
          <w:sz w:val="20"/>
          <w:szCs w:val="20"/>
          <w:color w:val="auto"/>
        </w:rPr>
      </w:pPr>
      <w:r>
        <w:rPr>
          <w:rFonts w:ascii="Calibri" w:cs="Calibri" w:eastAsia="Calibri" w:hAnsi="Calibri"/>
          <w:sz w:val="29"/>
          <w:szCs w:val="29"/>
          <w:b w:val="1"/>
          <w:bCs w:val="1"/>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-179070</wp:posOffset>
            </wp:positionV>
            <wp:extent cx="1971675" cy="2400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8">
                      <a:extLst>
                        <a:ext uri="{28A0092B-C50C-407E-A947-70E740481C1C}"/>
                      </a:extLst>
                    </a:blip>
                    <a:srcRect/>
                    <a:stretch>
                      <a:fillRect/>
                    </a:stretch>
                  </pic:blipFill>
                  <pic:spPr bwMode="auto">
                    <a:xfrm>
                      <a:off x="0" y="0"/>
                      <a:ext cx="1971675" cy="240030"/>
                    </a:xfrm>
                    <a:prstGeom prst="rect">
                      <a:avLst/>
                    </a:prstGeom>
                    <a:noFill/>
                  </pic:spPr>
                </pic:pic>
              </a:graphicData>
            </a:graphic>
          </wp:anchor>
        </w:drawing>
      </w:r>
    </w:p>
    <w:p>
      <w:pPr>
        <w:ind w:left="3680"/>
        <w:spacing w:after="0" w:line="198" w:lineRule="auto"/>
        <w:rPr>
          <w:sz w:val="20"/>
          <w:szCs w:val="20"/>
          <w:color w:val="auto"/>
        </w:rPr>
      </w:pPr>
      <w:r>
        <w:rPr>
          <w:rFonts w:ascii="Calibri" w:cs="Calibri" w:eastAsia="Calibri" w:hAnsi="Calibri"/>
          <w:sz w:val="16"/>
          <w:szCs w:val="16"/>
          <w:color w:val="auto"/>
        </w:rPr>
        <w:t>Last Revision Date: 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589788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9">
                      <a:extLst>
                        <a:ext uri="{28A0092B-C50C-407E-A947-70E740481C1C}"/>
                      </a:extLst>
                    </a:blip>
                    <a:srcRect/>
                    <a:stretch>
                      <a:fillRect/>
                    </a:stretch>
                  </pic:blipFill>
                  <pic:spPr bwMode="auto">
                    <a:xfrm>
                      <a:off x="0" y="0"/>
                      <a:ext cx="5897880" cy="2603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DESIGNATED PERSONS ADDENDUM</w:t>
      </w:r>
    </w:p>
    <w:p>
      <w:pPr>
        <w:ind w:left="4320"/>
        <w:spacing w:after="0" w:line="203" w:lineRule="auto"/>
        <w:rPr>
          <w:sz w:val="20"/>
          <w:szCs w:val="20"/>
          <w:color w:val="auto"/>
        </w:rPr>
      </w:pPr>
      <w:r>
        <w:rPr>
          <w:rFonts w:ascii="Arial" w:cs="Arial" w:eastAsia="Arial" w:hAnsi="Arial"/>
          <w:sz w:val="18"/>
          <w:szCs w:val="18"/>
          <w:b w:val="1"/>
          <w:bCs w:val="1"/>
          <w:color w:val="auto"/>
        </w:rPr>
        <w:t>TO THE</w:t>
      </w:r>
    </w:p>
    <w:p>
      <w:pPr>
        <w:jc w:val="center"/>
        <w:spacing w:after="0" w:line="204" w:lineRule="auto"/>
        <w:rPr>
          <w:sz w:val="20"/>
          <w:szCs w:val="20"/>
          <w:color w:val="auto"/>
        </w:rPr>
      </w:pPr>
      <w:r>
        <w:rPr>
          <w:rFonts w:ascii="Arial" w:cs="Arial" w:eastAsia="Arial" w:hAnsi="Arial"/>
          <w:sz w:val="18"/>
          <w:szCs w:val="18"/>
          <w:b w:val="1"/>
          <w:bCs w:val="1"/>
          <w:color w:val="auto"/>
        </w:rPr>
        <w:t>INSIDER TRADING POLICY</w:t>
      </w:r>
    </w:p>
    <w:p>
      <w:pPr>
        <w:jc w:val="center"/>
        <w:spacing w:after="0" w:line="219" w:lineRule="auto"/>
        <w:rPr>
          <w:sz w:val="20"/>
          <w:szCs w:val="20"/>
          <w:color w:val="auto"/>
        </w:rPr>
      </w:pPr>
      <w:r>
        <w:rPr>
          <w:rFonts w:ascii="Arial" w:cs="Arial" w:eastAsia="Arial" w:hAnsi="Arial"/>
          <w:sz w:val="18"/>
          <w:szCs w:val="18"/>
          <w:b w:val="1"/>
          <w:bCs w:val="1"/>
          <w:color w:val="auto"/>
        </w:rPr>
        <w:t>OF</w:t>
      </w:r>
    </w:p>
    <w:p>
      <w:pPr>
        <w:jc w:val="center"/>
        <w:spacing w:after="0"/>
        <w:rPr>
          <w:sz w:val="20"/>
          <w:szCs w:val="20"/>
          <w:color w:val="auto"/>
        </w:rPr>
      </w:pPr>
      <w:r>
        <w:rPr>
          <w:rFonts w:ascii="Arial" w:cs="Arial" w:eastAsia="Arial" w:hAnsi="Arial"/>
          <w:sz w:val="18"/>
          <w:szCs w:val="18"/>
          <w:b w:val="1"/>
          <w:bCs w:val="1"/>
          <w:color w:val="auto"/>
        </w:rPr>
        <w:t>TILE SHOP HOLDINGS,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to the provisions of the Insider Trading Policy of Tile Shop Holdings, Inc. (the “</w:t>
      </w:r>
      <w:r>
        <w:rPr>
          <w:rFonts w:ascii="Arial" w:cs="Arial" w:eastAsia="Arial" w:hAnsi="Arial"/>
          <w:sz w:val="18"/>
          <w:szCs w:val="18"/>
          <w:u w:val="single" w:color="auto"/>
          <w:color w:val="auto"/>
        </w:rPr>
        <w:t>Policy</w:t>
      </w:r>
      <w:r>
        <w:rPr>
          <w:rFonts w:ascii="Arial" w:cs="Arial" w:eastAsia="Arial" w:hAnsi="Arial"/>
          <w:sz w:val="18"/>
          <w:szCs w:val="18"/>
          <w:color w:val="auto"/>
        </w:rPr>
        <w:t>”), certain</w:t>
      </w:r>
    </w:p>
    <w:p>
      <w:pPr>
        <w:jc w:val="both"/>
        <w:spacing w:after="0" w:line="208" w:lineRule="auto"/>
        <w:rPr>
          <w:sz w:val="20"/>
          <w:szCs w:val="20"/>
          <w:color w:val="auto"/>
        </w:rPr>
      </w:pPr>
      <w:r>
        <w:rPr>
          <w:rFonts w:ascii="Arial" w:cs="Arial" w:eastAsia="Arial" w:hAnsi="Arial"/>
          <w:sz w:val="18"/>
          <w:szCs w:val="18"/>
          <w:color w:val="auto"/>
        </w:rPr>
        <w:t>Designated Persons, as identified in Appendix A hereto, are required to comply with the trading window and pre-transaction notification procedures described below. Directors, officers and more-than-10% shareholders are also subject to Section 16 of the Securities Exchange Act of 1934 and the rules promulgated thereunder (the “</w:t>
      </w:r>
      <w:r>
        <w:rPr>
          <w:rFonts w:ascii="Arial" w:cs="Arial" w:eastAsia="Arial" w:hAnsi="Arial"/>
          <w:sz w:val="18"/>
          <w:szCs w:val="18"/>
          <w:u w:val="single" w:color="auto"/>
          <w:color w:val="auto"/>
        </w:rPr>
        <w:t>Exchange</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u w:val="single" w:color="auto"/>
          <w:color w:val="auto"/>
        </w:rPr>
        <w:t>Act</w:t>
      </w:r>
      <w:r>
        <w:rPr>
          <w:rFonts w:ascii="Arial" w:cs="Arial" w:eastAsia="Arial" w:hAnsi="Arial"/>
          <w:sz w:val="18"/>
          <w:szCs w:val="18"/>
          <w:color w:val="auto"/>
        </w:rPr>
        <w:t>”). In light of Section 16, the Company has adopted certain additional policies with respect to transactions in the Company’s Securities by directors and officers.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Window and Pre-Transaction Notification Procedures</w:t>
      </w:r>
    </w:p>
    <w:p>
      <w:pPr>
        <w:spacing w:after="0" w:line="198"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color w:val="auto"/>
        </w:rPr>
        <w:t>Because Designated Persons have regular access to Material Nonpublic Information, this Addendum requires that such persons comply with the trading window and pre-transaction notification procedures described below. The trading window and advance notice procedures are not applicable to employees other than Designated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Persons.</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u w:val="single" w:color="auto"/>
          <w:color w:val="auto"/>
        </w:rPr>
        <w:t>Permitted Trading</w:t>
      </w:r>
      <w:r>
        <w:rPr>
          <w:rFonts w:ascii="Arial" w:cs="Arial" w:eastAsia="Arial" w:hAnsi="Arial"/>
          <w:sz w:val="18"/>
          <w:szCs w:val="18"/>
          <w:color w:val="auto"/>
        </w:rPr>
        <w:t>. Designated Persons may purchase, sell, donate or otherwise transfer Company Securities only during certain window periods (stock options may be exercised at any time so long as trading in the</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 xml:space="preserve">shares acquired pursuant to such exercise does not occur outside the window period). </w:t>
      </w:r>
      <w:r>
        <w:rPr>
          <w:rFonts w:ascii="Arial" w:cs="Arial" w:eastAsia="Arial" w:hAnsi="Arial"/>
          <w:sz w:val="18"/>
          <w:szCs w:val="18"/>
          <w:b w:val="1"/>
          <w:bCs w:val="1"/>
          <w:color w:val="auto"/>
        </w:rPr>
        <w:t>The window during which</w:t>
      </w:r>
      <w:r>
        <w:rPr>
          <w:rFonts w:ascii="Arial" w:cs="Arial" w:eastAsia="Arial" w:hAnsi="Arial"/>
          <w:sz w:val="18"/>
          <w:szCs w:val="18"/>
          <w:color w:val="auto"/>
        </w:rPr>
        <w:t xml:space="preserve"> </w:t>
      </w:r>
      <w:r>
        <w:rPr>
          <w:rFonts w:ascii="Arial" w:cs="Arial" w:eastAsia="Arial" w:hAnsi="Arial"/>
          <w:sz w:val="18"/>
          <w:szCs w:val="18"/>
          <w:b w:val="1"/>
          <w:bCs w:val="1"/>
          <w:color w:val="auto"/>
        </w:rPr>
        <w:t>trades generally will be permitted, provided such trades are entered into after providing pre-transaction notification (see below) and provided that the Designated Person engaging in the transaction is not in</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b w:val="1"/>
          <w:bCs w:val="1"/>
          <w:color w:val="auto"/>
        </w:rPr>
        <w:t>possession of Material Nonpublic information, will begin on the third Trading Day following the public release of earnings information for the most recently ended quarter and end on the 15th day of the third calendar month following the end of the immediately preceding fiscal quarter to which such earning</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b w:val="1"/>
          <w:bCs w:val="1"/>
          <w:color w:val="auto"/>
        </w:rPr>
        <w:t>information pertained, or if such fifteenth day is not a Trading Day, then on the Trading Day immediately preceding such fifteenth day (such windows are referred to herein as “Trading Windows” or a “Trading Window”)</w:t>
      </w:r>
      <w:r>
        <w:rPr>
          <w:rFonts w:ascii="Arial" w:cs="Arial" w:eastAsia="Arial" w:hAnsi="Arial"/>
          <w:sz w:val="18"/>
          <w:szCs w:val="18"/>
          <w:color w:val="auto"/>
        </w:rPr>
        <w:t>. For example, if earnings are publicly disclosed before the market opens on Wednesday, trading may</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 xml:space="preserve">begin on Friday morning; if such earnings are publicly disclosed during the day or after the market closes on Wednesday, trading may begin on the following Monday. </w:t>
      </w:r>
      <w:r>
        <w:rPr>
          <w:rFonts w:ascii="Arial" w:cs="Arial" w:eastAsia="Arial" w:hAnsi="Arial"/>
          <w:sz w:val="18"/>
          <w:szCs w:val="18"/>
          <w:u w:val="single" w:color="auto"/>
          <w:color w:val="auto"/>
        </w:rPr>
        <w:t>In connection with</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all</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trades, regardless of date, it is</w:t>
      </w:r>
      <w:r>
        <w:rPr>
          <w:rFonts w:ascii="Arial" w:cs="Arial" w:eastAsia="Arial" w:hAnsi="Arial"/>
          <w:sz w:val="18"/>
          <w:szCs w:val="18"/>
          <w:color w:val="auto"/>
        </w:rPr>
        <w:t xml:space="preserve"> </w:t>
      </w:r>
      <w:r>
        <w:rPr>
          <w:rFonts w:ascii="Arial" w:cs="Arial" w:eastAsia="Arial" w:hAnsi="Arial"/>
          <w:sz w:val="18"/>
          <w:szCs w:val="18"/>
          <w:u w:val="single" w:color="auto"/>
          <w:color w:val="auto"/>
        </w:rPr>
        <w:t>important to remember that it is always illegal to trade on Material Nonpublic Information.</w:t>
      </w:r>
    </w:p>
    <w:p>
      <w:pPr>
        <w:spacing w:after="0" w:line="166"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7"/>
          <w:szCs w:val="17"/>
          <w:u w:val="single" w:color="auto"/>
          <w:color w:val="auto"/>
        </w:rPr>
        <w:t>Event-specific Blackout Periods</w:t>
      </w:r>
      <w:r>
        <w:rPr>
          <w:rFonts w:ascii="Arial" w:cs="Arial" w:eastAsia="Arial" w:hAnsi="Arial"/>
          <w:sz w:val="17"/>
          <w:szCs w:val="17"/>
          <w:color w:val="auto"/>
        </w:rPr>
        <w:t>. Trading Windows may be shortened if the Company determines that an event has occurred which causes any Designated Person to possess Material Nonpublic Information about the Company, such as a pending major development. The existence of an event-specific blackout will not be announced, other than to those who are aware of the event giving rise to the blackout. If, however, a Designated Person provides</w:t>
      </w:r>
    </w:p>
    <w:p>
      <w:pPr>
        <w:jc w:val="both"/>
        <w:spacing w:after="0" w:line="208" w:lineRule="auto"/>
        <w:rPr>
          <w:sz w:val="20"/>
          <w:szCs w:val="20"/>
          <w:color w:val="auto"/>
        </w:rPr>
      </w:pPr>
      <w:r>
        <w:rPr>
          <w:rFonts w:ascii="Arial" w:cs="Arial" w:eastAsia="Arial" w:hAnsi="Arial"/>
          <w:sz w:val="18"/>
          <w:szCs w:val="18"/>
          <w:color w:val="auto"/>
        </w:rPr>
        <w:t>pre-transaction notification, the person will be informed of the existence of a blackout period, but not the reason for the blackout. Any person made aware of the existence of an event-specific blackout should not disclose the existence of the blackout to any other person. Even if the Company has not declared an event-specific blackout, no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Designated Person should trade while aware of Material Nonpublic Information.</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u w:val="single" w:color="auto"/>
          <w:color w:val="auto"/>
        </w:rPr>
        <w:t>Pre-Transaction Notification of All Trades</w:t>
      </w:r>
      <w:r>
        <w:rPr>
          <w:rFonts w:ascii="Arial" w:cs="Arial" w:eastAsia="Arial" w:hAnsi="Arial"/>
          <w:sz w:val="18"/>
          <w:szCs w:val="18"/>
          <w:color w:val="auto"/>
        </w:rPr>
        <w:t>. To provide assistance in preventing inadvertent violations and avoiding even the appearance of an improper transaction (which could result, for example, where a person engages</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in a trade while unaware of a pending major development), Designated Persons who contemplate engaging in any transaction in Company Securities (stock option exercises, acquisitions, dispositions, transfers, gifts, etc.) or in securities of a customer, supplier or other business partner of the Company, must notify the Chief Financial Officer or</w:t>
      </w:r>
    </w:p>
    <w:p>
      <w:pPr>
        <w:jc w:val="both"/>
        <w:spacing w:after="0" w:line="208" w:lineRule="auto"/>
        <w:rPr>
          <w:sz w:val="20"/>
          <w:szCs w:val="20"/>
          <w:color w:val="auto"/>
        </w:rPr>
      </w:pPr>
      <w:r>
        <w:rPr>
          <w:rFonts w:ascii="Arial" w:cs="Arial" w:eastAsia="Arial" w:hAnsi="Arial"/>
          <w:sz w:val="18"/>
          <w:szCs w:val="18"/>
          <w:color w:val="auto"/>
        </w:rPr>
        <w:t>his/her designee. Upon confirmation from the Chief Financial Officer or his/her designee of the existence of a Trading Window, such pre-transaction notification is valid until the end of the second full trading day following such confirmation. The Chief Financial Officer will maintain written records of requests by Designated Persons for</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confirmation of a trading window, including the time such confirmation is provided. Even if the Chief Financial Officer or his/her designee confirms the existence of a Trading Window, a person may not engage in the transaction if he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6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173990</wp:posOffset>
            </wp:positionV>
            <wp:extent cx="5940425" cy="514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0">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280"/>
          </w:cols>
          <w:pgMar w:left="1300" w:top="137" w:right="1319" w:bottom="1440" w:gutter="0" w:footer="0" w:header="0"/>
        </w:sectPr>
      </w:pPr>
    </w:p>
    <w:bookmarkStart w:id="75" w:name="page76"/>
    <w:bookmarkEnd w:id="75"/>
    <w:p>
      <w:pPr>
        <w:ind w:left="3680"/>
        <w:spacing w:after="0"/>
        <w:rPr>
          <w:sz w:val="20"/>
          <w:szCs w:val="20"/>
          <w:color w:val="auto"/>
        </w:rPr>
      </w:pPr>
      <w:r>
        <w:rPr>
          <w:rFonts w:ascii="Calibri" w:cs="Calibri" w:eastAsia="Calibri" w:hAnsi="Calibri"/>
          <w:sz w:val="29"/>
          <w:szCs w:val="29"/>
          <w:b w:val="1"/>
          <w:bCs w:val="1"/>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-179070</wp:posOffset>
            </wp:positionV>
            <wp:extent cx="1971675" cy="2400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1">
                      <a:extLst>
                        <a:ext uri="{28A0092B-C50C-407E-A947-70E740481C1C}"/>
                      </a:extLst>
                    </a:blip>
                    <a:srcRect/>
                    <a:stretch>
                      <a:fillRect/>
                    </a:stretch>
                  </pic:blipFill>
                  <pic:spPr bwMode="auto">
                    <a:xfrm>
                      <a:off x="0" y="0"/>
                      <a:ext cx="1971675" cy="240030"/>
                    </a:xfrm>
                    <a:prstGeom prst="rect">
                      <a:avLst/>
                    </a:prstGeom>
                    <a:noFill/>
                  </pic:spPr>
                </pic:pic>
              </a:graphicData>
            </a:graphic>
          </wp:anchor>
        </w:drawing>
      </w:r>
    </w:p>
    <w:p>
      <w:pPr>
        <w:ind w:left="3680"/>
        <w:spacing w:after="0" w:line="198" w:lineRule="auto"/>
        <w:rPr>
          <w:sz w:val="20"/>
          <w:szCs w:val="20"/>
          <w:color w:val="auto"/>
        </w:rPr>
      </w:pPr>
      <w:r>
        <w:rPr>
          <w:rFonts w:ascii="Calibri" w:cs="Calibri" w:eastAsia="Calibri" w:hAnsi="Calibri"/>
          <w:sz w:val="16"/>
          <w:szCs w:val="16"/>
          <w:color w:val="auto"/>
        </w:rPr>
        <w:t>Last Revision Date: 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589788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2">
                      <a:extLst>
                        <a:ext uri="{28A0092B-C50C-407E-A947-70E740481C1C}"/>
                      </a:extLst>
                    </a:blip>
                    <a:srcRect/>
                    <a:stretch>
                      <a:fillRect/>
                    </a:stretch>
                  </pic:blipFill>
                  <pic:spPr bwMode="auto">
                    <a:xfrm>
                      <a:off x="0" y="0"/>
                      <a:ext cx="5897880" cy="2603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or she becomes aware of Material Nonpublic Information concerning the Company prior to completing the</w:t>
      </w:r>
    </w:p>
    <w:p>
      <w:pPr>
        <w:spacing w:after="0" w:line="229" w:lineRule="auto"/>
        <w:rPr>
          <w:sz w:val="20"/>
          <w:szCs w:val="20"/>
          <w:color w:val="auto"/>
        </w:rPr>
      </w:pPr>
      <w:r>
        <w:rPr>
          <w:rFonts w:ascii="Arial" w:cs="Arial" w:eastAsia="Arial" w:hAnsi="Arial"/>
          <w:sz w:val="18"/>
          <w:szCs w:val="18"/>
          <w:color w:val="auto"/>
        </w:rPr>
        <w:t>transaction. If the Chief Financial Officer or his/her designee contemplates engaging in any such transaction, he or she shall provide pre-transaction notification to the Chief Executive Officer.</w:t>
      </w:r>
    </w:p>
    <w:p>
      <w:pPr>
        <w:spacing w:after="0" w:line="154"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The pre-transaction notification procedures set forth above will not apply in a limited number of circumstances, as follows:</w:t>
      </w:r>
    </w:p>
    <w:p>
      <w:pPr>
        <w:spacing w:after="0" w:line="139" w:lineRule="exact"/>
        <w:rPr>
          <w:sz w:val="20"/>
          <w:szCs w:val="20"/>
          <w:color w:val="auto"/>
        </w:rPr>
      </w:pPr>
    </w:p>
    <w:p>
      <w:pPr>
        <w:jc w:val="both"/>
        <w:ind w:left="960" w:hanging="636"/>
        <w:spacing w:after="0" w:line="220" w:lineRule="auto"/>
        <w:tabs>
          <w:tab w:leader="none" w:pos="9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exercise of stock options, other equity awards or warrants, except that the pre-transaction notification procedures do apply to open market sales of shares acquired through the exercise of any options or warrants, including broker-assisted cashless exercises of options or warrants and any other method of exercise that involves the open market sale of securities. Furthermore, stock option exercises are subject to the terms of the Company’s governing stock option and incentive plans and any agreements entered into between the Company and the holders of such options or warrants.</w:t>
      </w:r>
    </w:p>
    <w:p>
      <w:pPr>
        <w:spacing w:after="0" w:line="156" w:lineRule="exact"/>
        <w:rPr>
          <w:rFonts w:ascii="Times New Roman" w:cs="Times New Roman" w:eastAsia="Times New Roman" w:hAnsi="Times New Roman"/>
          <w:sz w:val="18"/>
          <w:szCs w:val="18"/>
          <w:color w:val="auto"/>
        </w:rPr>
      </w:pPr>
    </w:p>
    <w:p>
      <w:pPr>
        <w:jc w:val="both"/>
        <w:ind w:left="960" w:hanging="636"/>
        <w:spacing w:after="0" w:line="225" w:lineRule="auto"/>
        <w:tabs>
          <w:tab w:leader="none" w:pos="9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payment of withholding or employment-related or other taxes by tendering previously-held shares of the Company’s Securities or by having shares withheld that would otherwise be issuable upon the exercise of an option, the vesting of restricted shares, or the vesting of other stock-based awards granted pursuant to the Company’s incentive plans.</w:t>
      </w:r>
    </w:p>
    <w:p>
      <w:pPr>
        <w:spacing w:after="0" w:line="154" w:lineRule="exact"/>
        <w:rPr>
          <w:rFonts w:ascii="Times New Roman" w:cs="Times New Roman" w:eastAsia="Times New Roman" w:hAnsi="Times New Roman"/>
          <w:sz w:val="18"/>
          <w:szCs w:val="18"/>
          <w:color w:val="auto"/>
        </w:rPr>
      </w:pPr>
    </w:p>
    <w:p>
      <w:pPr>
        <w:jc w:val="both"/>
        <w:ind w:left="960" w:hanging="636"/>
        <w:spacing w:after="0" w:line="216" w:lineRule="auto"/>
        <w:tabs>
          <w:tab w:leader="none" w:pos="9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Acquisitions or dispositions of Company common stock under any 401(k), employee stock purchase plan, individual account plan or dividend reinvestment plan adopted by the Company, under which a director or officer would make periodic contribution of money to the plan pursuant to a payroll deduction election which are made pursuant to standing instructions not entered into or modified while the Designated Person is aware of Material Nonpublic Information or during a blackout period (for clarity, pre-transaction notification </w:t>
      </w:r>
      <w:r>
        <w:rPr>
          <w:rFonts w:ascii="Arial" w:cs="Arial" w:eastAsia="Arial" w:hAnsi="Arial"/>
          <w:sz w:val="18"/>
          <w:szCs w:val="18"/>
          <w:u w:val="single" w:color="auto"/>
          <w:color w:val="auto"/>
        </w:rPr>
        <w:t>does</w:t>
      </w:r>
      <w:r>
        <w:rPr>
          <w:rFonts w:ascii="Arial" w:cs="Arial" w:eastAsia="Arial" w:hAnsi="Arial"/>
          <w:sz w:val="18"/>
          <w:szCs w:val="18"/>
          <w:color w:val="auto"/>
        </w:rPr>
        <w:t xml:space="preserve"> apply to: (1) the initial election to make such contributions, (2) any subsequent modifications to increase or decrease the percentage of contributions made during each pay period or (3) the termination of contributions).</w:t>
      </w:r>
    </w:p>
    <w:p>
      <w:pPr>
        <w:spacing w:after="0" w:line="169" w:lineRule="exact"/>
        <w:rPr>
          <w:rFonts w:ascii="Times New Roman" w:cs="Times New Roman" w:eastAsia="Times New Roman" w:hAnsi="Times New Roman"/>
          <w:sz w:val="18"/>
          <w:szCs w:val="18"/>
          <w:color w:val="auto"/>
        </w:rPr>
      </w:pPr>
    </w:p>
    <w:p>
      <w:pPr>
        <w:jc w:val="both"/>
        <w:ind w:left="960" w:hanging="636"/>
        <w:spacing w:after="0" w:line="232" w:lineRule="auto"/>
        <w:tabs>
          <w:tab w:leader="none" w:pos="9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Transactions executed pursuant to a contract, instruction or plan that satisfies Rule 10b5-1 of the Exchange Act, so long as the underlying contract, instruction or plan itself has been approved in accordance with the Policy.</w:t>
      </w:r>
    </w:p>
    <w:p>
      <w:pPr>
        <w:spacing w:after="0" w:line="155" w:lineRule="exact"/>
        <w:rPr>
          <w:sz w:val="20"/>
          <w:szCs w:val="20"/>
          <w:color w:val="auto"/>
        </w:rPr>
      </w:pPr>
    </w:p>
    <w:p>
      <w:pPr>
        <w:jc w:val="both"/>
        <w:ind w:left="320"/>
        <w:spacing w:after="0" w:line="221" w:lineRule="auto"/>
        <w:rPr>
          <w:sz w:val="20"/>
          <w:szCs w:val="20"/>
          <w:color w:val="auto"/>
        </w:rPr>
      </w:pPr>
      <w:r>
        <w:rPr>
          <w:rFonts w:ascii="Arial" w:cs="Arial" w:eastAsia="Arial" w:hAnsi="Arial"/>
          <w:sz w:val="18"/>
          <w:szCs w:val="18"/>
          <w:u w:val="single" w:color="auto"/>
          <w:color w:val="auto"/>
        </w:rPr>
        <w:t>Rule 10b5-1 Trading Plans</w:t>
      </w:r>
      <w:r>
        <w:rPr>
          <w:rFonts w:ascii="Arial" w:cs="Arial" w:eastAsia="Arial" w:hAnsi="Arial"/>
          <w:sz w:val="18"/>
          <w:szCs w:val="18"/>
          <w:color w:val="auto"/>
        </w:rPr>
        <w:t>. Notwithstanding the restrictions and prohibitions on trading in Company securities set forth in this Policy, persons subject to this Policy are permitted to effect transactions in Company securities</w:t>
      </w:r>
    </w:p>
    <w:p>
      <w:pPr>
        <w:spacing w:after="0" w:line="1" w:lineRule="exact"/>
        <w:rPr>
          <w:sz w:val="20"/>
          <w:szCs w:val="20"/>
          <w:color w:val="auto"/>
        </w:rPr>
      </w:pPr>
    </w:p>
    <w:p>
      <w:pPr>
        <w:jc w:val="both"/>
        <w:ind w:left="320"/>
        <w:spacing w:after="0" w:line="208" w:lineRule="auto"/>
        <w:rPr>
          <w:sz w:val="20"/>
          <w:szCs w:val="20"/>
          <w:color w:val="auto"/>
        </w:rPr>
      </w:pPr>
      <w:r>
        <w:rPr>
          <w:rFonts w:ascii="Arial" w:cs="Arial" w:eastAsia="Arial" w:hAnsi="Arial"/>
          <w:sz w:val="18"/>
          <w:szCs w:val="18"/>
          <w:color w:val="auto"/>
        </w:rPr>
        <w:t>pursuant to approved trading plans established under Rule 10b5-1 of the Exchange Act, which may include transactions during the prohibited periods discussed above. Rule 10b5-1 requires that these transactions be made pursuant to a plan that was established while the person was not in possession of material non-public</w:t>
      </w:r>
    </w:p>
    <w:p>
      <w:pPr>
        <w:spacing w:after="0" w:line="2" w:lineRule="exact"/>
        <w:rPr>
          <w:sz w:val="20"/>
          <w:szCs w:val="20"/>
          <w:color w:val="auto"/>
        </w:rPr>
      </w:pPr>
    </w:p>
    <w:p>
      <w:pPr>
        <w:jc w:val="both"/>
        <w:ind w:left="320"/>
        <w:spacing w:after="0" w:line="208" w:lineRule="auto"/>
        <w:rPr>
          <w:sz w:val="20"/>
          <w:szCs w:val="20"/>
          <w:color w:val="auto"/>
        </w:rPr>
      </w:pPr>
      <w:r>
        <w:rPr>
          <w:rFonts w:ascii="Arial" w:cs="Arial" w:eastAsia="Arial" w:hAnsi="Arial"/>
          <w:sz w:val="18"/>
          <w:szCs w:val="18"/>
          <w:color w:val="auto"/>
        </w:rPr>
        <w:t>information, and the SEC requires that these plans not be entered into during any applicable Company-imposed black-out period. In order to comply with this Policy, the Company must review and pre-approve any such Rule 10b5-1 trading plan prior to its effectiveness and any subsequent modification or termination. After a Rule 10b5-</w:t>
      </w:r>
    </w:p>
    <w:p>
      <w:pPr>
        <w:spacing w:after="0" w:line="2" w:lineRule="exact"/>
        <w:rPr>
          <w:sz w:val="20"/>
          <w:szCs w:val="20"/>
          <w:color w:val="auto"/>
        </w:rPr>
      </w:pPr>
    </w:p>
    <w:p>
      <w:pPr>
        <w:jc w:val="both"/>
        <w:ind w:left="320"/>
        <w:spacing w:after="0" w:line="208" w:lineRule="auto"/>
        <w:rPr>
          <w:sz w:val="20"/>
          <w:szCs w:val="20"/>
          <w:color w:val="auto"/>
        </w:rPr>
      </w:pPr>
      <w:r>
        <w:rPr>
          <w:rFonts w:ascii="Arial" w:cs="Arial" w:eastAsia="Arial" w:hAnsi="Arial"/>
          <w:sz w:val="18"/>
          <w:szCs w:val="18"/>
          <w:color w:val="auto"/>
        </w:rPr>
        <w:t>1 trading plan is approved, you must wait for a cooling-off period before the first trade is made under the plan, the length of which will be determined by the Chief Financial Officer, in accordance with the SEC’s rules and in consultation with the input and assistance of external counsel, with notice of such determination provided by the</w:t>
      </w:r>
    </w:p>
    <w:p>
      <w:pPr>
        <w:spacing w:after="0" w:line="2" w:lineRule="exact"/>
        <w:rPr>
          <w:sz w:val="20"/>
          <w:szCs w:val="20"/>
          <w:color w:val="auto"/>
        </w:rPr>
      </w:pPr>
    </w:p>
    <w:p>
      <w:pPr>
        <w:jc w:val="both"/>
        <w:ind w:left="320"/>
        <w:spacing w:after="0" w:line="208" w:lineRule="auto"/>
        <w:rPr>
          <w:sz w:val="20"/>
          <w:szCs w:val="20"/>
          <w:color w:val="auto"/>
        </w:rPr>
      </w:pPr>
      <w:r>
        <w:rPr>
          <w:rFonts w:ascii="Arial" w:cs="Arial" w:eastAsia="Arial" w:hAnsi="Arial"/>
          <w:sz w:val="18"/>
          <w:szCs w:val="18"/>
          <w:color w:val="auto"/>
        </w:rPr>
        <w:t>Chief Financial Officer to the Audit Committee. Once the Rule 10b5-1 trading plan is adopted, you must not exercise any influence over the amount of securities to be traded, the price at which they are to be traded or the dates of the trades. The Rule 10b5-1 trading plan must either specify the amount, pricing and timing of</w:t>
      </w:r>
    </w:p>
    <w:p>
      <w:pPr>
        <w:spacing w:after="0" w:line="2" w:lineRule="exact"/>
        <w:rPr>
          <w:sz w:val="20"/>
          <w:szCs w:val="20"/>
          <w:color w:val="auto"/>
        </w:rPr>
      </w:pPr>
    </w:p>
    <w:p>
      <w:pPr>
        <w:jc w:val="both"/>
        <w:ind w:left="320"/>
        <w:spacing w:after="0" w:line="208" w:lineRule="auto"/>
        <w:rPr>
          <w:sz w:val="20"/>
          <w:szCs w:val="20"/>
          <w:color w:val="auto"/>
        </w:rPr>
      </w:pPr>
      <w:r>
        <w:rPr>
          <w:rFonts w:ascii="Arial" w:cs="Arial" w:eastAsia="Arial" w:hAnsi="Arial"/>
          <w:sz w:val="18"/>
          <w:szCs w:val="18"/>
          <w:color w:val="auto"/>
        </w:rPr>
        <w:t>transactions in advance or delegate discretion on these matters to an independent third party. Only one Rule 10b5-1 trading plan should be in effect at any one time. Any Rule 10b5-1 trading plans that would call for execution of a single trade are limited to one such plan in a consecutive 12-month period. Any modification of a</w:t>
      </w:r>
    </w:p>
    <w:p>
      <w:pPr>
        <w:spacing w:after="0" w:line="2" w:lineRule="exact"/>
        <w:rPr>
          <w:sz w:val="20"/>
          <w:szCs w:val="20"/>
          <w:color w:val="auto"/>
        </w:rPr>
      </w:pPr>
    </w:p>
    <w:p>
      <w:pPr>
        <w:jc w:val="both"/>
        <w:ind w:left="320"/>
        <w:spacing w:after="0" w:line="221" w:lineRule="auto"/>
        <w:rPr>
          <w:sz w:val="20"/>
          <w:szCs w:val="20"/>
          <w:color w:val="auto"/>
        </w:rPr>
      </w:pPr>
      <w:r>
        <w:rPr>
          <w:rFonts w:ascii="Arial" w:cs="Arial" w:eastAsia="Arial" w:hAnsi="Arial"/>
          <w:sz w:val="18"/>
          <w:szCs w:val="18"/>
          <w:color w:val="auto"/>
        </w:rPr>
        <w:t>Rule 10b5-1 trading plan is the equivalent of entering into a new trading plan and cancelling the old trading plan. Company personnel seeking to establish, modify or cancel a Rule 10b5-1 trading plan must contact the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7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173990</wp:posOffset>
            </wp:positionV>
            <wp:extent cx="5940425" cy="508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3">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37" w:right="1319" w:bottom="1440" w:gutter="0" w:footer="0" w:header="0"/>
        </w:sectPr>
      </w:pPr>
    </w:p>
    <w:bookmarkStart w:id="76" w:name="page77"/>
    <w:bookmarkEnd w:id="76"/>
    <w:p>
      <w:pPr>
        <w:ind w:left="3680"/>
        <w:spacing w:after="0"/>
        <w:rPr>
          <w:sz w:val="20"/>
          <w:szCs w:val="20"/>
          <w:color w:val="auto"/>
        </w:rPr>
      </w:pPr>
      <w:r>
        <w:rPr>
          <w:rFonts w:ascii="Calibri" w:cs="Calibri" w:eastAsia="Calibri" w:hAnsi="Calibri"/>
          <w:sz w:val="29"/>
          <w:szCs w:val="29"/>
          <w:b w:val="1"/>
          <w:bCs w:val="1"/>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-179705</wp:posOffset>
            </wp:positionV>
            <wp:extent cx="1971675" cy="2400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4">
                      <a:extLst>
                        <a:ext uri="{28A0092B-C50C-407E-A947-70E740481C1C}"/>
                      </a:extLst>
                    </a:blip>
                    <a:srcRect/>
                    <a:stretch>
                      <a:fillRect/>
                    </a:stretch>
                  </pic:blipFill>
                  <pic:spPr bwMode="auto">
                    <a:xfrm>
                      <a:off x="0" y="0"/>
                      <a:ext cx="1971675" cy="240030"/>
                    </a:xfrm>
                    <a:prstGeom prst="rect">
                      <a:avLst/>
                    </a:prstGeom>
                    <a:noFill/>
                  </pic:spPr>
                </pic:pic>
              </a:graphicData>
            </a:graphic>
          </wp:anchor>
        </w:drawing>
      </w:r>
    </w:p>
    <w:p>
      <w:pPr>
        <w:ind w:left="3680"/>
        <w:spacing w:after="0" w:line="198" w:lineRule="auto"/>
        <w:rPr>
          <w:sz w:val="20"/>
          <w:szCs w:val="20"/>
          <w:color w:val="auto"/>
        </w:rPr>
      </w:pPr>
      <w:r>
        <w:rPr>
          <w:rFonts w:ascii="Calibri" w:cs="Calibri" w:eastAsia="Calibri" w:hAnsi="Calibri"/>
          <w:sz w:val="16"/>
          <w:szCs w:val="16"/>
          <w:color w:val="auto"/>
        </w:rPr>
        <w:t>Last Revision Date: 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589788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5">
                      <a:extLst>
                        <a:ext uri="{28A0092B-C50C-407E-A947-70E740481C1C}"/>
                      </a:extLst>
                    </a:blip>
                    <a:srcRect/>
                    <a:stretch>
                      <a:fillRect/>
                    </a:stretch>
                  </pic:blipFill>
                  <pic:spPr bwMode="auto">
                    <a:xfrm>
                      <a:off x="0" y="0"/>
                      <a:ext cx="5897880" cy="2603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w:t>
      </w:r>
    </w:p>
    <w:p>
      <w:pPr>
        <w:spacing w:after="0" w:line="198"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u w:val="single" w:color="auto"/>
          <w:color w:val="auto"/>
        </w:rPr>
        <w:t>Liability</w:t>
      </w:r>
      <w:r>
        <w:rPr>
          <w:rFonts w:ascii="Arial" w:cs="Arial" w:eastAsia="Arial" w:hAnsi="Arial"/>
          <w:sz w:val="18"/>
          <w:szCs w:val="18"/>
          <w:color w:val="auto"/>
        </w:rPr>
        <w:t>. Section 16 applies to directors, officers and more-than-10% shareholders of the Company. In general, Section 16(b) provides that any profit realized on a purchase and a sale of Company stock within a six-month period is recoverable by the Company. For this purpose, it does not matter whether the purchase or the sale</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occurs first. It is not necessary for the same shares to be involved in each of the matched transactions. Losses cannot be offset against gains. Transactions are paired so as to match the lowest purchase price and the highest sale price within a six-month period, resulting in the maximum amount of profit. Good faith on the part of the insider</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is no defense. If the Company itself does not press a claim, a claim for recovery of the profit may be asserted by any shareholder for the benefit of the Company.</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many types of transactions that constitute a “purchase” or a “sale” for Section 16 purposes in</w:t>
      </w:r>
    </w:p>
    <w:p>
      <w:pPr>
        <w:jc w:val="both"/>
        <w:spacing w:after="0" w:line="208" w:lineRule="auto"/>
        <w:rPr>
          <w:sz w:val="20"/>
          <w:szCs w:val="20"/>
          <w:color w:val="auto"/>
        </w:rPr>
      </w:pPr>
      <w:r>
        <w:rPr>
          <w:rFonts w:ascii="Arial" w:cs="Arial" w:eastAsia="Arial" w:hAnsi="Arial"/>
          <w:sz w:val="18"/>
          <w:szCs w:val="18"/>
          <w:color w:val="auto"/>
        </w:rPr>
        <w:t>addition to normal open market transactions. The receipt of an option, warrant or other right to acquire common stock (a “derivative security”) is generally a purchase unless received under certain employee plans. Many unusual corporate reorganizations may be “purchases” or “sales.” “Beneficial” ownership for Section 16 purposes may</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include indirect ownership, for example, through trusts or estates. In some circumstances, stock held by close relatives of a person may be considered to be owned beneficially by such person, and a purchase (or sale) by one individual may be matched with a sale (or purchase) by his or her close relative to produce a recoverable profit.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provisions also apply to stock registered in a street name.</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Reports. As a supplement to the profit recapture provisions of Section 16(b), Section 16(a) includes beneficial ownership reporting provisions. Each director, officer and more-than-10% shareholder is responsible for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filing Forms 3, 4 and 5 as required under Section 16(a).</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i w:val="1"/>
          <w:iCs w:val="1"/>
          <w:color w:val="auto"/>
        </w:rPr>
        <w:t>Form 3</w:t>
      </w:r>
      <w:r>
        <w:rPr>
          <w:rFonts w:ascii="Arial" w:cs="Arial" w:eastAsia="Arial" w:hAnsi="Arial"/>
          <w:sz w:val="18"/>
          <w:szCs w:val="18"/>
          <w:color w:val="auto"/>
        </w:rPr>
        <w:t>. Within 10 days of a person becoming an officer, director or 10% shareholder of an Exchange Act</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company, such person must file an Initial Statement of Beneficial Ownership of Securities, or a Form 3, as</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it is more commonly known, with the Securities and Exchange Commission (“SEC”). A Form 3 is a statement by each reporting person of the amount of his or her beneficial ownership of each class of non-derivative Securities (e.g., common stock) and derivative securities (e.g., options and warrants) of the Company.</w:t>
      </w:r>
    </w:p>
    <w:p>
      <w:pPr>
        <w:spacing w:after="0" w:line="166"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color w:val="auto"/>
        </w:rPr>
        <w:t>Generally, an individual is deemed a “beneficial owner” of a security if the individual has or shares the opportunity, directly or indirectly, to profit or share in any profit derived from a transaction in the securities. Special rules apply for the application of the beneficial ownership definition to trust holdings and transactions. In stating the</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amount of securities owned indirectly through a partnership, corporation, trust or other entity, the reporting person may report the entire amount owned by such entity or, alternatively, his or her proportionate interest in the securities beneficially owned by that entity.</w:t>
      </w:r>
    </w:p>
    <w:p>
      <w:pPr>
        <w:spacing w:after="0" w:line="166" w:lineRule="exact"/>
        <w:rPr>
          <w:sz w:val="20"/>
          <w:szCs w:val="20"/>
          <w:color w:val="auto"/>
        </w:rPr>
      </w:pPr>
    </w:p>
    <w:p>
      <w:pPr>
        <w:jc w:val="both"/>
        <w:ind w:firstLine="648"/>
        <w:spacing w:after="0"/>
        <w:rPr>
          <w:sz w:val="20"/>
          <w:szCs w:val="20"/>
          <w:color w:val="auto"/>
        </w:rPr>
      </w:pPr>
      <w:r>
        <w:rPr>
          <w:rFonts w:ascii="Arial" w:cs="Arial" w:eastAsia="Arial" w:hAnsi="Arial"/>
          <w:sz w:val="18"/>
          <w:szCs w:val="18"/>
          <w:i w:val="1"/>
          <w:iCs w:val="1"/>
          <w:color w:val="auto"/>
        </w:rPr>
        <w:t>Form 4</w:t>
      </w:r>
      <w:r>
        <w:rPr>
          <w:rFonts w:ascii="Arial" w:cs="Arial" w:eastAsia="Arial" w:hAnsi="Arial"/>
          <w:sz w:val="18"/>
          <w:szCs w:val="18"/>
          <w:color w:val="auto"/>
        </w:rPr>
        <w:t>. When there is a change in an insider’s beneficial ownership of Company Securities, a Form 4 must</w:t>
      </w:r>
      <w:r>
        <w:rPr>
          <w:rFonts w:ascii="Arial" w:cs="Arial" w:eastAsia="Arial" w:hAnsi="Arial"/>
          <w:sz w:val="18"/>
          <w:szCs w:val="18"/>
          <w:i w:val="1"/>
          <w:iCs w:val="1"/>
          <w:color w:val="auto"/>
        </w:rPr>
        <w:t xml:space="preserve"> </w:t>
      </w:r>
      <w:r>
        <w:rPr>
          <w:rFonts w:ascii="Arial" w:cs="Arial" w:eastAsia="Arial" w:hAnsi="Arial"/>
          <w:sz w:val="18"/>
          <w:szCs w:val="18"/>
          <w:color w:val="auto"/>
        </w:rPr>
        <w:t>be filed with the SEC on or before the second business day following most transactions, including the following:</w:t>
      </w:r>
    </w:p>
    <w:p>
      <w:pPr>
        <w:spacing w:after="0" w:line="153" w:lineRule="exact"/>
        <w:rPr>
          <w:sz w:val="20"/>
          <w:szCs w:val="20"/>
          <w:color w:val="auto"/>
        </w:rPr>
      </w:pPr>
    </w:p>
    <w:p>
      <w:pPr>
        <w:ind w:left="960" w:hanging="636"/>
        <w:spacing w:after="0"/>
        <w:tabs>
          <w:tab w:leader="none" w:pos="9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purchases and sales;</w:t>
      </w:r>
    </w:p>
    <w:p>
      <w:pPr>
        <w:spacing w:after="0" w:line="183" w:lineRule="exact"/>
        <w:rPr>
          <w:rFonts w:ascii="Times New Roman" w:cs="Times New Roman" w:eastAsia="Times New Roman" w:hAnsi="Times New Roman"/>
          <w:sz w:val="18"/>
          <w:szCs w:val="18"/>
          <w:color w:val="auto"/>
        </w:rPr>
      </w:pPr>
    </w:p>
    <w:p>
      <w:pPr>
        <w:ind w:left="960" w:hanging="636"/>
        <w:spacing w:after="0"/>
        <w:tabs>
          <w:tab w:leader="none" w:pos="9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stock option exercises;</w:t>
      </w:r>
    </w:p>
    <w:p>
      <w:pPr>
        <w:spacing w:after="0" w:line="183" w:lineRule="exact"/>
        <w:rPr>
          <w:rFonts w:ascii="Times New Roman" w:cs="Times New Roman" w:eastAsia="Times New Roman" w:hAnsi="Times New Roman"/>
          <w:sz w:val="18"/>
          <w:szCs w:val="18"/>
          <w:color w:val="auto"/>
        </w:rPr>
      </w:pPr>
    </w:p>
    <w:p>
      <w:pPr>
        <w:ind w:left="960" w:hanging="636"/>
        <w:spacing w:after="0"/>
        <w:tabs>
          <w:tab w:leader="none" w:pos="9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stock option grants;</w:t>
      </w:r>
    </w:p>
    <w:p>
      <w:pPr>
        <w:spacing w:after="0" w:line="183" w:lineRule="exact"/>
        <w:rPr>
          <w:rFonts w:ascii="Times New Roman" w:cs="Times New Roman" w:eastAsia="Times New Roman" w:hAnsi="Times New Roman"/>
          <w:sz w:val="18"/>
          <w:szCs w:val="18"/>
          <w:color w:val="auto"/>
        </w:rPr>
      </w:pPr>
    </w:p>
    <w:p>
      <w:pPr>
        <w:ind w:left="960" w:hanging="636"/>
        <w:spacing w:after="0"/>
        <w:tabs>
          <w:tab w:leader="none" w:pos="9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restricted stock grants;</w:t>
      </w:r>
    </w:p>
    <w:p>
      <w:pPr>
        <w:spacing w:after="0" w:line="183" w:lineRule="exact"/>
        <w:rPr>
          <w:rFonts w:ascii="Times New Roman" w:cs="Times New Roman" w:eastAsia="Times New Roman" w:hAnsi="Times New Roman"/>
          <w:sz w:val="18"/>
          <w:szCs w:val="18"/>
          <w:color w:val="auto"/>
        </w:rPr>
      </w:pPr>
    </w:p>
    <w:p>
      <w:pPr>
        <w:ind w:left="960" w:hanging="636"/>
        <w:spacing w:after="0"/>
        <w:tabs>
          <w:tab w:leader="none" w:pos="9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other grants, awards and acquisitions from the Company;</w:t>
      </w:r>
    </w:p>
    <w:p>
      <w:pPr>
        <w:spacing w:after="0" w:line="183" w:lineRule="exact"/>
        <w:rPr>
          <w:rFonts w:ascii="Times New Roman" w:cs="Times New Roman" w:eastAsia="Times New Roman" w:hAnsi="Times New Roman"/>
          <w:sz w:val="18"/>
          <w:szCs w:val="18"/>
          <w:color w:val="auto"/>
        </w:rPr>
      </w:pPr>
    </w:p>
    <w:p>
      <w:pPr>
        <w:ind w:left="960" w:hanging="636"/>
        <w:spacing w:after="0"/>
        <w:tabs>
          <w:tab w:leader="none" w:pos="9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gifts of Company securities;</w:t>
      </w:r>
    </w:p>
    <w:p>
      <w:pPr>
        <w:spacing w:after="0" w:line="183" w:lineRule="exact"/>
        <w:rPr>
          <w:rFonts w:ascii="Times New Roman" w:cs="Times New Roman" w:eastAsia="Times New Roman" w:hAnsi="Times New Roman"/>
          <w:sz w:val="18"/>
          <w:szCs w:val="18"/>
          <w:color w:val="auto"/>
        </w:rPr>
      </w:pPr>
    </w:p>
    <w:p>
      <w:pPr>
        <w:jc w:val="both"/>
        <w:ind w:left="960" w:hanging="636"/>
        <w:spacing w:after="0" w:line="232" w:lineRule="auto"/>
        <w:tabs>
          <w:tab w:leader="none" w:pos="9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dispositions to the Company that satisfy the requirements of Rule 16b-3(e), which includes (i) shares delivered to pay tax withholding amounts or an option exercise price, (ii) surrender of an option in a repricing and (iii) sale of shares;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8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173990</wp:posOffset>
            </wp:positionV>
            <wp:extent cx="5940425" cy="508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6">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37" w:right="1319" w:bottom="1440" w:gutter="0" w:footer="0" w:header="0"/>
        </w:sectPr>
      </w:pPr>
    </w:p>
    <w:bookmarkStart w:id="77" w:name="page78"/>
    <w:bookmarkEnd w:id="77"/>
    <w:p>
      <w:pPr>
        <w:ind w:left="3680"/>
        <w:spacing w:after="0"/>
        <w:rPr>
          <w:sz w:val="20"/>
          <w:szCs w:val="20"/>
          <w:color w:val="auto"/>
        </w:rPr>
      </w:pPr>
      <w:r>
        <w:rPr>
          <w:rFonts w:ascii="Calibri" w:cs="Calibri" w:eastAsia="Calibri" w:hAnsi="Calibri"/>
          <w:sz w:val="29"/>
          <w:szCs w:val="29"/>
          <w:b w:val="1"/>
          <w:bCs w:val="1"/>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-179705</wp:posOffset>
            </wp:positionV>
            <wp:extent cx="1971675" cy="2400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7">
                      <a:extLst>
                        <a:ext uri="{28A0092B-C50C-407E-A947-70E740481C1C}"/>
                      </a:extLst>
                    </a:blip>
                    <a:srcRect/>
                    <a:stretch>
                      <a:fillRect/>
                    </a:stretch>
                  </pic:blipFill>
                  <pic:spPr bwMode="auto">
                    <a:xfrm>
                      <a:off x="0" y="0"/>
                      <a:ext cx="1971675" cy="240030"/>
                    </a:xfrm>
                    <a:prstGeom prst="rect">
                      <a:avLst/>
                    </a:prstGeom>
                    <a:noFill/>
                  </pic:spPr>
                </pic:pic>
              </a:graphicData>
            </a:graphic>
          </wp:anchor>
        </w:drawing>
      </w:r>
    </w:p>
    <w:p>
      <w:pPr>
        <w:ind w:left="3680"/>
        <w:spacing w:after="0" w:line="198" w:lineRule="auto"/>
        <w:rPr>
          <w:sz w:val="20"/>
          <w:szCs w:val="20"/>
          <w:color w:val="auto"/>
        </w:rPr>
      </w:pPr>
      <w:r>
        <w:rPr>
          <w:rFonts w:ascii="Calibri" w:cs="Calibri" w:eastAsia="Calibri" w:hAnsi="Calibri"/>
          <w:sz w:val="16"/>
          <w:szCs w:val="16"/>
          <w:color w:val="auto"/>
        </w:rPr>
        <w:t>Last Revision Date: 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589788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8">
                      <a:extLst>
                        <a:ext uri="{28A0092B-C50C-407E-A947-70E740481C1C}"/>
                      </a:extLst>
                    </a:blip>
                    <a:srcRect/>
                    <a:stretch>
                      <a:fillRect/>
                    </a:stretch>
                  </pic:blipFill>
                  <pic:spPr bwMode="auto">
                    <a:xfrm>
                      <a:off x="0" y="0"/>
                      <a:ext cx="5897880" cy="2603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60" w:hanging="636"/>
        <w:spacing w:after="0"/>
        <w:tabs>
          <w:tab w:leader="none" w:pos="9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discretionary transactions pursuant to employee benefit plans where the insider controls a trade date;</w:t>
      </w:r>
    </w:p>
    <w:p>
      <w:pPr>
        <w:spacing w:after="0" w:line="183" w:lineRule="exact"/>
        <w:rPr>
          <w:rFonts w:ascii="Times New Roman" w:cs="Times New Roman" w:eastAsia="Times New Roman" w:hAnsi="Times New Roman"/>
          <w:sz w:val="18"/>
          <w:szCs w:val="18"/>
          <w:color w:val="auto"/>
        </w:rPr>
      </w:pPr>
    </w:p>
    <w:p>
      <w:pPr>
        <w:ind w:left="960" w:hanging="636"/>
        <w:spacing w:after="0"/>
        <w:tabs>
          <w:tab w:leader="none" w:pos="9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small acquisitions from the Company; and</w:t>
      </w:r>
    </w:p>
    <w:p>
      <w:pPr>
        <w:spacing w:after="0" w:line="183" w:lineRule="exact"/>
        <w:rPr>
          <w:rFonts w:ascii="Times New Roman" w:cs="Times New Roman" w:eastAsia="Times New Roman" w:hAnsi="Times New Roman"/>
          <w:sz w:val="18"/>
          <w:szCs w:val="18"/>
          <w:color w:val="auto"/>
        </w:rPr>
      </w:pPr>
    </w:p>
    <w:p>
      <w:pPr>
        <w:ind w:left="960" w:hanging="636"/>
        <w:spacing w:after="0" w:line="255" w:lineRule="auto"/>
        <w:tabs>
          <w:tab w:leader="none" w:pos="9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form of ownership (direct to indirect or indirect to direct), accompanied with a change in pecuniary interest.</w:t>
      </w:r>
    </w:p>
    <w:p>
      <w:pPr>
        <w:spacing w:after="0" w:line="140"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i w:val="1"/>
          <w:iCs w:val="1"/>
          <w:color w:val="auto"/>
        </w:rPr>
        <w:t>Form 5</w:t>
      </w:r>
      <w:r>
        <w:rPr>
          <w:rFonts w:ascii="Arial" w:cs="Arial" w:eastAsia="Arial" w:hAnsi="Arial"/>
          <w:sz w:val="18"/>
          <w:szCs w:val="18"/>
          <w:color w:val="auto"/>
        </w:rPr>
        <w:t>. A Form 5 must be filed each year (within 45 days after the end of the Company’s fiscal year) by</w:t>
      </w:r>
      <w:r>
        <w:rPr>
          <w:rFonts w:ascii="Arial" w:cs="Arial" w:eastAsia="Arial" w:hAnsi="Arial"/>
          <w:sz w:val="18"/>
          <w:szCs w:val="18"/>
          <w:i w:val="1"/>
          <w:iCs w:val="1"/>
          <w:color w:val="auto"/>
        </w:rPr>
        <w:t xml:space="preserve"> </w:t>
      </w:r>
      <w:r>
        <w:rPr>
          <w:rFonts w:ascii="Arial" w:cs="Arial" w:eastAsia="Arial" w:hAnsi="Arial"/>
          <w:sz w:val="18"/>
          <w:szCs w:val="18"/>
          <w:color w:val="auto"/>
        </w:rPr>
        <w:t>insiders to report any exempt transactions, unless voluntarily reported earlier on a Form 4, including the following:</w:t>
      </w:r>
    </w:p>
    <w:p>
      <w:pPr>
        <w:spacing w:after="0" w:line="139" w:lineRule="exact"/>
        <w:rPr>
          <w:sz w:val="20"/>
          <w:szCs w:val="20"/>
          <w:color w:val="auto"/>
        </w:rPr>
      </w:pPr>
    </w:p>
    <w:p>
      <w:pPr>
        <w:jc w:val="both"/>
        <w:ind w:left="960" w:hanging="636"/>
        <w:spacing w:after="0" w:line="232" w:lineRule="auto"/>
        <w:tabs>
          <w:tab w:leader="none" w:pos="9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acquisitions pursuant to stock allocations under ERISA profit sharing plans and employee stock ownership plans, purchases under 401(k) plans and employee stock purchase plans (not reportable; adjust holdings on next report otherwise filed);</w:t>
      </w:r>
    </w:p>
    <w:p>
      <w:pPr>
        <w:spacing w:after="0" w:line="154" w:lineRule="exact"/>
        <w:rPr>
          <w:rFonts w:ascii="Times New Roman" w:cs="Times New Roman" w:eastAsia="Times New Roman" w:hAnsi="Times New Roman"/>
          <w:sz w:val="18"/>
          <w:szCs w:val="18"/>
          <w:color w:val="auto"/>
        </w:rPr>
      </w:pPr>
    </w:p>
    <w:p>
      <w:pPr>
        <w:ind w:left="960" w:hanging="636"/>
        <w:spacing w:after="0"/>
        <w:tabs>
          <w:tab w:leader="none" w:pos="9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certain acquisitions by gift;</w:t>
      </w:r>
    </w:p>
    <w:p>
      <w:pPr>
        <w:spacing w:after="0" w:line="183" w:lineRule="exact"/>
        <w:rPr>
          <w:rFonts w:ascii="Times New Roman" w:cs="Times New Roman" w:eastAsia="Times New Roman" w:hAnsi="Times New Roman"/>
          <w:sz w:val="18"/>
          <w:szCs w:val="18"/>
          <w:color w:val="auto"/>
        </w:rPr>
      </w:pPr>
    </w:p>
    <w:p>
      <w:pPr>
        <w:ind w:left="960" w:hanging="636"/>
        <w:spacing w:after="0"/>
        <w:tabs>
          <w:tab w:leader="none" w:pos="9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inheritances;</w:t>
      </w:r>
    </w:p>
    <w:p>
      <w:pPr>
        <w:spacing w:after="0" w:line="183" w:lineRule="exact"/>
        <w:rPr>
          <w:rFonts w:ascii="Times New Roman" w:cs="Times New Roman" w:eastAsia="Times New Roman" w:hAnsi="Times New Roman"/>
          <w:sz w:val="18"/>
          <w:szCs w:val="18"/>
          <w:color w:val="auto"/>
        </w:rPr>
      </w:pPr>
    </w:p>
    <w:p>
      <w:pPr>
        <w:ind w:left="960" w:hanging="636"/>
        <w:spacing w:after="0"/>
        <w:tabs>
          <w:tab w:leader="none" w:pos="9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certain small acquisitions (other than from the Company) that total $10,000 or less; and</w:t>
      </w:r>
    </w:p>
    <w:p>
      <w:pPr>
        <w:spacing w:after="0" w:line="183" w:lineRule="exact"/>
        <w:rPr>
          <w:rFonts w:ascii="Times New Roman" w:cs="Times New Roman" w:eastAsia="Times New Roman" w:hAnsi="Times New Roman"/>
          <w:sz w:val="18"/>
          <w:szCs w:val="18"/>
          <w:color w:val="auto"/>
        </w:rPr>
      </w:pPr>
    </w:p>
    <w:p>
      <w:pPr>
        <w:ind w:left="960" w:hanging="636"/>
        <w:spacing w:after="0" w:line="239" w:lineRule="auto"/>
        <w:tabs>
          <w:tab w:leader="none" w:pos="9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form of ownership from indirect to direct or direct to indirect if no change in pecuniary interest.</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Another purpose of the Form 5 is to promote compliance with Section 16 by requiring insiders to report any transactions required to be reported on a Form 4 but which had not been reported during the year. At year-end,</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officers and directors who have no Form 5 items to report will be required to provide the Company with a written representation that no Form 5 filing is due (i.e., there are no unreported transactions).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Acquisitions of shares through an Employee Stock Purchase Plan or in connection with a stock dividend are</w:t>
      </w:r>
    </w:p>
    <w:p>
      <w:pPr>
        <w:jc w:val="both"/>
        <w:spacing w:after="0" w:line="221" w:lineRule="auto"/>
        <w:rPr>
          <w:sz w:val="20"/>
          <w:szCs w:val="20"/>
          <w:color w:val="auto"/>
        </w:rPr>
      </w:pPr>
      <w:r>
        <w:rPr>
          <w:rFonts w:ascii="Arial" w:cs="Arial" w:eastAsia="Arial" w:hAnsi="Arial"/>
          <w:sz w:val="18"/>
          <w:szCs w:val="18"/>
          <w:color w:val="auto"/>
        </w:rPr>
        <w:t>not reportable; however, the holdings must be updated to reflect the change on the next Form 4 or 5 otherwise filed. In addition, officers and directors (but not 10% owners) must report any changes which occur after they are no longer insiders if such change takes place within six months of any opposite-way transaction while an insider.</w:t>
      </w:r>
    </w:p>
    <w:p>
      <w:pPr>
        <w:spacing w:after="0" w:line="166"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color w:val="auto"/>
        </w:rPr>
        <w:t>All changes in beneficial ownership (unless covered by a specific exemption) are reportable, not only transactions which are purchases or sales, including Rule 10b5-1 transactions. Reports may be due even though the reported change in beneficial ownership is not a transaction of a type which can be matched for Section 16(b)</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purposes.</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u w:val="single" w:color="auto"/>
          <w:color w:val="auto"/>
        </w:rPr>
        <w:t>Power of Attorney</w:t>
      </w:r>
      <w:r>
        <w:rPr>
          <w:rFonts w:ascii="Arial" w:cs="Arial" w:eastAsia="Arial" w:hAnsi="Arial"/>
          <w:sz w:val="18"/>
          <w:szCs w:val="18"/>
          <w:color w:val="auto"/>
        </w:rPr>
        <w:t>. It should be noted that even if an individual is unable to personally sign a Form 4 or 5 (e.g., if you are out of town), the SEC permits the form to be signed by another without a prior or simultaneous filing</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of a power of attorney as long as a power is sent “as soon as practicable” thereafter. The SEC will not excuse a late filing simply because the individual is unavailable. We have designed a standing power of attorney giving certain officers of the Company the authority to sign Forms 4 and 5 on your behalf in order to facilitate timely filings in your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absence.</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u w:val="single" w:color="auto"/>
          <w:color w:val="auto"/>
        </w:rPr>
        <w:t>Short Sales</w:t>
      </w:r>
      <w:r>
        <w:rPr>
          <w:rFonts w:ascii="Arial" w:cs="Arial" w:eastAsia="Arial" w:hAnsi="Arial"/>
          <w:sz w:val="18"/>
          <w:szCs w:val="18"/>
          <w:color w:val="auto"/>
        </w:rPr>
        <w:t>. In addition to the foregoing, Section 16(c) prohibits the Company’s directors, officers and more-than-10% shareholders from making “short sales” of any equity Security of the Company. A “short sale” is a sale of</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securities which the seller does not own at the time or, if owned, securities that will not be delivered for a period longer than 20 days after the sale.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w:t>
      </w:r>
    </w:p>
    <w:p>
      <w:pPr>
        <w:spacing w:after="0" w:line="198"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All 5% shareholders of the Company are required to file reports under Section 13 of the Exchange Act. This filing requirement is met by filing either the long-form Schedule 13D or the short-form Schedule 13G, depending on whether the shareholder meets certain criteria to be considered a “passive investor,” including amount of ownership</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9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173990</wp:posOffset>
            </wp:positionV>
            <wp:extent cx="5940425" cy="508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9">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37" w:right="1319" w:bottom="1440" w:gutter="0" w:footer="0" w:header="0"/>
        </w:sectPr>
      </w:pPr>
    </w:p>
    <w:bookmarkStart w:id="78" w:name="page79"/>
    <w:bookmarkEnd w:id="78"/>
    <w:p>
      <w:pPr>
        <w:ind w:left="3680"/>
        <w:spacing w:after="0"/>
        <w:rPr>
          <w:sz w:val="20"/>
          <w:szCs w:val="20"/>
          <w:color w:val="auto"/>
        </w:rPr>
      </w:pPr>
      <w:r>
        <w:rPr>
          <w:rFonts w:ascii="Calibri" w:cs="Calibri" w:eastAsia="Calibri" w:hAnsi="Calibri"/>
          <w:sz w:val="29"/>
          <w:szCs w:val="29"/>
          <w:b w:val="1"/>
          <w:bCs w:val="1"/>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-179705</wp:posOffset>
            </wp:positionV>
            <wp:extent cx="1971675" cy="2400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0">
                      <a:extLst>
                        <a:ext uri="{28A0092B-C50C-407E-A947-70E740481C1C}"/>
                      </a:extLst>
                    </a:blip>
                    <a:srcRect/>
                    <a:stretch>
                      <a:fillRect/>
                    </a:stretch>
                  </pic:blipFill>
                  <pic:spPr bwMode="auto">
                    <a:xfrm>
                      <a:off x="0" y="0"/>
                      <a:ext cx="1971675" cy="240030"/>
                    </a:xfrm>
                    <a:prstGeom prst="rect">
                      <a:avLst/>
                    </a:prstGeom>
                    <a:noFill/>
                  </pic:spPr>
                </pic:pic>
              </a:graphicData>
            </a:graphic>
          </wp:anchor>
        </w:drawing>
      </w:r>
    </w:p>
    <w:p>
      <w:pPr>
        <w:ind w:left="3680"/>
        <w:spacing w:after="0" w:line="198" w:lineRule="auto"/>
        <w:rPr>
          <w:sz w:val="20"/>
          <w:szCs w:val="20"/>
          <w:color w:val="auto"/>
        </w:rPr>
      </w:pPr>
      <w:r>
        <w:rPr>
          <w:rFonts w:ascii="Calibri" w:cs="Calibri" w:eastAsia="Calibri" w:hAnsi="Calibri"/>
          <w:sz w:val="16"/>
          <w:szCs w:val="16"/>
          <w:color w:val="auto"/>
        </w:rPr>
        <w:t>Last Revision Date: 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589788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1">
                      <a:extLst>
                        <a:ext uri="{28A0092B-C50C-407E-A947-70E740481C1C}"/>
                      </a:extLst>
                    </a:blip>
                    <a:srcRect/>
                    <a:stretch>
                      <a:fillRect/>
                    </a:stretch>
                  </pic:blipFill>
                  <pic:spPr bwMode="auto">
                    <a:xfrm>
                      <a:off x="0" y="0"/>
                      <a:ext cx="5897880" cy="2603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and intent to effect a change of control of the company. Follow-up reports on either Schedule 13D or 13G will be</w:t>
      </w:r>
    </w:p>
    <w:p>
      <w:pPr>
        <w:jc w:val="both"/>
        <w:spacing w:after="0" w:line="208" w:lineRule="auto"/>
        <w:rPr>
          <w:sz w:val="20"/>
          <w:szCs w:val="20"/>
          <w:color w:val="auto"/>
        </w:rPr>
      </w:pPr>
      <w:r>
        <w:rPr>
          <w:rFonts w:ascii="Arial" w:cs="Arial" w:eastAsia="Arial" w:hAnsi="Arial"/>
          <w:sz w:val="18"/>
          <w:szCs w:val="18"/>
          <w:color w:val="auto"/>
        </w:rPr>
        <w:t>required if any material changes in shareholdings occur. If an investor is eligible to use Schedule 13G, filings on Schedule 13G are due each succeeding year (or such earlier time as specified by the SEC) if there has been a change in the reported information during the year. If Schedule 13D is required, the investor must promptly file an</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amendment to report any material changes in the investor’s holdings (defined as 1% of the class of securities) or other specified material developments. No filing is required for Schedule 13G filers where a change in the percentage of shares owned by a reporting person is caused solely by a change in the number of outstanding</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shares; note, however, that Schedule 13D filers would be required to file an amendment under the same circumstances.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Certification and Compliance</w:t>
      </w:r>
    </w:p>
    <w:p>
      <w:pPr>
        <w:spacing w:after="0" w:line="198"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color w:val="auto"/>
        </w:rPr>
        <w:t>Directors and officers may be required, on at least an annual basis, to certify compliance with the attached Insider Trading Policy and with the additional provisions of this Designated Persons Addendum. In addition, the Company’s directors and officers are subject to the Company’s other policies and procedures concerning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confidential information and Securities in effect from time to time.</w:t>
      </w:r>
    </w:p>
    <w:p>
      <w:pPr>
        <w:spacing w:after="0" w:line="15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DO NOT FORGET: ALL TRANSACTIONS IN THE COMPANY’S STOCK BY DESIGNATED PERSONS</w:t>
      </w:r>
    </w:p>
    <w:p>
      <w:pPr>
        <w:jc w:val="center"/>
        <w:spacing w:after="0"/>
        <w:rPr>
          <w:sz w:val="20"/>
          <w:szCs w:val="20"/>
          <w:color w:val="auto"/>
        </w:rPr>
      </w:pPr>
      <w:r>
        <w:rPr>
          <w:rFonts w:ascii="Arial" w:cs="Arial" w:eastAsia="Arial" w:hAnsi="Arial"/>
          <w:sz w:val="18"/>
          <w:szCs w:val="18"/>
          <w:b w:val="1"/>
          <w:bCs w:val="1"/>
          <w:color w:val="auto"/>
        </w:rPr>
        <w:t>ARE SUBJECT TO PRE-TRANSACTION NOTIFICATION PROCEDURES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10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173990</wp:posOffset>
            </wp:positionV>
            <wp:extent cx="5940425" cy="514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2">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280"/>
          </w:cols>
          <w:pgMar w:left="1300" w:top="137" w:right="1319" w:bottom="1440" w:gutter="0" w:footer="0" w:header="0"/>
        </w:sectPr>
      </w:pPr>
    </w:p>
    <w:bookmarkStart w:id="79" w:name="page80"/>
    <w:bookmarkEnd w:id="79"/>
    <w:p>
      <w:pPr>
        <w:ind w:left="3680"/>
        <w:spacing w:after="0"/>
        <w:rPr>
          <w:sz w:val="20"/>
          <w:szCs w:val="20"/>
          <w:color w:val="auto"/>
        </w:rPr>
      </w:pPr>
      <w:r>
        <w:rPr>
          <w:rFonts w:ascii="Calibri" w:cs="Calibri" w:eastAsia="Calibri" w:hAnsi="Calibri"/>
          <w:sz w:val="29"/>
          <w:szCs w:val="29"/>
          <w:b w:val="1"/>
          <w:bCs w:val="1"/>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-179705</wp:posOffset>
            </wp:positionV>
            <wp:extent cx="1971675" cy="2400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3">
                      <a:extLst>
                        <a:ext uri="{28A0092B-C50C-407E-A947-70E740481C1C}"/>
                      </a:extLst>
                    </a:blip>
                    <a:srcRect/>
                    <a:stretch>
                      <a:fillRect/>
                    </a:stretch>
                  </pic:blipFill>
                  <pic:spPr bwMode="auto">
                    <a:xfrm>
                      <a:off x="0" y="0"/>
                      <a:ext cx="1971675" cy="240030"/>
                    </a:xfrm>
                    <a:prstGeom prst="rect">
                      <a:avLst/>
                    </a:prstGeom>
                    <a:noFill/>
                  </pic:spPr>
                </pic:pic>
              </a:graphicData>
            </a:graphic>
          </wp:anchor>
        </w:drawing>
      </w:r>
    </w:p>
    <w:p>
      <w:pPr>
        <w:ind w:left="3680"/>
        <w:spacing w:after="0" w:line="198" w:lineRule="auto"/>
        <w:rPr>
          <w:sz w:val="20"/>
          <w:szCs w:val="20"/>
          <w:color w:val="auto"/>
        </w:rPr>
      </w:pPr>
      <w:r>
        <w:rPr>
          <w:rFonts w:ascii="Calibri" w:cs="Calibri" w:eastAsia="Calibri" w:hAnsi="Calibri"/>
          <w:sz w:val="16"/>
          <w:szCs w:val="16"/>
          <w:color w:val="auto"/>
        </w:rPr>
        <w:t>Last Revision Date: 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589788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4">
                      <a:extLst>
                        <a:ext uri="{28A0092B-C50C-407E-A947-70E740481C1C}"/>
                      </a:extLst>
                    </a:blip>
                    <a:srcRect/>
                    <a:stretch>
                      <a:fillRect/>
                    </a:stretch>
                  </pic:blipFill>
                  <pic:spPr bwMode="auto">
                    <a:xfrm>
                      <a:off x="0" y="0"/>
                      <a:ext cx="5897880" cy="2603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ACKNOWLEDGEMENT</w:t>
      </w:r>
    </w:p>
    <w:p>
      <w:pPr>
        <w:spacing w:after="0" w:line="158"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undersigned hereby acknowledges that he/she has read and understands, and agrees to comply with, the Insider Trading Policy of Tile Shop Holdings, Inc.</w:t>
      </w:r>
    </w:p>
    <w:p>
      <w:pPr>
        <w:spacing w:after="0" w:line="302"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By:</w:t>
      </w:r>
    </w:p>
    <w:p>
      <w:pPr>
        <w:spacing w:after="0" w:line="33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Name Printed:</w:t>
      </w:r>
    </w:p>
    <w:p>
      <w:pPr>
        <w:spacing w:after="0" w:line="33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173990</wp:posOffset>
            </wp:positionV>
            <wp:extent cx="5940425" cy="508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5">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37" w:right="1319" w:bottom="1440" w:gutter="0" w:footer="0" w:header="0"/>
        </w:sectPr>
      </w:pPr>
    </w:p>
    <w:bookmarkStart w:id="80" w:name="page81"/>
    <w:bookmarkEnd w:id="80"/>
    <w:p>
      <w:pPr>
        <w:ind w:left="3680"/>
        <w:spacing w:after="0"/>
        <w:rPr>
          <w:sz w:val="20"/>
          <w:szCs w:val="20"/>
          <w:color w:val="auto"/>
        </w:rPr>
      </w:pPr>
      <w:r>
        <w:rPr>
          <w:rFonts w:ascii="Calibri" w:cs="Calibri" w:eastAsia="Calibri" w:hAnsi="Calibri"/>
          <w:sz w:val="29"/>
          <w:szCs w:val="29"/>
          <w:b w:val="1"/>
          <w:bCs w:val="1"/>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-179705</wp:posOffset>
            </wp:positionV>
            <wp:extent cx="1971675" cy="2400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6">
                      <a:extLst>
                        <a:ext uri="{28A0092B-C50C-407E-A947-70E740481C1C}"/>
                      </a:extLst>
                    </a:blip>
                    <a:srcRect/>
                    <a:stretch>
                      <a:fillRect/>
                    </a:stretch>
                  </pic:blipFill>
                  <pic:spPr bwMode="auto">
                    <a:xfrm>
                      <a:off x="0" y="0"/>
                      <a:ext cx="1971675" cy="240030"/>
                    </a:xfrm>
                    <a:prstGeom prst="rect">
                      <a:avLst/>
                    </a:prstGeom>
                    <a:noFill/>
                  </pic:spPr>
                </pic:pic>
              </a:graphicData>
            </a:graphic>
          </wp:anchor>
        </w:drawing>
      </w:r>
    </w:p>
    <w:p>
      <w:pPr>
        <w:ind w:left="3680"/>
        <w:spacing w:after="0" w:line="198" w:lineRule="auto"/>
        <w:rPr>
          <w:sz w:val="20"/>
          <w:szCs w:val="20"/>
          <w:color w:val="auto"/>
        </w:rPr>
      </w:pPr>
      <w:r>
        <w:rPr>
          <w:rFonts w:ascii="Calibri" w:cs="Calibri" w:eastAsia="Calibri" w:hAnsi="Calibri"/>
          <w:sz w:val="16"/>
          <w:szCs w:val="16"/>
          <w:color w:val="auto"/>
        </w:rPr>
        <w:t>Last Revision Date: 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589788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7">
                      <a:extLst>
                        <a:ext uri="{28A0092B-C50C-407E-A947-70E740481C1C}"/>
                      </a:extLst>
                    </a:blip>
                    <a:srcRect/>
                    <a:stretch>
                      <a:fillRect/>
                    </a:stretch>
                  </pic:blipFill>
                  <pic:spPr bwMode="auto">
                    <a:xfrm>
                      <a:off x="0" y="0"/>
                      <a:ext cx="5897880" cy="2603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w:t>
      </w:r>
    </w:p>
    <w:p>
      <w:pPr>
        <w:jc w:val="center"/>
        <w:spacing w:after="0"/>
        <w:rPr>
          <w:sz w:val="20"/>
          <w:szCs w:val="20"/>
          <w:color w:val="auto"/>
        </w:rPr>
      </w:pPr>
      <w:r>
        <w:rPr>
          <w:rFonts w:ascii="Arial" w:cs="Arial" w:eastAsia="Arial" w:hAnsi="Arial"/>
          <w:sz w:val="18"/>
          <w:szCs w:val="18"/>
          <w:b w:val="1"/>
          <w:bCs w:val="1"/>
          <w:color w:val="auto"/>
        </w:rPr>
        <w:t>TO DESIGNATED PERSONS ADDENDUM</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INSIDER TRADING POLICY</w:t>
      </w:r>
    </w:p>
    <w:p>
      <w:pPr>
        <w:jc w:val="center"/>
        <w:spacing w:after="0" w:line="219" w:lineRule="auto"/>
        <w:rPr>
          <w:sz w:val="20"/>
          <w:szCs w:val="20"/>
          <w:color w:val="auto"/>
        </w:rPr>
      </w:pPr>
      <w:r>
        <w:rPr>
          <w:rFonts w:ascii="Arial" w:cs="Arial" w:eastAsia="Arial" w:hAnsi="Arial"/>
          <w:sz w:val="18"/>
          <w:szCs w:val="18"/>
          <w:b w:val="1"/>
          <w:bCs w:val="1"/>
          <w:color w:val="auto"/>
        </w:rPr>
        <w:t>OF</w:t>
      </w:r>
    </w:p>
    <w:p>
      <w:pPr>
        <w:jc w:val="center"/>
        <w:spacing w:after="0"/>
        <w:rPr>
          <w:sz w:val="20"/>
          <w:szCs w:val="20"/>
          <w:color w:val="auto"/>
        </w:rPr>
      </w:pPr>
      <w:r>
        <w:rPr>
          <w:rFonts w:ascii="Arial" w:cs="Arial" w:eastAsia="Arial" w:hAnsi="Arial"/>
          <w:sz w:val="18"/>
          <w:szCs w:val="18"/>
          <w:b w:val="1"/>
          <w:bCs w:val="1"/>
          <w:color w:val="auto"/>
        </w:rPr>
        <w:t>TILE SHOP HOLDINGS, INC.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DESIGNATED PERSONS</w:t>
      </w:r>
    </w:p>
    <w:p>
      <w:pPr>
        <w:spacing w:after="0" w:line="1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following classes of persons are “Designated Persons” for the purpose of the Insider Trading Policy of Tile Shop Holdings, Inc. (the “</w:t>
      </w:r>
      <w:r>
        <w:rPr>
          <w:rFonts w:ascii="Arial" w:cs="Arial" w:eastAsia="Arial" w:hAnsi="Arial"/>
          <w:sz w:val="18"/>
          <w:szCs w:val="18"/>
          <w:u w:val="single" w:color="auto"/>
          <w:color w:val="auto"/>
        </w:rPr>
        <w:t>Company</w:t>
      </w:r>
      <w:r>
        <w:rPr>
          <w:rFonts w:ascii="Arial" w:cs="Arial" w:eastAsia="Arial" w:hAnsi="Arial"/>
          <w:sz w:val="18"/>
          <w:szCs w:val="18"/>
          <w:color w:val="auto"/>
        </w:rPr>
        <w:t>”). The Company may amend this Appendix from time to time as it deems necessary.</w:t>
      </w:r>
    </w:p>
    <w:p>
      <w:pPr>
        <w:spacing w:after="0" w:line="139" w:lineRule="exact"/>
        <w:rPr>
          <w:sz w:val="20"/>
          <w:szCs w:val="20"/>
          <w:color w:val="auto"/>
        </w:rPr>
      </w:pPr>
    </w:p>
    <w:p>
      <w:pPr>
        <w:ind w:left="640" w:hanging="316"/>
        <w:spacing w:after="0"/>
        <w:tabs>
          <w:tab w:leader="none" w:pos="682"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members of the Board of Directors of the Company and any nominee to the Board of Directors whose election is pending approval by the Company’s shareholders (“</w:t>
      </w:r>
      <w:r>
        <w:rPr>
          <w:rFonts w:ascii="Arial" w:cs="Arial" w:eastAsia="Arial" w:hAnsi="Arial"/>
          <w:sz w:val="18"/>
          <w:szCs w:val="18"/>
          <w:u w:val="single" w:color="auto"/>
          <w:color w:val="auto"/>
        </w:rPr>
        <w:t>Directors</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jc w:val="both"/>
        <w:ind w:left="640" w:hanging="316"/>
        <w:spacing w:after="0" w:line="227" w:lineRule="auto"/>
        <w:tabs>
          <w:tab w:leader="none" w:pos="682"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persons designated as “officers” of the Company as defined in Section 16 of the Securities Exchange Act of 1934, as amended, who are subject to the reporting provisions and trading restrictions thereof (“</w:t>
      </w:r>
      <w:r>
        <w:rPr>
          <w:rFonts w:ascii="Arial" w:cs="Arial" w:eastAsia="Arial" w:hAnsi="Arial"/>
          <w:sz w:val="18"/>
          <w:szCs w:val="18"/>
          <w:u w:val="single" w:color="auto"/>
          <w:color w:val="auto"/>
        </w:rPr>
        <w:t>Officers</w:t>
      </w:r>
      <w:r>
        <w:rPr>
          <w:rFonts w:ascii="Arial" w:cs="Arial" w:eastAsia="Arial" w:hAnsi="Arial"/>
          <w:sz w:val="18"/>
          <w:szCs w:val="18"/>
          <w:color w:val="auto"/>
        </w:rPr>
        <w:t>”).</w:t>
      </w:r>
    </w:p>
    <w:p>
      <w:pPr>
        <w:spacing w:after="0" w:line="168" w:lineRule="exact"/>
        <w:rPr>
          <w:rFonts w:ascii="Arial" w:cs="Arial" w:eastAsia="Arial" w:hAnsi="Arial"/>
          <w:sz w:val="18"/>
          <w:szCs w:val="18"/>
          <w:color w:val="auto"/>
        </w:rPr>
      </w:pPr>
    </w:p>
    <w:p>
      <w:pPr>
        <w:ind w:left="640" w:hanging="316"/>
        <w:spacing w:after="0"/>
        <w:tabs>
          <w:tab w:leader="none" w:pos="682"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Company employees who may be notified from time to time by the Company’s Chief Financial Officer (“</w:t>
      </w:r>
      <w:r>
        <w:rPr>
          <w:rFonts w:ascii="Arial" w:cs="Arial" w:eastAsia="Arial" w:hAnsi="Arial"/>
          <w:sz w:val="18"/>
          <w:szCs w:val="18"/>
          <w:u w:val="single" w:color="auto"/>
          <w:color w:val="auto"/>
        </w:rPr>
        <w:t>Designated Employees</w:t>
      </w:r>
      <w:r>
        <w:rPr>
          <w:rFonts w:ascii="Arial" w:cs="Arial" w:eastAsia="Arial" w:hAnsi="Arial"/>
          <w:sz w:val="18"/>
          <w:szCs w:val="18"/>
          <w:color w:val="auto"/>
        </w:rPr>
        <w:t>”).</w:t>
      </w:r>
    </w:p>
    <w:p>
      <w:pPr>
        <w:spacing w:after="0" w:line="153" w:lineRule="exact"/>
        <w:rPr>
          <w:rFonts w:ascii="Arial" w:cs="Arial" w:eastAsia="Arial" w:hAnsi="Arial"/>
          <w:sz w:val="18"/>
          <w:szCs w:val="18"/>
          <w:color w:val="auto"/>
        </w:rPr>
      </w:pPr>
    </w:p>
    <w:p>
      <w:pPr>
        <w:jc w:val="both"/>
        <w:ind w:left="640" w:hanging="316"/>
        <w:spacing w:after="0" w:line="218" w:lineRule="auto"/>
        <w:tabs>
          <w:tab w:leader="none" w:pos="682"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immediate family members of Directors, Officers and Designated Employees (i.e., spouse or domestic partner, children, parents and siblings, including in each case those related by adoption or through marriage), and any other person whose securities trading is directed by the Director, Officer or Designated Employee or subject to their influence or control, or who shares the same address as the Director, Officer or Designated Employee (other than (1) an employee or tenant of the Director, Officer or Designated Employee or (2) another unrelated person whom the Chief Financial Officer determines should not be covered by this Policy); and</w:t>
      </w:r>
    </w:p>
    <w:p>
      <w:pPr>
        <w:spacing w:after="0" w:line="168" w:lineRule="exact"/>
        <w:rPr>
          <w:rFonts w:ascii="Arial" w:cs="Arial" w:eastAsia="Arial" w:hAnsi="Arial"/>
          <w:sz w:val="18"/>
          <w:szCs w:val="18"/>
          <w:color w:val="auto"/>
        </w:rPr>
      </w:pPr>
    </w:p>
    <w:p>
      <w:pPr>
        <w:jc w:val="both"/>
        <w:ind w:left="640" w:hanging="316"/>
        <w:spacing w:after="0" w:line="227" w:lineRule="auto"/>
        <w:tabs>
          <w:tab w:leader="none" w:pos="682"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corporations, partnerships, trusts or other entities (other than the Company) controlled by any of the above persons, unless the entity has implemented policies or procedures designed to ensure that such person cannot influence transactions by the entity involving Company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173990</wp:posOffset>
            </wp:positionV>
            <wp:extent cx="5940425" cy="508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8">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37" w:right="1319" w:bottom="1440" w:gutter="0" w:footer="0" w:header="0"/>
        </w:sectPr>
      </w:pPr>
    </w:p>
    <w:bookmarkStart w:id="81" w:name="page82"/>
    <w:bookmarkEnd w:id="81"/>
    <w:p>
      <w:pPr>
        <w:ind w:left="3680"/>
        <w:spacing w:after="0"/>
        <w:rPr>
          <w:sz w:val="20"/>
          <w:szCs w:val="20"/>
          <w:color w:val="auto"/>
        </w:rPr>
      </w:pPr>
      <w:r>
        <w:rPr>
          <w:rFonts w:ascii="Calibri" w:cs="Calibri" w:eastAsia="Calibri" w:hAnsi="Calibri"/>
          <w:sz w:val="29"/>
          <w:szCs w:val="29"/>
          <w:b w:val="1"/>
          <w:bCs w:val="1"/>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-179705</wp:posOffset>
            </wp:positionV>
            <wp:extent cx="1971675" cy="2400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9">
                      <a:extLst>
                        <a:ext uri="{28A0092B-C50C-407E-A947-70E740481C1C}"/>
                      </a:extLst>
                    </a:blip>
                    <a:srcRect/>
                    <a:stretch>
                      <a:fillRect/>
                    </a:stretch>
                  </pic:blipFill>
                  <pic:spPr bwMode="auto">
                    <a:xfrm>
                      <a:off x="0" y="0"/>
                      <a:ext cx="1971675" cy="240030"/>
                    </a:xfrm>
                    <a:prstGeom prst="rect">
                      <a:avLst/>
                    </a:prstGeom>
                    <a:noFill/>
                  </pic:spPr>
                </pic:pic>
              </a:graphicData>
            </a:graphic>
          </wp:anchor>
        </w:drawing>
      </w:r>
    </w:p>
    <w:p>
      <w:pPr>
        <w:ind w:left="3680"/>
        <w:spacing w:after="0" w:line="198" w:lineRule="auto"/>
        <w:rPr>
          <w:sz w:val="20"/>
          <w:szCs w:val="20"/>
          <w:color w:val="auto"/>
        </w:rPr>
      </w:pPr>
      <w:r>
        <w:rPr>
          <w:rFonts w:ascii="Calibri" w:cs="Calibri" w:eastAsia="Calibri" w:hAnsi="Calibri"/>
          <w:sz w:val="16"/>
          <w:szCs w:val="16"/>
          <w:color w:val="auto"/>
        </w:rPr>
        <w:t>Last Revision Date: 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589788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0">
                      <a:extLst>
                        <a:ext uri="{28A0092B-C50C-407E-A947-70E740481C1C}"/>
                      </a:extLst>
                    </a:blip>
                    <a:srcRect/>
                    <a:stretch>
                      <a:fillRect/>
                    </a:stretch>
                  </pic:blipFill>
                  <pic:spPr bwMode="auto">
                    <a:xfrm>
                      <a:off x="0" y="0"/>
                      <a:ext cx="5897880" cy="2603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PRE-TRADE 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Proposed Transaction Date: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Type of Security to be Traded: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Type of Transaction(s) (</w:t>
      </w:r>
      <w:r>
        <w:rPr>
          <w:rFonts w:ascii="Arial" w:cs="Arial" w:eastAsia="Arial" w:hAnsi="Arial"/>
          <w:sz w:val="18"/>
          <w:szCs w:val="18"/>
          <w:i w:val="1"/>
          <w:iCs w:val="1"/>
          <w:color w:val="auto"/>
        </w:rPr>
        <w:t>e.g.,</w:t>
      </w:r>
      <w:r>
        <w:rPr>
          <w:rFonts w:ascii="Arial" w:cs="Arial" w:eastAsia="Arial" w:hAnsi="Arial"/>
          <w:sz w:val="18"/>
          <w:szCs w:val="18"/>
          <w:color w:val="auto"/>
        </w:rPr>
        <w:t xml:space="preserve"> Purchase / Sale / Entry into, Modification or Termination of Rule 10b5-1 Plan (if Plan,</w:t>
      </w:r>
    </w:p>
    <w:p>
      <w:pPr>
        <w:spacing w:after="0" w:line="203" w:lineRule="auto"/>
        <w:rPr>
          <w:sz w:val="20"/>
          <w:szCs w:val="20"/>
          <w:color w:val="auto"/>
        </w:rPr>
      </w:pPr>
      <w:r>
        <w:rPr>
          <w:rFonts w:ascii="Arial" w:cs="Arial" w:eastAsia="Arial" w:hAnsi="Arial"/>
          <w:sz w:val="18"/>
          <w:szCs w:val="18"/>
          <w:color w:val="auto"/>
        </w:rPr>
        <w:t>please attach) / Gift / Other (please</w:t>
      </w:r>
    </w:p>
    <w:p>
      <w:pPr>
        <w:spacing w:after="0"/>
        <w:rPr>
          <w:sz w:val="20"/>
          <w:szCs w:val="20"/>
          <w:color w:val="auto"/>
        </w:rPr>
      </w:pPr>
      <w:r>
        <w:rPr>
          <w:rFonts w:ascii="Arial" w:cs="Arial" w:eastAsia="Arial" w:hAnsi="Arial"/>
          <w:sz w:val="18"/>
          <w:szCs w:val="18"/>
          <w:color w:val="auto"/>
        </w:rPr>
        <w:t>specify)):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Involved (if applicable):</w:t>
      </w:r>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 xml:space="preserve">I hereby certify that I am not in possession of any material non-public information about </w:t>
      </w:r>
      <w:r>
        <w:rPr>
          <w:rFonts w:ascii="Arial" w:cs="Arial" w:eastAsia="Arial" w:hAnsi="Arial"/>
          <w:sz w:val="18"/>
          <w:szCs w:val="18"/>
          <w:b w:val="1"/>
          <w:bCs w:val="1"/>
          <w:u w:val="single" w:color="auto"/>
          <w:color w:val="auto"/>
        </w:rPr>
        <w:t>Tile Shop</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Holdings, Inc.</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 or its subsidiaries. I understand that material non-public information is</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information concerning the Company that (a) is not generally known to the public; and (b) if publicly known, would be likely to affect either the market price of Company securities or a person’s decision to buy, sell or hold Company securities. I understand that if I trade while in possession of material non-public information, I may be subject to</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severe civil or criminal penalties and may be subject to discipline by the Company up to and including termination for cause. The undersigned agrees to advise the Company promptly if, as a result of future developments, any of the foregoing information becomes inaccurate or incomplete in any respect. The undersigned understands that the</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Company may require additional information about the transaction and agrees to provide such information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13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173990</wp:posOffset>
            </wp:positionV>
            <wp:extent cx="5940425" cy="508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1">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37" w:right="1319" w:bottom="1440" w:gutter="0" w:footer="0" w:header="0"/>
        </w:sectPr>
      </w:pPr>
    </w:p>
    <w:bookmarkStart w:id="82" w:name="page83"/>
    <w:bookmarkEnd w:id="82"/>
    <w:p>
      <w:pPr>
        <w:jc w:val="right"/>
        <w:ind w:right="199"/>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51" w:lineRule="exact"/>
        <w:rPr>
          <w:sz w:val="20"/>
          <w:szCs w:val="20"/>
          <w:color w:val="auto"/>
        </w:rPr>
      </w:pPr>
    </w:p>
    <w:p>
      <w:pPr>
        <w:ind w:left="180" w:right="199"/>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Statements No. 333-183455, No. 333-190088 and No. 333-258070 on Form S-8 of our report dated February 29, 2024, relating to the consolidated financial statements of Tile Shop Holdings, Inc. and Subsidiaries (the Company), and the effectiveness of the Company’s internal control over financial reporting (on which our report expresses an adverse opinion on the effectiveness of the Company’s internal control over financial reporting because of material weaknesses), appearing in the Annual Report on Form 10-K of the Company for the year ended December 31, 2023.</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250190</wp:posOffset>
            </wp:positionV>
            <wp:extent cx="5528945" cy="514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2">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3" w:name="page84"/>
    <w:bookmarkEnd w:id="83"/>
    <w:p>
      <w:pPr>
        <w:jc w:val="right"/>
        <w:ind w:right="199"/>
        <w:spacing w:after="0"/>
        <w:rPr>
          <w:sz w:val="20"/>
          <w:szCs w:val="20"/>
          <w:color w:val="auto"/>
        </w:rPr>
      </w:pPr>
      <w:r>
        <w:rPr>
          <w:rFonts w:ascii="Times New Roman" w:cs="Times New Roman" w:eastAsia="Times New Roman" w:hAnsi="Times New Roman"/>
          <w:sz w:val="18"/>
          <w:szCs w:val="18"/>
          <w:color w:val="auto"/>
        </w:rPr>
        <w:t>Exhibit 23.2</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Nos. 333-183455, 333-190088</w:t>
      </w:r>
    </w:p>
    <w:p>
      <w:pPr>
        <w:spacing w:after="0" w:line="2" w:lineRule="exact"/>
        <w:rPr>
          <w:sz w:val="20"/>
          <w:szCs w:val="20"/>
          <w:color w:val="auto"/>
        </w:rPr>
      </w:pPr>
    </w:p>
    <w:p>
      <w:pPr>
        <w:jc w:val="both"/>
        <w:ind w:left="180" w:right="499"/>
        <w:spacing w:after="0" w:line="220" w:lineRule="auto"/>
        <w:rPr>
          <w:sz w:val="20"/>
          <w:szCs w:val="20"/>
          <w:color w:val="auto"/>
        </w:rPr>
      </w:pPr>
      <w:r>
        <w:rPr>
          <w:rFonts w:ascii="Times New Roman" w:cs="Times New Roman" w:eastAsia="Times New Roman" w:hAnsi="Times New Roman"/>
          <w:sz w:val="17"/>
          <w:szCs w:val="17"/>
          <w:color w:val="auto"/>
        </w:rPr>
        <w:t>and 333-258070) pertaining to the 2012 Omnibus Award Plan and the 2021 Equity Compensation Plan of Tile Shop Holdings, Inc. of our report dated March 2, 2023, with respect to the consolidated financial statements of Tile Shop Holdings, Inc. and Subsidiaries included in this Annual Report (Form 10-K) filed with the Securities and Exchange</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Commission on February 29, 2024.</w:t>
      </w:r>
    </w:p>
    <w:p>
      <w:pPr>
        <w:spacing w:after="0" w:line="1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/s/Ernst &amp; Young LLP</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351790</wp:posOffset>
            </wp:positionV>
            <wp:extent cx="5528945" cy="514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3">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4" w:name="page85"/>
    <w:bookmarkEnd w:id="84"/>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ind w:left="180" w:right="2199" w:firstLine="1998"/>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302 CERTIFICATION OF CHIEF EXECUTIVE OFFICER </w:t>
      </w:r>
      <w:r>
        <w:rPr>
          <w:rFonts w:ascii="Times New Roman" w:cs="Times New Roman" w:eastAsia="Times New Roman" w:hAnsi="Times New Roman"/>
          <w:sz w:val="18"/>
          <w:szCs w:val="18"/>
          <w:color w:val="auto"/>
        </w:rPr>
        <w:t>I, Cabell H. Lolmaugh, certify that:</w:t>
      </w:r>
    </w:p>
    <w:p>
      <w:pPr>
        <w:ind w:left="500" w:hanging="316"/>
        <w:spacing w:after="0"/>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Tile Shop Holdings, Inc.;</w:t>
      </w:r>
    </w:p>
    <w:p>
      <w:pPr>
        <w:spacing w:after="0" w:line="144" w:lineRule="exact"/>
        <w:rPr>
          <w:rFonts w:ascii="Times New Roman" w:cs="Times New Roman" w:eastAsia="Times New Roman" w:hAnsi="Times New Roman"/>
          <w:sz w:val="18"/>
          <w:szCs w:val="18"/>
          <w:color w:val="auto"/>
        </w:rPr>
      </w:pPr>
    </w:p>
    <w:p>
      <w:pPr>
        <w:ind w:left="500" w:right="499" w:hanging="316"/>
        <w:spacing w:after="0" w:line="231" w:lineRule="auto"/>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1" w:lineRule="exact"/>
        <w:rPr>
          <w:rFonts w:ascii="Times New Roman" w:cs="Times New Roman" w:eastAsia="Times New Roman" w:hAnsi="Times New Roman"/>
          <w:sz w:val="18"/>
          <w:szCs w:val="18"/>
          <w:color w:val="auto"/>
        </w:rPr>
      </w:pPr>
    </w:p>
    <w:p>
      <w:pPr>
        <w:ind w:left="500" w:right="379" w:hanging="316"/>
        <w:spacing w:after="0" w:line="226" w:lineRule="auto"/>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Times New Roman" w:cs="Times New Roman" w:eastAsia="Times New Roman" w:hAnsi="Times New Roman"/>
          <w:sz w:val="18"/>
          <w:szCs w:val="18"/>
          <w:color w:val="auto"/>
        </w:rPr>
      </w:pPr>
    </w:p>
    <w:p>
      <w:pPr>
        <w:ind w:left="500" w:right="399" w:hanging="316"/>
        <w:spacing w:after="0" w:line="231" w:lineRule="auto"/>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17" w:lineRule="exact"/>
        <w:rPr>
          <w:rFonts w:ascii="Times New Roman" w:cs="Times New Roman" w:eastAsia="Times New Roman" w:hAnsi="Times New Roman"/>
          <w:sz w:val="18"/>
          <w:szCs w:val="18"/>
          <w:color w:val="auto"/>
        </w:rPr>
      </w:pPr>
    </w:p>
    <w:p>
      <w:pPr>
        <w:ind w:left="820" w:right="239" w:hanging="312"/>
        <w:spacing w:after="0" w:line="224" w:lineRule="auto"/>
        <w:tabs>
          <w:tab w:leader="none" w:pos="8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Times New Roman" w:cs="Times New Roman" w:eastAsia="Times New Roman" w:hAnsi="Times New Roman"/>
          <w:sz w:val="18"/>
          <w:szCs w:val="18"/>
          <w:color w:val="auto"/>
        </w:rPr>
      </w:pPr>
    </w:p>
    <w:p>
      <w:pPr>
        <w:ind w:left="820" w:right="219" w:hanging="312"/>
        <w:spacing w:after="0" w:line="224" w:lineRule="auto"/>
        <w:tabs>
          <w:tab w:leader="none" w:pos="8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8"/>
          <w:szCs w:val="18"/>
          <w:color w:val="auto"/>
        </w:rPr>
      </w:pPr>
    </w:p>
    <w:p>
      <w:pPr>
        <w:jc w:val="both"/>
        <w:ind w:left="820" w:right="399" w:hanging="312"/>
        <w:spacing w:after="0" w:line="231" w:lineRule="auto"/>
        <w:tabs>
          <w:tab w:leader="none" w:pos="8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ind w:left="820" w:right="319" w:hanging="312"/>
        <w:spacing w:after="0" w:line="224" w:lineRule="auto"/>
        <w:tabs>
          <w:tab w:leader="none" w:pos="8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Times New Roman" w:cs="Times New Roman" w:eastAsia="Times New Roman" w:hAnsi="Times New Roman"/>
          <w:sz w:val="18"/>
          <w:szCs w:val="18"/>
          <w:color w:val="auto"/>
        </w:rPr>
      </w:pPr>
    </w:p>
    <w:p>
      <w:pPr>
        <w:ind w:left="500" w:right="559" w:hanging="316"/>
        <w:spacing w:after="0" w:line="226" w:lineRule="auto"/>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Times New Roman" w:cs="Times New Roman" w:eastAsia="Times New Roman" w:hAnsi="Times New Roman"/>
          <w:sz w:val="18"/>
          <w:szCs w:val="18"/>
          <w:color w:val="auto"/>
        </w:rPr>
      </w:pPr>
    </w:p>
    <w:p>
      <w:pPr>
        <w:ind w:left="820" w:right="499" w:hanging="312"/>
        <w:spacing w:after="0" w:line="231" w:lineRule="auto"/>
        <w:tabs>
          <w:tab w:leader="none" w:pos="8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820" w:right="299" w:hanging="312"/>
        <w:spacing w:after="0" w:line="250" w:lineRule="auto"/>
        <w:tabs>
          <w:tab w:leader="none" w:pos="8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1" w:lineRule="exact"/>
        <w:rPr>
          <w:sz w:val="20"/>
          <w:szCs w:val="20"/>
          <w:color w:val="auto"/>
        </w:rPr>
      </w:pPr>
    </w:p>
    <w:p>
      <w:pPr>
        <w:ind w:left="180"/>
        <w:spacing w:after="0"/>
        <w:tabs>
          <w:tab w:leader="none" w:pos="4480" w:val="left"/>
        </w:tabs>
        <w:rPr>
          <w:sz w:val="20"/>
          <w:szCs w:val="20"/>
          <w:color w:val="auto"/>
        </w:rPr>
      </w:pPr>
      <w:r>
        <w:rPr>
          <w:rFonts w:ascii="Times New Roman" w:cs="Times New Roman" w:eastAsia="Times New Roman" w:hAnsi="Times New Roman"/>
          <w:sz w:val="18"/>
          <w:szCs w:val="18"/>
          <w:color w:val="auto"/>
        </w:rPr>
        <w:t>Date: February 29, 2024</w:t>
      </w:r>
      <w:r>
        <w:rPr>
          <w:sz w:val="20"/>
          <w:szCs w:val="20"/>
          <w:color w:val="auto"/>
        </w:rPr>
        <w:tab/>
      </w:r>
      <w:r>
        <w:rPr>
          <w:rFonts w:ascii="Times New Roman" w:cs="Times New Roman" w:eastAsia="Times New Roman" w:hAnsi="Times New Roman"/>
          <w:sz w:val="18"/>
          <w:szCs w:val="18"/>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0</wp:posOffset>
            </wp:positionV>
            <wp:extent cx="27432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4">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Cabell H. Lolmaugh</w:t>
      </w:r>
    </w:p>
    <w:p>
      <w:pPr>
        <w:ind w:left="45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08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5" w:name="page86"/>
    <w:bookmarkEnd w:id="85"/>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302 CERTIFICATION OF CHIEF FINANCIAL OFFICER</w:t>
      </w:r>
    </w:p>
    <w:p>
      <w:pPr>
        <w:spacing w:after="0" w:line="1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 Karla Lunan, certify that:</w:t>
      </w:r>
    </w:p>
    <w:p>
      <w:pPr>
        <w:spacing w:after="0" w:line="158" w:lineRule="exact"/>
        <w:rPr>
          <w:sz w:val="20"/>
          <w:szCs w:val="20"/>
          <w:color w:val="auto"/>
        </w:rPr>
      </w:pPr>
    </w:p>
    <w:p>
      <w:pPr>
        <w:ind w:left="500" w:hanging="316"/>
        <w:spacing w:after="0"/>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Tile Shop Holdings, Inc.;</w:t>
      </w:r>
    </w:p>
    <w:p>
      <w:pPr>
        <w:spacing w:after="0" w:line="144" w:lineRule="exact"/>
        <w:rPr>
          <w:rFonts w:ascii="Times New Roman" w:cs="Times New Roman" w:eastAsia="Times New Roman" w:hAnsi="Times New Roman"/>
          <w:sz w:val="18"/>
          <w:szCs w:val="18"/>
          <w:color w:val="auto"/>
        </w:rPr>
      </w:pPr>
    </w:p>
    <w:p>
      <w:pPr>
        <w:ind w:left="500" w:right="499" w:hanging="316"/>
        <w:spacing w:after="0" w:line="231" w:lineRule="auto"/>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1" w:lineRule="exact"/>
        <w:rPr>
          <w:rFonts w:ascii="Times New Roman" w:cs="Times New Roman" w:eastAsia="Times New Roman" w:hAnsi="Times New Roman"/>
          <w:sz w:val="18"/>
          <w:szCs w:val="18"/>
          <w:color w:val="auto"/>
        </w:rPr>
      </w:pPr>
    </w:p>
    <w:p>
      <w:pPr>
        <w:ind w:left="500" w:right="379" w:hanging="316"/>
        <w:spacing w:after="0" w:line="226" w:lineRule="auto"/>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Times New Roman" w:cs="Times New Roman" w:eastAsia="Times New Roman" w:hAnsi="Times New Roman"/>
          <w:sz w:val="18"/>
          <w:szCs w:val="18"/>
          <w:color w:val="auto"/>
        </w:rPr>
      </w:pPr>
    </w:p>
    <w:p>
      <w:pPr>
        <w:ind w:left="500" w:right="399" w:hanging="316"/>
        <w:spacing w:after="0" w:line="231" w:lineRule="auto"/>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17" w:lineRule="exact"/>
        <w:rPr>
          <w:rFonts w:ascii="Times New Roman" w:cs="Times New Roman" w:eastAsia="Times New Roman" w:hAnsi="Times New Roman"/>
          <w:sz w:val="18"/>
          <w:szCs w:val="18"/>
          <w:color w:val="auto"/>
        </w:rPr>
      </w:pPr>
    </w:p>
    <w:p>
      <w:pPr>
        <w:ind w:left="820" w:right="239" w:hanging="312"/>
        <w:spacing w:after="0" w:line="224" w:lineRule="auto"/>
        <w:tabs>
          <w:tab w:leader="none" w:pos="8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Times New Roman" w:cs="Times New Roman" w:eastAsia="Times New Roman" w:hAnsi="Times New Roman"/>
          <w:sz w:val="18"/>
          <w:szCs w:val="18"/>
          <w:color w:val="auto"/>
        </w:rPr>
      </w:pPr>
    </w:p>
    <w:p>
      <w:pPr>
        <w:ind w:left="820" w:right="219" w:hanging="312"/>
        <w:spacing w:after="0" w:line="224" w:lineRule="auto"/>
        <w:tabs>
          <w:tab w:leader="none" w:pos="8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8"/>
          <w:szCs w:val="18"/>
          <w:color w:val="auto"/>
        </w:rPr>
      </w:pPr>
    </w:p>
    <w:p>
      <w:pPr>
        <w:jc w:val="both"/>
        <w:ind w:left="820" w:right="399" w:hanging="312"/>
        <w:spacing w:after="0" w:line="231" w:lineRule="auto"/>
        <w:tabs>
          <w:tab w:leader="none" w:pos="8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ind w:left="820" w:right="319" w:hanging="312"/>
        <w:spacing w:after="0" w:line="224" w:lineRule="auto"/>
        <w:tabs>
          <w:tab w:leader="none" w:pos="8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Times New Roman" w:cs="Times New Roman" w:eastAsia="Times New Roman" w:hAnsi="Times New Roman"/>
          <w:sz w:val="18"/>
          <w:szCs w:val="18"/>
          <w:color w:val="auto"/>
        </w:rPr>
      </w:pPr>
    </w:p>
    <w:p>
      <w:pPr>
        <w:ind w:left="500" w:right="559" w:hanging="316"/>
        <w:spacing w:after="0" w:line="226" w:lineRule="auto"/>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Times New Roman" w:cs="Times New Roman" w:eastAsia="Times New Roman" w:hAnsi="Times New Roman"/>
          <w:sz w:val="18"/>
          <w:szCs w:val="18"/>
          <w:color w:val="auto"/>
        </w:rPr>
      </w:pPr>
    </w:p>
    <w:p>
      <w:pPr>
        <w:ind w:left="820" w:right="499" w:hanging="312"/>
        <w:spacing w:after="0" w:line="231" w:lineRule="auto"/>
        <w:tabs>
          <w:tab w:leader="none" w:pos="8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820" w:right="299" w:hanging="312"/>
        <w:spacing w:after="0" w:line="250" w:lineRule="auto"/>
        <w:tabs>
          <w:tab w:leader="none" w:pos="8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ind w:left="180"/>
        <w:spacing w:after="0"/>
        <w:tabs>
          <w:tab w:leader="none" w:pos="4480" w:val="left"/>
        </w:tabs>
        <w:rPr>
          <w:sz w:val="20"/>
          <w:szCs w:val="20"/>
          <w:color w:val="auto"/>
        </w:rPr>
      </w:pPr>
      <w:r>
        <w:rPr>
          <w:rFonts w:ascii="Times New Roman" w:cs="Times New Roman" w:eastAsia="Times New Roman" w:hAnsi="Times New Roman"/>
          <w:sz w:val="18"/>
          <w:szCs w:val="18"/>
          <w:color w:val="auto"/>
        </w:rPr>
        <w:t>Date: February 29, 2024</w:t>
      </w:r>
      <w:r>
        <w:rPr>
          <w:sz w:val="20"/>
          <w:szCs w:val="20"/>
          <w:color w:val="auto"/>
        </w:rPr>
        <w:tab/>
      </w:r>
      <w:r>
        <w:rPr>
          <w:rFonts w:ascii="Times New Roman" w:cs="Times New Roman" w:eastAsia="Times New Roman" w:hAnsi="Times New Roman"/>
          <w:sz w:val="18"/>
          <w:szCs w:val="18"/>
          <w:color w:val="auto"/>
        </w:rPr>
        <w:t>/s/ KARLA LUNAN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0</wp:posOffset>
            </wp:positionV>
            <wp:extent cx="27432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6">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Karla Lunan,</w:t>
      </w:r>
    </w:p>
    <w:p>
      <w:pPr>
        <w:ind w:left="45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08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6" w:name="page87"/>
    <w:bookmarkEnd w:id="86"/>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313" w:lineRule="exact"/>
        <w:rPr>
          <w:sz w:val="20"/>
          <w:szCs w:val="20"/>
          <w:color w:val="auto"/>
        </w:rPr>
      </w:pPr>
    </w:p>
    <w:p>
      <w:pPr>
        <w:jc w:val="both"/>
        <w:ind w:left="180" w:right="459" w:firstLine="648"/>
        <w:spacing w:after="0" w:line="236" w:lineRule="auto"/>
        <w:rPr>
          <w:sz w:val="20"/>
          <w:szCs w:val="20"/>
          <w:color w:val="auto"/>
        </w:rPr>
      </w:pPr>
      <w:r>
        <w:rPr>
          <w:rFonts w:ascii="Times New Roman" w:cs="Times New Roman" w:eastAsia="Times New Roman" w:hAnsi="Times New Roman"/>
          <w:sz w:val="17"/>
          <w:szCs w:val="17"/>
          <w:color w:val="auto"/>
        </w:rPr>
        <w:t>Pursuant to 18 U.S.C. §1350 (as adopted pursuant to §906 of the Sarbanes-Oxley Act of 2002), I, Cabell H. Lolmaugh, the Chief Executive Officer of Tile Shop Holdings, Inc. (the “Company”), hereby certify that the Annual</w:t>
      </w:r>
    </w:p>
    <w:p>
      <w:pPr>
        <w:jc w:val="both"/>
        <w:ind w:left="180" w:right="479"/>
        <w:spacing w:after="0" w:line="218" w:lineRule="auto"/>
        <w:rPr>
          <w:sz w:val="20"/>
          <w:szCs w:val="20"/>
          <w:color w:val="auto"/>
        </w:rPr>
      </w:pPr>
      <w:r>
        <w:rPr>
          <w:rFonts w:ascii="Times New Roman" w:cs="Times New Roman" w:eastAsia="Times New Roman" w:hAnsi="Times New Roman"/>
          <w:sz w:val="18"/>
          <w:szCs w:val="18"/>
          <w:color w:val="auto"/>
        </w:rPr>
        <w:t>Report on Form 10-K of the Company for the year ended December 31, 2023 (“the Report”) fully complies with the requirements of section 13(a) or 15(d) of the Securities Exchange Act of 1934 and that information contained in the Report fairly presents, in all material respects, the financial condition and results of operations of the Company.</w:t>
      </w:r>
    </w:p>
    <w:p>
      <w:pPr>
        <w:spacing w:after="0" w:line="131" w:lineRule="exact"/>
        <w:rPr>
          <w:sz w:val="20"/>
          <w:szCs w:val="20"/>
          <w:color w:val="auto"/>
        </w:rPr>
      </w:pPr>
    </w:p>
    <w:p>
      <w:pPr>
        <w:ind w:left="180" w:right="199" w:firstLine="648"/>
        <w:spacing w:after="0" w:line="23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 or its staff upon request.</w:t>
      </w:r>
    </w:p>
    <w:p>
      <w:pPr>
        <w:spacing w:after="0" w:line="145" w:lineRule="exact"/>
        <w:rPr>
          <w:sz w:val="20"/>
          <w:szCs w:val="20"/>
          <w:color w:val="auto"/>
        </w:rPr>
      </w:pPr>
    </w:p>
    <w:p>
      <w:pPr>
        <w:ind w:left="180"/>
        <w:spacing w:after="0"/>
        <w:tabs>
          <w:tab w:leader="none" w:pos="4480" w:val="left"/>
        </w:tabs>
        <w:rPr>
          <w:sz w:val="20"/>
          <w:szCs w:val="20"/>
          <w:color w:val="auto"/>
        </w:rPr>
      </w:pPr>
      <w:r>
        <w:rPr>
          <w:rFonts w:ascii="Times New Roman" w:cs="Times New Roman" w:eastAsia="Times New Roman" w:hAnsi="Times New Roman"/>
          <w:sz w:val="18"/>
          <w:szCs w:val="18"/>
          <w:color w:val="auto"/>
        </w:rPr>
        <w:t>Date: February 29, 2024</w:t>
      </w:r>
      <w:r>
        <w:rPr>
          <w:sz w:val="20"/>
          <w:szCs w:val="20"/>
          <w:color w:val="auto"/>
        </w:rPr>
        <w:tab/>
      </w:r>
      <w:r>
        <w:rPr>
          <w:rFonts w:ascii="Times New Roman" w:cs="Times New Roman" w:eastAsia="Times New Roman" w:hAnsi="Times New Roman"/>
          <w:sz w:val="18"/>
          <w:szCs w:val="18"/>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0</wp:posOffset>
            </wp:positionV>
            <wp:extent cx="27432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8">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Cabell H. Lolmaugh</w:t>
      </w:r>
    </w:p>
    <w:p>
      <w:pPr>
        <w:ind w:left="45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14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9">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7" w:name="page88"/>
    <w:bookmarkEnd w:id="87"/>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313" w:lineRule="exact"/>
        <w:rPr>
          <w:sz w:val="20"/>
          <w:szCs w:val="20"/>
          <w:color w:val="auto"/>
        </w:rPr>
      </w:pPr>
    </w:p>
    <w:p>
      <w:pPr>
        <w:ind w:left="180" w:right="259" w:firstLine="648"/>
        <w:spacing w:after="0" w:line="236" w:lineRule="auto"/>
        <w:rPr>
          <w:sz w:val="20"/>
          <w:szCs w:val="20"/>
          <w:color w:val="auto"/>
        </w:rPr>
      </w:pPr>
      <w:r>
        <w:rPr>
          <w:rFonts w:ascii="Times New Roman" w:cs="Times New Roman" w:eastAsia="Times New Roman" w:hAnsi="Times New Roman"/>
          <w:sz w:val="17"/>
          <w:szCs w:val="17"/>
          <w:color w:val="auto"/>
        </w:rPr>
        <w:t>Pursuant to 18 U.S.C. §1350 (as adopted pursuant to §906 of the Sarbanes-Oxley Act of 2002), I, Karla Lunan, the Chief Financial Officer of Tile Shop Holdings, Inc. (the “Company”), hereby certify that the Annual Report</w:t>
      </w:r>
    </w:p>
    <w:p>
      <w:pPr>
        <w:ind w:left="180" w:right="519"/>
        <w:spacing w:after="0" w:line="218" w:lineRule="auto"/>
        <w:rPr>
          <w:sz w:val="20"/>
          <w:szCs w:val="20"/>
          <w:color w:val="auto"/>
        </w:rPr>
      </w:pPr>
      <w:r>
        <w:rPr>
          <w:rFonts w:ascii="Times New Roman" w:cs="Times New Roman" w:eastAsia="Times New Roman" w:hAnsi="Times New Roman"/>
          <w:sz w:val="18"/>
          <w:szCs w:val="18"/>
          <w:color w:val="auto"/>
        </w:rPr>
        <w:t>on Form 10-K of the Company for the year ended December 31, 2023 (“the Report”) fully complies with the requirements of section 13(a) or 15(d) of the Securities Exchange Act of 1934 and that information contained in the Report fairly presents, in all material respects, the financial condition and results of operations of the Company.</w:t>
      </w:r>
    </w:p>
    <w:p>
      <w:pPr>
        <w:spacing w:after="0" w:line="131" w:lineRule="exact"/>
        <w:rPr>
          <w:sz w:val="20"/>
          <w:szCs w:val="20"/>
          <w:color w:val="auto"/>
        </w:rPr>
      </w:pPr>
    </w:p>
    <w:p>
      <w:pPr>
        <w:ind w:left="180" w:right="199" w:firstLine="648"/>
        <w:spacing w:after="0" w:line="23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 or its staff upon request.</w:t>
      </w:r>
    </w:p>
    <w:p>
      <w:pPr>
        <w:spacing w:after="0" w:line="145" w:lineRule="exact"/>
        <w:rPr>
          <w:sz w:val="20"/>
          <w:szCs w:val="20"/>
          <w:color w:val="auto"/>
        </w:rPr>
      </w:pPr>
    </w:p>
    <w:p>
      <w:pPr>
        <w:ind w:left="180"/>
        <w:spacing w:after="0"/>
        <w:tabs>
          <w:tab w:leader="none" w:pos="4480" w:val="left"/>
        </w:tabs>
        <w:rPr>
          <w:sz w:val="20"/>
          <w:szCs w:val="20"/>
          <w:color w:val="auto"/>
        </w:rPr>
      </w:pPr>
      <w:r>
        <w:rPr>
          <w:rFonts w:ascii="Times New Roman" w:cs="Times New Roman" w:eastAsia="Times New Roman" w:hAnsi="Times New Roman"/>
          <w:sz w:val="18"/>
          <w:szCs w:val="18"/>
          <w:color w:val="auto"/>
        </w:rPr>
        <w:t>Date: February 29, 2024</w:t>
      </w:r>
      <w:r>
        <w:rPr>
          <w:sz w:val="20"/>
          <w:szCs w:val="20"/>
          <w:color w:val="auto"/>
        </w:rPr>
        <w:tab/>
      </w:r>
      <w:r>
        <w:rPr>
          <w:rFonts w:ascii="Times New Roman" w:cs="Times New Roman" w:eastAsia="Times New Roman" w:hAnsi="Times New Roman"/>
          <w:sz w:val="18"/>
          <w:szCs w:val="18"/>
          <w:color w:val="auto"/>
        </w:rPr>
        <w:t>/s/ KARLA LUNAN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0</wp:posOffset>
            </wp:positionV>
            <wp:extent cx="27432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0">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Karla Lunan,</w:t>
      </w:r>
    </w:p>
    <w:p>
      <w:pPr>
        <w:ind w:left="45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14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1">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8" w:name="page89"/>
    <w:bookmarkEnd w:id="88"/>
    <w:p>
      <w:pPr>
        <w:ind w:left="7700"/>
        <w:spacing w:after="0"/>
        <w:rPr>
          <w:sz w:val="20"/>
          <w:szCs w:val="20"/>
          <w:color w:val="auto"/>
        </w:rPr>
      </w:pPr>
      <w:r>
        <w:rPr>
          <w:rFonts w:ascii="Times New Roman" w:cs="Times New Roman" w:eastAsia="Times New Roman" w:hAnsi="Times New Roman"/>
          <w:sz w:val="21"/>
          <w:szCs w:val="21"/>
          <w:b w:val="1"/>
          <w:bCs w:val="1"/>
          <w:color w:val="auto"/>
        </w:rPr>
        <w:t>Exhibit 97.1</w:t>
      </w:r>
    </w:p>
    <w:p>
      <w:pPr>
        <w:jc w:val="center"/>
        <w:ind w:right="19"/>
        <w:spacing w:after="0" w:line="208" w:lineRule="auto"/>
        <w:rPr>
          <w:sz w:val="20"/>
          <w:szCs w:val="20"/>
          <w:color w:val="auto"/>
        </w:rPr>
      </w:pPr>
      <w:r>
        <w:rPr>
          <w:rFonts w:ascii="Times New Roman" w:cs="Times New Roman" w:eastAsia="Times New Roman" w:hAnsi="Times New Roman"/>
          <w:sz w:val="22"/>
          <w:szCs w:val="22"/>
          <w:b w:val="1"/>
          <w:bCs w:val="1"/>
          <w:color w:val="auto"/>
        </w:rPr>
        <w:t>TILE SHOP HOLDINGS, INC.</w:t>
      </w:r>
    </w:p>
    <w:p>
      <w:pPr>
        <w:jc w:val="center"/>
        <w:ind w:right="19"/>
        <w:spacing w:after="0" w:line="205" w:lineRule="auto"/>
        <w:rPr>
          <w:sz w:val="20"/>
          <w:szCs w:val="20"/>
          <w:color w:val="auto"/>
        </w:rPr>
      </w:pPr>
      <w:r>
        <w:rPr>
          <w:rFonts w:ascii="Times New Roman" w:cs="Times New Roman" w:eastAsia="Times New Roman" w:hAnsi="Times New Roman"/>
          <w:sz w:val="22"/>
          <w:szCs w:val="22"/>
          <w:b w:val="1"/>
          <w:bCs w:val="1"/>
          <w:color w:val="auto"/>
        </w:rPr>
        <w:t>COMPENSATION RECOVERY POLICY</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(Effective February 28, 2023)</w:t>
      </w:r>
    </w:p>
    <w:p>
      <w:pPr>
        <w:spacing w:after="0" w:line="15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u w:val="single" w:color="auto"/>
          <w:color w:val="auto"/>
        </w:rPr>
        <w:t>Introduction</w:t>
      </w:r>
    </w:p>
    <w:p>
      <w:pPr>
        <w:spacing w:after="0" w:line="183" w:lineRule="exact"/>
        <w:rPr>
          <w:sz w:val="20"/>
          <w:szCs w:val="20"/>
          <w:color w:val="auto"/>
        </w:rPr>
      </w:pPr>
    </w:p>
    <w:p>
      <w:pPr>
        <w:jc w:val="both"/>
        <w:ind w:left="180" w:right="199"/>
        <w:spacing w:after="0" w:line="215" w:lineRule="auto"/>
        <w:rPr>
          <w:sz w:val="20"/>
          <w:szCs w:val="20"/>
          <w:color w:val="auto"/>
        </w:rPr>
      </w:pPr>
      <w:r>
        <w:rPr>
          <w:rFonts w:ascii="Times New Roman" w:cs="Times New Roman" w:eastAsia="Times New Roman" w:hAnsi="Times New Roman"/>
          <w:sz w:val="22"/>
          <w:szCs w:val="22"/>
          <w:color w:val="auto"/>
        </w:rPr>
        <w:t>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of Tile Shop Holdings,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adopted this Compensation Recovery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which provides for the recovery of certain executive compensation in the event of an accounting restatement resulting from material noncompliance with financial reporting requirements under the federal securities laws. This Policy is intended to comply with Section 10D of the Securities Exchange Act of 1934 (the “</w:t>
      </w:r>
      <w:r>
        <w:rPr>
          <w:rFonts w:ascii="Times New Roman" w:cs="Times New Roman" w:eastAsia="Times New Roman" w:hAnsi="Times New Roman"/>
          <w:sz w:val="22"/>
          <w:szCs w:val="22"/>
          <w:u w:val="single" w:color="auto"/>
          <w:color w:val="auto"/>
        </w:rPr>
        <w:t>Exchange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u w:val="single" w:color="auto"/>
          <w:color w:val="auto"/>
        </w:rPr>
        <w:t>Covered Executives</w:t>
      </w:r>
    </w:p>
    <w:p>
      <w:pPr>
        <w:spacing w:after="0" w:line="183" w:lineRule="exact"/>
        <w:rPr>
          <w:sz w:val="20"/>
          <w:szCs w:val="20"/>
          <w:color w:val="auto"/>
        </w:rPr>
      </w:pPr>
    </w:p>
    <w:p>
      <w:pPr>
        <w:jc w:val="both"/>
        <w:ind w:left="180" w:right="199"/>
        <w:spacing w:after="0" w:line="236" w:lineRule="auto"/>
        <w:rPr>
          <w:sz w:val="20"/>
          <w:szCs w:val="20"/>
          <w:color w:val="auto"/>
        </w:rPr>
      </w:pPr>
      <w:r>
        <w:rPr>
          <w:rFonts w:ascii="Times New Roman" w:cs="Times New Roman" w:eastAsia="Times New Roman" w:hAnsi="Times New Roman"/>
          <w:sz w:val="21"/>
          <w:szCs w:val="21"/>
          <w:color w:val="auto"/>
        </w:rPr>
        <w:t>This Policy applies to the Company's current and former executive officers, as determined by the Board in accordance with Section 10D of the Exchange Act and the listing standards of the national securities exchange on which the Company's securities are listed (the “</w:t>
      </w:r>
      <w:r>
        <w:rPr>
          <w:rFonts w:ascii="Times New Roman" w:cs="Times New Roman" w:eastAsia="Times New Roman" w:hAnsi="Times New Roman"/>
          <w:sz w:val="21"/>
          <w:szCs w:val="21"/>
          <w:u w:val="single" w:color="auto"/>
          <w:color w:val="auto"/>
        </w:rPr>
        <w:t>Covered Executives</w:t>
      </w:r>
      <w:r>
        <w:rPr>
          <w:rFonts w:ascii="Times New Roman" w:cs="Times New Roman" w:eastAsia="Times New Roman" w:hAnsi="Times New Roman"/>
          <w:sz w:val="21"/>
          <w:szCs w:val="21"/>
          <w:color w:val="auto"/>
        </w:rPr>
        <w:t>”).</w:t>
      </w:r>
    </w:p>
    <w:p>
      <w:pPr>
        <w:spacing w:after="0" w:line="1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u w:val="single" w:color="auto"/>
          <w:color w:val="auto"/>
        </w:rPr>
        <w:t>Recovery in General; Applicable Accounting Restatements</w:t>
      </w:r>
    </w:p>
    <w:p>
      <w:pPr>
        <w:spacing w:after="0" w:line="183" w:lineRule="exact"/>
        <w:rPr>
          <w:sz w:val="20"/>
          <w:szCs w:val="20"/>
          <w:color w:val="auto"/>
        </w:rPr>
      </w:pPr>
    </w:p>
    <w:p>
      <w:pPr>
        <w:jc w:val="both"/>
        <w:ind w:left="180" w:right="199"/>
        <w:spacing w:after="0" w:line="220" w:lineRule="auto"/>
        <w:rPr>
          <w:sz w:val="20"/>
          <w:szCs w:val="20"/>
          <w:color w:val="auto"/>
        </w:rPr>
      </w:pPr>
      <w:r>
        <w:rPr>
          <w:rFonts w:ascii="Times New Roman" w:cs="Times New Roman" w:eastAsia="Times New Roman" w:hAnsi="Times New Roman"/>
          <w:sz w:val="21"/>
          <w:szCs w:val="21"/>
          <w:color w:val="auto"/>
        </w:rPr>
        <w:t>In the event the Company is required to prepare an accounting restatement of its financial statements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(an “</w:t>
      </w:r>
      <w:r>
        <w:rPr>
          <w:rFonts w:ascii="Times New Roman" w:cs="Times New Roman" w:eastAsia="Times New Roman" w:hAnsi="Times New Roman"/>
          <w:sz w:val="21"/>
          <w:szCs w:val="21"/>
          <w:u w:val="single" w:color="auto"/>
          <w:color w:val="auto"/>
        </w:rPr>
        <w:t>Accounting Restatement</w:t>
      </w:r>
      <w:r>
        <w:rPr>
          <w:rFonts w:ascii="Times New Roman" w:cs="Times New Roman" w:eastAsia="Times New Roman" w:hAnsi="Times New Roman"/>
          <w:sz w:val="21"/>
          <w:szCs w:val="21"/>
          <w:color w:val="auto"/>
        </w:rPr>
        <w:t>”), the Compensation Committee of the Board (the “</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will promptly recover any erroneously awarded Incentive-Based Compensation (as defined below) received by any Covered Executive during the three completed fiscal years immediately preceding the date on which the Company is required to prepare such an Accounting Restatement (including, where required under Section 10D of the Exchange Act, any transition period resulting from a change in the Company’s fiscal year).</w:t>
      </w:r>
    </w:p>
    <w:p>
      <w:pPr>
        <w:spacing w:after="0" w:line="157" w:lineRule="exact"/>
        <w:rPr>
          <w:sz w:val="20"/>
          <w:szCs w:val="20"/>
          <w:color w:val="auto"/>
        </w:rPr>
      </w:pPr>
    </w:p>
    <w:p>
      <w:pPr>
        <w:jc w:val="both"/>
        <w:ind w:left="180" w:right="199"/>
        <w:spacing w:after="0" w:line="215" w:lineRule="auto"/>
        <w:rPr>
          <w:sz w:val="20"/>
          <w:szCs w:val="20"/>
          <w:color w:val="auto"/>
        </w:rPr>
      </w:pPr>
      <w:r>
        <w:rPr>
          <w:rFonts w:ascii="Times New Roman" w:cs="Times New Roman" w:eastAsia="Times New Roman" w:hAnsi="Times New Roman"/>
          <w:sz w:val="22"/>
          <w:szCs w:val="22"/>
          <w:color w:val="auto"/>
        </w:rPr>
        <w:t>For this purpose, the date that the Company is required to prepare an Accounting Restatement shall be the earlier of (i) the date that the Board (or the officer of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152" w:lineRule="exact"/>
        <w:rPr>
          <w:sz w:val="20"/>
          <w:szCs w:val="20"/>
          <w:color w:val="auto"/>
        </w:rPr>
      </w:pPr>
    </w:p>
    <w:p>
      <w:pPr>
        <w:jc w:val="both"/>
        <w:ind w:left="180" w:right="199"/>
        <w:spacing w:after="0" w:line="220" w:lineRule="auto"/>
        <w:rPr>
          <w:sz w:val="20"/>
          <w:szCs w:val="20"/>
          <w:color w:val="auto"/>
        </w:rPr>
      </w:pPr>
      <w:r>
        <w:rPr>
          <w:rFonts w:ascii="Times New Roman" w:cs="Times New Roman" w:eastAsia="Times New Roman" w:hAnsi="Times New Roman"/>
          <w:sz w:val="22"/>
          <w:szCs w:val="22"/>
          <w:color w:val="auto"/>
        </w:rPr>
        <w:t>For purposes of this Policy, Incentive-Based Compensation shall be deemed to be received by a Covered Executive in the Company’s fiscal period during which the Financial Reporting Measure (as defined below) specified in the Incentive-Based Compensation award is attained, even if the payment or grant of the Incentive-Based Compensation occurs after the end of that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109855</wp:posOffset>
            </wp:positionV>
            <wp:extent cx="5528945" cy="508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94" w:right="1440" w:bottom="1440" w:gutter="0" w:footer="0" w:header="0"/>
        </w:sectPr>
      </w:pPr>
    </w:p>
    <w:bookmarkStart w:id="89" w:name="page90"/>
    <w:bookmarkEnd w:id="89"/>
    <w:p>
      <w:pPr>
        <w:ind w:left="180"/>
        <w:spacing w:after="0"/>
        <w:rPr>
          <w:sz w:val="20"/>
          <w:szCs w:val="20"/>
          <w:color w:val="auto"/>
        </w:rPr>
      </w:pPr>
      <w:r>
        <w:rPr>
          <w:rFonts w:ascii="Times New Roman" w:cs="Times New Roman" w:eastAsia="Times New Roman" w:hAnsi="Times New Roman"/>
          <w:sz w:val="22"/>
          <w:szCs w:val="22"/>
          <w:b w:val="1"/>
          <w:bCs w:val="1"/>
          <w:u w:val="single" w:color="auto"/>
          <w:color w:val="auto"/>
        </w:rPr>
        <w:t>Incentive-Based Compensation</w:t>
      </w:r>
    </w:p>
    <w:p>
      <w:pPr>
        <w:spacing w:after="0" w:line="184" w:lineRule="exact"/>
        <w:rPr>
          <w:sz w:val="20"/>
          <w:szCs w:val="20"/>
          <w:color w:val="auto"/>
        </w:rPr>
      </w:pPr>
    </w:p>
    <w:p>
      <w:pPr>
        <w:jc w:val="both"/>
        <w:ind w:left="180" w:right="199"/>
        <w:spacing w:after="0" w:line="220" w:lineRule="auto"/>
        <w:rPr>
          <w:sz w:val="20"/>
          <w:szCs w:val="20"/>
          <w:color w:val="auto"/>
        </w:rPr>
      </w:pPr>
      <w:r>
        <w:rPr>
          <w:rFonts w:ascii="Times New Roman" w:cs="Times New Roman" w:eastAsia="Times New Roman" w:hAnsi="Times New Roman"/>
          <w:sz w:val="22"/>
          <w:szCs w:val="22"/>
          <w:color w:val="auto"/>
        </w:rPr>
        <w:t>For purposes of this Policy, “</w:t>
      </w:r>
      <w:r>
        <w:rPr>
          <w:rFonts w:ascii="Times New Roman" w:cs="Times New Roman" w:eastAsia="Times New Roman" w:hAnsi="Times New Roman"/>
          <w:sz w:val="22"/>
          <w:szCs w:val="22"/>
          <w:u w:val="single" w:color="auto"/>
          <w:color w:val="auto"/>
        </w:rPr>
        <w:t>Incentive-Based Compensation</w:t>
      </w:r>
      <w:r>
        <w:rPr>
          <w:rFonts w:ascii="Times New Roman" w:cs="Times New Roman" w:eastAsia="Times New Roman" w:hAnsi="Times New Roman"/>
          <w:sz w:val="22"/>
          <w:szCs w:val="22"/>
          <w:color w:val="auto"/>
        </w:rPr>
        <w:t>” means any compensation that is granted, earned or vested based wholly or in part on the attainment of a Financial Reporting Measure (as defined below). Examples of Incentive-Based Compensation may include any of the following:</w:t>
      </w:r>
    </w:p>
    <w:p>
      <w:pPr>
        <w:spacing w:after="0" w:line="152" w:lineRule="exact"/>
        <w:rPr>
          <w:sz w:val="20"/>
          <w:szCs w:val="20"/>
          <w:color w:val="auto"/>
        </w:rPr>
      </w:pPr>
    </w:p>
    <w:p>
      <w:pPr>
        <w:ind w:left="840" w:right="199" w:hanging="332"/>
        <w:spacing w:after="0" w:line="216" w:lineRule="auto"/>
        <w:tabs>
          <w:tab w:leader="none" w:pos="8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Non-equity incentive plan awards that are earned based wholly or in part on the attainment of a Financial Reporting Measure;</w:t>
      </w:r>
    </w:p>
    <w:p>
      <w:pPr>
        <w:ind w:left="840" w:right="199" w:hanging="332"/>
        <w:spacing w:after="0" w:line="204" w:lineRule="auto"/>
        <w:tabs>
          <w:tab w:leader="none" w:pos="8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Bonuses paid from a bonus pool, the size of which pool is determined based wholly or in part on the attainment of a Financial Reporting Measure;</w:t>
      </w:r>
    </w:p>
    <w:p>
      <w:pPr>
        <w:spacing w:after="0" w:line="1" w:lineRule="exact"/>
        <w:rPr>
          <w:rFonts w:ascii="Times New Roman" w:cs="Times New Roman" w:eastAsia="Times New Roman" w:hAnsi="Times New Roman"/>
          <w:sz w:val="22"/>
          <w:szCs w:val="22"/>
          <w:color w:val="auto"/>
        </w:rPr>
      </w:pPr>
    </w:p>
    <w:p>
      <w:pPr>
        <w:ind w:left="840" w:hanging="332"/>
        <w:spacing w:after="0" w:line="204" w:lineRule="auto"/>
        <w:tabs>
          <w:tab w:leader="none" w:pos="8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cash awards based on the attainment of a Financial Reporting Measure;</w:t>
      </w:r>
    </w:p>
    <w:p>
      <w:pPr>
        <w:jc w:val="both"/>
        <w:ind w:left="840" w:right="199" w:hanging="332"/>
        <w:spacing w:after="0" w:line="204" w:lineRule="auto"/>
        <w:tabs>
          <w:tab w:leader="none" w:pos="8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stock, Restricted stock units, performance shares, performance share units, stock options and stock appreciation rights that are granted or become vested based wholly or in part on the attainment of a Financial Reporting Measure; and</w:t>
      </w:r>
    </w:p>
    <w:p>
      <w:pPr>
        <w:spacing w:after="0" w:line="2" w:lineRule="exact"/>
        <w:rPr>
          <w:rFonts w:ascii="Times New Roman" w:cs="Times New Roman" w:eastAsia="Times New Roman" w:hAnsi="Times New Roman"/>
          <w:sz w:val="22"/>
          <w:szCs w:val="22"/>
          <w:color w:val="auto"/>
        </w:rPr>
      </w:pPr>
    </w:p>
    <w:p>
      <w:pPr>
        <w:jc w:val="both"/>
        <w:ind w:left="840" w:right="199" w:hanging="332"/>
        <w:spacing w:after="0" w:line="204" w:lineRule="auto"/>
        <w:tabs>
          <w:tab w:leader="none" w:pos="8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Proceeds received upon the sale of shares acquired through an incentive plan that were granted or vested based wholly or in part on the attainment of a Financial Reporting Measure.</w:t>
      </w:r>
    </w:p>
    <w:p>
      <w:pPr>
        <w:spacing w:after="0" w:line="3" w:lineRule="exact"/>
        <w:rPr>
          <w:sz w:val="20"/>
          <w:szCs w:val="20"/>
          <w:color w:val="auto"/>
        </w:rPr>
      </w:pPr>
    </w:p>
    <w:p>
      <w:pPr>
        <w:ind w:left="180" w:right="199"/>
        <w:spacing w:after="0" w:line="225" w:lineRule="auto"/>
        <w:rPr>
          <w:sz w:val="20"/>
          <w:szCs w:val="20"/>
          <w:color w:val="auto"/>
        </w:rPr>
      </w:pPr>
      <w:r>
        <w:rPr>
          <w:rFonts w:ascii="Times New Roman" w:cs="Times New Roman" w:eastAsia="Times New Roman" w:hAnsi="Times New Roman"/>
          <w:sz w:val="22"/>
          <w:szCs w:val="22"/>
          <w:color w:val="auto"/>
        </w:rPr>
        <w:t>Examples of compensation that does not constitute Incentive-Based Compensation may include the following:</w:t>
      </w:r>
    </w:p>
    <w:p>
      <w:pPr>
        <w:spacing w:after="0" w:line="137" w:lineRule="exact"/>
        <w:rPr>
          <w:sz w:val="20"/>
          <w:szCs w:val="20"/>
          <w:color w:val="auto"/>
        </w:rPr>
      </w:pPr>
    </w:p>
    <w:p>
      <w:pPr>
        <w:ind w:left="880" w:hanging="318"/>
        <w:spacing w:after="0"/>
        <w:tabs>
          <w:tab w:leader="none" w:pos="8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Salaries;</w:t>
      </w:r>
    </w:p>
    <w:p>
      <w:pPr>
        <w:jc w:val="both"/>
        <w:ind w:left="880" w:right="199" w:hanging="318"/>
        <w:spacing w:after="0" w:line="204" w:lineRule="auto"/>
        <w:tabs>
          <w:tab w:leader="none" w:pos="8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Bonuses paid solely at the discretion of the Committee or the Board (other than bonuses paid from a bonus pool that is determined based on the attainment of one or more Financial Reporting Measures);</w:t>
      </w:r>
    </w:p>
    <w:p>
      <w:pPr>
        <w:spacing w:after="0" w:line="2" w:lineRule="exact"/>
        <w:rPr>
          <w:rFonts w:ascii="Times New Roman" w:cs="Times New Roman" w:eastAsia="Times New Roman" w:hAnsi="Times New Roman"/>
          <w:sz w:val="22"/>
          <w:szCs w:val="22"/>
          <w:color w:val="auto"/>
        </w:rPr>
      </w:pPr>
    </w:p>
    <w:p>
      <w:pPr>
        <w:ind w:left="880" w:right="199" w:hanging="318"/>
        <w:spacing w:after="0" w:line="204" w:lineRule="auto"/>
        <w:tabs>
          <w:tab w:leader="none" w:pos="8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Bonuses paid solely upon satisfying one or more subjective standards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demonstrated leadership) and/or the completion of a specified period of employment; and</w:t>
      </w:r>
    </w:p>
    <w:p>
      <w:pPr>
        <w:spacing w:after="0" w:line="1" w:lineRule="exact"/>
        <w:rPr>
          <w:rFonts w:ascii="Times New Roman" w:cs="Times New Roman" w:eastAsia="Times New Roman" w:hAnsi="Times New Roman"/>
          <w:sz w:val="22"/>
          <w:szCs w:val="22"/>
          <w:color w:val="auto"/>
        </w:rPr>
      </w:pPr>
    </w:p>
    <w:p>
      <w:pPr>
        <w:jc w:val="both"/>
        <w:ind w:left="880" w:right="199" w:hanging="318"/>
        <w:spacing w:after="0" w:line="204" w:lineRule="auto"/>
        <w:tabs>
          <w:tab w:leader="none" w:pos="8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Non-equity incentive plan awards earned solely upon satisfying one or more strategic measures or operational measures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opening a specified number of stores, completion</w:t>
      </w:r>
    </w:p>
    <w:p>
      <w:pPr>
        <w:ind w:left="880"/>
        <w:spacing w:after="0" w:line="206" w:lineRule="auto"/>
        <w:rPr>
          <w:sz w:val="20"/>
          <w:szCs w:val="20"/>
          <w:color w:val="auto"/>
        </w:rPr>
      </w:pPr>
      <w:r>
        <w:rPr>
          <w:rFonts w:ascii="Times New Roman" w:cs="Times New Roman" w:eastAsia="Times New Roman" w:hAnsi="Times New Roman"/>
          <w:sz w:val="22"/>
          <w:szCs w:val="22"/>
          <w:color w:val="auto"/>
        </w:rPr>
        <w:t>of a project, increase in market share).</w:t>
      </w:r>
    </w:p>
    <w:p>
      <w:pPr>
        <w:spacing w:after="0" w:line="1" w:lineRule="exact"/>
        <w:rPr>
          <w:sz w:val="20"/>
          <w:szCs w:val="20"/>
          <w:color w:val="auto"/>
        </w:rPr>
      </w:pPr>
    </w:p>
    <w:p>
      <w:pPr>
        <w:jc w:val="both"/>
        <w:ind w:left="180" w:right="199"/>
        <w:spacing w:after="0" w:line="220" w:lineRule="auto"/>
        <w:rPr>
          <w:sz w:val="20"/>
          <w:szCs w:val="20"/>
          <w:color w:val="auto"/>
        </w:rPr>
      </w:pPr>
      <w:r>
        <w:rPr>
          <w:rFonts w:ascii="Times New Roman" w:cs="Times New Roman" w:eastAsia="Times New Roman" w:hAnsi="Times New Roman"/>
          <w:sz w:val="21"/>
          <w:szCs w:val="21"/>
          <w:color w:val="auto"/>
        </w:rPr>
        <w:t>For purposes of this Policy, “</w:t>
      </w:r>
      <w:r>
        <w:rPr>
          <w:rFonts w:ascii="Times New Roman" w:cs="Times New Roman" w:eastAsia="Times New Roman" w:hAnsi="Times New Roman"/>
          <w:sz w:val="21"/>
          <w:szCs w:val="21"/>
          <w:u w:val="single" w:color="auto"/>
          <w:color w:val="auto"/>
        </w:rPr>
        <w:t>Financial Reporting Measures</w:t>
      </w:r>
      <w:r>
        <w:rPr>
          <w:rFonts w:ascii="Times New Roman" w:cs="Times New Roman" w:eastAsia="Times New Roman" w:hAnsi="Times New Roman"/>
          <w:sz w:val="21"/>
          <w:szCs w:val="21"/>
          <w:color w:val="auto"/>
        </w:rPr>
        <w:t>” are measures that are determined and presented in accordance with the accounting principles used in preparing the Company’s financial statements, and any measures that are derived wholly or in part from such measures, regardless of whether such measures are presented within the Company’s financial statements or included in a filing with the Securities and Exchange Commission. Financial Reporting Measures include stock price and total shareholder return. Other examples of Financial Reporting measures include (without limitation) measures based on or derived from the following accounting-based metrics:</w:t>
      </w:r>
    </w:p>
    <w:p>
      <w:pPr>
        <w:spacing w:after="0" w:line="142" w:lineRule="exact"/>
        <w:rPr>
          <w:sz w:val="20"/>
          <w:szCs w:val="20"/>
          <w:color w:val="auto"/>
        </w:rPr>
      </w:pPr>
    </w:p>
    <w:p>
      <w:pPr>
        <w:ind w:left="840" w:hanging="332"/>
        <w:spacing w:after="0"/>
        <w:tabs>
          <w:tab w:leader="none" w:pos="8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Revenues;</w:t>
      </w:r>
    </w:p>
    <w:p>
      <w:pPr>
        <w:ind w:left="840" w:hanging="332"/>
        <w:spacing w:after="0" w:line="204" w:lineRule="auto"/>
        <w:tabs>
          <w:tab w:leader="none" w:pos="8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income;</w:t>
      </w:r>
    </w:p>
    <w:p>
      <w:pPr>
        <w:ind w:left="840" w:hanging="332"/>
        <w:spacing w:after="0" w:line="204" w:lineRule="auto"/>
        <w:tabs>
          <w:tab w:leader="none" w:pos="8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Operating income;</w:t>
      </w:r>
    </w:p>
    <w:p>
      <w:pPr>
        <w:ind w:left="840" w:hanging="332"/>
        <w:spacing w:after="0" w:line="204" w:lineRule="auto"/>
        <w:tabs>
          <w:tab w:leader="none" w:pos="8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assets or net asset value per share;</w:t>
      </w:r>
    </w:p>
    <w:p>
      <w:pPr>
        <w:ind w:left="840" w:hanging="332"/>
        <w:spacing w:after="0" w:line="204" w:lineRule="auto"/>
        <w:tabs>
          <w:tab w:leader="none" w:pos="8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before interest, taxes, depreciation and amortization;</w:t>
      </w:r>
    </w:p>
    <w:p>
      <w:pPr>
        <w:ind w:left="840" w:hanging="332"/>
        <w:spacing w:after="0"/>
        <w:tabs>
          <w:tab w:leader="none" w:pos="8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Funds from operations and adjusted funds from operations;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195580</wp:posOffset>
            </wp:positionV>
            <wp:extent cx="5528945" cy="508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94" w:right="1440" w:bottom="1440" w:gutter="0" w:footer="0" w:header="0"/>
        </w:sectPr>
      </w:pPr>
    </w:p>
    <w:bookmarkStart w:id="90" w:name="page91"/>
    <w:bookmarkEnd w:id="90"/>
    <w:p>
      <w:pPr>
        <w:ind w:left="840" w:hanging="332"/>
        <w:spacing w:after="0"/>
        <w:tabs>
          <w:tab w:leader="none" w:pos="8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Liquidity measures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working capital, operating cash flow);</w:t>
      </w:r>
    </w:p>
    <w:p>
      <w:pPr>
        <w:ind w:left="840" w:right="199" w:hanging="332"/>
        <w:spacing w:after="0" w:line="204" w:lineRule="auto"/>
        <w:tabs>
          <w:tab w:leader="none" w:pos="8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Return measures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return on invested capital, return on assets, return on capital employed);</w:t>
      </w:r>
    </w:p>
    <w:p>
      <w:pPr>
        <w:spacing w:after="0" w:line="1" w:lineRule="exact"/>
        <w:rPr>
          <w:rFonts w:ascii="Times New Roman" w:cs="Times New Roman" w:eastAsia="Times New Roman" w:hAnsi="Times New Roman"/>
          <w:sz w:val="22"/>
          <w:szCs w:val="22"/>
          <w:color w:val="auto"/>
        </w:rPr>
      </w:pPr>
    </w:p>
    <w:p>
      <w:pPr>
        <w:ind w:left="840" w:hanging="332"/>
        <w:spacing w:after="0" w:line="204" w:lineRule="auto"/>
        <w:tabs>
          <w:tab w:leader="none" w:pos="8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measures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earnings per share);</w:t>
      </w:r>
    </w:p>
    <w:p>
      <w:pPr>
        <w:ind w:left="840" w:right="199" w:hanging="332"/>
        <w:spacing w:after="0" w:line="204" w:lineRule="auto"/>
        <w:tabs>
          <w:tab w:leader="none" w:pos="8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per square foot or same store sales, where sales is subject to an Accounting Restatement; and</w:t>
      </w:r>
    </w:p>
    <w:p>
      <w:pPr>
        <w:spacing w:after="0" w:line="1" w:lineRule="exact"/>
        <w:rPr>
          <w:rFonts w:ascii="Times New Roman" w:cs="Times New Roman" w:eastAsia="Times New Roman" w:hAnsi="Times New Roman"/>
          <w:sz w:val="22"/>
          <w:szCs w:val="22"/>
          <w:color w:val="auto"/>
        </w:rPr>
      </w:pPr>
    </w:p>
    <w:p>
      <w:pPr>
        <w:ind w:left="840" w:hanging="332"/>
        <w:spacing w:after="0" w:line="204" w:lineRule="auto"/>
        <w:tabs>
          <w:tab w:leader="none" w:pos="8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 basis income.</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u w:val="single" w:color="auto"/>
          <w:color w:val="auto"/>
        </w:rPr>
        <w:t>Erroneously Awarded Compensation: Amount Subject to Recovery</w:t>
      </w:r>
    </w:p>
    <w:p>
      <w:pPr>
        <w:spacing w:after="0" w:line="155" w:lineRule="exact"/>
        <w:rPr>
          <w:sz w:val="20"/>
          <w:szCs w:val="20"/>
          <w:color w:val="auto"/>
        </w:rPr>
      </w:pPr>
    </w:p>
    <w:p>
      <w:pPr>
        <w:jc w:val="both"/>
        <w:ind w:left="180" w:right="199"/>
        <w:spacing w:after="0" w:line="231" w:lineRule="auto"/>
        <w:rPr>
          <w:sz w:val="20"/>
          <w:szCs w:val="20"/>
          <w:color w:val="auto"/>
        </w:rPr>
      </w:pPr>
      <w:r>
        <w:rPr>
          <w:rFonts w:ascii="Times New Roman" w:cs="Times New Roman" w:eastAsia="Times New Roman" w:hAnsi="Times New Roman"/>
          <w:sz w:val="21"/>
          <w:szCs w:val="21"/>
          <w:color w:val="auto"/>
        </w:rPr>
        <w:t>The amount to be recovered from a Covered Executive in the event of an Accounting Restatement shall equal the amount of Incentive-Based Compensation received by the Covered Executive that exceeds the amount of Incentive-Based Compensation that otherwise would have been received had it been determined based on the restated amounts, computed without regard to any taxes paid.</w:t>
      </w:r>
    </w:p>
    <w:p>
      <w:pPr>
        <w:spacing w:after="0" w:line="150" w:lineRule="exact"/>
        <w:rPr>
          <w:sz w:val="20"/>
          <w:szCs w:val="20"/>
          <w:color w:val="auto"/>
        </w:rPr>
      </w:pPr>
    </w:p>
    <w:p>
      <w:pPr>
        <w:jc w:val="both"/>
        <w:ind w:left="180" w:right="199"/>
        <w:spacing w:after="0" w:line="213" w:lineRule="auto"/>
        <w:rPr>
          <w:sz w:val="20"/>
          <w:szCs w:val="20"/>
          <w:color w:val="auto"/>
        </w:rPr>
      </w:pPr>
      <w:r>
        <w:rPr>
          <w:rFonts w:ascii="Times New Roman" w:cs="Times New Roman" w:eastAsia="Times New Roman" w:hAnsi="Times New Roman"/>
          <w:sz w:val="22"/>
          <w:szCs w:val="22"/>
          <w:color w:val="auto"/>
        </w:rPr>
        <w:t>Where the amount of erroneously awarded compensation is not subject to mathematical recalculation directly from the information in the Accounting Restatement (as in the case of Incentive-Based Compensation based on stock price or total shareholder return), the Committee shall determine such amount based on a reasonable estimate of the effect of the Accounting Restatement on the applicable Financial Reporting Measure, and the Committee shall maintain documentation of any such estimate and provide such documentation to the applicable securities exchange.</w:t>
      </w:r>
    </w:p>
    <w:p>
      <w:pPr>
        <w:spacing w:after="0" w:line="156" w:lineRule="exact"/>
        <w:rPr>
          <w:sz w:val="20"/>
          <w:szCs w:val="20"/>
          <w:color w:val="auto"/>
        </w:rPr>
      </w:pPr>
    </w:p>
    <w:p>
      <w:pPr>
        <w:jc w:val="both"/>
        <w:ind w:left="180" w:right="199"/>
        <w:spacing w:after="0" w:line="225" w:lineRule="auto"/>
        <w:rPr>
          <w:sz w:val="20"/>
          <w:szCs w:val="20"/>
          <w:color w:val="auto"/>
        </w:rPr>
      </w:pPr>
      <w:r>
        <w:rPr>
          <w:rFonts w:ascii="Times New Roman" w:cs="Times New Roman" w:eastAsia="Times New Roman" w:hAnsi="Times New Roman"/>
          <w:sz w:val="22"/>
          <w:szCs w:val="22"/>
          <w:color w:val="auto"/>
        </w:rPr>
        <w:t xml:space="preserve">Notwithstanding the foregoing, the Company need not recover erroneously awarded Incentive-Based Compensation from a Covered Executive to the extent that the Committee determines that such recovery would be impracticable </w:t>
      </w:r>
      <w:r>
        <w:rPr>
          <w:rFonts w:ascii="Times New Roman" w:cs="Times New Roman" w:eastAsia="Times New Roman" w:hAnsi="Times New Roman"/>
          <w:sz w:val="22"/>
          <w:szCs w:val="22"/>
          <w:i w:val="1"/>
          <w:iCs w:val="1"/>
          <w:color w:val="auto"/>
        </w:rPr>
        <w:t>and</w:t>
      </w:r>
      <w:r>
        <w:rPr>
          <w:rFonts w:ascii="Times New Roman" w:cs="Times New Roman" w:eastAsia="Times New Roman" w:hAnsi="Times New Roman"/>
          <w:sz w:val="22"/>
          <w:szCs w:val="22"/>
          <w:color w:val="auto"/>
        </w:rPr>
        <w:t xml:space="preserve"> either:</w:t>
      </w:r>
    </w:p>
    <w:p>
      <w:pPr>
        <w:spacing w:after="0" w:line="153" w:lineRule="exact"/>
        <w:rPr>
          <w:sz w:val="20"/>
          <w:szCs w:val="20"/>
          <w:color w:val="auto"/>
        </w:rPr>
      </w:pPr>
    </w:p>
    <w:p>
      <w:pPr>
        <w:jc w:val="both"/>
        <w:ind w:left="840" w:right="199" w:hanging="332"/>
        <w:spacing w:after="0" w:line="209" w:lineRule="auto"/>
        <w:tabs>
          <w:tab w:leader="none" w:pos="8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 expense paid to a third party to assist in enforcing this Policy would exceed the amount to be recovered (determined by the Committee after making and documenting a reasonable attempt to recover such erroneously awarded compensation, and providing documentation of such reasonable attempt to recover to the applicable securities exchange); or</w:t>
      </w:r>
    </w:p>
    <w:p>
      <w:pPr>
        <w:spacing w:after="0" w:line="2" w:lineRule="exact"/>
        <w:rPr>
          <w:rFonts w:ascii="Times New Roman" w:cs="Times New Roman" w:eastAsia="Times New Roman" w:hAnsi="Times New Roman"/>
          <w:sz w:val="22"/>
          <w:szCs w:val="22"/>
          <w:color w:val="auto"/>
        </w:rPr>
      </w:pPr>
    </w:p>
    <w:p>
      <w:pPr>
        <w:jc w:val="both"/>
        <w:ind w:left="840" w:right="199" w:hanging="332"/>
        <w:spacing w:after="0" w:line="204" w:lineRule="auto"/>
        <w:tabs>
          <w:tab w:leader="none" w:pos="8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 recovery would likely cause an otherwise tax-qualified retirement plan, under which benefits are broadly available to employees of the Company, to fail to meet the</w:t>
      </w:r>
    </w:p>
    <w:p>
      <w:pPr>
        <w:spacing w:after="0" w:line="2" w:lineRule="exact"/>
        <w:rPr>
          <w:sz w:val="20"/>
          <w:szCs w:val="20"/>
          <w:color w:val="auto"/>
        </w:rPr>
      </w:pPr>
    </w:p>
    <w:p>
      <w:pPr>
        <w:ind w:left="840" w:right="199"/>
        <w:spacing w:after="0" w:line="204" w:lineRule="auto"/>
        <w:rPr>
          <w:sz w:val="20"/>
          <w:szCs w:val="20"/>
          <w:color w:val="auto"/>
        </w:rPr>
      </w:pPr>
      <w:r>
        <w:rPr>
          <w:rFonts w:ascii="Times New Roman" w:cs="Times New Roman" w:eastAsia="Times New Roman" w:hAnsi="Times New Roman"/>
          <w:sz w:val="22"/>
          <w:szCs w:val="22"/>
          <w:color w:val="auto"/>
        </w:rPr>
        <w:t>requirements of Section 401(a)(13) or Section 411(a) of the Internal Revenue Code and regulations thereunder.</w:t>
      </w:r>
    </w:p>
    <w:p>
      <w:pPr>
        <w:spacing w:after="0" w:line="2" w:lineRule="exact"/>
        <w:rPr>
          <w:sz w:val="20"/>
          <w:szCs w:val="20"/>
          <w:color w:val="auto"/>
        </w:rPr>
      </w:pPr>
    </w:p>
    <w:p>
      <w:pPr>
        <w:jc w:val="both"/>
        <w:ind w:left="180" w:right="199"/>
        <w:spacing w:after="0" w:line="212" w:lineRule="auto"/>
        <w:rPr>
          <w:sz w:val="20"/>
          <w:szCs w:val="20"/>
          <w:color w:val="auto"/>
        </w:rPr>
      </w:pPr>
      <w:r>
        <w:rPr>
          <w:rFonts w:ascii="Times New Roman" w:cs="Times New Roman" w:eastAsia="Times New Roman" w:hAnsi="Times New Roman"/>
          <w:sz w:val="22"/>
          <w:szCs w:val="22"/>
          <w:color w:val="auto"/>
        </w:rPr>
        <w:t>To the extent that this Policy otherwise would provide for recovery of Incentive-Based Compensation that the Company has recovered from a Covered Executive pursuant to Section 304 of the Sarbanes-Oxley Act of 2002 (or pursuant to any other recovery obligation), the amount already so recovered from such Covered Executive may be credited against the recovery otherwise required under this Policy.</w:t>
      </w:r>
    </w:p>
    <w:p>
      <w:pPr>
        <w:spacing w:after="0" w:line="15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u w:val="single" w:color="auto"/>
          <w:color w:val="auto"/>
        </w:rPr>
        <w:t>Method of Recovery</w:t>
      </w:r>
    </w:p>
    <w:p>
      <w:pPr>
        <w:spacing w:after="0" w:line="183" w:lineRule="exact"/>
        <w:rPr>
          <w:sz w:val="20"/>
          <w:szCs w:val="20"/>
          <w:color w:val="auto"/>
        </w:rPr>
      </w:pPr>
    </w:p>
    <w:p>
      <w:pPr>
        <w:jc w:val="both"/>
        <w:ind w:left="180" w:right="199"/>
        <w:spacing w:after="0" w:line="236" w:lineRule="auto"/>
        <w:rPr>
          <w:sz w:val="20"/>
          <w:szCs w:val="20"/>
          <w:color w:val="auto"/>
        </w:rPr>
      </w:pPr>
      <w:r>
        <w:rPr>
          <w:rFonts w:ascii="Times New Roman" w:cs="Times New Roman" w:eastAsia="Times New Roman" w:hAnsi="Times New Roman"/>
          <w:sz w:val="22"/>
          <w:szCs w:val="22"/>
          <w:color w:val="auto"/>
        </w:rPr>
        <w:t>The Committee will determine, in its discretion, the method or methods for recovering any erroneously awarded Incentive-Based Compensation hereunder, which method(s) need not be</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195580</wp:posOffset>
            </wp:positionV>
            <wp:extent cx="5528945" cy="508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86" w:right="1440" w:bottom="1440" w:gutter="0" w:footer="0" w:header="0"/>
        </w:sectPr>
      </w:pPr>
    </w:p>
    <w:bookmarkStart w:id="91" w:name="page92"/>
    <w:bookmarkEnd w:id="91"/>
    <w:p>
      <w:pPr>
        <w:jc w:val="both"/>
        <w:ind w:left="180" w:right="199"/>
        <w:spacing w:after="0" w:line="212" w:lineRule="auto"/>
        <w:rPr>
          <w:sz w:val="20"/>
          <w:szCs w:val="20"/>
          <w:color w:val="auto"/>
        </w:rPr>
      </w:pPr>
      <w:r>
        <w:rPr>
          <w:rFonts w:ascii="Times New Roman" w:cs="Times New Roman" w:eastAsia="Times New Roman" w:hAnsi="Times New Roman"/>
          <w:sz w:val="22"/>
          <w:szCs w:val="22"/>
          <w:color w:val="auto"/>
        </w:rPr>
        <w:t>applied on a consistent basis; provided in any case that any such method provides for reasonably prompt recovery and otherwise complies with any requirements of the applicable securities exchange. Without limiting the foregoing, the methods that the Committee, in its discretion, may determine to use to recover erroneously awarded Incentive-Based Compensation hereunder may include, by way of example, the forfeiture or repayment of Incentive-Based Compensation, the forfeiture or repayment of time-based equity or cash incentive compensation awards, the forfeiture of benefits under a nonqualified deferred compensation plan, and the offset of all or a portion of the amount of the erroneously awarded Incentive-Based Compensation against other compensation payable to the Covered Executive.</w:t>
      </w:r>
    </w:p>
    <w:p>
      <w:pPr>
        <w:spacing w:after="0" w:line="1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u w:val="single" w:color="auto"/>
          <w:color w:val="auto"/>
        </w:rPr>
        <w:t>No Indemnification</w:t>
      </w:r>
    </w:p>
    <w:p>
      <w:pPr>
        <w:spacing w:after="0" w:line="183" w:lineRule="exact"/>
        <w:rPr>
          <w:sz w:val="20"/>
          <w:szCs w:val="20"/>
          <w:color w:val="auto"/>
        </w:rPr>
      </w:pPr>
    </w:p>
    <w:p>
      <w:pPr>
        <w:jc w:val="both"/>
        <w:ind w:left="180" w:right="199"/>
        <w:spacing w:after="0" w:line="236" w:lineRule="auto"/>
        <w:rPr>
          <w:sz w:val="20"/>
          <w:szCs w:val="20"/>
          <w:color w:val="auto"/>
        </w:rPr>
      </w:pPr>
      <w:r>
        <w:rPr>
          <w:rFonts w:ascii="Times New Roman" w:cs="Times New Roman" w:eastAsia="Times New Roman" w:hAnsi="Times New Roman"/>
          <w:sz w:val="22"/>
          <w:szCs w:val="22"/>
          <w:color w:val="auto"/>
        </w:rPr>
        <w:t>The Company shall not indemnify any Covered Executive against the loss of any erroneously awarded Incentive-Based Compensation.</w:t>
      </w:r>
    </w:p>
    <w:p>
      <w:pPr>
        <w:spacing w:after="0" w:line="1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u w:val="single" w:color="auto"/>
          <w:color w:val="auto"/>
        </w:rPr>
        <w:t>Administration</w:t>
      </w:r>
    </w:p>
    <w:p>
      <w:pPr>
        <w:spacing w:after="0" w:line="183" w:lineRule="exact"/>
        <w:rPr>
          <w:sz w:val="20"/>
          <w:szCs w:val="20"/>
          <w:color w:val="auto"/>
        </w:rPr>
      </w:pPr>
    </w:p>
    <w:p>
      <w:pPr>
        <w:jc w:val="both"/>
        <w:ind w:left="180" w:right="199"/>
        <w:spacing w:after="0" w:line="215" w:lineRule="auto"/>
        <w:rPr>
          <w:sz w:val="20"/>
          <w:szCs w:val="20"/>
          <w:color w:val="auto"/>
        </w:rPr>
      </w:pPr>
      <w:r>
        <w:rPr>
          <w:rFonts w:ascii="Times New Roman" w:cs="Times New Roman" w:eastAsia="Times New Roman" w:hAnsi="Times New Roman"/>
          <w:sz w:val="22"/>
          <w:szCs w:val="22"/>
          <w:color w:val="auto"/>
        </w:rPr>
        <w:t>This Policy shall be administered by the Committee. The Committee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Securities and Exchange Commission or the national securities exchange on which the Company's securities are listed.</w:t>
      </w:r>
    </w:p>
    <w:p>
      <w:pPr>
        <w:spacing w:after="0" w:line="1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u w:val="single" w:color="auto"/>
          <w:color w:val="auto"/>
        </w:rPr>
        <w:t>Effective Date</w:t>
      </w:r>
    </w:p>
    <w:p>
      <w:pPr>
        <w:spacing w:after="0" w:line="183" w:lineRule="exact"/>
        <w:rPr>
          <w:sz w:val="20"/>
          <w:szCs w:val="20"/>
          <w:color w:val="auto"/>
        </w:rPr>
      </w:pPr>
    </w:p>
    <w:p>
      <w:pPr>
        <w:jc w:val="both"/>
        <w:ind w:left="180" w:right="199"/>
        <w:spacing w:after="0" w:line="225" w:lineRule="auto"/>
        <w:rPr>
          <w:sz w:val="20"/>
          <w:szCs w:val="20"/>
          <w:color w:val="auto"/>
        </w:rPr>
      </w:pPr>
      <w:r>
        <w:rPr>
          <w:rFonts w:ascii="Times New Roman" w:cs="Times New Roman" w:eastAsia="Times New Roman" w:hAnsi="Times New Roman"/>
          <w:sz w:val="22"/>
          <w:szCs w:val="22"/>
          <w:color w:val="auto"/>
        </w:rPr>
        <w:t xml:space="preserve">This Policy shall be effective as of the date it is adopted by the Board (the "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and shall apply to Incentive-Based Compensation that is approved, awarded or granted to Covered Executives on or after that date.</w:t>
      </w:r>
    </w:p>
    <w:p>
      <w:pPr>
        <w:spacing w:after="0" w:line="1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u w:val="single" w:color="auto"/>
          <w:color w:val="auto"/>
        </w:rPr>
        <w:t>Amendment; Termination</w:t>
      </w:r>
    </w:p>
    <w:p>
      <w:pPr>
        <w:spacing w:after="0" w:line="183" w:lineRule="exact"/>
        <w:rPr>
          <w:sz w:val="20"/>
          <w:szCs w:val="20"/>
          <w:color w:val="auto"/>
        </w:rPr>
      </w:pPr>
    </w:p>
    <w:p>
      <w:pPr>
        <w:jc w:val="both"/>
        <w:ind w:left="180" w:right="199"/>
        <w:spacing w:after="0" w:line="217" w:lineRule="auto"/>
        <w:rPr>
          <w:sz w:val="20"/>
          <w:szCs w:val="20"/>
          <w:color w:val="auto"/>
        </w:rPr>
      </w:pPr>
      <w:r>
        <w:rPr>
          <w:rFonts w:ascii="Times New Roman" w:cs="Times New Roman" w:eastAsia="Times New Roman" w:hAnsi="Times New Roman"/>
          <w:sz w:val="22"/>
          <w:szCs w:val="22"/>
          <w:color w:val="auto"/>
        </w:rPr>
        <w:t>The Board may amend this Policy from time to time in its discretion and shall amend this Policy as it deems necessary to reflect the final regulations adopted by the Securities and Exchange Commission under Section 10D of the Exchange Act and to comply with any final rules or standards adopted by the national securities exchange on which the Company's securities are listed. The Board may terminate this Policy at any time.</w:t>
      </w:r>
    </w:p>
    <w:p>
      <w:pPr>
        <w:spacing w:after="0" w:line="1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u w:val="single" w:color="auto"/>
          <w:color w:val="auto"/>
        </w:rPr>
        <w:t>Policy Not Exclusive</w:t>
      </w:r>
    </w:p>
    <w:p>
      <w:pPr>
        <w:spacing w:after="0" w:line="183" w:lineRule="exact"/>
        <w:rPr>
          <w:sz w:val="20"/>
          <w:szCs w:val="20"/>
          <w:color w:val="auto"/>
        </w:rPr>
      </w:pPr>
    </w:p>
    <w:p>
      <w:pPr>
        <w:jc w:val="both"/>
        <w:ind w:left="180" w:right="199"/>
        <w:spacing w:after="0" w:line="224" w:lineRule="auto"/>
        <w:rPr>
          <w:sz w:val="20"/>
          <w:szCs w:val="20"/>
          <w:color w:val="auto"/>
        </w:rPr>
      </w:pPr>
      <w:r>
        <w:rPr>
          <w:rFonts w:ascii="Times New Roman" w:cs="Times New Roman" w:eastAsia="Times New Roman" w:hAnsi="Times New Roman"/>
          <w:sz w:val="21"/>
          <w:szCs w:val="21"/>
          <w:color w:val="auto"/>
        </w:rPr>
        <w:t>The Committee 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recovery under this Policy is in addition to, and not in lieu of, any other remedies or rights of recovery, recoupment, forfeiture or offset that may be available to the Company pursuant to the terms of any other applicable Company policy in any employment agreement, equity award agreement, or similar agreement and any other legal remedies available to the Company.</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195580</wp:posOffset>
            </wp:positionV>
            <wp:extent cx="5528945" cy="508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92" w:name="page93"/>
    <w:bookmarkEnd w:id="92"/>
    <w:p>
      <w:pPr>
        <w:ind w:left="180"/>
        <w:spacing w:after="0"/>
        <w:rPr>
          <w:sz w:val="20"/>
          <w:szCs w:val="20"/>
          <w:color w:val="auto"/>
        </w:rPr>
      </w:pPr>
      <w:r>
        <w:rPr>
          <w:rFonts w:ascii="Times New Roman" w:cs="Times New Roman" w:eastAsia="Times New Roman" w:hAnsi="Times New Roman"/>
          <w:sz w:val="22"/>
          <w:szCs w:val="22"/>
          <w:b w:val="1"/>
          <w:bCs w:val="1"/>
          <w:u w:val="single" w:color="auto"/>
          <w:color w:val="auto"/>
        </w:rPr>
        <w:t>Successors</w:t>
      </w:r>
    </w:p>
    <w:p>
      <w:pPr>
        <w:spacing w:after="0" w:line="184" w:lineRule="exact"/>
        <w:rPr>
          <w:sz w:val="20"/>
          <w:szCs w:val="20"/>
          <w:color w:val="auto"/>
        </w:rPr>
      </w:pPr>
    </w:p>
    <w:p>
      <w:pPr>
        <w:jc w:val="both"/>
        <w:ind w:left="180" w:right="199"/>
        <w:spacing w:after="0" w:line="236" w:lineRule="auto"/>
        <w:rPr>
          <w:sz w:val="20"/>
          <w:szCs w:val="20"/>
          <w:color w:val="auto"/>
        </w:rPr>
      </w:pPr>
      <w:r>
        <w:rPr>
          <w:rFonts w:ascii="Times New Roman" w:cs="Times New Roman" w:eastAsia="Times New Roman" w:hAnsi="Times New Roman"/>
          <w:sz w:val="22"/>
          <w:szCs w:val="22"/>
          <w:color w:val="auto"/>
        </w:rPr>
        <w:t>This Policy shall be binding and enforceable against all Covered Executives and their beneficiaries, heirs, executors, administrators and other legal representatives.</w:t>
      </w:r>
    </w:p>
    <w:p>
      <w:pPr>
        <w:spacing w:after="0" w:line="1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u w:val="single" w:color="auto"/>
          <w:color w:val="auto"/>
        </w:rPr>
        <w:t>Filings</w:t>
      </w:r>
    </w:p>
    <w:p>
      <w:pPr>
        <w:spacing w:after="0" w:line="183" w:lineRule="exact"/>
        <w:rPr>
          <w:sz w:val="20"/>
          <w:szCs w:val="20"/>
          <w:color w:val="auto"/>
        </w:rPr>
      </w:pPr>
    </w:p>
    <w:p>
      <w:pPr>
        <w:jc w:val="both"/>
        <w:ind w:left="180" w:right="199"/>
        <w:spacing w:after="0" w:line="225" w:lineRule="auto"/>
        <w:rPr>
          <w:sz w:val="20"/>
          <w:szCs w:val="20"/>
          <w:color w:val="auto"/>
        </w:rPr>
      </w:pPr>
      <w:r>
        <w:rPr>
          <w:rFonts w:ascii="Times New Roman" w:cs="Times New Roman" w:eastAsia="Times New Roman" w:hAnsi="Times New Roman"/>
          <w:sz w:val="22"/>
          <w:szCs w:val="22"/>
          <w:color w:val="auto"/>
        </w:rPr>
        <w:t>The Committee shall cause the Company to make any filings with, or submissions to, the Securities Exchange Commission and the applicable national securities exchange that may be required pursuant to rules adopted pursuant to Section 10D of the Exchange Act.</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195580</wp:posOffset>
            </wp:positionV>
            <wp:extent cx="5528945" cy="514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6">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sectPr>
      <w:pgSz w:w="11900" w:h="16838" w:orient="portrait"/>
      <w:cols w:equalWidth="0" w:num="1">
        <w:col w:w="9019"/>
      </w:cols>
      <w:pgMar w:left="1440" w:top="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
      <w:numFmt w:val="bullet"/>
      <w:start w:val="1"/>
    </w:lvl>
  </w:abstractNum>
  <w:abstractNum w:abstractNumId="3">
    <w:nsid w:val="B03E0C6"/>
    <w:multiLevelType w:val="hybridMultilevel"/>
    <w:lvl w:ilvl="0">
      <w:lvlJc w:val="left"/>
      <w:lvlText w:val=" "/>
      <w:numFmt w:val="bullet"/>
      <w:start w:val="1"/>
    </w:lvl>
  </w:abstractNum>
  <w:abstractNum w:abstractNumId="4">
    <w:nsid w:val="189A769B"/>
    <w:multiLevelType w:val="hybridMultilevel"/>
    <w:lvl w:ilvl="0">
      <w:lvlJc w:val="left"/>
      <w:lvlText w:val=" "/>
      <w:numFmt w:val="bullet"/>
      <w:start w:val="1"/>
    </w:lvl>
  </w:abstractNum>
  <w:abstractNum w:abstractNumId="5">
    <w:nsid w:val="54E49EB4"/>
    <w:multiLevelType w:val="hybridMultilevel"/>
    <w:lvl w:ilvl="0">
      <w:lvlJc w:val="left"/>
      <w:lvlText w:val="(%1)"/>
      <w:numFmt w:val="lowerLetter"/>
      <w:start w:val="3"/>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 "/>
      <w:numFmt w:val="bullet"/>
      <w:start w:val="1"/>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1)"/>
      <w:numFmt w:val="decimal"/>
      <w:start w:val="1"/>
    </w:lvl>
  </w:abstractNum>
  <w:abstractNum w:abstractNumId="10">
    <w:nsid w:val="3A95F874"/>
    <w:multiLevelType w:val="hybridMultilevel"/>
    <w:lvl w:ilvl="0">
      <w:lvlJc w:val="left"/>
      <w:lvlText w:val=" "/>
      <w:numFmt w:val="bullet"/>
      <w:start w:val="1"/>
    </w:lvl>
  </w:abstractNum>
  <w:abstractNum w:abstractNumId="11">
    <w:nsid w:val="8138641"/>
    <w:multiLevelType w:val="hybridMultilevel"/>
    <w:lvl w:ilvl="0">
      <w:lvlJc w:val="left"/>
      <w:lvlText w:val=" "/>
      <w:numFmt w:val="bullet"/>
      <w:start w:val="1"/>
    </w:lvl>
  </w:abstractNum>
  <w:abstractNum w:abstractNumId="12">
    <w:nsid w:val="1E7FF521"/>
    <w:multiLevelType w:val="hybridMultilevel"/>
    <w:lvl w:ilvl="0">
      <w:lvlJc w:val="left"/>
      <w:lvlText w:val=" "/>
      <w:numFmt w:val="bullet"/>
      <w:start w:val="1"/>
    </w:lvl>
  </w:abstractNum>
  <w:abstractNum w:abstractNumId="13">
    <w:nsid w:val="7C3DBD3D"/>
    <w:multiLevelType w:val="hybridMultilevel"/>
    <w:lvl w:ilvl="0">
      <w:lvlJc w:val="left"/>
      <w:lvlText w:val=" "/>
      <w:numFmt w:val="bullet"/>
      <w:start w:val="1"/>
    </w:lvl>
  </w:abstractNum>
  <w:abstractNum w:abstractNumId="14">
    <w:nsid w:val="737B8DDC"/>
    <w:multiLevelType w:val="hybridMultilevel"/>
    <w:lvl w:ilvl="0">
      <w:lvlJc w:val="left"/>
      <w:lvlText w:val=" "/>
      <w:numFmt w:val="bullet"/>
      <w:start w:val="1"/>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 "/>
      <w:numFmt w:val="bullet"/>
      <w:start w:val="1"/>
    </w:lvl>
  </w:abstractNum>
  <w:abstractNum w:abstractNumId="17">
    <w:nsid w:val="4516DDE9"/>
    <w:multiLevelType w:val="hybridMultilevel"/>
    <w:lvl w:ilvl="0">
      <w:lvlJc w:val="left"/>
      <w:lvlText w:val=" "/>
      <w:numFmt w:val="bullet"/>
      <w:start w:val="1"/>
    </w:lvl>
  </w:abstractNum>
  <w:abstractNum w:abstractNumId="18">
    <w:nsid w:val="3006C83E"/>
    <w:multiLevelType w:val="hybridMultilevel"/>
    <w:lvl w:ilvl="0">
      <w:lvlJc w:val="left"/>
      <w:lvlText w:val="(%1)"/>
      <w:numFmt w:val="lowerLetter"/>
      <w:start w:val="1"/>
    </w:lvl>
  </w:abstractNum>
  <w:abstractNum w:abstractNumId="19">
    <w:nsid w:val="614FD4A1"/>
    <w:multiLevelType w:val="hybridMultilevel"/>
    <w:lvl w:ilvl="0">
      <w:lvlJc w:val="left"/>
      <w:lvlText w:val="\emdash "/>
      <w:numFmt w:val="bullet"/>
      <w:start w:val="1"/>
    </w:lvl>
  </w:abstractNum>
  <w:abstractNum w:abstractNumId="20">
    <w:nsid w:val="419AC241"/>
    <w:multiLevelType w:val="hybridMultilevel"/>
    <w:lvl w:ilvl="0">
      <w:lvlJc w:val="left"/>
      <w:lvlText w:val=" "/>
      <w:numFmt w:val="bullet"/>
      <w:start w:val="1"/>
    </w:lvl>
  </w:abstractNum>
  <w:abstractNum w:abstractNumId="21">
    <w:nsid w:val="5577F8E1"/>
    <w:multiLevelType w:val="hybridMultilevel"/>
    <w:lvl w:ilvl="0">
      <w:lvlJc w:val="left"/>
      <w:lvlText w:val=" "/>
      <w:numFmt w:val="bullet"/>
      <w:start w:val="1"/>
    </w:lvl>
  </w:abstractNum>
  <w:abstractNum w:abstractNumId="22">
    <w:nsid w:val="440BADFC"/>
    <w:multiLevelType w:val="hybridMultilevel"/>
    <w:lvl w:ilvl="0">
      <w:lvlJc w:val="left"/>
      <w:lvlText w:val=" "/>
      <w:numFmt w:val="bullet"/>
      <w:start w:val="1"/>
    </w:lvl>
  </w:abstractNum>
  <w:abstractNum w:abstractNumId="23">
    <w:nsid w:val="5072367"/>
    <w:multiLevelType w:val="hybridMultilevel"/>
    <w:lvl w:ilvl="0">
      <w:lvlJc w:val="left"/>
      <w:lvlText w:val=" "/>
      <w:numFmt w:val="bullet"/>
      <w:start w:val="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 "/>
      <w:numFmt w:val="bullet"/>
      <w:start w:val="1"/>
    </w:lvl>
  </w:abstractNum>
  <w:abstractNum w:abstractNumId="26">
    <w:nsid w:val="7724C67E"/>
    <w:multiLevelType w:val="hybridMultilevel"/>
    <w:lvl w:ilvl="0">
      <w:lvlJc w:val="left"/>
      <w:lvlText w:val=" "/>
      <w:numFmt w:val="bullet"/>
      <w:start w:val="1"/>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1"/>
      <w:numFmt w:val="decimal"/>
      <w:start w:val="10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1."/>
      <w:numFmt w:val="decimal"/>
      <w:start w:val="2"/>
    </w:lvl>
    <w:lvl w:ilvl="1">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1."/>
      <w:numFmt w:val="decimal"/>
      <w:start w:val="5"/>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1."/>
      <w:numFmt w:val="decimal"/>
      <w:start w:val="1"/>
    </w:lvl>
    <w:lvl w:ilvl="1">
      <w:lvlJc w:val="left"/>
      <w:lvlText w:val="%2."/>
      <w:numFmt w:val="lowerLetter"/>
      <w:start w:val="1"/>
    </w:lvl>
  </w:abstractNum>
  <w:abstractNum w:abstractNumId="42">
    <w:nsid w:val="7A6D8D3C"/>
    <w:multiLevelType w:val="hybridMultilevel"/>
    <w:lvl w:ilvl="0">
      <w:lvlJc w:val="left"/>
      <w:lvlText w:val="%1."/>
      <w:numFmt w:val="decimal"/>
      <w:start w:val="1"/>
    </w:lvl>
    <w:lvl w:ilvl="1">
      <w:lvlJc w:val="left"/>
      <w:lvlText w:val="%2."/>
      <w:numFmt w:val="lowerLetter"/>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110" Type="http://schemas.openxmlformats.org/officeDocument/2006/relationships/image" Target="media/image79.png"/><Relationship Id="rId111" Type="http://schemas.openxmlformats.org/officeDocument/2006/relationships/image" Target="media/image80.png"/><Relationship Id="rId119" Type="http://schemas.openxmlformats.org/officeDocument/2006/relationships/image" Target="media/image81.png"/><Relationship Id="rId120" Type="http://schemas.openxmlformats.org/officeDocument/2006/relationships/image" Target="media/image82.png"/><Relationship Id="rId121" Type="http://schemas.openxmlformats.org/officeDocument/2006/relationships/image" Target="media/image83.png"/><Relationship Id="rId122" Type="http://schemas.openxmlformats.org/officeDocument/2006/relationships/image" Target="media/image84.png"/><Relationship Id="rId123" Type="http://schemas.openxmlformats.org/officeDocument/2006/relationships/image" Target="media/image85.png"/><Relationship Id="rId124" Type="http://schemas.openxmlformats.org/officeDocument/2006/relationships/image" Target="media/image86.jpeg"/><Relationship Id="rId125" Type="http://schemas.openxmlformats.org/officeDocument/2006/relationships/image" Target="media/image87.png"/><Relationship Id="rId126" Type="http://schemas.openxmlformats.org/officeDocument/2006/relationships/image" Target="media/image88.jpeg"/><Relationship Id="rId127" Type="http://schemas.openxmlformats.org/officeDocument/2006/relationships/image" Target="media/image89.png"/><Relationship Id="rId128" Type="http://schemas.openxmlformats.org/officeDocument/2006/relationships/image" Target="media/image90.png"/><Relationship Id="rId129" Type="http://schemas.openxmlformats.org/officeDocument/2006/relationships/image" Target="media/image91.jpeg"/><Relationship Id="rId130" Type="http://schemas.openxmlformats.org/officeDocument/2006/relationships/image" Target="media/image92.png"/><Relationship Id="rId131" Type="http://schemas.openxmlformats.org/officeDocument/2006/relationships/image" Target="media/image93.png"/><Relationship Id="rId132" Type="http://schemas.openxmlformats.org/officeDocument/2006/relationships/image" Target="media/image94.jpeg"/><Relationship Id="rId133" Type="http://schemas.openxmlformats.org/officeDocument/2006/relationships/image" Target="media/image95.png"/><Relationship Id="rId134" Type="http://schemas.openxmlformats.org/officeDocument/2006/relationships/image" Target="media/image96.png"/><Relationship Id="rId135" Type="http://schemas.openxmlformats.org/officeDocument/2006/relationships/image" Target="media/image97.jpeg"/><Relationship Id="rId136" Type="http://schemas.openxmlformats.org/officeDocument/2006/relationships/image" Target="media/image98.png"/><Relationship Id="rId137" Type="http://schemas.openxmlformats.org/officeDocument/2006/relationships/image" Target="media/image99.png"/><Relationship Id="rId138" Type="http://schemas.openxmlformats.org/officeDocument/2006/relationships/image" Target="media/image100.jpeg"/><Relationship Id="rId139" Type="http://schemas.openxmlformats.org/officeDocument/2006/relationships/image" Target="media/image101.png"/><Relationship Id="rId140" Type="http://schemas.openxmlformats.org/officeDocument/2006/relationships/image" Target="media/image102.png"/><Relationship Id="rId141" Type="http://schemas.openxmlformats.org/officeDocument/2006/relationships/image" Target="media/image103.jpeg"/><Relationship Id="rId142" Type="http://schemas.openxmlformats.org/officeDocument/2006/relationships/image" Target="media/image104.png"/><Relationship Id="rId143" Type="http://schemas.openxmlformats.org/officeDocument/2006/relationships/image" Target="media/image105.png"/><Relationship Id="rId144" Type="http://schemas.openxmlformats.org/officeDocument/2006/relationships/image" Target="media/image106.jpeg"/><Relationship Id="rId145" Type="http://schemas.openxmlformats.org/officeDocument/2006/relationships/image" Target="media/image107.png"/><Relationship Id="rId146" Type="http://schemas.openxmlformats.org/officeDocument/2006/relationships/image" Target="media/image108.png"/><Relationship Id="rId147" Type="http://schemas.openxmlformats.org/officeDocument/2006/relationships/image" Target="media/image109.jpeg"/><Relationship Id="rId148" Type="http://schemas.openxmlformats.org/officeDocument/2006/relationships/image" Target="media/image110.png"/><Relationship Id="rId149" Type="http://schemas.openxmlformats.org/officeDocument/2006/relationships/image" Target="media/image111.png"/><Relationship Id="rId150" Type="http://schemas.openxmlformats.org/officeDocument/2006/relationships/image" Target="media/image112.jpeg"/><Relationship Id="rId151" Type="http://schemas.openxmlformats.org/officeDocument/2006/relationships/image" Target="media/image113.png"/><Relationship Id="rId152" Type="http://schemas.openxmlformats.org/officeDocument/2006/relationships/image" Target="media/image114.png"/><Relationship Id="rId153" Type="http://schemas.openxmlformats.org/officeDocument/2006/relationships/image" Target="media/image115.jpeg"/><Relationship Id="rId154" Type="http://schemas.openxmlformats.org/officeDocument/2006/relationships/image" Target="media/image116.png"/><Relationship Id="rId155" Type="http://schemas.openxmlformats.org/officeDocument/2006/relationships/image" Target="media/image117.png"/><Relationship Id="rId156" Type="http://schemas.openxmlformats.org/officeDocument/2006/relationships/image" Target="media/image118.jpeg"/><Relationship Id="rId157" Type="http://schemas.openxmlformats.org/officeDocument/2006/relationships/image" Target="media/image119.png"/><Relationship Id="rId158" Type="http://schemas.openxmlformats.org/officeDocument/2006/relationships/image" Target="media/image120.png"/><Relationship Id="rId159" Type="http://schemas.openxmlformats.org/officeDocument/2006/relationships/image" Target="media/image121.jpeg"/><Relationship Id="rId160" Type="http://schemas.openxmlformats.org/officeDocument/2006/relationships/image" Target="media/image122.png"/><Relationship Id="rId161" Type="http://schemas.openxmlformats.org/officeDocument/2006/relationships/image" Target="media/image123.png"/><Relationship Id="rId162" Type="http://schemas.openxmlformats.org/officeDocument/2006/relationships/image" Target="media/image124.png"/><Relationship Id="rId163" Type="http://schemas.openxmlformats.org/officeDocument/2006/relationships/image" Target="media/image125.png"/><Relationship Id="rId164" Type="http://schemas.openxmlformats.org/officeDocument/2006/relationships/image" Target="media/image126.png"/><Relationship Id="rId165" Type="http://schemas.openxmlformats.org/officeDocument/2006/relationships/image" Target="media/image127.png"/><Relationship Id="rId166" Type="http://schemas.openxmlformats.org/officeDocument/2006/relationships/image" Target="media/image128.png"/><Relationship Id="rId167" Type="http://schemas.openxmlformats.org/officeDocument/2006/relationships/image" Target="media/image129.png"/><Relationship Id="rId168" Type="http://schemas.openxmlformats.org/officeDocument/2006/relationships/image" Target="media/image130.png"/><Relationship Id="rId169" Type="http://schemas.openxmlformats.org/officeDocument/2006/relationships/image" Target="media/image131.png"/><Relationship Id="rId170" Type="http://schemas.openxmlformats.org/officeDocument/2006/relationships/image" Target="media/image132.png"/><Relationship Id="rId171" Type="http://schemas.openxmlformats.org/officeDocument/2006/relationships/image" Target="media/image133.png"/><Relationship Id="rId172" Type="http://schemas.openxmlformats.org/officeDocument/2006/relationships/image" Target="media/image134.png"/><Relationship Id="rId173" Type="http://schemas.openxmlformats.org/officeDocument/2006/relationships/image" Target="media/image135.png"/><Relationship Id="rId174" Type="http://schemas.openxmlformats.org/officeDocument/2006/relationships/image" Target="media/image136.png"/><Relationship Id="rId175" Type="http://schemas.openxmlformats.org/officeDocument/2006/relationships/image" Target="media/image137.png"/><Relationship Id="rId176" Type="http://schemas.openxmlformats.org/officeDocument/2006/relationships/image" Target="media/image138.png"/><Relationship Id="rId44" Type="http://schemas.openxmlformats.org/officeDocument/2006/relationships/hyperlink" Target="https://www.sec.gov/ix?doc=/Archives/edgar/data/1552800/000155280023000003/ttsh-20221231x10k.htm" TargetMode="External"/><Relationship Id="rId87" Type="http://schemas.openxmlformats.org/officeDocument/2006/relationships/hyperlink" Target="http://www.sec.gov/Archives/edgar/data/1552800/000114420412037509/v316486_ex3-1.htm" TargetMode="External"/><Relationship Id="rId88" Type="http://schemas.openxmlformats.org/officeDocument/2006/relationships/hyperlink" Target="http://www.sec.gov/Archives/edgar/data/0001552800/000110465921094416/tm2122262d1_ex3-2.htm" TargetMode="External"/><Relationship Id="rId89" Type="http://schemas.openxmlformats.org/officeDocument/2006/relationships/hyperlink" Target="http://www.sec.gov/Archives/edgar/data/1552800/000114420412037509/v316486_ex3-2.htm" TargetMode="External"/><Relationship Id="rId90" Type="http://schemas.openxmlformats.org/officeDocument/2006/relationships/hyperlink" Target="http://www.sec.gov/Archives/edgar/data/1552800/000114420412040584/v318344_ex4-1.htm" TargetMode="External"/><Relationship Id="rId91" Type="http://schemas.openxmlformats.org/officeDocument/2006/relationships/hyperlink" Target="http://www.sec.gov/Archives/edgar/data/1552800/000155280023000003/ttsh-20221231xex4_2.htm" TargetMode="External"/><Relationship Id="rId92" Type="http://schemas.openxmlformats.org/officeDocument/2006/relationships/hyperlink" Target="http://www.sec.gov/Archives/edgar/data/1552800/000114420413041320/v350939_ex10-1.htm" TargetMode="External"/><Relationship Id="rId93" Type="http://schemas.openxmlformats.org/officeDocument/2006/relationships/hyperlink" Target="http://www.sec.gov/Archives/edgar/data/1552800/000114420413041320/v350939_ex10-2.htm" TargetMode="External"/><Relationship Id="rId94" Type="http://schemas.openxmlformats.org/officeDocument/2006/relationships/hyperlink" Target="http://www.sec.gov/Archives/edgar/data/1552800/000114420412040584/v318344_ex10-13.htm" TargetMode="External"/><Relationship Id="rId95" Type="http://schemas.openxmlformats.org/officeDocument/2006/relationships/hyperlink" Target="http://www.sec.gov/Archives/edgar/data/1552800/000114420413041320/v350939_ex10-3.htm" TargetMode="External"/><Relationship Id="rId96" Type="http://schemas.openxmlformats.org/officeDocument/2006/relationships/hyperlink" Target="http://www.sec.gov/Archives/edgar/data/1552800/000114420413041320/v350939_ex10-4.htm" TargetMode="External"/><Relationship Id="rId97" Type="http://schemas.openxmlformats.org/officeDocument/2006/relationships/hyperlink" Target="http://www.sec.gov/Archives/edgar/data/1552800/000114420413041320/v350939_ex10-5.htm" TargetMode="External"/><Relationship Id="rId98" Type="http://schemas.openxmlformats.org/officeDocument/2006/relationships/hyperlink" Target="http://www.sec.gov/Archives/edgar/data/1552800/000155280017000057/tts-20170930xex10_2.htm" TargetMode="External"/><Relationship Id="rId99" Type="http://schemas.openxmlformats.org/officeDocument/2006/relationships/hyperlink" Target="http://www.sec.gov/Archives/edgar/data/1552800/000155280018000003/tts-20180219xex10_1.htm" TargetMode="External"/><Relationship Id="rId100" Type="http://schemas.openxmlformats.org/officeDocument/2006/relationships/hyperlink" Target="http://www.sec.gov/Archives/edgar/data/1552800/000155280019000029/tts-20190930xex10_2.htm" TargetMode="External"/><Relationship Id="rId101" Type="http://schemas.openxmlformats.org/officeDocument/2006/relationships/hyperlink" Target="http://www.sec.gov/Archives/edgar/data/1552800/000155280020000027/ttsh-20200930xex10_1.htm" TargetMode="External"/><Relationship Id="rId102" Type="http://schemas.openxmlformats.org/officeDocument/2006/relationships/hyperlink" Target="http://www.sec.gov/Archives/edgar/data/0001552800/000155280021000005/ttsh-20201231xex10_20.htm" TargetMode="External"/><Relationship Id="rId103" Type="http://schemas.openxmlformats.org/officeDocument/2006/relationships/hyperlink" Target="http://www.sec.gov/Archives/edgar/data/0001552800/000110465921094416/tm2122262d1_ex10-1.htm" TargetMode="External"/><Relationship Id="rId104" Type="http://schemas.openxmlformats.org/officeDocument/2006/relationships/hyperlink" Target="http://www.sec.gov/Archives/edgar/data/0001552800/000110465921094416/tm2122262d1_ex10-2.htm" TargetMode="External"/><Relationship Id="rId105" Type="http://schemas.openxmlformats.org/officeDocument/2006/relationships/hyperlink" Target="http://www.sec.gov/Archives/edgar/data/0001552800/000110465921094416/tm2122262d1_ex10-3.htm" TargetMode="External"/><Relationship Id="rId106" Type="http://schemas.openxmlformats.org/officeDocument/2006/relationships/hyperlink" Target="http://www.sec.gov/Archives/edgar/data/0001552800/000110465921094416/tm2122262d1_ex10-4.htm" TargetMode="External"/><Relationship Id="rId107" Type="http://schemas.openxmlformats.org/officeDocument/2006/relationships/hyperlink" Target="http://www.sec.gov/Archives/edgar/data/0001552800/000110465921094416/tm2122262d1_ex10-5.htm" TargetMode="External"/><Relationship Id="rId108" Type="http://schemas.openxmlformats.org/officeDocument/2006/relationships/hyperlink" Target="http://www.sec.gov/Archives/edgar/data/1552800/000155280023000003/ttsh-20221231xex10_19.htm" TargetMode="External"/><Relationship Id="rId109" Type="http://schemas.openxmlformats.org/officeDocument/2006/relationships/hyperlink" Target="http://www.sec.gov/Archives/edgar/data/1552800/000155280023000003/ttsh-20221231xex10_20.htm" TargetMode="External"/><Relationship Id="rId112" Type="http://schemas.openxmlformats.org/officeDocument/2006/relationships/hyperlink" Target="http://www.sec.gov/Archives/edgar/data/0001552800/000110465921152908/tm2136188d1_ex10-1.htm" TargetMode="External"/><Relationship Id="rId113" Type="http://schemas.openxmlformats.org/officeDocument/2006/relationships/hyperlink" Target="http://www.sec.gov/Archives/edgar/data/1552800/000110465922104593/tm2227017d1_ex10-1.htm" TargetMode="External"/><Relationship Id="rId114" Type="http://schemas.openxmlformats.org/officeDocument/2006/relationships/hyperlink" Target="http://www.sec.gov/Archives/edgar/data/1552800/000110465922104593/tm2227017d1_ex10-2.htm" TargetMode="External"/><Relationship Id="rId115" Type="http://schemas.openxmlformats.org/officeDocument/2006/relationships/hyperlink" Target="http://www.sec.gov/Archives/edgar/data/1552800/000110465923064637/tm2316950d1_ex16-1.htm" TargetMode="External"/><Relationship Id="rId116" Type="http://schemas.openxmlformats.org/officeDocument/2006/relationships/hyperlink" Target="http://www.sec.gov/Archives/edgar/data/1552800/000155280017000012/tts-20161231xex21_1.htm" TargetMode="External"/><Relationship Id="rId117" Type="http://schemas.openxmlformats.org/officeDocument/2006/relationships/hyperlink" Target="http://www.sec.gov/Archives/edgar/data/1552800/000110465920003488/tm203308d1_ex99-1.htm" TargetMode="External"/><Relationship Id="rId118" Type="http://schemas.openxmlformats.org/officeDocument/2006/relationships/hyperlink" Target="http://www.sec.gov/Archives/edgar/data/1552800/000110465920092178/tm2026957d1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2024-02-29T16:39:23Z</dcterms:created>
  <dcterms:modified xsi:type="dcterms:W3CDTF">2024-02-29T16:39:23Z</dcterms:modified>
</cp:coreProperties>
</file>