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9"/>
        <w:spacing w:after="0" w:line="225"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ind w:left="60"/>
        <w:spacing w:after="0" w:line="233" w:lineRule="auto"/>
        <w:rPr>
          <w:sz w:val="20"/>
          <w:szCs w:val="20"/>
          <w:color w:val="auto"/>
        </w:rPr>
      </w:pPr>
      <w:r>
        <w:rPr>
          <w:rFonts w:ascii="Times New Roman" w:cs="Times New Roman" w:eastAsia="Times New Roman" w:hAnsi="Times New Roman"/>
          <w:sz w:val="18"/>
          <w:szCs w:val="18"/>
          <w:color w:val="auto"/>
        </w:rPr>
        <w:t>(Mark One)</w:t>
      </w:r>
    </w:p>
    <w:p>
      <w:pPr>
        <w:ind w:left="340" w:hanging="319"/>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1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220" w:right="1640" w:hanging="4199"/>
        <w:spacing w:after="0" w:line="406" w:lineRule="auto"/>
        <w:tabs>
          <w:tab w:leader="none" w:pos="30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 to –</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001-35629</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9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TILE SHOP HOLDINGS, INC.</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color w:val="auto"/>
        </w:rPr>
        <w:t>_____________________________</w:t>
      </w:r>
    </w:p>
    <w:p>
      <w:pPr>
        <w:spacing w:after="0" w:line="11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45-5538095</w:t>
            </w:r>
          </w:p>
        </w:tc>
        <w:tc>
          <w:tcPr>
            <w:tcW w:w="0" w:type="dxa"/>
            <w:vAlign w:val="bottom"/>
          </w:tcPr>
          <w:p>
            <w:pPr>
              <w:spacing w:after="0"/>
              <w:rPr>
                <w:sz w:val="1"/>
                <w:szCs w:val="1"/>
                <w:color w:val="auto"/>
              </w:rPr>
            </w:pPr>
          </w:p>
        </w:tc>
      </w:tr>
      <w:tr>
        <w:trPr>
          <w:trHeight w:val="238"/>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c>
          <w:tcPr>
            <w:tcW w:w="0" w:type="dxa"/>
            <w:vAlign w:val="bottom"/>
          </w:tcPr>
          <w:p>
            <w:pPr>
              <w:spacing w:after="0"/>
              <w:rPr>
                <w:sz w:val="1"/>
                <w:szCs w:val="1"/>
                <w:color w:val="auto"/>
              </w:rPr>
            </w:pPr>
          </w:p>
        </w:tc>
      </w:tr>
      <w:tr>
        <w:trPr>
          <w:trHeight w:val="356"/>
        </w:trPr>
        <w:tc>
          <w:tcPr>
            <w:tcW w:w="560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14000 Carlson Parkway</w:t>
            </w:r>
          </w:p>
        </w:tc>
        <w:tc>
          <w:tcPr>
            <w:tcW w:w="370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55441</w:t>
            </w:r>
          </w:p>
        </w:tc>
        <w:tc>
          <w:tcPr>
            <w:tcW w:w="0" w:type="dxa"/>
            <w:vAlign w:val="bottom"/>
          </w:tcPr>
          <w:p>
            <w:pPr>
              <w:spacing w:after="0"/>
              <w:rPr>
                <w:sz w:val="1"/>
                <w:szCs w:val="1"/>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Times New Roman" w:cs="Times New Roman" w:eastAsia="Times New Roman" w:hAnsi="Times New Roman"/>
                <w:sz w:val="18"/>
                <w:szCs w:val="18"/>
                <w:b w:val="1"/>
                <w:bCs w:val="1"/>
                <w:color w:val="auto"/>
              </w:rPr>
              <w:t>Plymouth, Minnesota</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7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(763) 852-2950</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ind w:left="4580"/>
        <w:spacing w:after="0" w:line="214" w:lineRule="auto"/>
        <w:rPr>
          <w:sz w:val="20"/>
          <w:szCs w:val="20"/>
          <w:color w:val="auto"/>
        </w:rPr>
      </w:pPr>
      <w:r>
        <w:rPr>
          <w:rFonts w:ascii="Times New Roman" w:cs="Times New Roman" w:eastAsia="Times New Roman" w:hAnsi="Times New Roman"/>
          <w:sz w:val="14"/>
          <w:szCs w:val="14"/>
          <w:color w:val="auto"/>
        </w:rPr>
        <w:t>_____________________________</w:t>
      </w: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671" w:right="459" w:bottom="1440" w:gutter="0" w:footer="0" w:header="0"/>
        </w:sectPr>
      </w:pPr>
    </w:p>
    <w:p>
      <w:pPr>
        <w:spacing w:after="0" w:line="17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0" w:lineRule="exact"/>
        <w:rPr>
          <w:sz w:val="24"/>
          <w:szCs w:val="24"/>
          <w:color w:val="auto"/>
        </w:rPr>
      </w:pPr>
    </w:p>
    <w:p>
      <w:pPr>
        <w:sectPr>
          <w:pgSz w:w="11900" w:h="16838" w:orient="portrait"/>
          <w:cols w:equalWidth="0" w:num="3">
            <w:col w:w="3960" w:space="720"/>
            <w:col w:w="2100" w:space="720"/>
            <w:col w:w="3620"/>
          </w:cols>
          <w:pgMar w:left="320" w:top="671" w:right="459"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4"/>
          <w:szCs w:val="14"/>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p>
      <w:pPr>
        <w:spacing w:after="0" w:line="154" w:lineRule="exact"/>
        <w:rPr>
          <w:sz w:val="24"/>
          <w:szCs w:val="24"/>
          <w:color w:val="auto"/>
        </w:rPr>
      </w:pPr>
    </w:p>
    <w:p>
      <w:pPr>
        <w:sectPr>
          <w:pgSz w:w="11900" w:h="16838" w:orient="portrait"/>
          <w:cols w:equalWidth="0" w:num="3">
            <w:col w:w="4440" w:space="720"/>
            <w:col w:w="2240" w:space="720"/>
            <w:col w:w="3000"/>
          </w:cols>
          <w:pgMar w:left="320" w:top="671" w:right="459" w:bottom="1440" w:gutter="0" w:footer="0" w:header="0"/>
          <w:type w:val="continuous"/>
        </w:sectPr>
      </w:pPr>
    </w:p>
    <w:p>
      <w:pPr>
        <w:ind w:right="180"/>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0"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No</w:t>
      </w:r>
    </w:p>
    <w:p>
      <w:pPr>
        <w:spacing w:after="0" w:line="90" w:lineRule="exact"/>
        <w:rPr>
          <w:sz w:val="24"/>
          <w:szCs w:val="24"/>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tcPr>
          <w:p>
            <w:pPr>
              <w:ind w:left="320"/>
              <w:spacing w:after="0"/>
              <w:rPr>
                <w:sz w:val="20"/>
                <w:szCs w:val="20"/>
                <w:color w:val="auto"/>
              </w:rPr>
            </w:pPr>
            <w:r>
              <w:rPr>
                <w:rFonts w:ascii="Wingdings" w:cs="Wingdings" w:eastAsia="Wingdings" w:hAnsi="Wingdings"/>
                <w:sz w:val="18"/>
                <w:szCs w:val="18"/>
                <w:b w:val="1"/>
                <w:bCs w:val="1"/>
                <w:color w:val="auto"/>
                <w:w w:val="83"/>
              </w:rPr>
              <w:t>x</w:t>
            </w:r>
          </w:p>
        </w:tc>
      </w:tr>
      <w:tr>
        <w:trPr>
          <w:trHeight w:val="189"/>
        </w:trPr>
        <w:tc>
          <w:tcPr>
            <w:tcW w:w="18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line="189" w:lineRule="exact"/>
              <w:rPr>
                <w:sz w:val="20"/>
                <w:szCs w:val="20"/>
                <w:color w:val="auto"/>
              </w:rPr>
            </w:pPr>
            <w:r>
              <w:rPr>
                <w:rFonts w:ascii="Times New Roman" w:cs="Times New Roman" w:eastAsia="Times New Roman" w:hAnsi="Times New Roman"/>
                <w:sz w:val="18"/>
                <w:szCs w:val="18"/>
                <w:color w:val="auto"/>
              </w:rPr>
              <w:t>Smaller reporting company</w:t>
            </w:r>
          </w:p>
        </w:tc>
        <w:tc>
          <w:tcPr>
            <w:tcW w:w="500" w:type="dxa"/>
            <w:vAlign w:val="bottom"/>
          </w:tcPr>
          <w:p>
            <w:pPr>
              <w:ind w:left="32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30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3" w:lineRule="exact"/>
        <w:rPr>
          <w:sz w:val="24"/>
          <w:szCs w:val="24"/>
          <w:color w:val="auto"/>
        </w:rPr>
      </w:pPr>
    </w:p>
    <w:p>
      <w:pPr>
        <w:ind w:right="4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6" w:lineRule="exact"/>
        <w:rPr>
          <w:sz w:val="24"/>
          <w:szCs w:val="24"/>
          <w:color w:val="auto"/>
        </w:rPr>
      </w:pPr>
    </w:p>
    <w:p>
      <w:pPr>
        <w:ind w:right="1680"/>
        <w:spacing w:after="0" w:line="3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As of November 3, 2025, there were 44,715,001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1"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TILE SHOP HOLDINGS, INC.</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gridSpan w:val="5"/>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563C1"/>
              </w:rPr>
              <w:t>PART I. FINANCIAL INFORMATION</w:t>
            </w:r>
          </w:p>
        </w:tc>
        <w:tc>
          <w:tcPr>
            <w:tcW w:w="5900" w:type="dxa"/>
            <w:vAlign w:val="bottom"/>
            <w:tcBorders>
              <w:top w:val="single" w:sz="8" w:color="CCEEFF"/>
              <w:bottom w:val="single" w:sz="8" w:color="CCEEFF"/>
            </w:tcBorders>
            <w:gridSpan w:val="10"/>
            <w:shd w:val="clear" w:color="auto" w:fill="CCEEFF"/>
          </w:tcPr>
          <w:p>
            <w:pPr>
              <w:spacing w:after="0"/>
              <w:rPr>
                <w:sz w:val="14"/>
                <w:szCs w:val="14"/>
                <w:color w:val="auto"/>
              </w:rPr>
            </w:pPr>
          </w:p>
        </w:tc>
        <w:tc>
          <w:tcPr>
            <w:tcW w:w="16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sz w:val="20"/>
                <w:szCs w:val="20"/>
                <w:color w:val="auto"/>
              </w:rPr>
            </w:pPr>
            <w:r>
              <w:rPr>
                <w:rFonts w:ascii="Times New Roman" w:cs="Times New Roman" w:eastAsia="Times New Roman" w:hAnsi="Times New Roman"/>
                <w:sz w:val="18"/>
                <w:szCs w:val="18"/>
                <w:color w:val="0563C1"/>
                <w:w w:val="97"/>
              </w:rPr>
              <w:t>Item 1.</w:t>
            </w:r>
          </w:p>
        </w:tc>
        <w:tc>
          <w:tcPr>
            <w:tcW w:w="460" w:type="dxa"/>
            <w:vAlign w:val="bottom"/>
            <w:gridSpan w:val="3"/>
          </w:tcPr>
          <w:p>
            <w:pPr>
              <w:spacing w:after="0"/>
              <w:rPr>
                <w:sz w:val="14"/>
                <w:szCs w:val="14"/>
                <w:color w:val="auto"/>
              </w:rPr>
            </w:pPr>
          </w:p>
        </w:tc>
        <w:tc>
          <w:tcPr>
            <w:tcW w:w="8000" w:type="dxa"/>
            <w:vAlign w:val="bottom"/>
            <w:gridSpan w:val="18"/>
          </w:tcPr>
          <w:p>
            <w:pPr>
              <w:spacing w:after="0" w:line="162" w:lineRule="exact"/>
              <w:rPr>
                <w:sz w:val="20"/>
                <w:szCs w:val="20"/>
                <w:color w:val="auto"/>
              </w:rPr>
            </w:pPr>
            <w:r>
              <w:rPr>
                <w:rFonts w:ascii="Times New Roman" w:cs="Times New Roman" w:eastAsia="Times New Roman" w:hAnsi="Times New Roman"/>
                <w:sz w:val="18"/>
                <w:szCs w:val="18"/>
                <w:color w:val="0563C1"/>
              </w:rPr>
              <w:t>Financial Statements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Consolidated Balance Sheets</w:t>
            </w:r>
          </w:p>
        </w:tc>
        <w:tc>
          <w:tcPr>
            <w:tcW w:w="5860" w:type="dxa"/>
            <w:vAlign w:val="bottom"/>
            <w:tcBorders>
              <w:bottom w:val="single" w:sz="8" w:color="CCEEFF"/>
            </w:tcBorders>
            <w:gridSpan w:val="9"/>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563C1"/>
            </w:tcBorders>
            <w:gridSpan w:val="11"/>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Operations</w:t>
            </w:r>
          </w:p>
        </w:tc>
        <w:tc>
          <w:tcPr>
            <w:tcW w:w="5140" w:type="dxa"/>
            <w:vAlign w:val="bottom"/>
            <w:gridSpan w:val="7"/>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Comprehensive (Loss) Income</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240" w:type="dxa"/>
            <w:vAlign w:val="bottom"/>
            <w:tcBorders>
              <w:top w:val="single" w:sz="8" w:color="0563C1"/>
            </w:tcBorders>
            <w:gridSpan w:val="14"/>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Stockholders’ Equity</w:t>
            </w:r>
          </w:p>
        </w:tc>
        <w:tc>
          <w:tcPr>
            <w:tcW w:w="3760" w:type="dxa"/>
            <w:vAlign w:val="bottom"/>
            <w:tcBorders>
              <w:top w:val="single" w:sz="8" w:color="CCEEFF"/>
            </w:tcBorders>
            <w:gridSpan w:val="4"/>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Consolidated Statements of Cash Flows</w:t>
            </w:r>
          </w:p>
        </w:tc>
        <w:tc>
          <w:tcPr>
            <w:tcW w:w="4460" w:type="dxa"/>
            <w:vAlign w:val="bottom"/>
            <w:gridSpan w:val="5"/>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tcBorders>
              <w:right w:val="single" w:sz="8" w:color="0563C1"/>
            </w:tcBorders>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0" w:type="dxa"/>
            <w:vAlign w:val="bottom"/>
            <w:gridSpan w:val="18"/>
          </w:tcPr>
          <w:p>
            <w:pPr>
              <w:spacing w:after="0" w:line="162" w:lineRule="exact"/>
              <w:rPr>
                <w:sz w:val="20"/>
                <w:szCs w:val="20"/>
                <w:color w:val="auto"/>
              </w:rPr>
            </w:pPr>
            <w:r>
              <w:rPr>
                <w:rFonts w:ascii="Times New Roman" w:cs="Times New Roman" w:eastAsia="Times New Roman" w:hAnsi="Times New Roman"/>
                <w:sz w:val="18"/>
                <w:szCs w:val="18"/>
                <w:color w:val="0563C1"/>
              </w:rPr>
              <w:t>Notes to Consolidated Financial Statements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tcBorders>
              <w:right w:val="single" w:sz="8" w:color="0563C1"/>
            </w:tcBorders>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2.</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15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sz w:val="20"/>
                <w:szCs w:val="20"/>
                <w:color w:val="auto"/>
              </w:rPr>
            </w:pPr>
            <w:r>
              <w:rPr>
                <w:rFonts w:ascii="Times New Roman" w:cs="Times New Roman" w:eastAsia="Times New Roman" w:hAnsi="Times New Roman"/>
                <w:sz w:val="18"/>
                <w:szCs w:val="18"/>
                <w:color w:val="0563C1"/>
                <w:w w:val="97"/>
              </w:rPr>
              <w:t>Item 3.</w:t>
            </w:r>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3640" w:type="dxa"/>
            <w:vAlign w:val="bottom"/>
            <w:gridSpan w:val="2"/>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4.</w:t>
            </w:r>
          </w:p>
        </w:tc>
        <w:tc>
          <w:tcPr>
            <w:tcW w:w="460" w:type="dxa"/>
            <w:vAlign w:val="bottom"/>
            <w:gridSpan w:val="3"/>
            <w:shd w:val="clear" w:color="auto" w:fill="CCEEFF"/>
          </w:tcPr>
          <w:p>
            <w:pPr>
              <w:spacing w:after="0"/>
              <w:rPr>
                <w:sz w:val="14"/>
                <w:szCs w:val="14"/>
                <w:color w:val="auto"/>
              </w:rPr>
            </w:pPr>
          </w:p>
        </w:tc>
        <w:tc>
          <w:tcPr>
            <w:tcW w:w="800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Controls and Procedures</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sz w:val="20"/>
                <w:szCs w:val="20"/>
                <w:color w:val="auto"/>
              </w:rPr>
            </w:pPr>
            <w:r>
              <w:rPr>
                <w:rFonts w:ascii="Times New Roman" w:cs="Times New Roman" w:eastAsia="Times New Roman" w:hAnsi="Times New Roman"/>
                <w:sz w:val="18"/>
                <w:szCs w:val="18"/>
                <w:b w:val="1"/>
                <w:bCs w:val="1"/>
                <w:color w:val="0563C1"/>
                <w:w w:val="97"/>
              </w:rPr>
              <w:t>PART II. OTHER INFORMATION</w:t>
            </w:r>
          </w:p>
        </w:tc>
        <w:tc>
          <w:tcPr>
            <w:tcW w:w="6200" w:type="dxa"/>
            <w:vAlign w:val="bottom"/>
            <w:gridSpan w:val="11"/>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1.</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8"/>
              </w:rPr>
              <w:t>Legal Proceedings</w:t>
            </w:r>
          </w:p>
        </w:tc>
        <w:tc>
          <w:tcPr>
            <w:tcW w:w="6660" w:type="dxa"/>
            <w:vAlign w:val="bottom"/>
            <w:tcBorders>
              <w:bottom w:val="single" w:sz="8" w:color="CCEEFF"/>
            </w:tcBorders>
            <w:gridSpan w:val="13"/>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Item 1A.</w:t>
            </w:r>
          </w:p>
        </w:tc>
        <w:tc>
          <w:tcPr>
            <w:tcW w:w="8000" w:type="dxa"/>
            <w:vAlign w:val="bottom"/>
            <w:gridSpan w:val="18"/>
          </w:tcPr>
          <w:p>
            <w:pPr>
              <w:spacing w:after="0" w:line="162" w:lineRule="exact"/>
              <w:rPr>
                <w:sz w:val="20"/>
                <w:szCs w:val="20"/>
                <w:color w:val="auto"/>
              </w:rPr>
            </w:pPr>
            <w:r>
              <w:rPr>
                <w:rFonts w:ascii="Times New Roman" w:cs="Times New Roman" w:eastAsia="Times New Roman" w:hAnsi="Times New Roman"/>
                <w:sz w:val="18"/>
                <w:szCs w:val="18"/>
                <w:color w:val="0563C1"/>
              </w:rPr>
              <w:t>Risk Factors</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2.</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8000" w:type="dxa"/>
            <w:vAlign w:val="bottom"/>
            <w:gridSpan w:val="18"/>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sz w:val="20"/>
                <w:szCs w:val="20"/>
                <w:color w:val="auto"/>
              </w:rPr>
            </w:pPr>
            <w:r>
              <w:rPr>
                <w:rFonts w:ascii="Times New Roman" w:cs="Times New Roman" w:eastAsia="Times New Roman" w:hAnsi="Times New Roman"/>
                <w:sz w:val="18"/>
                <w:szCs w:val="18"/>
                <w:color w:val="0563C1"/>
                <w:w w:val="97"/>
              </w:rPr>
              <w:t>Item 3.</w:t>
            </w:r>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5"/>
          </w:tcPr>
          <w:p>
            <w:pPr>
              <w:spacing w:after="0" w:line="162" w:lineRule="exact"/>
              <w:rPr>
                <w:sz w:val="20"/>
                <w:szCs w:val="20"/>
                <w:color w:val="auto"/>
              </w:rPr>
            </w:pPr>
            <w:r>
              <w:rPr>
                <w:rFonts w:ascii="Times New Roman" w:cs="Times New Roman" w:eastAsia="Times New Roman" w:hAnsi="Times New Roman"/>
                <w:sz w:val="18"/>
                <w:szCs w:val="18"/>
                <w:color w:val="0563C1"/>
              </w:rPr>
              <w:t>Defaults Upon Senior Securities</w:t>
            </w:r>
          </w:p>
        </w:tc>
        <w:tc>
          <w:tcPr>
            <w:tcW w:w="3660" w:type="dxa"/>
            <w:vAlign w:val="bottom"/>
            <w:tcBorders>
              <w:top w:val="single" w:sz="8" w:color="CCEEFF"/>
            </w:tcBorders>
            <w:gridSpan w:val="3"/>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4.</w:t>
            </w:r>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Mine Safety Disclosures</w:t>
            </w:r>
          </w:p>
        </w:tc>
        <w:tc>
          <w:tcPr>
            <w:tcW w:w="5680" w:type="dxa"/>
            <w:vAlign w:val="bottom"/>
            <w:gridSpan w:val="8"/>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sz w:val="20"/>
                <w:szCs w:val="20"/>
                <w:color w:val="auto"/>
              </w:rPr>
            </w:pPr>
            <w:r>
              <w:rPr>
                <w:rFonts w:ascii="Times New Roman" w:cs="Times New Roman" w:eastAsia="Times New Roman" w:hAnsi="Times New Roman"/>
                <w:sz w:val="18"/>
                <w:szCs w:val="18"/>
                <w:color w:val="0563C1"/>
                <w:w w:val="97"/>
              </w:rPr>
              <w:t>Item 5.</w:t>
            </w:r>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sz w:val="20"/>
                <w:szCs w:val="20"/>
                <w:color w:val="auto"/>
              </w:rPr>
            </w:pPr>
            <w:r>
              <w:rPr>
                <w:rFonts w:ascii="Times New Roman" w:cs="Times New Roman" w:eastAsia="Times New Roman" w:hAnsi="Times New Roman"/>
                <w:sz w:val="18"/>
                <w:szCs w:val="18"/>
                <w:color w:val="0563C1"/>
                <w:w w:val="98"/>
              </w:rPr>
              <w:t>Other Information</w:t>
            </w:r>
          </w:p>
        </w:tc>
        <w:tc>
          <w:tcPr>
            <w:tcW w:w="480" w:type="dxa"/>
            <w:vAlign w:val="bottom"/>
            <w:tcBorders>
              <w:top w:val="single" w:sz="8" w:color="0563C1"/>
            </w:tcBorders>
            <w:gridSpan w:val="3"/>
          </w:tcPr>
          <w:p>
            <w:pPr>
              <w:spacing w:after="0"/>
              <w:rPr>
                <w:sz w:val="14"/>
                <w:szCs w:val="14"/>
                <w:color w:val="auto"/>
              </w:rPr>
            </w:pPr>
          </w:p>
        </w:tc>
        <w:tc>
          <w:tcPr>
            <w:tcW w:w="6200" w:type="dxa"/>
            <w:vAlign w:val="bottom"/>
            <w:tcBorders>
              <w:top w:val="single" w:sz="8" w:color="CCEEFF"/>
            </w:tcBorders>
            <w:gridSpan w:val="11"/>
          </w:tcPr>
          <w:p>
            <w:pPr>
              <w:spacing w:after="0"/>
              <w:rPr>
                <w:sz w:val="14"/>
                <w:szCs w:val="14"/>
                <w:color w:val="auto"/>
              </w:rPr>
            </w:pPr>
          </w:p>
        </w:tc>
        <w:tc>
          <w:tcPr>
            <w:tcW w:w="16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7"/>
              </w:rPr>
              <w:t>Item 6.</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6"/>
              </w:rPr>
              <w:t>Exhibits</w:t>
            </w:r>
          </w:p>
        </w:tc>
        <w:tc>
          <w:tcPr>
            <w:tcW w:w="7400" w:type="dxa"/>
            <w:vAlign w:val="bottom"/>
            <w:tcBorders>
              <w:bottom w:val="single" w:sz="8" w:color="CCEEFF"/>
            </w:tcBorders>
            <w:gridSpan w:val="16"/>
            <w:shd w:val="clear" w:color="auto" w:fill="CCEEFF"/>
          </w:tcPr>
          <w:p>
            <w:pPr>
              <w:spacing w:after="0"/>
              <w:rPr>
                <w:sz w:val="14"/>
                <w:szCs w:val="14"/>
                <w:color w:val="auto"/>
              </w:rPr>
            </w:pPr>
          </w:p>
        </w:tc>
        <w:tc>
          <w:tcPr>
            <w:tcW w:w="1760" w:type="dxa"/>
            <w:vAlign w:val="bottom"/>
            <w:tcBorders>
              <w:bottom w:val="single" w:sz="8" w:color="CCEEFF"/>
            </w:tcBorders>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Signatures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22"/>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46"/>
        </w:trPr>
        <w:tc>
          <w:tcPr>
            <w:tcW w:w="1360" w:type="dxa"/>
            <w:vAlign w:val="bottom"/>
          </w:tcPr>
          <w:p>
            <w:pPr>
              <w:spacing w:after="0"/>
              <w:rPr>
                <w:sz w:val="24"/>
                <w:szCs w:val="24"/>
                <w:color w:val="auto"/>
              </w:rPr>
            </w:pPr>
          </w:p>
        </w:tc>
        <w:tc>
          <w:tcPr>
            <w:tcW w:w="700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7000" w:type="dxa"/>
            <w:vAlign w:val="bottom"/>
          </w:tcPr>
          <w:p>
            <w:pPr>
              <w:ind w:left="3220"/>
              <w:spacing w:after="0" w:line="202"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1360" w:type="dxa"/>
            <w:vAlign w:val="bottom"/>
          </w:tcPr>
          <w:p>
            <w:pPr>
              <w:spacing w:after="0"/>
              <w:rPr>
                <w:sz w:val="20"/>
                <w:szCs w:val="20"/>
                <w:color w:val="auto"/>
              </w:rPr>
            </w:pPr>
          </w:p>
        </w:tc>
        <w:tc>
          <w:tcPr>
            <w:tcW w:w="70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(dollars in thousands, except per share data)</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0"/>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2024</w:t>
            </w:r>
          </w:p>
        </w:tc>
      </w:tr>
      <w:tr>
        <w:trPr>
          <w:trHeight w:val="221"/>
        </w:trPr>
        <w:tc>
          <w:tcPr>
            <w:tcW w:w="13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(unaudited)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24,145</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20,957</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3,773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3,085</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87,240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86,267</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1,366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850</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current assets, net</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8,415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8,663</w:t>
            </w:r>
          </w:p>
        </w:tc>
      </w:tr>
      <w:tr>
        <w:trPr>
          <w:trHeight w:val="183"/>
        </w:trPr>
        <w:tc>
          <w:tcPr>
            <w:tcW w:w="83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124,939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119,822</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56,683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59,733</w:t>
            </w: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Right of use asset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126,927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132,861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5,229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4,890</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1,663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2,297</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315,441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319,603</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24,071</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23,808</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Income tax payable</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62</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29,516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28,880</w:t>
            </w:r>
          </w:p>
        </w:tc>
      </w:tr>
      <w:tr>
        <w:trPr>
          <w:trHeight w:val="189"/>
        </w:trPr>
        <w:tc>
          <w:tcPr>
            <w:tcW w:w="83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Other accrued liabilities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27,596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25,644</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81,229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78,394</w:t>
            </w: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106,341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113,700</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5,312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4,597</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192,882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196,691</w:t>
            </w:r>
          </w:p>
        </w:tc>
      </w:tr>
      <w:tr>
        <w:trPr>
          <w:trHeight w:val="183"/>
        </w:trPr>
        <w:tc>
          <w:tcPr>
            <w:tcW w:w="13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57"/>
        </w:trPr>
        <w:tc>
          <w:tcPr>
            <w:tcW w:w="836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Common stock, par value $0.0001; authorized: 100,000,000 shares; issued and outstanding: 44,715,001 and</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44,657,898 shares, respectively</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Preferred stock, par value $0.0001; authorized: 10,000,000 shares; issued and outstanding: 0 shares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130,393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129,696</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(7,838)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(6,788)</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122,559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122,912</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315,441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319,603</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29"/>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740" w:type="dxa"/>
            <w:vAlign w:val="bottom"/>
            <w:gridSpan w:val="5"/>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60" w:type="dxa"/>
            <w:vAlign w:val="bottom"/>
            <w:gridSpan w:val="4"/>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740" w:type="dxa"/>
            <w:vAlign w:val="bottom"/>
            <w:gridSpan w:val="5"/>
          </w:tcPr>
          <w:p>
            <w:pPr>
              <w:jc w:val="center"/>
              <w:ind w:left="130"/>
              <w:spacing w:after="0" w:line="189" w:lineRule="exact"/>
              <w:rPr>
                <w:sz w:val="20"/>
                <w:szCs w:val="20"/>
                <w:color w:val="auto"/>
              </w:rPr>
            </w:pPr>
            <w:r>
              <w:rPr>
                <w:rFonts w:ascii="Times New Roman" w:cs="Times New Roman" w:eastAsia="Times New Roman" w:hAnsi="Times New Roman"/>
                <w:sz w:val="18"/>
                <w:szCs w:val="18"/>
                <w:color w:val="auto"/>
                <w:w w:val="99"/>
              </w:rPr>
              <w:t>(dollars in thousands, except per share data)</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20" w:type="dxa"/>
            <w:vAlign w:val="bottom"/>
            <w:gridSpan w:val="2"/>
          </w:tcPr>
          <w:p>
            <w:pPr>
              <w:jc w:val="center"/>
              <w:ind w:left="1490"/>
              <w:spacing w:after="0"/>
              <w:rPr>
                <w:sz w:val="20"/>
                <w:szCs w:val="20"/>
                <w:color w:val="auto"/>
              </w:rPr>
            </w:pPr>
            <w:r>
              <w:rPr>
                <w:rFonts w:ascii="Times New Roman" w:cs="Times New Roman" w:eastAsia="Times New Roman" w:hAnsi="Times New Roman"/>
                <w:sz w:val="18"/>
                <w:szCs w:val="18"/>
                <w:color w:val="auto"/>
              </w:rPr>
              <w:t>(unaudited)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27"/>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60" w:type="dxa"/>
            <w:vAlign w:val="bottom"/>
          </w:tcPr>
          <w:p>
            <w:pPr>
              <w:spacing w:after="0"/>
              <w:rPr>
                <w:sz w:val="24"/>
                <w:szCs w:val="24"/>
                <w:color w:val="auto"/>
              </w:rPr>
            </w:pPr>
          </w:p>
        </w:tc>
        <w:tc>
          <w:tcPr>
            <w:tcW w:w="24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13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50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9"/>
              </w:rPr>
              <w:t>September 30,</w:t>
            </w:r>
          </w:p>
        </w:tc>
        <w:tc>
          <w:tcPr>
            <w:tcW w:w="260" w:type="dxa"/>
            <w:vAlign w:val="bottom"/>
          </w:tcPr>
          <w:p>
            <w:pPr>
              <w:spacing w:after="0"/>
              <w:rPr>
                <w:sz w:val="19"/>
                <w:szCs w:val="19"/>
                <w:color w:val="auto"/>
              </w:rPr>
            </w:pPr>
          </w:p>
        </w:tc>
        <w:tc>
          <w:tcPr>
            <w:tcW w:w="244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September 30,</w:t>
            </w: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83,064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84,505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259,333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267,617</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30,785</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28,277</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92,142</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90,739</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52,279</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56,228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167,191</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176,878</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54,245</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55,978</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168,535</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172,494</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Income from operations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(1,344)</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4,384</w:t>
            </w:r>
          </w:p>
        </w:tc>
      </w:tr>
      <w:tr>
        <w:trPr>
          <w:trHeight w:val="189"/>
        </w:trPr>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income/(expense), net</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(294)</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20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(1,962)</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(1,292)</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4,090</w:t>
            </w:r>
          </w:p>
        </w:tc>
      </w:tr>
      <w:tr>
        <w:trPr>
          <w:trHeight w:val="189"/>
        </w:trPr>
        <w:tc>
          <w:tcPr>
            <w:tcW w:w="36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(1,141)</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(1,050)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2,949</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(Loss) Income per common share:</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420" w:type="dxa"/>
            <w:vAlign w:val="bottom"/>
            <w:gridSpan w:val="2"/>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2420" w:type="dxa"/>
            <w:vAlign w:val="bottom"/>
            <w:gridSpan w:val="2"/>
            <w:shd w:val="clear" w:color="auto" w:fill="CCEEFF"/>
          </w:tcPr>
          <w:p>
            <w:pPr>
              <w:jc w:val="right"/>
              <w:ind w:right="23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jc w:val="right"/>
              <w:ind w:right="7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43,965,973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43,794,648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43,892,450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43,685,068</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43,965,973</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43,893,185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43,892,450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43,783,181</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 Income</w:t>
      </w:r>
    </w:p>
    <w:p>
      <w:pPr>
        <w:jc w:val="center"/>
        <w:spacing w:after="0" w:line="219" w:lineRule="auto"/>
        <w:rPr>
          <w:sz w:val="20"/>
          <w:szCs w:val="20"/>
          <w:color w:val="auto"/>
        </w:rPr>
      </w:pPr>
      <w:r>
        <w:rPr>
          <w:rFonts w:ascii="Times New Roman" w:cs="Times New Roman" w:eastAsia="Times New Roman" w:hAnsi="Times New Roman"/>
          <w:sz w:val="18"/>
          <w:szCs w:val="18"/>
          <w:color w:val="auto"/>
        </w:rPr>
        <w:t>(dollars in thousands)</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2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right"/>
              <w:ind w:right="6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456"/>
              <w:spacing w:after="0"/>
              <w:rPr>
                <w:sz w:val="20"/>
                <w:szCs w:val="20"/>
                <w:color w:val="auto"/>
              </w:rPr>
            </w:pPr>
            <w:r>
              <w:rPr>
                <w:rFonts w:ascii="Times New Roman" w:cs="Times New Roman" w:eastAsia="Times New Roman" w:hAnsi="Times New Roman"/>
                <w:sz w:val="18"/>
                <w:szCs w:val="18"/>
                <w:color w:val="auto"/>
              </w:rPr>
              <w:t>September 30,</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40" w:type="dxa"/>
            <w:vAlign w:val="bottom"/>
            <w:tcBorders>
              <w:bottom w:val="single" w:sz="8" w:color="auto"/>
            </w:tcBorders>
          </w:tcPr>
          <w:p>
            <w:pPr>
              <w:spacing w:after="0"/>
              <w:rPr>
                <w:sz w:val="19"/>
                <w:szCs w:val="19"/>
                <w:color w:val="auto"/>
              </w:rPr>
            </w:pPr>
          </w:p>
        </w:tc>
      </w:tr>
      <w:tr>
        <w:trPr>
          <w:trHeight w:val="183"/>
        </w:trPr>
        <w:tc>
          <w:tcPr>
            <w:tcW w:w="3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14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3"/>
        </w:trPr>
        <w:tc>
          <w:tcPr>
            <w:tcW w:w="372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14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(1,614)</w:t>
            </w: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7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(1,050)</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2,949</w:t>
            </w:r>
          </w:p>
        </w:tc>
      </w:tr>
      <w:tr>
        <w:trPr>
          <w:trHeight w:val="189"/>
        </w:trPr>
        <w:tc>
          <w:tcPr>
            <w:tcW w:w="372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Currency translation adjustment</w:t>
            </w:r>
          </w:p>
        </w:tc>
        <w:tc>
          <w:tcPr>
            <w:tcW w:w="1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r>
      <w:tr>
        <w:trPr>
          <w:trHeight w:val="183"/>
        </w:trPr>
        <w:tc>
          <w:tcPr>
            <w:tcW w:w="37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Other comprehensive income</w:t>
            </w:r>
          </w:p>
        </w:tc>
        <w:tc>
          <w:tcPr>
            <w:tcW w:w="14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r>
      <w:tr>
        <w:trPr>
          <w:trHeight w:val="183"/>
        </w:trPr>
        <w:tc>
          <w:tcPr>
            <w:tcW w:w="37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40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(1,614)</w:t>
            </w:r>
          </w:p>
        </w:tc>
        <w:tc>
          <w:tcPr>
            <w:tcW w:w="180" w:type="dxa"/>
            <w:vAlign w:val="bottom"/>
          </w:tcPr>
          <w:p>
            <w:pPr>
              <w:spacing w:after="0"/>
              <w:rPr>
                <w:sz w:val="15"/>
                <w:szCs w:val="15"/>
                <w:color w:val="auto"/>
              </w:rPr>
            </w:pPr>
          </w:p>
        </w:tc>
        <w:tc>
          <w:tcPr>
            <w:tcW w:w="960" w:type="dxa"/>
            <w:vAlign w:val="bottom"/>
            <w:tcBorders>
              <w:bottom w:val="single" w:sz="8" w:color="auto"/>
            </w:tcBorders>
          </w:tcPr>
          <w:p>
            <w:pPr>
              <w:jc w:val="right"/>
              <w:ind w:right="7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(1,050)</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3,018</w:t>
            </w: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ind w:left="4820"/>
        <w:spacing w:after="0" w:line="219" w:lineRule="auto"/>
        <w:rPr>
          <w:sz w:val="20"/>
          <w:szCs w:val="20"/>
          <w:color w:val="auto"/>
        </w:rPr>
      </w:pPr>
      <w:r>
        <w:rPr>
          <w:rFonts w:ascii="Times New Roman" w:cs="Times New Roman" w:eastAsia="Times New Roman" w:hAnsi="Times New Roman"/>
          <w:sz w:val="18"/>
          <w:szCs w:val="18"/>
          <w:color w:val="auto"/>
        </w:rPr>
        <w:t>(dollars in thousands)</w:t>
      </w: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00" w:type="dxa"/>
            <w:vAlign w:val="bottom"/>
          </w:tcPr>
          <w:p>
            <w:pPr>
              <w:spacing w:after="0"/>
              <w:rPr>
                <w:sz w:val="16"/>
                <w:szCs w:val="16"/>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44,652,655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129,070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(6,201)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122,792</w:t>
            </w:r>
          </w:p>
        </w:tc>
        <w:tc>
          <w:tcPr>
            <w:tcW w:w="0" w:type="dxa"/>
            <w:vAlign w:val="bottom"/>
          </w:tcPr>
          <w:p>
            <w:pPr>
              <w:spacing w:after="0"/>
              <w:rPr>
                <w:sz w:val="1"/>
                <w:szCs w:val="1"/>
                <w:color w:val="auto"/>
              </w:rPr>
            </w:pPr>
          </w:p>
        </w:tc>
      </w:tr>
      <w:tr>
        <w:trPr>
          <w:trHeight w:val="176"/>
        </w:trPr>
        <w:tc>
          <w:tcPr>
            <w:tcW w:w="4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157"/>
        </w:trPr>
        <w:tc>
          <w:tcPr>
            <w:tcW w:w="45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44,661,167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129,388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(6,160)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123,232</w:t>
            </w:r>
          </w:p>
        </w:tc>
        <w:tc>
          <w:tcPr>
            <w:tcW w:w="0" w:type="dxa"/>
            <w:vAlign w:val="bottom"/>
          </w:tcPr>
          <w:p>
            <w:pPr>
              <w:spacing w:after="0"/>
              <w:rPr>
                <w:sz w:val="1"/>
                <w:szCs w:val="1"/>
                <w:color w:val="auto"/>
              </w:rPr>
            </w:pPr>
          </w:p>
        </w:tc>
      </w:tr>
      <w:tr>
        <w:trPr>
          <w:trHeight w:val="189"/>
        </w:trPr>
        <w:tc>
          <w:tcPr>
            <w:tcW w:w="45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44,779,230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130,097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(6,224)</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123,877</w:t>
            </w:r>
          </w:p>
        </w:tc>
        <w:tc>
          <w:tcPr>
            <w:tcW w:w="0" w:type="dxa"/>
            <w:vAlign w:val="bottom"/>
          </w:tcPr>
          <w:p>
            <w:pPr>
              <w:spacing w:after="0"/>
              <w:rPr>
                <w:sz w:val="1"/>
                <w:szCs w:val="1"/>
                <w:color w:val="auto"/>
              </w:rPr>
            </w:pPr>
          </w:p>
        </w:tc>
      </w:tr>
      <w:tr>
        <w:trPr>
          <w:trHeight w:val="176"/>
        </w:trPr>
        <w:tc>
          <w:tcPr>
            <w:tcW w:w="45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(64,229)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189"/>
        </w:trPr>
        <w:tc>
          <w:tcPr>
            <w:tcW w:w="4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(1,614)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189"/>
        </w:trPr>
        <w:tc>
          <w:tcPr>
            <w:tcW w:w="45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44,715,001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130,393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(7,838)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122,559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ind w:left="4820"/>
        <w:spacing w:after="0" w:line="219" w:lineRule="auto"/>
        <w:rPr>
          <w:sz w:val="20"/>
          <w:szCs w:val="20"/>
          <w:color w:val="auto"/>
        </w:rPr>
      </w:pPr>
      <w:r>
        <w:rPr>
          <w:rFonts w:ascii="Times New Roman" w:cs="Times New Roman" w:eastAsia="Times New Roman" w:hAnsi="Times New Roman"/>
          <w:sz w:val="18"/>
          <w:szCs w:val="18"/>
          <w:color w:val="auto"/>
        </w:rPr>
        <w:t>(dollars in thousands)</w:t>
      </w: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Common stock</w:t>
            </w:r>
          </w:p>
        </w:tc>
        <w:tc>
          <w:tcPr>
            <w:tcW w:w="6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80" w:type="dxa"/>
            <w:vAlign w:val="bottom"/>
          </w:tcPr>
          <w:p>
            <w:pPr>
              <w:spacing w:after="0"/>
              <w:rPr>
                <w:sz w:val="16"/>
                <w:szCs w:val="16"/>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03"/>
        </w:trPr>
        <w:tc>
          <w:tcPr>
            <w:tcW w:w="44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44,510,779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128,861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(9,109)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119,687</w:t>
            </w:r>
          </w:p>
        </w:tc>
        <w:tc>
          <w:tcPr>
            <w:tcW w:w="0" w:type="dxa"/>
            <w:vAlign w:val="bottom"/>
          </w:tcPr>
          <w:p>
            <w:pPr>
              <w:spacing w:after="0"/>
              <w:rPr>
                <w:sz w:val="1"/>
                <w:szCs w:val="1"/>
                <w:color w:val="auto"/>
              </w:rPr>
            </w:pPr>
          </w:p>
        </w:tc>
      </w:tr>
      <w:tr>
        <w:trPr>
          <w:trHeight w:val="176"/>
        </w:trPr>
        <w:tc>
          <w:tcPr>
            <w:tcW w:w="44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497,893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44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(275,689)</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171"/>
        </w:trPr>
        <w:tc>
          <w:tcPr>
            <w:tcW w:w="44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(71,816)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189"/>
        </w:trPr>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13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2,949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44,661,167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129,388</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(6,160)</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123,232</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3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44,657,898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129,696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(6,788)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122,912</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Issuance of restricted shares</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427,131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Cancellation of restricted shares</w:t>
            </w:r>
          </w:p>
        </w:tc>
        <w:tc>
          <w:tcPr>
            <w:tcW w:w="14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(328,750)</w:t>
            </w: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171"/>
        </w:trPr>
        <w:tc>
          <w:tcPr>
            <w:tcW w:w="448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Tax withholdings related to net share settlements of stock</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based compensation awards</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(41,278)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89"/>
        </w:trPr>
        <w:tc>
          <w:tcPr>
            <w:tcW w:w="4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loss</w:t>
            </w:r>
          </w:p>
        </w:tc>
        <w:tc>
          <w:tcPr>
            <w:tcW w:w="13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190"/>
        </w:trPr>
        <w:tc>
          <w:tcPr>
            <w:tcW w:w="448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3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44,715,001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130,393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8"/>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(7,838)</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122,559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529"/>
        </w:trPr>
        <w:tc>
          <w:tcPr>
            <w:tcW w:w="1360" w:type="dxa"/>
            <w:vAlign w:val="bottom"/>
            <w:tcBorders>
              <w:top w:val="single" w:sz="8" w:color="0563C1"/>
            </w:tcBorders>
          </w:tcPr>
          <w:p>
            <w:pPr>
              <w:spacing w:after="0"/>
              <w:rPr>
                <w:sz w:val="24"/>
                <w:szCs w:val="24"/>
                <w:color w:val="auto"/>
              </w:rPr>
            </w:pPr>
          </w:p>
        </w:tc>
        <w:tc>
          <w:tcPr>
            <w:tcW w:w="700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Tile Shop Holdings, Inc. and Subsidiaries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ind w:left="2800"/>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jc w:val="center"/>
              <w:ind w:left="1430"/>
              <w:spacing w:after="0" w:line="189" w:lineRule="exact"/>
              <w:rPr>
                <w:sz w:val="20"/>
                <w:szCs w:val="20"/>
                <w:color w:val="auto"/>
              </w:rPr>
            </w:pPr>
            <w:r>
              <w:rPr>
                <w:rFonts w:ascii="Times New Roman" w:cs="Times New Roman" w:eastAsia="Times New Roman" w:hAnsi="Times New Roman"/>
                <w:sz w:val="18"/>
                <w:szCs w:val="18"/>
                <w:color w:val="auto"/>
                <w:w w:val="99"/>
              </w:rPr>
              <w:t>(dollars in thousands)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1360" w:type="dxa"/>
            <w:vAlign w:val="bottom"/>
          </w:tcPr>
          <w:p>
            <w:pPr>
              <w:spacing w:after="0"/>
              <w:rPr>
                <w:sz w:val="20"/>
                <w:szCs w:val="20"/>
                <w:color w:val="auto"/>
              </w:rPr>
            </w:pPr>
          </w:p>
        </w:tc>
        <w:tc>
          <w:tcPr>
            <w:tcW w:w="7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(unaudited)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27"/>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13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19"/>
                <w:szCs w:val="19"/>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70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(1,050)</w:t>
            </w:r>
          </w:p>
        </w:tc>
        <w:tc>
          <w:tcPr>
            <w:tcW w:w="540" w:type="dxa"/>
            <w:vAlign w:val="bottom"/>
            <w:gridSpan w:val="2"/>
          </w:tcPr>
          <w:p>
            <w:pPr>
              <w:jc w:val="right"/>
              <w:ind w:right="2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2,949</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Adjustments to reconcile net (loss) income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13,802</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54</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(Gain) loss on disposals of property, plant and equipment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949</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20,874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20,110</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1,008</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831</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(382)</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9,152</w:t>
            </w:r>
          </w:p>
        </w:tc>
      </w:tr>
      <w:tr>
        <w:trPr>
          <w:trHeight w:val="189"/>
        </w:trPr>
        <w:tc>
          <w:tcPr>
            <w:tcW w:w="83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current assets, net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1,630</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(1,647)</w:t>
            </w:r>
          </w:p>
        </w:tc>
      </w:tr>
      <w:tr>
        <w:trPr>
          <w:trHeight w:val="189"/>
        </w:trPr>
        <w:tc>
          <w:tcPr>
            <w:tcW w:w="83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Income tax receivable / payable</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(2,039)</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(20,086)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(17,921)</w:t>
            </w:r>
          </w:p>
        </w:tc>
      </w:tr>
      <w:tr>
        <w:trPr>
          <w:trHeight w:val="183"/>
        </w:trPr>
        <w:tc>
          <w:tcPr>
            <w:tcW w:w="8360" w:type="dxa"/>
            <w:vAlign w:val="bottom"/>
            <w:tcBorders>
              <w:bottom w:val="single" w:sz="8" w:color="CCEEFF"/>
            </w:tcBorders>
            <w:gridSpan w:val="2"/>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11,257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28,511</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Purchases of property, plant and equipment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(7,925)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(11,761)</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insurance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w:t>
            </w:r>
          </w:p>
        </w:tc>
      </w:tr>
      <w:tr>
        <w:trPr>
          <w:trHeight w:val="189"/>
        </w:trPr>
        <w:tc>
          <w:tcPr>
            <w:tcW w:w="8360" w:type="dxa"/>
            <w:vAlign w:val="bottom"/>
            <w:tcBorders>
              <w:bottom w:val="single" w:sz="8" w:color="CCEEFF"/>
            </w:tcBorders>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8360" w:type="dxa"/>
            <w:vAlign w:val="bottom"/>
            <w:gridSpan w:val="2"/>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(7,785)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(11,661)</w:t>
            </w:r>
          </w:p>
        </w:tc>
      </w:tr>
      <w:tr>
        <w:trPr>
          <w:trHeight w:val="183"/>
        </w:trPr>
        <w:tc>
          <w:tcPr>
            <w:tcW w:w="836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Payments of long-term debt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r>
      <w:tr>
        <w:trPr>
          <w:trHeight w:val="189"/>
        </w:trPr>
        <w:tc>
          <w:tcPr>
            <w:tcW w:w="83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Advances on line of credit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10,000</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Employee taxes paid for shares withheld</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(481)</w:t>
            </w:r>
          </w:p>
        </w:tc>
      </w:tr>
      <w:tr>
        <w:trPr>
          <w:trHeight w:val="183"/>
        </w:trPr>
        <w:tc>
          <w:tcPr>
            <w:tcW w:w="8360" w:type="dxa"/>
            <w:vAlign w:val="bottom"/>
            <w:tcBorders>
              <w:bottom w:val="single" w:sz="8" w:color="CCEEFF"/>
            </w:tcBorders>
            <w:gridSpan w:val="2"/>
          </w:tcPr>
          <w:p>
            <w:pPr>
              <w:ind w:left="440"/>
              <w:spacing w:after="0" w:line="182"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(481)</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69</w:t>
            </w: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Net change in cash and cash equivalents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3,188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16,438</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8,620</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80" w:type="dxa"/>
            <w:vAlign w:val="bottom"/>
            <w:tcBorders>
              <w:bottom w:val="single" w:sz="8" w:color="auto"/>
            </w:tcBorders>
          </w:tcPr>
          <w:p>
            <w:pPr>
              <w:jc w:val="right"/>
              <w:ind w:right="1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24,145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9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25,058</w:t>
            </w:r>
          </w:p>
        </w:tc>
      </w:tr>
      <w:tr>
        <w:trPr>
          <w:trHeight w:val="170"/>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Purchases of property, plant and equipment included in accounts payable and accrued expenses</w:t>
            </w:r>
          </w:p>
        </w:tc>
        <w:tc>
          <w:tcPr>
            <w:tcW w:w="280" w:type="dxa"/>
            <w:vAlign w:val="bottom"/>
            <w:shd w:val="clear" w:color="auto" w:fill="CCEEFF"/>
          </w:tcPr>
          <w:p>
            <w:pPr>
              <w:jc w:val="right"/>
              <w:ind w:right="1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96"/>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147</w:t>
            </w:r>
          </w:p>
        </w:tc>
      </w:tr>
      <w:tr>
        <w:trPr>
          <w:trHeight w:val="189"/>
        </w:trPr>
        <w:tc>
          <w:tcPr>
            <w:tcW w:w="836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229</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Cash paid for income taxes, net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629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2,352</w:t>
            </w:r>
          </w:p>
        </w:tc>
      </w:tr>
    </w:tbl>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Tile Shop Holdings, Inc. (“Holdings,” and together with its wholly owned subsidiaries, the “Company”) was incorporated in Delaware in June 2012.</w:t>
      </w:r>
    </w:p>
    <w:p>
      <w:pPr>
        <w:spacing w:after="0" w:line="18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The Company is a specialty retailer of man-made and natural stone tiles, luxury vinyl tiles, setting and maintenance materials, and related accessories in the United States. The Company offers a wide selection of high-quality products, exclusive designs, knowledgeable staff and exceptional customer service, in an extensive showroom environment with up to 50 full-room tiled displays. The Company’s primary market is retail sales to consumers, contractors, designers and home builders. As of September 30, 2025, the Company had 140 stores in 31 states and the District of Columbia, with an average size of approximately 20,000 square feet. The Company has distribution centers located in Michigan, Oklahoma and Virginia.</w:t>
      </w:r>
    </w:p>
    <w:p>
      <w:pPr>
        <w:spacing w:after="0" w:line="16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2025 are not necessarily indicative of the results that may be expected for the fiscal year ending December 31, 2025.</w:t>
      </w:r>
    </w:p>
    <w:p>
      <w:pPr>
        <w:spacing w:after="0" w:line="158"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These statements should be read in conjunction with the Consolidated Financial Statements and footnotes included in the Company’s Annual Report on Form 10-K for the fiscal year ended December 31, 2024. The accounting policies used in preparing these Consolidated Financial Statements are the same as those described in Note 1 to the Consolidated Financial Statements in the Form 10-K filed with the Securities and Exchange Commission (the “SEC”) on February 27,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Delisting and Deregistration</w:t>
      </w:r>
    </w:p>
    <w:p>
      <w:pPr>
        <w:spacing w:after="0" w:line="17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As previously disclosed, the Independent Transaction Committee (the “Transaction Committee”) of the Board of Directors of the Company (the “Board”) comprised of independent directors has recommended, and the Board has approved, a plan to delist its shares of common stock from trading on the Nasdaq Stock Market LLC, suspend its duty to file periodic reports and other information with the U.S. Securities and Exchange Commission (the “SEC”), and to terminate the registration of its common stock under the federal securities laws following the completion of a proposed reverse stock split, immediately followed by a forward stock split, subject to obtaining the requisite approval of the Company’s stockholders at a special meeting of the Company’s stockholders (the “Special Meeting”), which is expected to be held in December 2025.</w:t>
      </w:r>
    </w:p>
    <w:p>
      <w:pPr>
        <w:spacing w:after="0" w:line="15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Specifically, the Transaction Committee recommended and the Board approved a transaction (the “Going Dark Transaction”) whereby the Company would effect a reverse stock split of the common stock at a ratio not less than 1-for-2,000 and not greater than 1-for-4,000 (the “Reverse Stock Split”), followed immediately by a forward stock split of the common stock at the same ratio but inverse (i.e., if the Reverse Stock Split were 1-for-3,000, then the Forward Stock Split would be 3,000-for-1) (the “Forward Stock Split,” and together with the Reverse Stock Split, the “Stock Split”). As a result of the Reverse Stock Split, each share of common stock held by a stockholder of record owning immediately prior to the effective time fewer than the minimum number of shares, which, depending on the Stock Split ratio chosen by the Board, would be between 2,000 and 4,000 shares (the “Minimum Number”), would be converted into the right to receive $6.60 in cash (the “Cash-Out Price”), without interest, and such stockholders would no longer be stockholders of the Company. Stockholders owning a number of shares of common stock equal to or greater than the Minimum Number immediately prior to the effective time of the Reverse Stock Split (the “Continuing Stockholders”) would not be entitled to receive any cash for their fractional share interests resulting from the Reverse Stock Split, if any. The Forward Stock Split, which would immediately follow the Reverse Stock Split, would reconvert whole shares and fractional share interests held by the Continuing Stockholders back into the same number of shares of the common stock held by such Continuing Stockholders immediately before the effective time of the Reverse Stock Split. As a result of the Forward Stock Split, the total number of shares of common stock held by a Continuing Stockholder would not change as a result of the Reverse Stock Split. The Company estimates that as of October 22, 2025, based on a mid-point Reverse Stock Split ratio of 1-for-3,000, approximately 1,307,000 shares of common stock would be cashed out in the Reverse Stock Split and the aggregate cost to the Company of the Going Dark Transaction would be approximately $8.6 million, plus transaction expenses, which are estimated to be approximately $523,000. The Company expects to use cash on hand together with borrowings under its line of credit under the Credit Agreement (as defined below), if necessary, to fund the Cash-Out Price.</w:t>
      </w:r>
    </w:p>
    <w:p>
      <w:pPr>
        <w:spacing w:after="0" w:line="16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primary purpose of the Reverse Stock Split is to enable the Company to reduce to and maintain the number of its record holders of common stock below 300. The Company is taking these steps to avoid the substantial cost and expense of being a public reporting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company and to focus the Company's resources on enhancing long-term stockholder value. The Company anticipates savings of approximately $2.4 million on an annual basis as a result of the Going Dark Transaction.</w:t>
      </w:r>
    </w:p>
    <w:p>
      <w:pPr>
        <w:spacing w:after="0" w:line="14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8"/>
          <w:szCs w:val="18"/>
          <w:color w:val="auto"/>
        </w:rPr>
        <w:t>The Board has determined the Going Dark Transaction is in the best interests of all the Company’s stockholders. The Company currently realizes none of the traditional benefits of public company status yet incurs all the significant annual expenses and indirect costs associated with being a public company. Without its public company status, the Company would have an ongoing cost structure befitting its current and foreseeable scale of operations and its management would be able to have an increased focus on core operations.</w:t>
      </w:r>
    </w:p>
    <w:p>
      <w:pPr>
        <w:spacing w:after="0" w:line="158"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The Company filed a preliminary proxy statement on Schedule 14A on October 6, 2025. The Company intends to file a definitive proxy statement as soon as practicable. Subject to stockholder approval of the Reverse Stock Split at the Special Meeting, it is anticipated that the Reverse Stock Split would become effective shortly after the Special Meeting. Subject to receiving such stockholder approval, as soon as practicable after the Special Meeting, the Company expects to terminate the registration of its common stock with the SEC and de-list its common stock from the Nasdaq Stock Market LLC. As a result, at such time, (i) the Company would cease to file annual, quarterly, current, and other reports and documents with the SEC and (ii) our common stock would no longer be listed on the Nasdaq Stock Market LLC.</w:t>
      </w:r>
    </w:p>
    <w:p>
      <w:pPr>
        <w:spacing w:after="0" w:line="158"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Even if the Stock Split is approved by stockholders at the Special Meeting, the Board may determine not to implement the Reverse Stock Split and complete the Going Dark Transaction if subsequently it determines that the Going Dark Transaction is not in the best interests of the Company and its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ASU improve the transparency of income tax disclosures by requiring consistent categories and greater disaggregation of information in the rate reconciliation and income taxes paid disaggregated by jurisdiction. The Company will adopt this guidance as of December 31, 2025. The Company is currently evaluating the impact of this guidance on the Company’s consolidated financial statements and related disclosures.</w:t>
      </w:r>
    </w:p>
    <w:p>
      <w:pPr>
        <w:spacing w:after="0" w:line="15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In November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FASB issued ASU </w:t>
      </w:r>
      <w:r>
        <w:rPr>
          <w:rFonts w:ascii="Times New Roman" w:cs="Times New Roman" w:eastAsia="Times New Roman" w:hAnsi="Times New Roman"/>
          <w:sz w:val="18"/>
          <w:szCs w:val="18"/>
          <w:i w:val="1"/>
          <w:iCs w:val="1"/>
          <w:color w:val="auto"/>
        </w:rPr>
        <w:t>No.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03</w:t>
      </w:r>
      <w:r>
        <w:rPr>
          <w:rFonts w:ascii="Times New Roman" w:cs="Times New Roman" w:eastAsia="Times New Roman" w:hAnsi="Times New Roman"/>
          <w:sz w:val="18"/>
          <w:szCs w:val="18"/>
          <w:color w:val="auto"/>
        </w:rPr>
        <w:t xml:space="preserve"> “Income Statement – Reporting Comprehensive Income – Expense Disaggregation Disclosures (Subtopic </w:t>
      </w:r>
      <w:r>
        <w:rPr>
          <w:rFonts w:ascii="Times New Roman" w:cs="Times New Roman" w:eastAsia="Times New Roman" w:hAnsi="Times New Roman"/>
          <w:sz w:val="18"/>
          <w:szCs w:val="18"/>
          <w:i w:val="1"/>
          <w:iCs w:val="1"/>
          <w:color w:val="auto"/>
        </w:rPr>
        <w:t>220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40</w:t>
      </w:r>
      <w:r>
        <w:rPr>
          <w:rFonts w:ascii="Times New Roman" w:cs="Times New Roman" w:eastAsia="Times New Roman" w:hAnsi="Times New Roman"/>
          <w:sz w:val="18"/>
          <w:szCs w:val="18"/>
          <w:color w:val="auto"/>
        </w:rPr>
        <w:t>): Disaggregation of Income Statement Expenses.” This ASU requires public business entities to disclose, for interim and annual reporting periods, additional information about certain income statement expense categories. The requirements are effective for fiscal years beginning</w:t>
      </w:r>
    </w:p>
    <w:p>
      <w:pPr>
        <w:spacing w:after="0" w:line="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after December 15,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for interim periods beginning after December 15, 2027</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Entities are permitted to apply either the prospective or retrospective transition methods. The Company is currently evaluating the impact that the adoption of this ASU will have on its consolidated financial statements and related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Revenues</w:t>
      </w:r>
    </w:p>
    <w:p>
      <w:pPr>
        <w:spacing w:after="0" w:line="189" w:lineRule="exact"/>
        <w:rPr>
          <w:sz w:val="20"/>
          <w:szCs w:val="20"/>
          <w:color w:val="auto"/>
        </w:rPr>
      </w:pPr>
    </w:p>
    <w:p>
      <w:pPr>
        <w:ind w:right="720"/>
        <w:spacing w:after="0" w:line="250"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 the three months ended</w:t>
            </w:r>
          </w:p>
        </w:tc>
        <w:tc>
          <w:tcPr>
            <w:tcW w:w="33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For the nine months ended</w:t>
            </w:r>
          </w:p>
        </w:tc>
      </w:tr>
      <w:tr>
        <w:trPr>
          <w:trHeight w:val="221"/>
        </w:trPr>
        <w:tc>
          <w:tcPr>
            <w:tcW w:w="4320" w:type="dxa"/>
            <w:vAlign w:val="bottom"/>
          </w:tcPr>
          <w:p>
            <w:pPr>
              <w:spacing w:after="0"/>
              <w:rPr>
                <w:sz w:val="19"/>
                <w:szCs w:val="19"/>
                <w:color w:val="auto"/>
              </w:rPr>
            </w:pPr>
          </w:p>
        </w:tc>
        <w:tc>
          <w:tcPr>
            <w:tcW w:w="228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September 30,</w:t>
            </w:r>
          </w:p>
        </w:tc>
        <w:tc>
          <w:tcPr>
            <w:tcW w:w="10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80" w:type="dxa"/>
            <w:vAlign w:val="bottom"/>
            <w:tcBorders>
              <w:bottom w:val="single" w:sz="8" w:color="auto"/>
            </w:tcBorders>
          </w:tcPr>
          <w:p>
            <w:pPr>
              <w:spacing w:after="0"/>
              <w:rPr>
                <w:sz w:val="19"/>
                <w:szCs w:val="19"/>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237"/>
        </w:trPr>
        <w:tc>
          <w:tcPr>
            <w:tcW w:w="432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Man-made tiles</w:t>
            </w:r>
            <w:r>
              <w:rPr>
                <w:rFonts w:ascii="Times New Roman" w:cs="Times New Roman" w:eastAsia="Times New Roman" w:hAnsi="Times New Roman"/>
                <w:sz w:val="27"/>
                <w:szCs w:val="27"/>
                <w:color w:val="auto"/>
                <w:vertAlign w:val="superscript"/>
              </w:rPr>
              <w:t>(1)</w:t>
            </w: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54 %</w:t>
            </w: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21</w:t>
            </w: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43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8</w:t>
            </w:r>
          </w:p>
        </w:tc>
      </w:tr>
      <w:tr>
        <w:trPr>
          <w:trHeight w:val="189"/>
        </w:trPr>
        <w:tc>
          <w:tcPr>
            <w:tcW w:w="4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Times New Roman" w:cs="Times New Roman" w:eastAsia="Times New Roman" w:hAnsi="Times New Roman"/>
                <w:sz w:val="18"/>
                <w:szCs w:val="18"/>
                <w:color w:val="auto"/>
              </w:rPr>
              <w:t>2</w:t>
            </w:r>
          </w:p>
        </w:tc>
      </w:tr>
      <w:tr>
        <w:trPr>
          <w:trHeight w:val="183"/>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Man-made tile revenues include sales of luxury vinyl tile products.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57" w:lineRule="exact"/>
        <w:rPr>
          <w:sz w:val="20"/>
          <w:szCs w:val="20"/>
          <w:color w:val="auto"/>
        </w:rPr>
      </w:pPr>
    </w:p>
    <w:p>
      <w:pPr>
        <w:ind w:left="660" w:right="180"/>
        <w:spacing w:after="0" w:line="250" w:lineRule="auto"/>
        <w:rPr>
          <w:sz w:val="20"/>
          <w:szCs w:val="20"/>
          <w:color w:val="auto"/>
        </w:rPr>
      </w:pPr>
      <w:r>
        <w:rPr>
          <w:rFonts w:ascii="Times New Roman" w:cs="Times New Roman" w:eastAsia="Times New Roman" w:hAnsi="Times New Roman"/>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9"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57" w:lineRule="exact"/>
        <w:rPr>
          <w:sz w:val="20"/>
          <w:szCs w:val="20"/>
          <w:color w:val="auto"/>
        </w:rPr>
      </w:pPr>
    </w:p>
    <w:p>
      <w:pPr>
        <w:ind w:left="660" w:right="160"/>
        <w:spacing w:after="0" w:line="296" w:lineRule="auto"/>
        <w:rPr>
          <w:sz w:val="20"/>
          <w:szCs w:val="20"/>
          <w:color w:val="auto"/>
        </w:rPr>
      </w:pPr>
      <w:r>
        <w:rPr>
          <w:rFonts w:ascii="Times New Roman" w:cs="Times New Roman" w:eastAsia="Times New Roman" w:hAnsi="Times New Roman"/>
          <w:sz w:val="17"/>
          <w:szCs w:val="17"/>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at the end of a reporting period, revenue will be recognized based on the transaction price allocated to the goods delivered and services rendered. The customer deposit balance was $10.5 million and $10.9 million as of September 30, 2025 and December 31, 2024, respectively. Revenues recognized during the nine months ended September 30, 2025 that were included in the customer deposit balance as of the beginning of the period were $10.1 million.</w:t>
      </w:r>
    </w:p>
    <w:p>
      <w:pPr>
        <w:spacing w:after="0" w:line="16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Company extends financing to qualified professional customers who apply for credit. Customers who qualify for an account receive 30-day payment terms. The accounts receivable balance was $3.8 million and $3.1 million at September 30, 2025 and December 31, 2024,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58"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Customers may return purchased items for an exchange or refund. The Company records a reserve for estimated product returns based on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September 30, 2025 and December 31, 2024 were as follows:</w:t>
      </w:r>
    </w:p>
    <w:tbl>
      <w:tblPr>
        <w:tblLayout w:type="fixed"/>
        <w:tblInd w:w="0" w:type="dxa"/>
        <w:tblCellMar>
          <w:top w:w="0" w:type="dxa"/>
          <w:left w:w="0" w:type="dxa"/>
          <w:bottom w:w="0" w:type="dxa"/>
          <w:right w:w="0" w:type="dxa"/>
        </w:tblCellMar>
      </w:tblPr>
      <w:tr>
        <w:trPr>
          <w:trHeight w:val="185"/>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50"/>
              <w:spacing w:after="0" w:line="185" w:lineRule="exact"/>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183"/>
        </w:trPr>
        <w:tc>
          <w:tcPr>
            <w:tcW w:w="83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Other current accrued liabilities</w:t>
            </w: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3,363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2,886</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1,162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956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Sales returns reserve, net</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2,201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1,930</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17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Company’s inventory consists of manufactured items and purchased merchandise held for resale. Inventories are stated at the lower of cost (determined using the moving average cost method) or net realizable value. The Company capitalizes the cost of inbound freight, duties, and receiving and handling costs to bring purchased materials into its distribution network. The labor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overhead costs incurred in connection with the production process are included in the value of manufactured finished goods. Inventories were comprised of the following as of September 30, 2025 and December 31, 2024:</w:t>
      </w: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50"/>
              <w:spacing w:after="0" w:line="190" w:lineRule="exact"/>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3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183"/>
        </w:trPr>
        <w:tc>
          <w:tcPr>
            <w:tcW w:w="83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85,485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84,255</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1,755</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2,012</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87,240</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86,267</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$1.1 million and $1.2 million as of September 30, 2025 and December 31, 2024,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89" w:lineRule="exact"/>
        <w:rPr>
          <w:sz w:val="20"/>
          <w:szCs w:val="20"/>
          <w:color w:val="auto"/>
        </w:rPr>
      </w:pPr>
    </w:p>
    <w:p>
      <w:pPr>
        <w:ind w:right="300"/>
        <w:spacing w:after="0" w:line="235" w:lineRule="auto"/>
        <w:rPr>
          <w:sz w:val="20"/>
          <w:szCs w:val="20"/>
          <w:color w:val="auto"/>
        </w:rPr>
      </w:pPr>
      <w:r>
        <w:rPr>
          <w:rFonts w:ascii="Times New Roman" w:cs="Times New Roman" w:eastAsia="Times New Roman" w:hAnsi="Times New Roman"/>
          <w:sz w:val="18"/>
          <w:szCs w:val="18"/>
          <w:color w:val="auto"/>
        </w:rPr>
        <w:t>Effective tax rates for the nine months ended September 30, 2025 and 2024 were based on the Company’s forecasted annualized effective tax rates and were adjusted for discrete items that occurred within each period. The Company’s effective tax rate was 17.7% and 77.0% for the three months ended September 30, 2025 and 2024, respectively. The Company’s effective tax rate for the nine months ended September 30, 2025 and 2024 was 18.7% and 27.9%, respectively. The effective income tax rate was lower than the statutory federal income tax rate of 21.0%, primarily due to the decrease in pretax earnings and the impact of certain permanent differences.</w:t>
      </w:r>
    </w:p>
    <w:p>
      <w:pPr>
        <w:spacing w:after="0" w:line="14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records interest and penalties relating to uncertain tax positions in income tax expense. As of both September 30, 2025 and 2024, the Company had not recognized any liabilities for uncertain tax positions, nor had interest and penalties related to uncertain tax positions been accrued.</w:t>
      </w:r>
    </w:p>
    <w:p>
      <w:pPr>
        <w:spacing w:after="0" w:line="135"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On July 4, 2025, the President signed H.R. 1, the One Big Beautiful Bill Act (“OBBBA”) into law. The OBBBA permanently extends several provisions of the Tax Cuts and Jobs Act (“TCJA”) that were previously scheduled to expire, including, but not limited to, the immediate expensing of qualified property under bonus depreciation. In addition, the OBBBA introduces modifications to various U.S. corporate tax provisions, such as changes to interest expense limitations, the treatment of research and development expenditures, and the international tax regime. The Company has completed an evaluation of the OBBBA and determined that the enacted changes do not have a material impact on the Company’s income tax provision for the quarter ended September 30, 2025. The Company will continue to monitor future regulatory guidance and assess the potential impact of any subsequent developments related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OBBBA.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(Loss) Earnings Per Share</w:t>
      </w:r>
    </w:p>
    <w:p>
      <w:pPr>
        <w:spacing w:after="0" w:line="175"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Basic (loss) earnings per share is calculated by dividing net (loss) income by the weighted-average number of common shares outstanding during the period. Diluted (loss) earnings per share is calculated by dividing net (loss) income by the weighted-average number of common shares outstanding, after taking into consideration all dilutive potential shares outstanding during the period.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earnings per share were calculated as follows: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8"/>
        </w:trPr>
        <w:tc>
          <w:tcPr>
            <w:tcW w:w="5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00" w:type="dxa"/>
            <w:vAlign w:val="bottom"/>
            <w:gridSpan w:val="10"/>
          </w:tcPr>
          <w:p>
            <w:pPr>
              <w:jc w:val="right"/>
              <w:ind w:right="16"/>
              <w:spacing w:after="0" w:line="198" w:lineRule="exact"/>
              <w:rPr>
                <w:sz w:val="20"/>
                <w:szCs w:val="20"/>
                <w:color w:val="auto"/>
              </w:rPr>
            </w:pPr>
            <w:r>
              <w:rPr>
                <w:rFonts w:ascii="Times New Roman" w:cs="Times New Roman" w:eastAsia="Times New Roman" w:hAnsi="Times New Roman"/>
                <w:sz w:val="18"/>
                <w:szCs w:val="18"/>
                <w:color w:val="auto"/>
              </w:rPr>
              <w:t>(dollars in thousands, except per share data)</w:t>
            </w:r>
          </w:p>
        </w:tc>
        <w:tc>
          <w:tcPr>
            <w:tcW w:w="960" w:type="dxa"/>
            <w:vAlign w:val="bottom"/>
          </w:tcPr>
          <w:p>
            <w:pPr>
              <w:spacing w:after="0"/>
              <w:rPr>
                <w:sz w:val="17"/>
                <w:szCs w:val="17"/>
                <w:color w:val="auto"/>
              </w:rPr>
            </w:pPr>
          </w:p>
        </w:tc>
      </w:tr>
      <w:tr>
        <w:trPr>
          <w:trHeight w:val="189"/>
        </w:trPr>
        <w:tc>
          <w:tcPr>
            <w:tcW w:w="5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rPr>
              <w:t>For the three months ended</w:t>
            </w:r>
          </w:p>
        </w:tc>
        <w:tc>
          <w:tcPr>
            <w:tcW w:w="200" w:type="dxa"/>
            <w:vAlign w:val="bottom"/>
          </w:tcPr>
          <w:p>
            <w:pPr>
              <w:spacing w:after="0"/>
              <w:rPr>
                <w:sz w:val="16"/>
                <w:szCs w:val="16"/>
                <w:color w:val="auto"/>
              </w:rPr>
            </w:pPr>
          </w:p>
        </w:tc>
        <w:tc>
          <w:tcPr>
            <w:tcW w:w="2340" w:type="dxa"/>
            <w:vAlign w:val="bottom"/>
            <w:gridSpan w:val="4"/>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For the nine months ended</w:t>
            </w:r>
          </w:p>
        </w:tc>
      </w:tr>
      <w:tr>
        <w:trPr>
          <w:trHeight w:val="221"/>
        </w:trPr>
        <w:tc>
          <w:tcPr>
            <w:tcW w:w="5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200" w:type="dxa"/>
            <w:vAlign w:val="bottom"/>
          </w:tcPr>
          <w:p>
            <w:pPr>
              <w:spacing w:after="0"/>
              <w:rPr>
                <w:sz w:val="19"/>
                <w:szCs w:val="19"/>
                <w:color w:val="auto"/>
              </w:rPr>
            </w:pPr>
          </w:p>
        </w:tc>
        <w:tc>
          <w:tcPr>
            <w:tcW w:w="234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September 30,</w:t>
            </w:r>
          </w:p>
        </w:tc>
      </w:tr>
      <w:tr>
        <w:trPr>
          <w:trHeight w:val="183"/>
        </w:trPr>
        <w:tc>
          <w:tcPr>
            <w:tcW w:w="53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3"/>
        </w:trPr>
        <w:tc>
          <w:tcPr>
            <w:tcW w:w="5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2,949</w:t>
            </w:r>
          </w:p>
        </w:tc>
      </w:tr>
      <w:tr>
        <w:trPr>
          <w:trHeight w:val="189"/>
        </w:trPr>
        <w:tc>
          <w:tcPr>
            <w:tcW w:w="5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43,965,973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43,794,648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43,892,450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43,685,068</w:t>
            </w: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Effect of dilutive securities attributable to stock based awards</w:t>
            </w:r>
          </w:p>
        </w:tc>
        <w:tc>
          <w:tcPr>
            <w:tcW w:w="6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98,537</w:t>
            </w:r>
          </w:p>
        </w:tc>
        <w:tc>
          <w:tcPr>
            <w:tcW w:w="1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98,113</w:t>
            </w:r>
          </w:p>
        </w:tc>
      </w:tr>
      <w:tr>
        <w:trPr>
          <w:trHeight w:val="183"/>
        </w:trPr>
        <w:tc>
          <w:tcPr>
            <w:tcW w:w="53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43,965,973</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43,893,185</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43,892,450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43,783,181</w:t>
            </w:r>
          </w:p>
        </w:tc>
      </w:tr>
      <w:tr>
        <w:trPr>
          <w:trHeight w:val="183"/>
        </w:trPr>
        <w:tc>
          <w:tcPr>
            <w:tcW w:w="53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Income per common share:</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530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Basic</w:t>
            </w:r>
          </w:p>
        </w:tc>
        <w:tc>
          <w:tcPr>
            <w:tcW w:w="880" w:type="dxa"/>
            <w:vAlign w:val="bottom"/>
            <w:gridSpan w:val="2"/>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6"/>
                <w:szCs w:val="16"/>
                <w:color w:val="auto"/>
              </w:rPr>
            </w:pPr>
          </w:p>
        </w:tc>
        <w:tc>
          <w:tcPr>
            <w:tcW w:w="20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880" w:type="dxa"/>
            <w:vAlign w:val="bottom"/>
            <w:gridSpan w:val="2"/>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0.07</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securities excluded from earnings per share calculation</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596,460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523,931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117,953</w:t>
            </w:r>
          </w:p>
        </w:tc>
      </w:tr>
      <w:tr>
        <w:trPr>
          <w:trHeight w:val="508"/>
        </w:trPr>
        <w:tc>
          <w:tcPr>
            <w:tcW w:w="5300" w:type="dxa"/>
            <w:vAlign w:val="bottom"/>
          </w:tcPr>
          <w:p>
            <w:pPr>
              <w:spacing w:after="0"/>
              <w:rPr>
                <w:sz w:val="24"/>
                <w:szCs w:val="24"/>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5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Other Accrued Liabilities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 consisted of the following:</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4"/>
          </w:tcPr>
          <w:p>
            <w:pPr>
              <w:jc w:val="right"/>
              <w:ind w:right="850"/>
              <w:spacing w:after="0" w:line="198" w:lineRule="exact"/>
              <w:rPr>
                <w:sz w:val="20"/>
                <w:szCs w:val="20"/>
                <w:color w:val="auto"/>
              </w:rPr>
            </w:pPr>
            <w:r>
              <w:rPr>
                <w:rFonts w:ascii="Times New Roman" w:cs="Times New Roman" w:eastAsia="Times New Roman" w:hAnsi="Times New Roman"/>
                <w:sz w:val="18"/>
                <w:szCs w:val="18"/>
                <w:color w:val="auto"/>
              </w:rPr>
              <w:t>(in thousands)</w:t>
            </w:r>
          </w:p>
        </w:tc>
      </w:tr>
      <w:tr>
        <w:trPr>
          <w:trHeight w:val="189"/>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December 31,</w:t>
            </w:r>
          </w:p>
        </w:tc>
      </w:tr>
      <w:tr>
        <w:trPr>
          <w:trHeight w:val="221"/>
        </w:trPr>
        <w:tc>
          <w:tcPr>
            <w:tcW w:w="83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183"/>
        </w:trPr>
        <w:tc>
          <w:tcPr>
            <w:tcW w:w="83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10,475</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10,882</w:t>
            </w:r>
          </w:p>
        </w:tc>
      </w:tr>
      <w:tr>
        <w:trPr>
          <w:trHeight w:val="189"/>
        </w:trPr>
        <w:tc>
          <w:tcPr>
            <w:tcW w:w="8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Sales returns reserve</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3,363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2,886</w:t>
            </w:r>
          </w:p>
        </w:tc>
      </w:tr>
      <w:tr>
        <w:trPr>
          <w:trHeight w:val="189"/>
        </w:trPr>
        <w:tc>
          <w:tcPr>
            <w:tcW w:w="8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Accrued wages and salaries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5,098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4,585</w:t>
            </w:r>
          </w:p>
        </w:tc>
      </w:tr>
      <w:tr>
        <w:trPr>
          <w:trHeight w:val="189"/>
        </w:trPr>
        <w:tc>
          <w:tcPr>
            <w:tcW w:w="8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Payroll and sales taxes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2,107</w:t>
            </w:r>
          </w:p>
        </w:tc>
      </w:tr>
      <w:tr>
        <w:trPr>
          <w:trHeight w:val="189"/>
        </w:trPr>
        <w:tc>
          <w:tcPr>
            <w:tcW w:w="8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6,325</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5,184</w:t>
            </w:r>
          </w:p>
        </w:tc>
      </w:tr>
      <w:tr>
        <w:trPr>
          <w:trHeight w:val="183"/>
        </w:trPr>
        <w:tc>
          <w:tcPr>
            <w:tcW w:w="83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Total other accrued liabilities</w:t>
            </w: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27,596</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25,644</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66"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Shop’s Rent Adjusted Leverage Ratio (as defined in the Credit Agreement).</w:t>
      </w:r>
    </w:p>
    <w:p>
      <w:pPr>
        <w:spacing w:after="0" w:line="158"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in compliance with the covenants as of September 30, 2025.</w:t>
      </w:r>
    </w:p>
    <w:p>
      <w:pPr>
        <w:spacing w:after="0" w:line="15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Company had no borrowings outstanding on its line of credit as of September 30, 2025. The Company has standby letters of credit outstanding related to its workers’ compensation and medical insurance policies. As of September 30, 2025, standby letters of credit totaled $1.2 million. As of September 30, 2025, there was $73.8 million available for borrowing on the revolving line of credit, which may be used for maintaining the Company’s existing stores, purchasing additional merchandise inventory, and general corporate purposes.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89"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The Company leases its retail stores, certain distribution space, and office space. Leases generally have an initial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Leases (in thousands)</w:t>
            </w:r>
          </w:p>
        </w:tc>
        <w:tc>
          <w:tcPr>
            <w:tcW w:w="3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Classification</w:t>
            </w: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19"/>
                <w:szCs w:val="19"/>
                <w:color w:val="auto"/>
              </w:rPr>
            </w:pP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83"/>
        </w:trPr>
        <w:tc>
          <w:tcPr>
            <w:tcW w:w="21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31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Operating lease assets</w:t>
            </w:r>
          </w:p>
        </w:tc>
        <w:tc>
          <w:tcPr>
            <w:tcW w:w="3120" w:type="dxa"/>
            <w:vAlign w:val="bottom"/>
          </w:tcPr>
          <w:p>
            <w:pPr>
              <w:ind w:left="560"/>
              <w:spacing w:after="0" w:line="189" w:lineRule="exact"/>
              <w:rPr>
                <w:sz w:val="20"/>
                <w:szCs w:val="20"/>
                <w:color w:val="auto"/>
              </w:rPr>
            </w:pPr>
            <w:r>
              <w:rPr>
                <w:rFonts w:ascii="Times New Roman" w:cs="Times New Roman" w:eastAsia="Times New Roman" w:hAnsi="Times New Roman"/>
                <w:sz w:val="18"/>
                <w:szCs w:val="18"/>
                <w:color w:val="auto"/>
              </w:rPr>
              <w:t>Right of use asset</w:t>
            </w:r>
          </w:p>
        </w:tc>
        <w:tc>
          <w:tcPr>
            <w:tcW w:w="1760" w:type="dxa"/>
            <w:vAlign w:val="bottom"/>
            <w:gridSpan w:val="3"/>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126,927</w:t>
            </w:r>
          </w:p>
        </w:tc>
        <w:tc>
          <w:tcPr>
            <w:tcW w:w="6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132,861</w:t>
            </w:r>
          </w:p>
        </w:tc>
        <w:tc>
          <w:tcPr>
            <w:tcW w:w="0" w:type="dxa"/>
            <w:vAlign w:val="bottom"/>
          </w:tcPr>
          <w:p>
            <w:pPr>
              <w:spacing w:after="0"/>
              <w:rPr>
                <w:sz w:val="1"/>
                <w:szCs w:val="1"/>
                <w:color w:val="auto"/>
              </w:rPr>
            </w:pPr>
          </w:p>
        </w:tc>
      </w:tr>
      <w:tr>
        <w:trPr>
          <w:trHeight w:val="183"/>
        </w:trPr>
        <w:tc>
          <w:tcPr>
            <w:tcW w:w="21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Total leased assets</w:t>
            </w:r>
          </w:p>
        </w:tc>
        <w:tc>
          <w:tcPr>
            <w:tcW w:w="3120" w:type="dxa"/>
            <w:vAlign w:val="bottom"/>
            <w:tcBorders>
              <w:top w:val="single" w:sz="8" w:color="CCEEFF"/>
              <w:bottom w:val="single" w:sz="8" w:color="CCEEFF"/>
            </w:tcBorders>
            <w:shd w:val="clear" w:color="auto" w:fill="CCEEFF"/>
          </w:tcPr>
          <w:p>
            <w:pPr>
              <w:spacing w:after="0"/>
              <w:rPr>
                <w:sz w:val="15"/>
                <w:szCs w:val="15"/>
                <w:color w:val="auto"/>
              </w:rPr>
            </w:pPr>
          </w:p>
        </w:tc>
        <w:tc>
          <w:tcPr>
            <w:tcW w:w="14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126,927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132,861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Liabilities</w:t>
            </w:r>
          </w:p>
        </w:tc>
        <w:tc>
          <w:tcPr>
            <w:tcW w:w="3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Current</w:t>
            </w:r>
          </w:p>
        </w:tc>
        <w:tc>
          <w:tcPr>
            <w:tcW w:w="3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w:t>
            </w:r>
          </w:p>
        </w:tc>
        <w:tc>
          <w:tcPr>
            <w:tcW w:w="31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Current portion of lease liability</w:t>
            </w:r>
          </w:p>
        </w:tc>
        <w:tc>
          <w:tcPr>
            <w:tcW w:w="1760" w:type="dxa"/>
            <w:vAlign w:val="bottom"/>
            <w:gridSpan w:val="3"/>
            <w:shd w:val="clear" w:color="auto" w:fill="CCEEFF"/>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29,516</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28,880</w:t>
            </w:r>
          </w:p>
        </w:tc>
        <w:tc>
          <w:tcPr>
            <w:tcW w:w="0" w:type="dxa"/>
            <w:vAlign w:val="bottom"/>
          </w:tcPr>
          <w:p>
            <w:pPr>
              <w:spacing w:after="0"/>
              <w:rPr>
                <w:sz w:val="1"/>
                <w:szCs w:val="1"/>
                <w:color w:val="auto"/>
              </w:rPr>
            </w:pPr>
          </w:p>
        </w:tc>
      </w:tr>
      <w:tr>
        <w:trPr>
          <w:trHeight w:val="189"/>
        </w:trPr>
        <w:tc>
          <w:tcPr>
            <w:tcW w:w="21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Noncurrent</w:t>
            </w:r>
          </w:p>
        </w:tc>
        <w:tc>
          <w:tcPr>
            <w:tcW w:w="3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w:t>
            </w:r>
          </w:p>
        </w:tc>
        <w:tc>
          <w:tcPr>
            <w:tcW w:w="31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Long-term lease liability, net</w:t>
            </w: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106,341</w:t>
            </w: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113,700</w:t>
            </w:r>
          </w:p>
        </w:tc>
        <w:tc>
          <w:tcPr>
            <w:tcW w:w="0" w:type="dxa"/>
            <w:vAlign w:val="bottom"/>
          </w:tcPr>
          <w:p>
            <w:pPr>
              <w:spacing w:after="0"/>
              <w:rPr>
                <w:sz w:val="1"/>
                <w:szCs w:val="1"/>
                <w:color w:val="auto"/>
              </w:rPr>
            </w:pPr>
          </w:p>
        </w:tc>
      </w:tr>
      <w:tr>
        <w:trPr>
          <w:trHeight w:val="183"/>
        </w:trPr>
        <w:tc>
          <w:tcPr>
            <w:tcW w:w="21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lease liabilities</w:t>
            </w:r>
          </w:p>
        </w:tc>
        <w:tc>
          <w:tcPr>
            <w:tcW w:w="3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135,857</w:t>
            </w:r>
          </w:p>
        </w:tc>
        <w:tc>
          <w:tcPr>
            <w:tcW w:w="6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142,580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1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18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80" w:type="dxa"/>
            <w:vAlign w:val="bottom"/>
            <w:gridSpan w:val="4"/>
          </w:tcPr>
          <w:p>
            <w:pPr>
              <w:jc w:val="right"/>
              <w:ind w:right="14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280" w:type="dxa"/>
            <w:vAlign w:val="bottom"/>
          </w:tcPr>
          <w:p>
            <w:pPr>
              <w:spacing w:after="0"/>
              <w:rPr>
                <w:sz w:val="19"/>
                <w:szCs w:val="19"/>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19"/>
                <w:szCs w:val="19"/>
                <w:color w:val="auto"/>
              </w:rPr>
            </w:pP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83"/>
        </w:trPr>
        <w:tc>
          <w:tcPr>
            <w:tcW w:w="23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4400" w:type="dxa"/>
            <w:vAlign w:val="bottom"/>
            <w:tcBorders>
              <w:top w:val="single" w:sz="8" w:color="auto"/>
            </w:tcBorders>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9,328</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9,362</w:t>
            </w:r>
          </w:p>
        </w:tc>
      </w:tr>
      <w:tr>
        <w:trPr>
          <w:trHeight w:val="256"/>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9"/>
                <w:szCs w:val="29"/>
                <w:color w:val="auto"/>
                <w:vertAlign w:val="superscript"/>
              </w:rPr>
              <w:t>(1)</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r>
      <w:tr>
        <w:trPr>
          <w:trHeight w:val="189"/>
        </w:trPr>
        <w:tc>
          <w:tcPr>
            <w:tcW w:w="2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 term lease cost</w:t>
            </w:r>
          </w:p>
        </w:tc>
        <w:tc>
          <w:tcPr>
            <w:tcW w:w="448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56</w:t>
            </w:r>
          </w:p>
        </w:tc>
      </w:tr>
      <w:tr>
        <w:trPr>
          <w:trHeight w:val="183"/>
        </w:trPr>
        <w:tc>
          <w:tcPr>
            <w:tcW w:w="23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lease cost</w:t>
            </w:r>
          </w:p>
        </w:tc>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13,374</w:t>
            </w:r>
          </w:p>
        </w:tc>
        <w:tc>
          <w:tcPr>
            <w:tcW w:w="6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13,232</w:t>
            </w: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r>
      <w:tr>
        <w:trPr>
          <w:trHeight w:val="367"/>
        </w:trPr>
        <w:tc>
          <w:tcPr>
            <w:tcW w:w="23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4"/>
          </w:tcPr>
          <w:p>
            <w:pPr>
              <w:jc w:val="right"/>
              <w:ind w:right="1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Lease cost (in thousands)</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Classification</w:t>
            </w:r>
          </w:p>
        </w:tc>
        <w:tc>
          <w:tcPr>
            <w:tcW w:w="280" w:type="dxa"/>
            <w:vAlign w:val="bottom"/>
          </w:tcPr>
          <w:p>
            <w:pPr>
              <w:spacing w:after="0"/>
              <w:rPr>
                <w:sz w:val="19"/>
                <w:szCs w:val="19"/>
                <w:color w:val="auto"/>
              </w:rPr>
            </w:pP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Pr>
          <w:p>
            <w:pPr>
              <w:spacing w:after="0"/>
              <w:rPr>
                <w:sz w:val="19"/>
                <w:szCs w:val="19"/>
                <w:color w:val="auto"/>
              </w:rPr>
            </w:pPr>
          </w:p>
        </w:tc>
        <w:tc>
          <w:tcPr>
            <w:tcW w:w="19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83"/>
        </w:trPr>
        <w:tc>
          <w:tcPr>
            <w:tcW w:w="23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Operating lease cost</w:t>
            </w:r>
          </w:p>
        </w:tc>
        <w:tc>
          <w:tcPr>
            <w:tcW w:w="4400" w:type="dxa"/>
            <w:vAlign w:val="bottom"/>
            <w:tcBorders>
              <w:top w:val="single" w:sz="8" w:color="auto"/>
            </w:tcBorders>
            <w:shd w:val="clear" w:color="auto" w:fill="CCEEFF"/>
          </w:tcPr>
          <w:p>
            <w:pPr>
              <w:ind w:left="440"/>
              <w:spacing w:after="0" w:line="182" w:lineRule="exact"/>
              <w:rPr>
                <w:sz w:val="20"/>
                <w:szCs w:val="20"/>
                <w:color w:val="auto"/>
              </w:rPr>
            </w:pPr>
            <w:r>
              <w:rPr>
                <w:rFonts w:ascii="Times New Roman" w:cs="Times New Roman" w:eastAsia="Times New Roman" w:hAnsi="Times New Roman"/>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28,275</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28,277</w:t>
            </w: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9"/>
                <w:szCs w:val="29"/>
                <w:color w:val="auto"/>
                <w:vertAlign w:val="superscript"/>
              </w:rPr>
              <w:t>(1)</w:t>
            </w:r>
          </w:p>
        </w:tc>
        <w:tc>
          <w:tcPr>
            <w:tcW w:w="44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11,363</w:t>
            </w:r>
          </w:p>
        </w:tc>
      </w:tr>
      <w:tr>
        <w:trPr>
          <w:trHeight w:val="189"/>
        </w:trPr>
        <w:tc>
          <w:tcPr>
            <w:tcW w:w="23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Short term lease cost</w:t>
            </w:r>
          </w:p>
        </w:tc>
        <w:tc>
          <w:tcPr>
            <w:tcW w:w="4480" w:type="dxa"/>
            <w:vAlign w:val="bottom"/>
            <w:gridSpan w:val="2"/>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SG&amp;A expenses</w:t>
            </w:r>
          </w:p>
        </w:tc>
        <w:tc>
          <w:tcPr>
            <w:tcW w:w="28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154</w:t>
            </w:r>
          </w:p>
        </w:tc>
      </w:tr>
      <w:tr>
        <w:trPr>
          <w:trHeight w:val="183"/>
        </w:trPr>
        <w:tc>
          <w:tcPr>
            <w:tcW w:w="23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Net lease cost</w:t>
            </w:r>
          </w:p>
        </w:tc>
        <w:tc>
          <w:tcPr>
            <w:tcW w:w="4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40,204</w:t>
            </w:r>
          </w:p>
        </w:tc>
        <w:tc>
          <w:tcPr>
            <w:tcW w:w="6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39,794</w:t>
            </w:r>
          </w:p>
        </w:tc>
      </w:tr>
      <w:tr>
        <w:trPr>
          <w:trHeight w:val="20"/>
        </w:trPr>
        <w:tc>
          <w:tcPr>
            <w:tcW w:w="2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260" w:hanging="215"/>
        <w:spacing w:after="0"/>
        <w:tabs>
          <w:tab w:leader="none" w:pos="26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Variable lease cost consists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84"/>
        </w:trPr>
        <w:tc>
          <w:tcPr>
            <w:tcW w:w="7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gridSpan w:val="4"/>
          </w:tcPr>
          <w:p>
            <w:pPr>
              <w:jc w:val="right"/>
              <w:ind w:right="1210"/>
              <w:spacing w:after="0" w:line="184"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(in thousands)</w:t>
            </w:r>
          </w:p>
        </w:tc>
        <w:tc>
          <w:tcPr>
            <w:tcW w:w="240" w:type="dxa"/>
            <w:vAlign w:val="bottom"/>
          </w:tcPr>
          <w:p>
            <w:pPr>
              <w:spacing w:after="0"/>
              <w:rPr>
                <w:sz w:val="19"/>
                <w:szCs w:val="19"/>
                <w:color w:val="auto"/>
              </w:rPr>
            </w:pPr>
          </w:p>
        </w:tc>
        <w:tc>
          <w:tcPr>
            <w:tcW w:w="17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September 30, 2025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83"/>
        </w:trPr>
        <w:tc>
          <w:tcPr>
            <w:tcW w:w="7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r>
      <w:tr>
        <w:trPr>
          <w:trHeight w:val="189"/>
        </w:trPr>
        <w:tc>
          <w:tcPr>
            <w:tcW w:w="724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30,054</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29,248</w:t>
            </w:r>
          </w:p>
        </w:tc>
      </w:tr>
      <w:tr>
        <w:trPr>
          <w:trHeight w:val="189"/>
        </w:trPr>
        <w:tc>
          <w:tcPr>
            <w:tcW w:w="724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Lease right-of-use assets obtained or modified in exchange for lease obligations</w:t>
            </w:r>
          </w:p>
        </w:tc>
        <w:tc>
          <w:tcPr>
            <w:tcW w:w="240" w:type="dxa"/>
            <w:vAlign w:val="bottom"/>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14,940</w:t>
            </w:r>
          </w:p>
        </w:tc>
        <w:tc>
          <w:tcPr>
            <w:tcW w:w="30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21,359</w:t>
            </w:r>
          </w:p>
        </w:tc>
      </w:tr>
    </w:tbl>
    <w:p>
      <w:pPr>
        <w:spacing w:after="0" w:line="184"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During the second quarter of 2025, the Company entered into two sublease agreements for its distribution center space in New Jersey, which was closed in 2024. These sublease agreements commenced in the second quarter of 2025 and will expire in August 2026. The Company anticipates the sublease agreements will generate approximately $0.7 million of sublease income in 2025 and an additional $1.0 million of sublease income in 2026 which will be classified as a reduction of its selling, general and administrative expense. During the three and nine months ended September 30, 2025, the Company recognized sublease income of $0.2 million and $0.4 million, respectively. The Company’s lease of the distribution space in New Jersey terminates in September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Fair Value of Financial Instruments</w:t>
      </w:r>
    </w:p>
    <w:p>
      <w:pPr>
        <w:spacing w:after="0" w:line="189" w:lineRule="exact"/>
        <w:rPr>
          <w:sz w:val="20"/>
          <w:szCs w:val="20"/>
          <w:color w:val="auto"/>
        </w:rPr>
      </w:pPr>
    </w:p>
    <w:p>
      <w:pPr>
        <w:jc w:val="both"/>
        <w:ind w:right="220"/>
        <w:spacing w:after="0" w:line="24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66" w:lineRule="auto"/>
        <w:rPr>
          <w:sz w:val="20"/>
          <w:szCs w:val="20"/>
          <w:color w:val="auto"/>
        </w:rPr>
      </w:pPr>
      <w:r>
        <w:rPr>
          <w:rFonts w:ascii="Times New Roman" w:cs="Times New Roman" w:eastAsia="Times New Roman" w:hAnsi="Times New Roman"/>
          <w:sz w:val="18"/>
          <w:szCs w:val="18"/>
          <w:color w:val="auto"/>
        </w:rPr>
        <w:t>Level 2 – Significant other observable inputs available at the measurement date, other than quoted prices included in Level 1, either directly or indirectly, including:</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171" w:lineRule="exact"/>
        <w:rPr>
          <w:sz w:val="20"/>
          <w:szCs w:val="20"/>
          <w:color w:val="auto"/>
        </w:rPr>
      </w:pPr>
    </w:p>
    <w:p>
      <w:pPr>
        <w:jc w:val="both"/>
        <w:ind w:left="980" w:right="4560"/>
        <w:spacing w:after="0" w:line="464" w:lineRule="auto"/>
        <w:rPr>
          <w:sz w:val="20"/>
          <w:szCs w:val="20"/>
          <w:color w:val="auto"/>
        </w:rPr>
      </w:pPr>
      <w:r>
        <w:rPr>
          <w:rFonts w:ascii="Times New Roman" w:cs="Times New Roman" w:eastAsia="Times New Roman" w:hAnsi="Times New Roman"/>
          <w:sz w:val="17"/>
          <w:szCs w:val="17"/>
          <w:color w:val="auto"/>
        </w:rPr>
        <w:t>Quoted prices for identical or similar assets or liabilities in non-active markets; Inputs other than quoted prices that are observable for the asset or liability; and</w:t>
      </w:r>
    </w:p>
    <w:p>
      <w:pPr>
        <w:ind w:left="66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66" w:lineRule="auto"/>
        <w:rPr>
          <w:sz w:val="20"/>
          <w:szCs w:val="20"/>
          <w:color w:val="auto"/>
        </w:rPr>
      </w:pPr>
      <w:r>
        <w:rPr>
          <w:rFonts w:ascii="Times New Roman" w:cs="Times New Roman" w:eastAsia="Times New Roman" w:hAnsi="Times New Roman"/>
          <w:sz w:val="18"/>
          <w:szCs w:val="18"/>
          <w:color w:val="auto"/>
        </w:rPr>
        <w:t>Level 3 – Significant unobservable inputs that cannot be corroborated by observable market data and reflect the use of significant management judgment.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3" w:lineRule="exact"/>
        <w:rPr>
          <w:sz w:val="20"/>
          <w:szCs w:val="20"/>
          <w:color w:val="auto"/>
        </w:rPr>
      </w:pPr>
    </w:p>
    <w:p>
      <w:pPr>
        <w:jc w:val="both"/>
        <w:ind w:right="300"/>
        <w:spacing w:after="0" w:line="24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Company’s financial assets that were accounted for at fair value on a recurring basis at September 30, 2025 and December 31, 2024 according to the valuation techniques the Company uses to determine their fair values. There have been no transfers of assets among the fair value hierarchies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Pricing</w:t>
            </w:r>
          </w:p>
        </w:tc>
        <w:tc>
          <w:tcPr>
            <w:tcW w:w="100" w:type="dxa"/>
            <w:vAlign w:val="bottom"/>
          </w:tcPr>
          <w:p>
            <w:pPr>
              <w:spacing w:after="0"/>
              <w:rPr>
                <w:sz w:val="17"/>
                <w:szCs w:val="17"/>
                <w:color w:val="auto"/>
              </w:rPr>
            </w:pPr>
          </w:p>
        </w:tc>
        <w:tc>
          <w:tcPr>
            <w:tcW w:w="3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Fair Value at</w:t>
            </w:r>
          </w:p>
        </w:tc>
        <w:tc>
          <w:tcPr>
            <w:tcW w:w="0" w:type="dxa"/>
            <w:vAlign w:val="bottom"/>
          </w:tcPr>
          <w:p>
            <w:pPr>
              <w:spacing w:after="0"/>
              <w:rPr>
                <w:sz w:val="1"/>
                <w:szCs w:val="1"/>
                <w:color w:val="auto"/>
              </w:rPr>
            </w:pPr>
          </w:p>
        </w:tc>
      </w:tr>
      <w:tr>
        <w:trPr>
          <w:trHeight w:val="221"/>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Category</w:t>
            </w:r>
          </w:p>
        </w:tc>
        <w:tc>
          <w:tcPr>
            <w:tcW w:w="100" w:type="dxa"/>
            <w:vAlign w:val="bottom"/>
          </w:tcPr>
          <w:p>
            <w:pPr>
              <w:spacing w:after="0"/>
              <w:rPr>
                <w:sz w:val="19"/>
                <w:szCs w:val="19"/>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2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83"/>
        </w:trPr>
        <w:tc>
          <w:tcPr>
            <w:tcW w:w="6360" w:type="dxa"/>
            <w:vAlign w:val="bottom"/>
            <w:vMerge w:val="continue"/>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gridSpan w:val="3"/>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center"/>
              <w:ind w:right="160"/>
              <w:spacing w:after="0" w:line="189" w:lineRule="exact"/>
              <w:rPr>
                <w:sz w:val="20"/>
                <w:szCs w:val="20"/>
                <w:color w:val="auto"/>
              </w:rPr>
            </w:pPr>
            <w:r>
              <w:rPr>
                <w:rFonts w:ascii="Times New Roman" w:cs="Times New Roman" w:eastAsia="Times New Roman" w:hAnsi="Times New Roman"/>
                <w:sz w:val="18"/>
                <w:szCs w:val="18"/>
                <w:color w:val="auto"/>
                <w:w w:val="99"/>
              </w:rPr>
              <w:t>Level 1</w:t>
            </w:r>
          </w:p>
        </w:tc>
        <w:tc>
          <w:tcPr>
            <w:tcW w:w="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24,145</w:t>
            </w:r>
          </w:p>
        </w:tc>
        <w:tc>
          <w:tcPr>
            <w:tcW w:w="2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20,957</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20" w:lineRule="exact"/>
        <w:rPr>
          <w:sz w:val="20"/>
          <w:szCs w:val="20"/>
          <w:color w:val="auto"/>
        </w:rPr>
      </w:pPr>
    </w:p>
    <w:p>
      <w:pPr>
        <w:ind w:left="980" w:right="6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Consists of cash on hand, bank deposits and money market funds primarily held in short term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 value was measured using quoted market prices in active markets. The carrying amount approximates fair value.</w:t>
      </w:r>
    </w:p>
    <w:p>
      <w:pPr>
        <w:spacing w:after="0" w:line="134"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three and nine months ended September 30, 2025, the Company recorded $0.0 million and $0.1 million, respectively, of impairment charges in selling, general and administrative expenses to write-down property, plant and equipment to their estimated fair values. During the three and nine months ended September 30, 2024, the Company recorded $0.0 million and $0.9 million, respectively, of impairment charges.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58"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a $0.3 million and $1.1 million, respectively, adjustment to reflect an increase in the fair value to restore leased property to its original condition at the end of the lease. The change in the estimated value of the Company’s asset retirement obligation resulted in a $1.1 million increase in other long-term liabilities that was offset by a $1.0 million increase in property, plant and equipment and a $0.1 million asset impairment charge. The Company measured the fair value of its asset retirement obligation based on the estimated amounts and timing of settlements, an estimated risk adjusted rate of return, and expected inflation rates, which are considered Level 2 inputs.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w:t>
      </w:r>
    </w:p>
    <w:p>
      <w:pPr>
        <w:spacing w:after="0" w:line="17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9" w:lineRule="exact"/>
        <w:rPr>
          <w:sz w:val="20"/>
          <w:szCs w:val="20"/>
          <w:color w:val="auto"/>
        </w:rPr>
      </w:pPr>
    </w:p>
    <w:p>
      <w:pPr>
        <w:ind w:right="360"/>
        <w:spacing w:after="0" w:line="233" w:lineRule="auto"/>
        <w:rPr>
          <w:sz w:val="20"/>
          <w:szCs w:val="20"/>
          <w:color w:val="auto"/>
        </w:rPr>
      </w:pPr>
      <w:r>
        <w:rPr>
          <w:rFonts w:ascii="Times New Roman" w:cs="Times New Roman" w:eastAsia="Times New Roman" w:hAnsi="Times New Roman"/>
          <w:sz w:val="18"/>
          <w:szCs w:val="18"/>
          <w:color w:val="auto"/>
        </w:rPr>
        <w:t>The Company measures and recognizes compensation expense for all stock based awards at fair value. The financial statements for the three and nine months ended September 30, 2025 and 2024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significant stock based compensation expense related to stock options during the three and nine months ended September 30, 2025 and 2024. Stock based compensation expense pertaining to stock options is included in selling, general and administrative expenses in the accompanying Consolidated Statements of Operations.</w:t>
      </w:r>
    </w:p>
    <w:p>
      <w:pPr>
        <w:spacing w:after="0" w:line="14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fully vested outstanding stock options to purchase 295,367 shares of common stock at a weighted average exercise price of $7.07 per share.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Tile Shop Holdings, Inc. and Subsidiaries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89"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$0.3 million and $0.3 million for the three months ended September 30, 2025 and 2024, respectively. Total stock based compensation expense related to restricted stock was $1.0 million and $1.0 million for the nine months ended September 30, 2025 and 2024, respectively. Stock based compensation expense pertaining to restricted stock awards is included in selling, general and administrative expenses in the accompanying Consolidated Statements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749,026 unvested outstanding restricted common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Segments</w:t>
      </w:r>
    </w:p>
    <w:p>
      <w:pPr>
        <w:spacing w:after="0" w:line="189"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utilizes the Company’s annual budget planning process, which includes Company-wide initiatives, as a key input to resource allocation. The CODM makes decisions on resource allocation and evaluates financial performance on a total Company basis; therefore, the Company has one reportable segment. The Company earns most of its revenue in the United States. Long-lived assets, which consist of property and equipment, net and operating lease right of use assets, are all located in the United States.</w:t>
      </w:r>
    </w:p>
    <w:p>
      <w:pPr>
        <w:spacing w:after="0" w:line="158"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8"/>
          <w:szCs w:val="18"/>
          <w:color w:val="auto"/>
        </w:rPr>
        <w:t>The Company has concluded that consolidated net (loss) income is the measure of segment profitability. The following table presents the Company’s segment revenue and gross profit, significant segment expenses, segment (loss) income from operations and net (loss) income provided to the CODM:</w:t>
      </w:r>
    </w:p>
    <w:tbl>
      <w:tblPr>
        <w:tblLayout w:type="fixed"/>
        <w:tblInd w:w="0" w:type="dxa"/>
        <w:tblCellMar>
          <w:top w:w="0" w:type="dxa"/>
          <w:left w:w="0" w:type="dxa"/>
          <w:bottom w:w="0" w:type="dxa"/>
          <w:right w:w="0" w:type="dxa"/>
        </w:tblCellMar>
      </w:tblPr>
      <w:tr>
        <w:trPr>
          <w:trHeight w:val="198"/>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18"/>
                <w:szCs w:val="18"/>
                <w:color w:val="auto"/>
              </w:rPr>
              <w:t>(in thousands)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5"/>
          </w:tcPr>
          <w:p>
            <w:pPr>
              <w:ind w:left="34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17"/>
                <w:szCs w:val="17"/>
                <w:color w:val="auto"/>
              </w:rPr>
            </w:pPr>
          </w:p>
        </w:tc>
        <w:tc>
          <w:tcPr>
            <w:tcW w:w="2260" w:type="dxa"/>
            <w:vAlign w:val="bottom"/>
            <w:gridSpan w:val="4"/>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21"/>
        </w:trPr>
        <w:tc>
          <w:tcPr>
            <w:tcW w:w="5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20" w:type="dxa"/>
            <w:vAlign w:val="bottom"/>
            <w:tcBorders>
              <w:bottom w:val="single" w:sz="8" w:color="auto"/>
            </w:tcBorders>
          </w:tcPr>
          <w:p>
            <w:pPr>
              <w:spacing w:after="0"/>
              <w:rPr>
                <w:sz w:val="19"/>
                <w:szCs w:val="19"/>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0"/>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94"/>
              </w:rPr>
              <w:t>2024</w:t>
            </w: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83,064</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84,505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259,333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267,617</w:t>
            </w:r>
          </w:p>
        </w:tc>
      </w:tr>
      <w:tr>
        <w:trPr>
          <w:trHeight w:val="203"/>
        </w:trPr>
        <w:tc>
          <w:tcPr>
            <w:tcW w:w="56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30,785</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28,277</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92,142</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90,739</w:t>
            </w: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52,279</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56,228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167,191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176,878</w:t>
            </w:r>
          </w:p>
        </w:tc>
      </w:tr>
      <w:tr>
        <w:trPr>
          <w:trHeight w:val="203"/>
        </w:trPr>
        <w:tc>
          <w:tcPr>
            <w:tcW w:w="5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1,008</w:t>
            </w:r>
          </w:p>
        </w:tc>
      </w:tr>
      <w:tr>
        <w:trPr>
          <w:trHeight w:val="203"/>
        </w:trPr>
        <w:tc>
          <w:tcPr>
            <w:tcW w:w="56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4,458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11,906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13,802</w:t>
            </w:r>
          </w:p>
        </w:tc>
      </w:tr>
      <w:tr>
        <w:trPr>
          <w:trHeight w:val="203"/>
        </w:trPr>
        <w:tc>
          <w:tcPr>
            <w:tcW w:w="56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Adjusted selling, general and administrative expenses*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50,238</w:t>
            </w:r>
          </w:p>
        </w:tc>
        <w:tc>
          <w:tcPr>
            <w:tcW w:w="1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51,184</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155,648</w:t>
            </w: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157,684</w:t>
            </w:r>
          </w:p>
        </w:tc>
      </w:tr>
      <w:tr>
        <w:trPr>
          <w:trHeight w:val="196"/>
        </w:trPr>
        <w:tc>
          <w:tcPr>
            <w:tcW w:w="5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from operations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(1,966)</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4,384</w:t>
            </w:r>
          </w:p>
        </w:tc>
      </w:tr>
      <w:tr>
        <w:trPr>
          <w:trHeight w:val="203"/>
        </w:trPr>
        <w:tc>
          <w:tcPr>
            <w:tcW w:w="5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Interest income/(expense), net</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(71)</w:t>
            </w:r>
          </w:p>
        </w:tc>
        <w:tc>
          <w:tcPr>
            <w:tcW w:w="4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(1,962)</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w:t>
            </w: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4,090</w:t>
            </w:r>
          </w:p>
        </w:tc>
      </w:tr>
      <w:tr>
        <w:trPr>
          <w:trHeight w:val="203"/>
        </w:trPr>
        <w:tc>
          <w:tcPr>
            <w:tcW w:w="56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(138)</w:t>
            </w:r>
          </w:p>
        </w:tc>
        <w:tc>
          <w:tcPr>
            <w:tcW w:w="4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(1,141)</w:t>
            </w:r>
          </w:p>
        </w:tc>
      </w:tr>
      <w:tr>
        <w:trPr>
          <w:trHeight w:val="196"/>
        </w:trPr>
        <w:tc>
          <w:tcPr>
            <w:tcW w:w="56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income</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2,949</w:t>
            </w: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 of stock based compensation and depreciation and amortization shown separately.</w:t>
      </w: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2024 and our consolidated financial statements and related notes appearing elsewhere in this Quarterly Report on Form 10-Q.</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the Going Dark Transaction, including the timing and stockholder approval of the Reverse Stock Split and our ability to realize the anticipated benefits (as defined below); our business strengths, marketing strategies, competitive advantages and role in our industry and markets; an overall decline in the health of the economy, the tile industry, consumer confidence and spending, and the housing market, including as a result of high inflation or fluctuating interest rates, tariffs and other trade barriers and restrictions, instability in the global banking system, a prolonged shutdown of the U.S. federal government, geopolitical instability or the possibility of an economic downturn or recession or other macroeconomic factors; the impact of ongoing supply chain disruptions (including tariffs)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financing due to market conditions resulting from geopolitical conditions, including the impacts of tariffs and other trade barriers and restrictions and resulting volatility in the financial, capital and bond markets,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the impact of U.S. trade tensions, including increased tariffs and retaliatory measures imposed by foreign governments; our expectations with respect to ongoing compliance with the terms of the Credit Agreement (as defined below), including fluctuating interest rates; our ability to provide timely delivery to our customers; the effect of regulations on us and our industry, and our suppliers’ compliance with such regulations, including any environmental requirements; the impact of corporate citizenship; labor shortages and our expectations regarding the effects of employee recruiting, training, mentoring, and retention on our business; tax-related risks; the potential impact of cybersecurity breaches or disruptions to our management information systems or to third-party information technology systems upon which we rely; widespread outages, interruptions or other failures of operational, communication, or other systems; our ability to successfully implement our information technology and other digital initiatives; our ability to effectively manage our online sales; costs and adequacy of insurance; the potential impact of natural disasters and other catastrophic events; risks inherent in operating as a holding company; our ability to maintain effective internal control over financial reporting; the potential outcome of any legal proceedings; risks related to ownership of our common stock; and those factors set forth in the section captioned “Risk Factors” in our Annual Report on Form 10-K for the year ended December 31, 2024 and in this Quarterly Report on Form 10-Q.</w:t>
      </w:r>
    </w:p>
    <w:p>
      <w:pPr>
        <w:spacing w:after="0" w:line="183"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6"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6"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18"/>
          <w:szCs w:val="18"/>
          <w:i w:val="1"/>
          <w:iCs w:val="1"/>
          <w:color w:val="auto"/>
        </w:rPr>
        <w:t>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As previously disclosed, the Independent Transaction Committee (the “Transaction Committee”) of the Board of Directors of the Company (the “Board”) comprised of independent directors has recommended, and the Board has approved, a plan to delist its shares of common stock from trading on the Nasdaq Stock Market LLC, suspend its duty to file periodic reports and other information with the U.S. Securities and Exchange Commission (the “SEC”), and to terminate the registration of its common stock under the federal securities laws following the completion of a proposed reverse stock split, immediately followed by a forward stock split, subject to obtaining the requisite approval of the Company’s stockholders at a special meeting of the Company’s stockholders (the “Special Meeting”), which is expected to be held in December 2025.</w:t>
      </w:r>
    </w:p>
    <w:p>
      <w:pPr>
        <w:spacing w:after="0" w:line="15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Specifically, the Transaction Committee recommended and the Board approved a transaction (the “Going Dark Transaction”) whereby the Company would effect a reverse stock split of the common stock at a ratio not less than 1-for-2,000 and not greater than 1-for-4,000 (the “Reverse Stock Split”), followed immediately by a forward stock split of the common stock at the same ratio but inverse (i.e., if the Reverse Stock Split were 1-for-3,000, then the Forward Stock Split would be 3,000-for-1) (the “Forward Stock Split,” and together with the Reverse Stock Split, the “Stock Split”). As a result of the Reverse Stock Split, each share of common stock held by a stockholder of record owning immediately prior to the effective time fewer than the minimum number of shares, which, depending on the Stock Split ratio chosen by the Board, would be between 2,000 and 4,000 shares (the “Minimum Number”), would be converted into the right to receive $6.60 in cash (the “Cash-Out Price”), without interest, and such stockholders would no longer be stockholders of the Company. Stockholders owning a number of shares of common stock equal to or greater than the Minimum Number immediately prior to the effective time of the Reverse Stock Split (the “Continuing Stockholders”) would not be entitled to receive any cash for their fractional share interests resulting from the Reverse Stock Split, if any. The Forward Stock Split, which would immediately follow the Reverse Stock Split, would reconvert whole shares and fractional share interests held by the Continuing Stockholders back into the same number of shares of the common stock held by such Continuing Stockholders immediately before the effective time of the Reverse Stock Split. As a result of the Forward Stock Split, the total number of shares of common stock held by a Continuing Stockholder would not change as a result of the Reverse Stock Split. The Company estimates that as of October 22, 2025, based on a mid-point Reverse Stock Split ratio of 1-for-3,000, approximately 1,307,000 shares of common stock would be cashed out in the Reverse Stock Split and the aggregate cost to the Company of the Going Dark Transaction would be approximately $8.6 million, plus transaction expenses, which are estimated to be approximately $523,000. The Company expects to use cash on hand together with borrowings under its line of credit under the Credit Agreement, if necessary, to fund the Cash-Out Price.</w:t>
      </w:r>
    </w:p>
    <w:p>
      <w:pPr>
        <w:spacing w:after="0" w:line="168"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primary purpose of the Reverse Stock Split is to enable the Company to reduce to and maintain the number of its record holders of common stock below 300. The Company is taking these steps to avoid the substantial cost and expense of being a public reporting company and to focus the Company's resources on enhancing long-term stockholder value. The Company anticipates savings of approximately $2.4 million on an annual basis as a result of the Going Dark Transaction.</w:t>
      </w:r>
    </w:p>
    <w:p>
      <w:pPr>
        <w:spacing w:after="0" w:line="158"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The Board has determined the Going Dark Transaction is in the best interests of all the Company’s stockholders. The Company currently realizes none of the traditional benefits of public company status yet incurs all the significant annual expenses and indirect costs associated with being a public company. Without its public company status, the Company would have an ongoing cost structure befitting its current and foreseeable scale of operations and its management would be able to have an increased focus on core operations.</w:t>
      </w:r>
    </w:p>
    <w:p>
      <w:pPr>
        <w:spacing w:after="0" w:line="15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The Company filed a preliminary proxy statement on Schedule 14A on October 6, 2025. The Company intends to file a definitive proxy statement as soon as practicable. Subject to stockholder approval of the Reverse Stock Split at the Special Meeting, it is anticipated that the Reverse Stock Split would become effective shortly after the Special Meeting. Subject to receiving such stockholder approval, as soon as practicable after the Special Meeting, the Company expects to terminate the registration of its common stock with the SEC and de-list its common stock from the Nasdaq Stock Market LLC. As a result, at such time, (i) the Company would cease to file annual, quarterly, current, and other reports and documents with the SEC and (ii) our common stock would no longer be listed on the Nasdaq Stock Market LLC.</w:t>
      </w:r>
    </w:p>
    <w:p>
      <w:pPr>
        <w:spacing w:after="0" w:line="160" w:lineRule="exact"/>
        <w:rPr>
          <w:sz w:val="20"/>
          <w:szCs w:val="20"/>
          <w:color w:val="auto"/>
        </w:rPr>
      </w:pPr>
    </w:p>
    <w:p>
      <w:pPr>
        <w:ind w:right="420"/>
        <w:spacing w:after="0" w:line="242" w:lineRule="auto"/>
        <w:rPr>
          <w:sz w:val="20"/>
          <w:szCs w:val="20"/>
          <w:color w:val="auto"/>
        </w:rPr>
      </w:pPr>
      <w:r>
        <w:rPr>
          <w:rFonts w:ascii="Times New Roman" w:cs="Times New Roman" w:eastAsia="Times New Roman" w:hAnsi="Times New Roman"/>
          <w:sz w:val="18"/>
          <w:szCs w:val="18"/>
          <w:color w:val="auto"/>
        </w:rPr>
        <w:t>Even if the Stock Split is approved by stockholders at the Special Meeting, the Board may determine not to implement the Reverse Stock Split and complete the Going Dark Transaction if subsequently it determines that the Going Dark Transaction is not in the best interests of the Company and its stockholders.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89"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should be read in conjunction with the MD&amp;A included in our Annual Report on Form 10-K for the fiscal year ended December 31, 2024, for important background regarding, among other things, our key business drivers.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0" w:lineRule="exact"/>
        <w:rPr>
          <w:sz w:val="20"/>
          <w:szCs w:val="20"/>
          <w:color w:val="auto"/>
        </w:rPr>
      </w:pPr>
    </w:p>
    <w:p>
      <w:pPr>
        <w:spacing w:after="0" w:line="34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In light of ongoing changes to U.S. trade policy, including the imposition of elevated tariffs on certain imported goods, the Company is evaluating a range of strategic options to manage the anticipated cost pressures including sourcing adjustments and pricing strategies. The degree of our exposure is dependent on (among other things) the type of goods, rates imposed and timing of the tariffs. We continue to analyze the impact of these tariffs on our business and actions we can take to minimize their impact.</w:t>
      </w:r>
    </w:p>
    <w:p>
      <w:pPr>
        <w:spacing w:after="0" w:line="158" w:lineRule="exact"/>
        <w:rPr>
          <w:sz w:val="20"/>
          <w:szCs w:val="20"/>
          <w:color w:val="auto"/>
        </w:rPr>
      </w:pPr>
    </w:p>
    <w:p>
      <w:pPr>
        <w:ind w:right="80"/>
        <w:spacing w:after="0" w:line="230" w:lineRule="auto"/>
        <w:rPr>
          <w:sz w:val="20"/>
          <w:szCs w:val="20"/>
          <w:color w:val="auto"/>
        </w:rPr>
      </w:pPr>
      <w:r>
        <w:rPr>
          <w:rFonts w:ascii="Times New Roman" w:cs="Times New Roman" w:eastAsia="Times New Roman" w:hAnsi="Times New Roman"/>
          <w:sz w:val="18"/>
          <w:szCs w:val="18"/>
          <w:color w:val="auto"/>
        </w:rPr>
        <w:t>In addition, there is meaningful uncertainty related to the confluence of different macroeconomic factors that could influence business conditions in the U.S. The Company continues to monitor the impacts of various macroeconomic factors, such as inflationary pressure, changes in monetary policy, decreasing consumer confidence and spending, the introduction of or changes in tariffs or trade barriers, employment rates, the ongoing U.S. federal government shutdown, and the potential for an economic downturn or recession. Such changes in macroeconomic conditions may lead to increased costs. Additionally, these macroeconomic trends could adversely affect the Company’s customers, which could impact their willingness to spend on the Company’s products and services, or their ability to make payments, which could negatively impact our financial results. While our risk expectation is that these different factors will moderate in the future, the timing and precise outlook for these improvements is uncertain, and we cannot predict the ultimate impact such factors will have on the Company’s business, financial condition, results of operation and cash flows, which will depend largely on future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Trends</w:t>
      </w:r>
    </w:p>
    <w:p>
      <w:pPr>
        <w:spacing w:after="0" w:line="189"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We are a specialty retailer of man-made and natural stone tiles, luxury vinyl tiles, setting and maintenance materials, and related accessories in the United States. We offer a wide selection of high-quality products, exclusive designs, knowledgeable staff and exceptional customer service, in an extensive showroom environment with up to 50 full-room tiled displays. As of September 30, 2025, we operated 140 stores in 31 states and the District of Columbia, with an average size of approximately 20,000 square feet.</w:t>
      </w:r>
    </w:p>
    <w:p>
      <w:pPr>
        <w:spacing w:after="0" w:line="158"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man-made and natural stone, luxury vinyl tiles, setting and maintenance materials, and related accessories in the United States.</w:t>
      </w:r>
    </w:p>
    <w:p>
      <w:pPr>
        <w:spacing w:after="0" w:line="16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We serve customers who seek to undertake a wide range of projects; however, many end customers choose to work with us when they choose to remodel their home. Historically, we have monitored existing home sales trends as a leading indicator of demand in our industry. While existing home sales trends have moderated in recent quarters, the level of existing home sales remains at historically low levels. We believe this has resulted in lower levels of demand for home improvement products and has affected our store traffic. Our comparable store sales decreased by 1.4% and 3.0% during the three and nine months ended September 30, 2025, respectively, due to lower levels of traffic in our stores.</w:t>
      </w:r>
    </w:p>
    <w:p>
      <w:pPr>
        <w:spacing w:after="0" w:line="14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gross margin rate decreased by (360) basis points to 62.9% during the third quarter of 2025 as compared to 66.5% during the third quarter of 2024. The decrease in gross margin rate was primarily due to an increase in product costs, an increase in customer delivery expenses and higher levels of discounting during the third quarter of 2025.</w:t>
      </w:r>
    </w:p>
    <w:p>
      <w:pPr>
        <w:spacing w:after="0" w:line="157"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8"/>
          <w:szCs w:val="18"/>
          <w:color w:val="auto"/>
        </w:rPr>
        <w:t>Many of the items we carry in our assortment are imported from vendors outside the U.S. We face uncertainty related to tariffs and other trade policies, which may increase the costs of securing products from our vendors. Tariffs and other non-tariff trade practices and policies may adversely affect our business in other ways beyond increased costs for our products. Historically, we have taken steps to shift our sourcing strategy away from countries with higher tariff rates in favor of other jurisdictions, but these countermeasures may prove to be ineffective and the ability to predict tariff rates in different countries may be difficult as policies may change on short notice. Uncertainty about trade policy, tariff rates, retaliatory tariffs, and other changes in practices affecting international trade might have an adverse effect on our business and results of operation and we may face challenges in implementing the optimal responses to changing trade conditions.</w:t>
      </w:r>
    </w:p>
    <w:p>
      <w:pPr>
        <w:spacing w:after="0" w:line="15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decreased $1.7 million, or 3.1%, from $56.0 million in the third quarter of 2024 to $54.2 million in the third quarter of 2025. The decrease was due to a $1.0 million reduction in selling, general and administrative expenses associated with the closure of our New Jersey and Wisconsin distribution centers, a $0.6 million decrease in wages associated with a reduction in staffing levels at our corporate offices and a $0.3 million decrease in variable compensation expenses. Excluding the impact of the New Jersey and Wisconsin distribution center closures, depreciation expense decreased an additional $0.5 million. These factors were partially offset by a $0.6 million increase in professional service expenses associated with the proposed delisting and deregistration of the Company as well as other legal expenses.</w:t>
      </w:r>
    </w:p>
    <w:p>
      <w:pPr>
        <w:spacing w:after="0" w:line="15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In response to the continued challenges facing our industry and our topline results, we closed our distribution center based in Spring Valley, WI during the second quarter of 2025. We did not incur any material asset impairment or severance costs in connection with</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distribution center closure. We anticipate the annualized benefit from closing this distribution center will be approximately $1.0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closed one store during the second quarter of 2025 and a second store during the third quarter of 2025 at the end of each store’s lease term.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incur any material asset impairment or severance costs in connection with the store closures.</w:t>
      </w:r>
    </w:p>
    <w:p>
      <w:pPr>
        <w:spacing w:after="0" w:line="16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On July 4, 2025, the President signed H.R. 1, the OBBBA into law. The OBBBA permanently extends several provisions of the TCJA that were previously scheduled to expire, including, but not limited to, the immediate expensing of qualified property under bonus depreciation. In addition, the OBBBA introduces modifications to various U.S. corporate tax provisions, such as changes to interest expense limitations, the treatment of research and development expenditures, and the international tax regime. The Company has completed an evaluation of the OBBBA and determined that the enacted changes do not have a material impact on the Company’s income tax provision for the quarter ended September 30, 2025. The Company will continue to monitor future regulatory guidance and assess the potential impact of any subsequent developments related to the OBBBA.</w:t>
      </w:r>
    </w:p>
    <w:p>
      <w:pPr>
        <w:spacing w:after="0" w:line="15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8"/>
          <w:szCs w:val="18"/>
          <w:color w:val="auto"/>
        </w:rPr>
        <w:t>During the nine months ended September 30, 2025, we generated $11.3 million of operating cash flow, which was used to fund $7.9 million of capital expenditures. Cash and cash equivalents increased by $3.1 million from $21.0 million on December 31, 2024 to $24.1 million on September 30, 2025. As of September 30, 2025, we had no borrowings outstanding on our line of credit.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Consolidated Statements of Operations</w:t>
      </w:r>
    </w:p>
    <w:p>
      <w:pPr>
        <w:spacing w:after="0" w:line="18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Net sales represents total charges to customers, net of returns, and includes freight charged to customers. We recognize sales at the time that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58"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8"/>
          <w:szCs w:val="18"/>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 Cost of sales consists primarily of material costs, freight, customs and duties fees, and storage and delivery of product to the customers,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well as physical inventory losses and costs associated with manufacturing of setting and maintenance materials.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 Gross profit is net sales less cost of sales. Gross margin rate is the percentage determined by dividing gross profit by net sales.</w:t>
      </w:r>
    </w:p>
    <w:p>
      <w:pPr>
        <w:spacing w:after="0" w:line="185" w:lineRule="exact"/>
        <w:rPr>
          <w:sz w:val="20"/>
          <w:szCs w:val="20"/>
          <w:color w:val="auto"/>
        </w:rPr>
      </w:pPr>
    </w:p>
    <w:p>
      <w:pPr>
        <w:jc w:val="both"/>
        <w:ind w:right="4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 Selling, general, and administrative expenses consist primarily of compensation costs, occupancy,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utilities, maintenance costs, advertising costs, shipping and transportation expenses to move inventory from our distribution centers to our stores, and depreciation and amortization.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We are subject to income tax in the United States as well as other tax jurisdictions in which we conduct business.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u w:val="single" w:color="auto"/>
          <w:color w:val="auto"/>
        </w:rPr>
        <w:t>Comparison of the three months ended September 30, 2025 to the three months ended September 30,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in thousands)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8"/>
        </w:trPr>
        <w:tc>
          <w:tcPr>
            <w:tcW w:w="5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2"/>
                <w:szCs w:val="22"/>
                <w:color w:val="auto"/>
              </w:rPr>
            </w:pPr>
          </w:p>
        </w:tc>
        <w:tc>
          <w:tcPr>
            <w:tcW w:w="1500" w:type="dxa"/>
            <w:vAlign w:val="bottom"/>
            <w:gridSpan w:val="3"/>
          </w:tcPr>
          <w:p>
            <w:pPr>
              <w:ind w:left="200"/>
              <w:spacing w:after="0" w:line="258" w:lineRule="exact"/>
              <w:rPr>
                <w:sz w:val="20"/>
                <w:szCs w:val="20"/>
                <w:color w:val="auto"/>
              </w:rPr>
            </w:pPr>
            <w:r>
              <w:rPr>
                <w:rFonts w:ascii="Times New Roman" w:cs="Times New Roman" w:eastAsia="Times New Roman" w:hAnsi="Times New Roman"/>
                <w:sz w:val="18"/>
                <w:szCs w:val="18"/>
                <w:color w:val="auto"/>
              </w:rPr>
              <w:t>% of sales</w:t>
            </w:r>
            <w:r>
              <w:rPr>
                <w:rFonts w:ascii="Times New Roman" w:cs="Times New Roman" w:eastAsia="Times New Roman" w:hAnsi="Times New Roman"/>
                <w:sz w:val="29"/>
                <w:szCs w:val="29"/>
                <w:color w:val="auto"/>
                <w:vertAlign w:val="superscript"/>
              </w:rPr>
              <w:t>(1)</w:t>
            </w:r>
          </w:p>
        </w:tc>
        <w:tc>
          <w:tcPr>
            <w:tcW w:w="480" w:type="dxa"/>
            <w:vAlign w:val="bottom"/>
          </w:tcPr>
          <w:p>
            <w:pPr>
              <w:spacing w:after="0"/>
              <w:rPr>
                <w:sz w:val="22"/>
                <w:szCs w:val="22"/>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of sales</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83,064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84,505</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30,785</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37.1</w:t>
            </w:r>
          </w:p>
        </w:tc>
        <w:tc>
          <w:tcPr>
            <w:tcW w:w="34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28,277</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33.5</w:t>
            </w:r>
          </w:p>
        </w:tc>
        <w:tc>
          <w:tcPr>
            <w:tcW w:w="3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3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52,279</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62.9</w:t>
            </w:r>
          </w:p>
        </w:tc>
        <w:tc>
          <w:tcPr>
            <w:tcW w:w="340" w:type="dxa"/>
            <w:vAlign w:val="bottom"/>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56,228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66.5</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54,245</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65.3</w:t>
            </w:r>
          </w:p>
        </w:tc>
        <w:tc>
          <w:tcPr>
            <w:tcW w:w="340" w:type="dxa"/>
            <w:vAlign w:val="bottom"/>
            <w:tcBorders>
              <w:bottom w:val="single" w:sz="8" w:color="auto"/>
            </w:tcBorders>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55,978</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66.2</w:t>
            </w:r>
          </w:p>
        </w:tc>
        <w:tc>
          <w:tcPr>
            <w:tcW w:w="320" w:type="dxa"/>
            <w:vAlign w:val="bottom"/>
            <w:tcBorders>
              <w:bottom w:val="single" w:sz="8" w:color="auto"/>
            </w:tcBorders>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3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(1,966)</w:t>
            </w:r>
          </w:p>
        </w:tc>
        <w:tc>
          <w:tcPr>
            <w:tcW w:w="16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0.3</w:t>
            </w:r>
          </w:p>
        </w:tc>
        <w:tc>
          <w:tcPr>
            <w:tcW w:w="32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income/(expense), net</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128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(0.1)%</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(1,962)</w:t>
            </w:r>
          </w:p>
        </w:tc>
        <w:tc>
          <w:tcPr>
            <w:tcW w:w="1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0.2</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3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34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128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(0.2)%</w:t>
            </w: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0.0</w:t>
            </w:r>
          </w:p>
        </w:tc>
        <w:tc>
          <w:tcPr>
            <w:tcW w:w="32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Amounts do not foot due to rounding.</w:t>
      </w:r>
    </w:p>
    <w:p>
      <w:pPr>
        <w:spacing w:after="0" w:line="6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third quarter of 2025 decreased $1.4 million, or 1.7%, compared with the third quarter of 2024. Sales decreased at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stores by 1.4% during the third quarter of 2025 compared to the third quarter of 2024, primarily due to a decrease in traffic.</w:t>
      </w:r>
    </w:p>
    <w:p>
      <w:pPr>
        <w:spacing w:after="0" w:line="15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$3.9 million, or 7.0%, in the third quarter of 2025 compared to the third quarter of 2024. The gross margin rate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62.9% and 66.5% during the third quarter of 2025 and 2024, respectively. The decrease in the gross margin rate was primarily due to an increase in product costs, an increase in customer delivery expenses and higher levels of discounting during the third quarter of 2025.</w:t>
      </w:r>
    </w:p>
    <w:p>
      <w:pPr>
        <w:spacing w:after="0" w:line="154"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$1.7 million, or 3.1%, from $56.0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third quarter of 2024 to $54.2 million in the third quarter of 2025. The decrease was due to a $1.0 million reduction in selling, general and administrative expenses associated with the closure of our New Jersey and Wisconsin distribution centers, a $0.6 million decrease in wages associated with a reduction in staffing levels at our corporate offices and a $0.3 million decrease in variable compensation expenses. Excluding the impact of the New Jersey and Wisconsin distribution center closures, depreciation expense decreased an additional $0.5 million. These factors were partially offset by a $0.6 million increase in professional service expenses associated with the proposed delisting and deregistration of the Company as well as other legal expenses.</w:t>
      </w:r>
    </w:p>
    <w:p>
      <w:pPr>
        <w:spacing w:after="0" w:line="158"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benefit (provision) for income taxes for the third quarter of 2025 and 2024 was $0.3 million and ($0.1)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change in the provision for income taxes was primarily due to taxable income in 2024 and a pretax loss in 2025. Our effective tax rate was 17.7% and 77.0% in the third quarter of 2025 and 2024, respectively. The decrease in the effective tax rate was largely due to the impact of permanent differences relative to the pretax income or pretax loss generated in each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60" w:type="dxa"/>
            <w:vAlign w:val="bottom"/>
            <w:gridSpan w:val="12"/>
          </w:tcPr>
          <w:p>
            <w:pPr>
              <w:ind w:left="162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to the nine months ended September 30, 2024</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13"/>
        </w:trPr>
        <w:tc>
          <w:tcPr>
            <w:tcW w:w="1620" w:type="dxa"/>
            <w:vAlign w:val="bottom"/>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in thousands)</w:t>
            </w: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16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of sales</w:t>
            </w:r>
          </w:p>
        </w:tc>
        <w:tc>
          <w:tcPr>
            <w:tcW w:w="48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of sales</w:t>
            </w:r>
          </w:p>
        </w:tc>
      </w:tr>
      <w:tr>
        <w:trPr>
          <w:trHeight w:val="196"/>
        </w:trPr>
        <w:tc>
          <w:tcPr>
            <w:tcW w:w="53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259,333</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267,617</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38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92,142</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35.5</w:t>
            </w:r>
          </w:p>
        </w:tc>
        <w:tc>
          <w:tcPr>
            <w:tcW w:w="34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90,739</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33.9</w:t>
            </w:r>
          </w:p>
        </w:tc>
        <w:tc>
          <w:tcPr>
            <w:tcW w:w="32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53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167,191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64.5</w:t>
            </w:r>
          </w:p>
        </w:tc>
        <w:tc>
          <w:tcPr>
            <w:tcW w:w="34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176,878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w:t>
            </w:r>
          </w:p>
        </w:tc>
        <w:tc>
          <w:tcPr>
            <w:tcW w:w="32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38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168,535</w:t>
            </w: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65.0</w:t>
            </w:r>
          </w:p>
        </w:tc>
        <w:tc>
          <w:tcPr>
            <w:tcW w:w="34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172,494</w:t>
            </w:r>
          </w:p>
        </w:tc>
        <w:tc>
          <w:tcPr>
            <w:tcW w:w="1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64.5</w:t>
            </w:r>
          </w:p>
        </w:tc>
        <w:tc>
          <w:tcPr>
            <w:tcW w:w="32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53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from operations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w:t>
            </w:r>
          </w:p>
        </w:tc>
        <w:tc>
          <w:tcPr>
            <w:tcW w:w="34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4,384</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3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Interest income/(expense), net</w:t>
            </w: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(294)</w:t>
            </w:r>
          </w:p>
        </w:tc>
        <w:tc>
          <w:tcPr>
            <w:tcW w:w="128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(0.1)%</w:t>
            </w:r>
          </w:p>
        </w:tc>
      </w:tr>
      <w:tr>
        <w:trPr>
          <w:trHeight w:val="196"/>
        </w:trPr>
        <w:tc>
          <w:tcPr>
            <w:tcW w:w="53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before income taxes</w:t>
            </w: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(1,292)</w:t>
            </w:r>
          </w:p>
        </w:tc>
        <w:tc>
          <w:tcPr>
            <w:tcW w:w="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w:t>
            </w:r>
          </w:p>
        </w:tc>
        <w:tc>
          <w:tcPr>
            <w:tcW w:w="34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4,090</w:t>
            </w: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53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242</w:t>
            </w:r>
          </w:p>
        </w:tc>
        <w:tc>
          <w:tcPr>
            <w:tcW w:w="1320" w:type="dxa"/>
            <w:vAlign w:val="bottom"/>
            <w:gridSpan w:val="2"/>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3"/>
          </w:tcPr>
          <w:p>
            <w:pPr>
              <w:jc w:val="right"/>
              <w:ind w:right="160"/>
              <w:spacing w:after="0" w:line="202" w:lineRule="exact"/>
              <w:rPr>
                <w:sz w:val="20"/>
                <w:szCs w:val="20"/>
                <w:color w:val="auto"/>
              </w:rPr>
            </w:pPr>
            <w:r>
              <w:rPr>
                <w:rFonts w:ascii="Times New Roman" w:cs="Times New Roman" w:eastAsia="Times New Roman" w:hAnsi="Times New Roman"/>
                <w:sz w:val="18"/>
                <w:szCs w:val="18"/>
                <w:color w:val="auto"/>
              </w:rPr>
              <w:t>(1,141)</w:t>
            </w:r>
          </w:p>
        </w:tc>
        <w:tc>
          <w:tcPr>
            <w:tcW w:w="1280" w:type="dxa"/>
            <w:vAlign w:val="bottom"/>
            <w:gridSpan w:val="2"/>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(0.4)%</w:t>
            </w:r>
          </w:p>
        </w:tc>
      </w:tr>
      <w:tr>
        <w:trPr>
          <w:trHeight w:val="196"/>
        </w:trPr>
        <w:tc>
          <w:tcPr>
            <w:tcW w:w="53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w:t>
            </w:r>
          </w:p>
        </w:tc>
        <w:tc>
          <w:tcPr>
            <w:tcW w:w="34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2,949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32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6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for the nine months ended September 30, 2025 decreased $8.3 million, or 3.1%, compared with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Sales decreased at comparable stores by 3.0% during the nine months ended September 30, 2025 when compared to the nine months ended September 30, 2024, primarily due to a decrease in store traffic.</w:t>
      </w:r>
    </w:p>
    <w:p>
      <w:pPr>
        <w:spacing w:after="0" w:line="136"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2025 decreased $9.7 million, or 5.5%, compared with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The gross margin rate was 64.5% and 66.1% for the nine months ended September 30, 2025 and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8"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2024, respectively. The decrease in the gross margin rate was primarily due to an increase in product costs, an increase in customer delivery expenses and higher levels of discounting.</w:t>
      </w:r>
    </w:p>
    <w:p>
      <w:pPr>
        <w:spacing w:after="0" w:line="145"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for the nine months ended September 30, 2025,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$4.0 million, or 2.3%, compared with the nine months ended September 30, 2024. The decrease was due to a $1.7 million reduction in selling, general and administrative expenses associated with the closure of our New Jersey and Wisconsin distribution centers, a $1.4 million decrease in wages associated with a reduction in staffing levels at our corporate offices, and a $1.2 million decrease in medical expenses. Excluding the impact of the New Jersey and Wisconsin distribution center closures, depreciation expense decreased an additional $1.8 million. These factors were partially offset by a $0.8 million increase in professional services, a $0.6 million increase in IT costs and a $0.5 million increase in display supply expenses.</w:t>
      </w:r>
    </w:p>
    <w:p>
      <w:pPr>
        <w:spacing w:after="0" w:line="185"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Provision for Income Taxes </w:t>
      </w:r>
      <w:r>
        <w:rPr>
          <w:rFonts w:ascii="Times New Roman" w:cs="Times New Roman" w:eastAsia="Times New Roman" w:hAnsi="Times New Roman"/>
          <w:sz w:val="18"/>
          <w:szCs w:val="18"/>
          <w:color w:val="auto"/>
        </w:rPr>
        <w:t>The benefit (provision) for income taxes decreased $1.4 million for the nine months ended September 30, 2025 compared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2024 due to a decrease in taxable income. Our effective tax rate for the nine months ended September 30, 2025 and 2024 was 18.7% and 27.9%, respectively. The decrease in the effective tax rate was largely due to the impact of permanent differences relative to the pretax income or pretax loss generated in each period.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89"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18"/>
          <w:szCs w:val="18"/>
          <w:color w:val="auto"/>
        </w:rPr>
        <w:t>We calculate Adjusted EBITDA by taking net (loss)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(loss)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58"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8"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Adjusted EBITDA to net (loss) income for the three and nine months ended September 30, 2025 and 2024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 in thousands)</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89"/>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20" w:type="dxa"/>
            <w:vAlign w:val="bottom"/>
            <w:gridSpan w:val="4"/>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21"/>
        </w:trPr>
        <w:tc>
          <w:tcPr>
            <w:tcW w:w="5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250"/>
        </w:trPr>
        <w:tc>
          <w:tcPr>
            <w:tcW w:w="5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1"/>
                <w:szCs w:val="21"/>
                <w:color w:val="auto"/>
              </w:rPr>
            </w:pPr>
          </w:p>
        </w:tc>
        <w:tc>
          <w:tcPr>
            <w:tcW w:w="1300" w:type="dxa"/>
            <w:vAlign w:val="bottom"/>
            <w:gridSpan w:val="3"/>
          </w:tcPr>
          <w:p>
            <w:pPr>
              <w:ind w:left="160"/>
              <w:spacing w:after="0" w:line="250" w:lineRule="exact"/>
              <w:rPr>
                <w:sz w:val="20"/>
                <w:szCs w:val="20"/>
                <w:color w:val="auto"/>
              </w:rPr>
            </w:pPr>
            <w:r>
              <w:rPr>
                <w:rFonts w:ascii="Times New Roman" w:cs="Times New Roman" w:eastAsia="Times New Roman" w:hAnsi="Times New Roman"/>
                <w:sz w:val="17"/>
                <w:szCs w:val="17"/>
                <w:color w:val="auto"/>
              </w:rPr>
              <w:t>% of sales</w:t>
            </w:r>
            <w:r>
              <w:rPr>
                <w:rFonts w:ascii="Times New Roman" w:cs="Times New Roman" w:eastAsia="Times New Roman" w:hAnsi="Times New Roman"/>
                <w:sz w:val="28"/>
                <w:szCs w:val="28"/>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of sales</w:t>
            </w:r>
          </w:p>
        </w:tc>
        <w:tc>
          <w:tcPr>
            <w:tcW w:w="280" w:type="dxa"/>
            <w:vAlign w:val="bottom"/>
          </w:tcPr>
          <w:p>
            <w:pPr>
              <w:spacing w:after="0"/>
              <w:rPr>
                <w:sz w:val="21"/>
                <w:szCs w:val="21"/>
                <w:color w:val="auto"/>
              </w:rPr>
            </w:pPr>
          </w:p>
        </w:tc>
      </w:tr>
      <w:tr>
        <w:trPr>
          <w:trHeight w:val="183"/>
        </w:trPr>
        <w:tc>
          <w:tcPr>
            <w:tcW w:w="5740" w:type="dxa"/>
            <w:vAlign w:val="bottom"/>
            <w:tcBorders>
              <w:top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(1,614)</w:t>
            </w:r>
          </w:p>
        </w:tc>
        <w:tc>
          <w:tcPr>
            <w:tcW w:w="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94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0.0</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Interest (income)/expense, net</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(0.0)%</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71</w:t>
            </w:r>
          </w:p>
        </w:tc>
        <w:tc>
          <w:tcPr>
            <w:tcW w:w="9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(348)</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138</w:t>
            </w:r>
          </w:p>
        </w:tc>
        <w:tc>
          <w:tcPr>
            <w:tcW w:w="94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7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3,711</w:t>
            </w:r>
          </w:p>
        </w:tc>
        <w:tc>
          <w:tcPr>
            <w:tcW w:w="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w w:val="98"/>
              </w:rPr>
              <w:t>4,458</w:t>
            </w:r>
          </w:p>
        </w:tc>
        <w:tc>
          <w:tcPr>
            <w:tcW w:w="94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296</w:t>
            </w:r>
          </w:p>
        </w:tc>
        <w:tc>
          <w:tcPr>
            <w:tcW w:w="40" w:type="dxa"/>
            <w:vAlign w:val="bottom"/>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0.4 %</w:t>
            </w:r>
          </w:p>
        </w:tc>
        <w:tc>
          <w:tcPr>
            <w:tcW w:w="6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Times New Roman" w:cs="Times New Roman" w:eastAsia="Times New Roman" w:hAnsi="Times New Roman"/>
                <w:sz w:val="18"/>
                <w:szCs w:val="18"/>
                <w:color w:val="auto"/>
              </w:rPr>
              <w:t>336</w:t>
            </w:r>
          </w:p>
        </w:tc>
        <w:tc>
          <w:tcPr>
            <w:tcW w:w="94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3"/>
        </w:trPr>
        <w:tc>
          <w:tcPr>
            <w:tcW w:w="57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2,041</w:t>
            </w:r>
          </w:p>
        </w:tc>
        <w:tc>
          <w:tcPr>
            <w:tcW w:w="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15"/>
                <w:szCs w:val="15"/>
                <w:color w:val="auto"/>
              </w:rPr>
            </w:pPr>
          </w:p>
        </w:tc>
        <w:tc>
          <w:tcPr>
            <w:tcW w:w="920" w:type="dxa"/>
            <w:vAlign w:val="bottom"/>
            <w:tcBorders>
              <w:bottom w:val="single" w:sz="8" w:color="auto"/>
            </w:tcBorders>
          </w:tcPr>
          <w:p>
            <w:pPr>
              <w:jc w:val="right"/>
              <w:ind w:right="7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98"/>
              </w:rPr>
              <w:t>5,044</w:t>
            </w:r>
          </w:p>
        </w:tc>
        <w:tc>
          <w:tcPr>
            <w:tcW w:w="94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28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Amounts do not foot due to rounding.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360" w:type="dxa"/>
            <w:vAlign w:val="bottom"/>
            <w:tcBorders>
              <w:top w:val="single" w:sz="8" w:color="0563C1"/>
            </w:tcBorders>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in thousands)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60" w:type="dxa"/>
            <w:vAlign w:val="bottom"/>
            <w:gridSpan w:val="8"/>
          </w:tcPr>
          <w:p>
            <w:pPr>
              <w:jc w:val="right"/>
              <w:ind w:right="740"/>
              <w:spacing w:after="0" w:line="189" w:lineRule="exact"/>
              <w:rPr>
                <w:sz w:val="20"/>
                <w:szCs w:val="20"/>
                <w:color w:val="auto"/>
              </w:rPr>
            </w:pPr>
            <w:r>
              <w:rPr>
                <w:rFonts w:ascii="Times New Roman" w:cs="Times New Roman" w:eastAsia="Times New Roman" w:hAnsi="Times New Roman"/>
                <w:sz w:val="18"/>
                <w:szCs w:val="18"/>
                <w:color w:val="auto"/>
              </w:rPr>
              <w:t>Nine Months Ended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 of sales</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 of sales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(1,050)</w:t>
            </w: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2,949</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w:t>
            </w:r>
          </w:p>
        </w:tc>
        <w:tc>
          <w:tcPr>
            <w:tcW w:w="260" w:type="dxa"/>
            <w:vAlign w:val="bottom"/>
            <w:gridSpan w:val="2"/>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Interest (income)/expense, net</w:t>
            </w:r>
          </w:p>
        </w:tc>
        <w:tc>
          <w:tcPr>
            <w:tcW w:w="32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26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(Benefit) Provision for income taxes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(242)</w:t>
            </w: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(0.1)</w:t>
            </w:r>
          </w:p>
        </w:tc>
        <w:tc>
          <w:tcPr>
            <w:tcW w:w="260" w:type="dxa"/>
            <w:vAlign w:val="bottom"/>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1,141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60" w:type="dxa"/>
            <w:vAlign w:val="bottom"/>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11,906</w:t>
            </w:r>
          </w:p>
        </w:tc>
        <w:tc>
          <w:tcPr>
            <w:tcW w:w="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13,802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260" w:type="dxa"/>
            <w:vAlign w:val="bottom"/>
            <w:gridSpan w:val="2"/>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Stock based compensation</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981</w:t>
            </w:r>
          </w:p>
        </w:tc>
        <w:tc>
          <w:tcPr>
            <w:tcW w:w="6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1,008</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0.4</w:t>
            </w:r>
          </w:p>
        </w:tc>
        <w:tc>
          <w:tcPr>
            <w:tcW w:w="260" w:type="dxa"/>
            <w:vAlign w:val="bottom"/>
            <w:tcBorders>
              <w:bottom w:val="single" w:sz="8" w:color="auto"/>
            </w:tcBorders>
            <w:gridSpan w:val="2"/>
            <w:shd w:val="clear" w:color="auto" w:fill="CCEEFF"/>
          </w:tcPr>
          <w:p>
            <w:pPr>
              <w:jc w:val="right"/>
              <w:ind w:right="8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570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11,543</w:t>
            </w:r>
          </w:p>
        </w:tc>
        <w:tc>
          <w:tcPr>
            <w:tcW w:w="60" w:type="dxa"/>
            <w:vAlign w:val="bottom"/>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19,194</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7.2</w:t>
            </w:r>
          </w:p>
        </w:tc>
        <w:tc>
          <w:tcPr>
            <w:tcW w:w="260" w:type="dxa"/>
            <w:vAlign w:val="bottom"/>
            <w:tcBorders>
              <w:bottom w:val="single" w:sz="8" w:color="auto"/>
            </w:tcBorders>
            <w:gridSpan w:val="2"/>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calculation of pretax return on capital employed is as follows: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5"/>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360" w:type="dxa"/>
            <w:vAlign w:val="bottom"/>
            <w:tcBorders>
              <w:bottom w:val="single" w:sz="8" w:color="CCEEFF"/>
            </w:tcBorders>
          </w:tcPr>
          <w:p>
            <w:pPr>
              <w:spacing w:after="0"/>
              <w:rPr>
                <w:sz w:val="21"/>
                <w:szCs w:val="21"/>
                <w:color w:val="auto"/>
              </w:rPr>
            </w:pPr>
          </w:p>
        </w:tc>
        <w:tc>
          <w:tcPr>
            <w:tcW w:w="43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gridSpan w:val="2"/>
          </w:tcPr>
          <w:p>
            <w:pPr>
              <w:spacing w:after="0"/>
              <w:rPr>
                <w:sz w:val="21"/>
                <w:szCs w:val="21"/>
                <w:color w:val="auto"/>
              </w:rPr>
            </w:pPr>
          </w:p>
        </w:tc>
        <w:tc>
          <w:tcPr>
            <w:tcW w:w="1140" w:type="dxa"/>
            <w:vAlign w:val="bottom"/>
            <w:tcBorders>
              <w:bottom w:val="single" w:sz="8" w:color="auto"/>
            </w:tcBorders>
            <w:gridSpan w:val="2"/>
          </w:tcPr>
          <w:p>
            <w:pPr>
              <w:jc w:val="right"/>
              <w:ind w:right="210"/>
              <w:spacing w:after="0" w:line="250" w:lineRule="exact"/>
              <w:rPr>
                <w:sz w:val="20"/>
                <w:szCs w:val="20"/>
                <w:color w:val="auto"/>
              </w:rPr>
            </w:pPr>
            <w:r>
              <w:rPr>
                <w:rFonts w:ascii="Times New Roman" w:cs="Times New Roman" w:eastAsia="Times New Roman" w:hAnsi="Times New Roman"/>
                <w:sz w:val="17"/>
                <w:szCs w:val="17"/>
                <w:color w:val="auto"/>
              </w:rPr>
              <w:t>2025</w:t>
            </w:r>
            <w:r>
              <w:rPr>
                <w:rFonts w:ascii="Times New Roman" w:cs="Times New Roman" w:eastAsia="Times New Roman" w:hAnsi="Times New Roman"/>
                <w:sz w:val="28"/>
                <w:szCs w:val="28"/>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line="250" w:lineRule="exact"/>
              <w:rPr>
                <w:sz w:val="20"/>
                <w:szCs w:val="20"/>
                <w:color w:val="auto"/>
              </w:rPr>
            </w:pPr>
            <w:r>
              <w:rPr>
                <w:rFonts w:ascii="Times New Roman" w:cs="Times New Roman" w:eastAsia="Times New Roman" w:hAnsi="Times New Roman"/>
                <w:sz w:val="17"/>
                <w:szCs w:val="17"/>
                <w:color w:val="auto"/>
              </w:rPr>
              <w:t>2024</w:t>
            </w:r>
            <w:r>
              <w:rPr>
                <w:rFonts w:ascii="Times New Roman" w:cs="Times New Roman" w:eastAsia="Times New Roman" w:hAnsi="Times New Roman"/>
                <w:sz w:val="28"/>
                <w:szCs w:val="28"/>
                <w:color w:val="auto"/>
                <w:vertAlign w:val="superscript"/>
              </w:rPr>
              <w:t>(1)</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(Loss) Income from Operations (trailing twelve months)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15"/>
                <w:szCs w:val="15"/>
                <w:color w:val="auto"/>
              </w:rPr>
            </w:pPr>
          </w:p>
        </w:tc>
        <w:tc>
          <w:tcPr>
            <w:tcW w:w="380" w:type="dxa"/>
            <w:vAlign w:val="bottom"/>
            <w:shd w:val="clear" w:color="auto" w:fill="CCEEFF"/>
          </w:tcPr>
          <w:p>
            <w:pPr>
              <w:jc w:val="right"/>
              <w:ind w:right="19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(2,651)</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5,854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320,987</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321,398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Accounts payable</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(25,202)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(22,726)</w:t>
            </w: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Income tax payable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Other accrued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(27,653)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Lease liability</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(140,115)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(140,503)</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color w:val="auto"/>
              </w:rPr>
              <w:t>Less: Other long-term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Times New Roman" w:cs="Times New Roman" w:eastAsia="Times New Roman" w:hAnsi="Times New Roman"/>
                <w:sz w:val="18"/>
                <w:szCs w:val="18"/>
                <w:color w:val="auto"/>
              </w:rPr>
              <w:t>(4,831)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183"/>
        </w:trPr>
        <w:tc>
          <w:tcPr>
            <w:tcW w:w="570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Capital Employed</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19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123,136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121,754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Pretax Return on Capital Employed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(2.2) %</w:t>
            </w:r>
          </w:p>
        </w:tc>
        <w:tc>
          <w:tcPr>
            <w:tcW w:w="1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firstLine="59"/>
        <w:spacing w:after="0" w:line="198" w:lineRule="auto"/>
        <w:tabs>
          <w:tab w:leader="none" w:pos="288"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Our principal liquidity requirements have been for working capital and capital expenditures. Our principal sources of liquidity are $24.1 million of cash and cash equivalents at September 30, 2025, our cash flow from operations, and borrowings available under our Credit Agreement. We expect to use this liquidity for maintaining our existing stores, purchasing additional merchandise inventory, and general corporate purposes.</w:t>
      </w:r>
    </w:p>
    <w:p>
      <w:pPr>
        <w:spacing w:after="0" w:line="15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w:t>
      </w:r>
    </w:p>
    <w:p>
      <w:pPr>
        <w:spacing w:after="0" w:line="158"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8"/>
          <w:szCs w:val="18"/>
          <w:color w:val="auto"/>
        </w:rPr>
        <w:t>The Credit Agreement is secured by virtually all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September 30, 2025.</w:t>
      </w:r>
    </w:p>
    <w:p>
      <w:pPr>
        <w:spacing w:after="0" w:line="158" w:lineRule="exact"/>
        <w:rPr>
          <w:sz w:val="20"/>
          <w:szCs w:val="20"/>
          <w:color w:val="auto"/>
        </w:rPr>
      </w:pPr>
    </w:p>
    <w:p>
      <w:pPr>
        <w:jc w:val="both"/>
        <w:ind w:right="280"/>
        <w:spacing w:after="0" w:line="236" w:lineRule="auto"/>
        <w:rPr>
          <w:sz w:val="20"/>
          <w:szCs w:val="20"/>
          <w:color w:val="auto"/>
        </w:rPr>
      </w:pPr>
      <w:r>
        <w:rPr>
          <w:rFonts w:ascii="Times New Roman" w:cs="Times New Roman" w:eastAsia="Times New Roman" w:hAnsi="Times New Roman"/>
          <w:sz w:val="18"/>
          <w:szCs w:val="18"/>
          <w:color w:val="auto"/>
        </w:rPr>
        <w:t>We had no borrowings outstanding on our line of credit as of September 30, 2025. We have standby letters of credit outstanding related to our workers’ compensation and medical insurance policies. As of September 30, 2025, standby letters of credit totaled $1.2 million. As of September 30, 2025, there was $73.8 million available for borrowing on the revolving line of credit, which may be used for maintaining our existing stores, purchasing additional merchandise inventory, and general corporate purposes.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7" w:lineRule="exact"/>
        <w:rPr>
          <w:sz w:val="20"/>
          <w:szCs w:val="20"/>
          <w:color w:val="auto"/>
        </w:rPr>
      </w:pPr>
    </w:p>
    <w:p>
      <w:pPr>
        <w:jc w:val="both"/>
        <w:ind w:right="80"/>
        <w:spacing w:after="0" w:line="296"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Capital expenditures were $7.9 million and $11.8 million for the nine months ended September 30, 2025 and 2024, respectively. Capital expenditures in 2025 were primarily due to investments in store remodels, merchandising, distribution and information technology assets.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nine months ended September 30, 2025 and 2024.</w:t>
      </w:r>
    </w:p>
    <w:p>
      <w:pPr>
        <w:spacing w:after="0" w:line="36"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8"/>
          <w:szCs w:val="18"/>
          <w:color w:val="auto"/>
        </w:rPr>
        <w:t>(in thousands)</w:t>
      </w:r>
    </w:p>
    <w:p>
      <w:pPr>
        <w:jc w:val="center"/>
        <w:ind w:left="8320"/>
        <w:spacing w:after="0" w:line="221" w:lineRule="auto"/>
        <w:rPr>
          <w:sz w:val="20"/>
          <w:szCs w:val="20"/>
          <w:color w:val="auto"/>
        </w:rPr>
      </w:pPr>
      <w:r>
        <w:rPr>
          <w:rFonts w:ascii="Times New Roman" w:cs="Times New Roman" w:eastAsia="Times New Roman" w:hAnsi="Times New Roman"/>
          <w:sz w:val="18"/>
          <w:szCs w:val="18"/>
          <w:color w:val="auto"/>
        </w:rPr>
        <w:t>Nine Months Ended</w:t>
      </w:r>
    </w:p>
    <w:p>
      <w:pPr>
        <w:jc w:val="center"/>
        <w:ind w:left="8320"/>
        <w:spacing w:after="0" w:line="233" w:lineRule="auto"/>
        <w:rPr>
          <w:sz w:val="20"/>
          <w:szCs w:val="20"/>
          <w:color w:val="auto"/>
        </w:rPr>
      </w:pPr>
      <w:r>
        <w:rPr>
          <w:rFonts w:ascii="Times New Roman" w:cs="Times New Roman" w:eastAsia="Times New Roman" w:hAnsi="Times New Roman"/>
          <w:sz w:val="18"/>
          <w:szCs w:val="18"/>
          <w:color w:val="auto"/>
        </w:rPr>
        <w:t>September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Times New Roman" w:cs="Times New Roman" w:eastAsia="Times New Roman" w:hAnsi="Times New Roman"/>
                <w:sz w:val="18"/>
                <w:szCs w:val="18"/>
                <w:color w:val="auto"/>
              </w:rPr>
              <w:t>2024</w:t>
            </w:r>
          </w:p>
        </w:tc>
      </w:tr>
      <w:tr>
        <w:trPr>
          <w:trHeight w:val="183"/>
        </w:trPr>
        <w:tc>
          <w:tcPr>
            <w:tcW w:w="834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1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11,257</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28,511</w:t>
            </w:r>
          </w:p>
        </w:tc>
      </w:tr>
      <w:tr>
        <w:trPr>
          <w:trHeight w:val="189"/>
        </w:trPr>
        <w:tc>
          <w:tcPr>
            <w:tcW w:w="8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(7,785)</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(11,661)</w:t>
            </w:r>
          </w:p>
        </w:tc>
      </w:tr>
      <w:tr>
        <w:trPr>
          <w:trHeight w:val="189"/>
        </w:trPr>
        <w:tc>
          <w:tcPr>
            <w:tcW w:w="83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(481)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September 30, 2025 was $11.3 million compared with $28.5 million during the nine months ended September 30, 2024. The decrease was primarily attributable to a decrease in net income and other working capital changes.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8"/>
          <w:szCs w:val="18"/>
          <w:color w:val="auto"/>
        </w:rPr>
        <w:t>Net cash used in investing activities totaled $7.8 million for the nine months ended September 30, 2025 compared with $11.7 million for the nine months ended September 30, 2024. Cash used in investing activities during the nine months ended September 30, 2025 was primarily due to investments in store remodels, merchandising, distribution and information technology assets.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nine months ended September 30, 2025 compared with $0.5 million for the nine months ended September 30, 2024. The decrease in cash outflows for financing activities from the nine months ended September 30, 2024 to nine months ended September 30, 2025 relates to the impact of employee shares withheld for employee stock award vestings.</w:t>
      </w:r>
    </w:p>
    <w:p>
      <w:pPr>
        <w:spacing w:after="0" w:line="159"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Cash and cash equivalents totaled $24.1 million at September 30, 2025 compared with $21.0 million at December 31, 2024. Working capital was $43.7 million at September 30, 2025 compared with $41.4 million at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our Annual Report on Form 10-K for the fiscal year ended December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September 30, 2025 and concluded that our disclosure controls and procedures were effective as of the end of the period covered by this Quarterly Report on Form 10-Q.</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ind w:right="680"/>
        <w:spacing w:after="0" w:line="250"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defined by Rule 13a-15(f) under the Exchange Act) during the quarter ended September 30, 2025 that have materially affected, or are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Item 1A. of our Annual Report on Form 10-K for the year ended December 31, 2024, includes a discussion of our risk factors. Except as set forth below, there have been no material changes in the risk factors described in such report.</w:t>
      </w:r>
    </w:p>
    <w:p>
      <w:pPr>
        <w:spacing w:after="0" w:line="14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Subject to stockholder approval at the Special Meeting, the Board has approved a plan to effectuate a reverse/forward stock split to reduce the number of record holders of the Company’s common stock and to delist and terminate the registration of the Company’s common stock under the Exchange Act.</w:t>
      </w:r>
    </w:p>
    <w:p>
      <w:pPr>
        <w:spacing w:after="0" w:line="158"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If the proposed reverse/forward stock split is effected, the Company intends to delist and terminate the registration of its common stock under the Exchange Act. Following deregistration, the Company will no longer file annual reports on Form 10-K, quarterly reports on Form 10-Q, o current reports on Form 8-K. Accordingly, there will be significantly less information regarding the Company available to stockholders and potential investors. In addition, the Company will no longer be subject to the provisions of the Sarbanes-Oxley Act and certain of the liability provisions of the Exchange Act, although the Company will still be subject to the antifraud provisions of the Exchange Act and any applicable state securities laws. Following deregistration, the Company’s executive officers, directors and 10% stockholders will no longer be required to file reports relating to their transactions in the common stock with the SEC. In addition, the Company’s executive officers, directors and 10% stockholders will no longer be subject to the recovery of short-swing profits provision of the Exchange Act, and persons acquiring 5% of the common stock will no longer be required to report their beneficial ownership under the Exchange Act. In addition, as soon as practicable following the effective time of the reverse/forward stock split, the Company plans to delist its common stock from the Nasdaq Stock Market LLC. Any trading in our common stock after the delisting and deregistration would only occur in privately negotiated sales or potentially on the OTC Pink Market, if one or more brokers chooses to make a market for our common stock there and complies with applicable regulatory requirements; however, there can be no assurances regarding any such trading. The lack of public information and increased illiquidity will make trading in our shares of common stock more difficult, which may cause the value of our common stock to decrease.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vulnerable to changes in political and economic conditions, including the effects of tariffs and international trade wars.</w:t>
      </w:r>
    </w:p>
    <w:p>
      <w:pPr>
        <w:spacing w:after="0" w:line="17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The United States government has implemented significant tariffs measures, including a baseline tariff on products from all countries and higher rates targeting specific countries such as China, Vietnam, Mexico, Canada and the European Union. The United States, or foreign governments may, in the future, adjust and/or impose new quotas, duties, tariffs or reciprocal tariffs or other restrictions which may affect our operations and our ability to purchase imported merchandise at reasonable prices. These potential changes to the trade landscape may require price increases to maintain our target margins, or may cause shortages of certain products, either of which could adversely affect our sales and profitability. The ultimate impact of any tariffs or other trade measures will depend on various factors, including how long such tariffs remain in place, the ultimate levels of such tariffs and how other countries respond to the United States tariffs. We have historically, and intend to continue, to shift our sourcing strategy away from countries with higher tariffs in favor of suppliers in countries with more advantageous tariff rates; however, our ability to successfully execute this strategy depends on a variety of factors, including our ability to identify suppliers who can produce products that meet our quality standards or our ability to mitigate any logistical challenges, and the cost of moving production to the identified countries. If we are unable to mitigate tariff-related risks through supply chain adjustments, pricing strategies, or other measures, our financial performance could be negatively affected.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0" w:lineRule="exact"/>
        <w:rPr>
          <w:sz w:val="20"/>
          <w:szCs w:val="20"/>
          <w:color w:val="auto"/>
        </w:rPr>
      </w:pPr>
    </w:p>
    <w:p>
      <w:pPr>
        <w:spacing w:after="0" w:line="336" w:lineRule="exact"/>
        <w:rPr>
          <w:sz w:val="20"/>
          <w:szCs w:val="20"/>
          <w:color w:val="auto"/>
        </w:rPr>
      </w:pPr>
    </w:p>
    <w:p>
      <w:pPr>
        <w:ind w:right="4140"/>
        <w:spacing w:after="0" w:line="362"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Issuer Purchases of Equity Securities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64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(in thousands)</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Approximate‎</w:t>
            </w:r>
          </w:p>
        </w:tc>
        <w:tc>
          <w:tcPr>
            <w:tcW w:w="6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99"/>
              </w:rPr>
              <w:t>Dollar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8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 Purchased as</w:t>
            </w: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Value of Shares That</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180"/>
              <w:spacing w:after="0" w:line="189" w:lineRule="exact"/>
              <w:rPr>
                <w:sz w:val="20"/>
                <w:szCs w:val="20"/>
                <w:color w:val="auto"/>
              </w:rPr>
            </w:pPr>
            <w:r>
              <w:rPr>
                <w:rFonts w:ascii="Times New Roman" w:cs="Times New Roman" w:eastAsia="Times New Roman" w:hAnsi="Times New Roman"/>
                <w:sz w:val="18"/>
                <w:szCs w:val="18"/>
                <w:color w:val="auto"/>
              </w:rPr>
              <w:t>Part of Publicly</w:t>
            </w:r>
          </w:p>
        </w:tc>
        <w:tc>
          <w:tcPr>
            <w:tcW w:w="16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May Yet be Purchased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gridSpan w:val="2"/>
          </w:tcPr>
          <w:p>
            <w:pPr>
              <w:jc w:val="right"/>
              <w:ind w:right="325"/>
              <w:spacing w:after="0" w:line="202" w:lineRule="exact"/>
              <w:rPr>
                <w:sz w:val="20"/>
                <w:szCs w:val="20"/>
                <w:color w:val="auto"/>
              </w:rPr>
            </w:pPr>
            <w:r>
              <w:rPr>
                <w:rFonts w:ascii="Times New Roman" w:cs="Times New Roman" w:eastAsia="Times New Roman" w:hAnsi="Times New Roman"/>
                <w:sz w:val="18"/>
                <w:szCs w:val="18"/>
                <w:color w:val="auto"/>
              </w:rPr>
              <w:t>Total Number of</w:t>
            </w:r>
          </w:p>
        </w:tc>
        <w:tc>
          <w:tcPr>
            <w:tcW w:w="120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color w:val="auto"/>
              </w:rPr>
              <w:t>Average Price</w:t>
            </w:r>
          </w:p>
        </w:tc>
        <w:tc>
          <w:tcPr>
            <w:tcW w:w="18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1640" w:type="dxa"/>
            <w:vAlign w:val="bottom"/>
            <w:gridSpan w:val="2"/>
          </w:tcPr>
          <w:p>
            <w:pPr>
              <w:jc w:val="right"/>
              <w:ind w:right="90"/>
              <w:spacing w:after="0" w:line="202" w:lineRule="exact"/>
              <w:rPr>
                <w:sz w:val="20"/>
                <w:szCs w:val="20"/>
                <w:color w:val="auto"/>
              </w:rPr>
            </w:pPr>
            <w:r>
              <w:rPr>
                <w:rFonts w:ascii="Times New Roman" w:cs="Times New Roman" w:eastAsia="Times New Roman" w:hAnsi="Times New Roman"/>
                <w:sz w:val="18"/>
                <w:szCs w:val="18"/>
                <w:color w:val="auto"/>
              </w:rPr>
              <w:t>Under the Plans or</w:t>
            </w:r>
          </w:p>
        </w:tc>
        <w:tc>
          <w:tcPr>
            <w:tcW w:w="0" w:type="dxa"/>
            <w:vAlign w:val="bottom"/>
          </w:tcPr>
          <w:p>
            <w:pPr>
              <w:spacing w:after="0"/>
              <w:rPr>
                <w:sz w:val="1"/>
                <w:szCs w:val="1"/>
                <w:color w:val="auto"/>
              </w:rPr>
            </w:pPr>
          </w:p>
        </w:tc>
      </w:tr>
      <w:tr>
        <w:trPr>
          <w:trHeight w:val="194"/>
        </w:trPr>
        <w:tc>
          <w:tcPr>
            <w:tcW w:w="48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Period</w:t>
            </w:r>
          </w:p>
        </w:tc>
        <w:tc>
          <w:tcPr>
            <w:tcW w:w="1720" w:type="dxa"/>
            <w:vAlign w:val="bottom"/>
            <w:gridSpan w:val="2"/>
          </w:tcPr>
          <w:p>
            <w:pPr>
              <w:jc w:val="right"/>
              <w:ind w:right="285"/>
              <w:spacing w:after="0" w:line="194" w:lineRule="exact"/>
              <w:rPr>
                <w:sz w:val="20"/>
                <w:szCs w:val="20"/>
                <w:color w:val="auto"/>
              </w:rPr>
            </w:pPr>
            <w:r>
              <w:rPr>
                <w:rFonts w:ascii="Times New Roman" w:cs="Times New Roman" w:eastAsia="Times New Roman" w:hAnsi="Times New Roman"/>
                <w:sz w:val="18"/>
                <w:szCs w:val="18"/>
                <w:color w:val="auto"/>
              </w:rPr>
              <w:t>Shares Purchased</w:t>
            </w:r>
          </w:p>
        </w:tc>
        <w:tc>
          <w:tcPr>
            <w:tcW w:w="12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Paid per Share</w:t>
            </w:r>
          </w:p>
        </w:tc>
        <w:tc>
          <w:tcPr>
            <w:tcW w:w="240" w:type="dxa"/>
            <w:vAlign w:val="bottom"/>
          </w:tcPr>
          <w:p>
            <w:pPr>
              <w:spacing w:after="0"/>
              <w:rPr>
                <w:sz w:val="16"/>
                <w:szCs w:val="16"/>
                <w:color w:val="auto"/>
              </w:rPr>
            </w:pPr>
          </w:p>
        </w:tc>
        <w:tc>
          <w:tcPr>
            <w:tcW w:w="164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rPr>
              <w:t>Programs</w:t>
            </w:r>
          </w:p>
        </w:tc>
        <w:tc>
          <w:tcPr>
            <w:tcW w:w="16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July 1, 2025 - July 31, 2025</w:t>
            </w:r>
          </w:p>
        </w:tc>
        <w:tc>
          <w:tcPr>
            <w:tcW w:w="148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17,795</w:t>
            </w:r>
          </w:p>
        </w:tc>
        <w:tc>
          <w:tcPr>
            <w:tcW w:w="2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w w:val="79"/>
              </w:rPr>
              <w:t>(1)</w:t>
            </w:r>
          </w:p>
        </w:tc>
        <w:tc>
          <w:tcPr>
            <w:tcW w:w="460" w:type="dxa"/>
            <w:vAlign w:val="bottom"/>
            <w:shd w:val="clear" w:color="auto" w:fill="CCEEFF"/>
          </w:tcPr>
          <w:p>
            <w:pPr>
              <w:jc w:val="right"/>
              <w:ind w:right="29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0.00</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720" w:type="dxa"/>
            <w:vAlign w:val="bottom"/>
            <w:gridSpan w:val="2"/>
            <w:shd w:val="clear" w:color="auto" w:fill="CCEEFF"/>
          </w:tcPr>
          <w:p>
            <w:pPr>
              <w:jc w:val="right"/>
              <w:ind w:right="5"/>
              <w:spacing w:after="0" w:line="216" w:lineRule="exact"/>
              <w:rPr>
                <w:sz w:val="20"/>
                <w:szCs w:val="20"/>
                <w:color w:val="auto"/>
              </w:rPr>
            </w:pPr>
            <w:r>
              <w:rPr>
                <w:rFonts w:ascii="Times New Roman" w:cs="Times New Roman" w:eastAsia="Times New Roman" w:hAnsi="Times New Roman"/>
                <w:sz w:val="16"/>
                <w:szCs w:val="16"/>
                <w:color w:val="auto"/>
              </w:rPr>
              <w:t xml:space="preserve">46,434 </w:t>
            </w:r>
            <w:r>
              <w:rPr>
                <w:rFonts w:ascii="Times New Roman" w:cs="Times New Roman" w:eastAsia="Times New Roman" w:hAnsi="Times New Roman"/>
                <w:sz w:val="25"/>
                <w:szCs w:val="25"/>
                <w:color w:val="auto"/>
                <w:vertAlign w:val="superscript"/>
              </w:rPr>
              <w:t>(2)</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64,229</w:t>
            </w:r>
          </w:p>
        </w:tc>
        <w:tc>
          <w:tcPr>
            <w:tcW w:w="2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93"/>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0.00</w:t>
            </w:r>
          </w:p>
        </w:tc>
        <w:tc>
          <w:tcPr>
            <w:tcW w:w="2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71"/>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580" w:firstLine="8"/>
        <w:spacing w:after="0" w:line="236"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cancelled 17,795 shares that were forfeited when vesting conditions were not met, in accordance with the terms of the 2021 Omnibus Equity Compensation Plan and the related award agreements. We did not pay cash to repurchase these shares, nor were these repurchases part of a publicly announced plan or program.</w:t>
      </w:r>
    </w:p>
    <w:p>
      <w:pPr>
        <w:spacing w:after="0" w:line="158" w:lineRule="exact"/>
        <w:rPr>
          <w:rFonts w:ascii="Times New Roman" w:cs="Times New Roman" w:eastAsia="Times New Roman" w:hAnsi="Times New Roman"/>
          <w:sz w:val="18"/>
          <w:szCs w:val="18"/>
          <w:color w:val="auto"/>
        </w:rPr>
      </w:pPr>
    </w:p>
    <w:p>
      <w:pPr>
        <w:jc w:val="both"/>
        <w:ind w:right="580" w:firstLine="8"/>
        <w:spacing w:after="0" w:line="242"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cancelled 46,434 shares that were forfeited when vesting conditions were not met, in accordance with the terms of the 2021 Omnibus Equity Compensation Plan and the related award agreements. We did not pay cash to repurchase these shares, nor were these repurchases part of a publicly announced plan or program.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187"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During the quarter ended September 30, 2025, none of the Company’s directors or executive officers adopted, modified or terminated any contract, instruction or written plan for the purchase or sale of Company securities that was intended to satisfy the affirmative defense conditions of Rule 10b5-1(c) of the Exchange Act or any “non-Rule 10b5-1 trading arrangement” (as defined in Item 408(c) of Regulation S-K).</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Times New Roman" w:cs="Times New Roman" w:eastAsia="Times New Roman" w:hAnsi="Times New Roman"/>
                <w:sz w:val="18"/>
                <w:szCs w:val="18"/>
                <w:color w:val="0563C1"/>
              </w:rPr>
            </w:pPr>
            <w:hyperlink r:id="rId40">
              <w:r>
                <w:rPr>
                  <w:rFonts w:ascii="Times New Roman" w:cs="Times New Roman" w:eastAsia="Times New Roman" w:hAnsi="Times New Roman"/>
                  <w:sz w:val="18"/>
                  <w:szCs w:val="18"/>
                  <w:color w:val="0563C1"/>
                </w:rPr>
                <w:t>3.</w:t>
              </w:r>
              <w:r>
                <w:rPr>
                  <w:rFonts w:ascii="Times New Roman" w:cs="Times New Roman" w:eastAsia="Times New Roman" w:hAnsi="Times New Roman"/>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Times New Roman" w:cs="Times New Roman" w:eastAsia="Times New Roman" w:hAnsi="Times New Roman"/>
                <w:sz w:val="18"/>
                <w:szCs w:val="18"/>
                <w:color w:val="0563C1"/>
              </w:rPr>
            </w:pPr>
            <w:hyperlink r:id="rId40">
              <w:r>
                <w:rPr>
                  <w:rFonts w:ascii="Times New Roman" w:cs="Times New Roman" w:eastAsia="Times New Roman" w:hAnsi="Times New Roman"/>
                  <w:sz w:val="18"/>
                  <w:szCs w:val="18"/>
                  <w:color w:val="0563C1"/>
                </w:rPr>
                <w:t>Certificate of Incorporation of Tile Shop Holdings, Inc. (incorporated by reference to Exhibit 3.1 to the Company’s Registration Statement</w:t>
              </w:r>
            </w:hyperlink>
          </w:p>
        </w:tc>
      </w:tr>
      <w:tr>
        <w:trPr>
          <w:trHeight w:val="183"/>
        </w:trPr>
        <w:tc>
          <w:tcPr>
            <w:tcW w:w="240" w:type="dxa"/>
            <w:vAlign w:val="bottom"/>
            <w:tcBorders>
              <w:top w:val="single" w:sz="8" w:color="0563C1"/>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20" w:type="dxa"/>
            <w:vAlign w:val="bottom"/>
            <w:tcBorders>
              <w:top w:val="single" w:sz="8" w:color="0563C1"/>
            </w:tcBorders>
            <w:gridSpan w:val="9"/>
            <w:shd w:val="clear" w:color="auto" w:fill="CCEEFF"/>
          </w:tcPr>
          <w:p>
            <w:pPr>
              <w:spacing w:after="0" w:line="182" w:lineRule="exact"/>
              <w:rPr>
                <w:rFonts w:ascii="Times New Roman" w:cs="Times New Roman" w:eastAsia="Times New Roman" w:hAnsi="Times New Roman"/>
                <w:sz w:val="18"/>
                <w:szCs w:val="18"/>
                <w:color w:val="0563C1"/>
              </w:rPr>
            </w:pPr>
            <w:hyperlink r:id="rId40">
              <w:r>
                <w:rPr>
                  <w:rFonts w:ascii="Times New Roman" w:cs="Times New Roman" w:eastAsia="Times New Roman" w:hAnsi="Times New Roman"/>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Times New Roman" w:cs="Times New Roman" w:eastAsia="Times New Roman" w:hAnsi="Times New Roman"/>
                <w:sz w:val="18"/>
                <w:szCs w:val="18"/>
                <w:color w:val="0563C1"/>
              </w:rPr>
            </w:pPr>
            <w:hyperlink r:id="rId41">
              <w:r>
                <w:rPr>
                  <w:rFonts w:ascii="Times New Roman" w:cs="Times New Roman" w:eastAsia="Times New Roman" w:hAnsi="Times New Roman"/>
                  <w:sz w:val="18"/>
                  <w:szCs w:val="18"/>
                  <w:color w:val="0563C1"/>
                </w:rPr>
                <w:t>3.</w:t>
              </w:r>
              <w:r>
                <w:rPr>
                  <w:rFonts w:ascii="Times New Roman" w:cs="Times New Roman" w:eastAsia="Times New Roman" w:hAnsi="Times New Roman"/>
                  <w:sz w:val="18"/>
                  <w:szCs w:val="18"/>
                  <w:u w:val="single" w:color="auto"/>
                  <w:color w:val="0563C1"/>
                </w:rPr>
                <w:t>2</w:t>
              </w:r>
            </w:hyperlink>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Times New Roman" w:cs="Times New Roman" w:eastAsia="Times New Roman" w:hAnsi="Times New Roman"/>
                <w:sz w:val="18"/>
                <w:szCs w:val="18"/>
                <w:color w:val="0563C1"/>
              </w:rPr>
            </w:pPr>
            <w:hyperlink r:id="rId41">
              <w:r>
                <w:rPr>
                  <w:rFonts w:ascii="Times New Roman" w:cs="Times New Roman" w:eastAsia="Times New Roman" w:hAnsi="Times New Roman"/>
                  <w:sz w:val="18"/>
                  <w:szCs w:val="18"/>
                  <w:color w:val="0563C1"/>
                </w:rPr>
                <w:t>Certificate of Amendment to the Certificate of Incorporation of Tile Shop Holdings, Inc. (incorporated by reference to Exhibit 3.2 to the</w:t>
              </w:r>
            </w:hyperlink>
          </w:p>
        </w:tc>
      </w:tr>
      <w:tr>
        <w:trPr>
          <w:trHeight w:val="189"/>
        </w:trPr>
        <w:tc>
          <w:tcPr>
            <w:tcW w:w="240" w:type="dxa"/>
            <w:vAlign w:val="bottom"/>
            <w:tcBorders>
              <w:top w:val="single" w:sz="8" w:color="0563C1"/>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60" w:type="dxa"/>
            <w:vAlign w:val="bottom"/>
            <w:tcBorders>
              <w:top w:val="single" w:sz="8" w:color="0563C1"/>
              <w:bottom w:val="single" w:sz="8" w:color="0563C1"/>
            </w:tcBorders>
            <w:gridSpan w:val="6"/>
          </w:tcPr>
          <w:p>
            <w:pPr>
              <w:spacing w:after="0" w:line="182" w:lineRule="exact"/>
              <w:rPr>
                <w:rFonts w:ascii="Times New Roman" w:cs="Times New Roman" w:eastAsia="Times New Roman" w:hAnsi="Times New Roman"/>
                <w:sz w:val="18"/>
                <w:szCs w:val="18"/>
                <w:color w:val="0563C1"/>
                <w:w w:val="99"/>
              </w:rPr>
            </w:pPr>
            <w:hyperlink r:id="rId41">
              <w:r>
                <w:rPr>
                  <w:rFonts w:ascii="Times New Roman" w:cs="Times New Roman" w:eastAsia="Times New Roman" w:hAnsi="Times New Roman"/>
                  <w:sz w:val="18"/>
                  <w:szCs w:val="18"/>
                  <w:color w:val="0563C1"/>
                  <w:w w:val="99"/>
                </w:rPr>
                <w:t>Company’s Current Report on Form 8-K filed with the Securities and Exchange Commission on July 21, 2021).</w:t>
              </w:r>
            </w:hyperlink>
          </w:p>
        </w:tc>
        <w:tc>
          <w:tcPr>
            <w:tcW w:w="1780" w:type="dxa"/>
            <w:vAlign w:val="bottom"/>
            <w:tcBorders>
              <w:top w:val="single" w:sz="8" w:color="0563C1"/>
            </w:tcBorders>
            <w:gridSpan w:val="2"/>
          </w:tcPr>
          <w:p>
            <w:pPr>
              <w:spacing w:after="0"/>
              <w:rPr>
                <w:sz w:val="16"/>
                <w:szCs w:val="16"/>
                <w:color w:val="auto"/>
              </w:rPr>
            </w:pPr>
          </w:p>
        </w:tc>
        <w:tc>
          <w:tcPr>
            <w:tcW w:w="180" w:type="dxa"/>
            <w:vAlign w:val="bottom"/>
          </w:tcPr>
          <w:p>
            <w:pPr>
              <w:spacing w:after="0"/>
              <w:rPr>
                <w:sz w:val="16"/>
                <w:szCs w:val="16"/>
                <w:color w:val="auto"/>
              </w:rPr>
            </w:pPr>
          </w:p>
        </w:tc>
      </w:tr>
      <w:tr>
        <w:trPr>
          <w:trHeight w:val="162"/>
        </w:trPr>
        <w:tc>
          <w:tcPr>
            <w:tcW w:w="420" w:type="dxa"/>
            <w:vAlign w:val="bottom"/>
            <w:gridSpan w:val="2"/>
            <w:shd w:val="clear" w:color="auto" w:fill="CCEEFF"/>
          </w:tcPr>
          <w:p>
            <w:pPr>
              <w:spacing w:after="0" w:line="162" w:lineRule="exact"/>
              <w:rPr>
                <w:rFonts w:ascii="Times New Roman" w:cs="Times New Roman" w:eastAsia="Times New Roman" w:hAnsi="Times New Roman"/>
                <w:sz w:val="18"/>
                <w:szCs w:val="18"/>
                <w:color w:val="0563C1"/>
              </w:rPr>
            </w:pPr>
            <w:hyperlink r:id="rId42">
              <w:r>
                <w:rPr>
                  <w:rFonts w:ascii="Times New Roman" w:cs="Times New Roman" w:eastAsia="Times New Roman" w:hAnsi="Times New Roman"/>
                  <w:sz w:val="18"/>
                  <w:szCs w:val="18"/>
                  <w:color w:val="0563C1"/>
                </w:rPr>
                <w:t>3.</w:t>
              </w:r>
              <w:r>
                <w:rPr>
                  <w:rFonts w:ascii="Times New Roman" w:cs="Times New Roman" w:eastAsia="Times New Roman" w:hAnsi="Times New Roman"/>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Times New Roman" w:cs="Times New Roman" w:eastAsia="Times New Roman" w:hAnsi="Times New Roman"/>
                <w:sz w:val="18"/>
                <w:szCs w:val="18"/>
                <w:color w:val="0563C1"/>
              </w:rPr>
            </w:pPr>
            <w:hyperlink r:id="rId42">
              <w:r>
                <w:rPr>
                  <w:rFonts w:ascii="Times New Roman" w:cs="Times New Roman" w:eastAsia="Times New Roman" w:hAnsi="Times New Roman"/>
                  <w:sz w:val="18"/>
                  <w:szCs w:val="18"/>
                  <w:color w:val="0563C1"/>
                </w:rPr>
                <w:t>By-Laws of Tile Shop Holdings, Inc. (incorporated by reference to Exhibit 3.2 to the Company’s Registration Statement on Form S-4</w:t>
              </w:r>
            </w:hyperlink>
          </w:p>
        </w:tc>
      </w:tr>
      <w:tr>
        <w:trPr>
          <w:trHeight w:val="190"/>
        </w:trPr>
        <w:tc>
          <w:tcPr>
            <w:tcW w:w="240" w:type="dxa"/>
            <w:vAlign w:val="bottom"/>
            <w:tcBorders>
              <w:top w:val="single" w:sz="8" w:color="0563C1"/>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720" w:type="dxa"/>
            <w:vAlign w:val="bottom"/>
            <w:tcBorders>
              <w:top w:val="single" w:sz="8" w:color="0563C1"/>
              <w:bottom w:val="single" w:sz="8" w:color="0563C1"/>
            </w:tcBorders>
            <w:gridSpan w:val="2"/>
            <w:shd w:val="clear" w:color="auto" w:fill="CCEEFF"/>
          </w:tcPr>
          <w:p>
            <w:pPr>
              <w:spacing w:after="0" w:line="182" w:lineRule="exact"/>
              <w:rPr>
                <w:rFonts w:ascii="Times New Roman" w:cs="Times New Roman" w:eastAsia="Times New Roman" w:hAnsi="Times New Roman"/>
                <w:sz w:val="18"/>
                <w:szCs w:val="18"/>
                <w:color w:val="0563C1"/>
                <w:w w:val="99"/>
              </w:rPr>
            </w:pPr>
            <w:hyperlink r:id="rId42">
              <w:r>
                <w:rPr>
                  <w:rFonts w:ascii="Times New Roman" w:cs="Times New Roman" w:eastAsia="Times New Roman" w:hAnsi="Times New Roman"/>
                  <w:sz w:val="18"/>
                  <w:szCs w:val="18"/>
                  <w:color w:val="0563C1"/>
                  <w:w w:val="99"/>
                </w:rPr>
                <w:t>(Reg. No. 333-182482) filed with the Securities and Exchange Commission on July 2, 2012).</w:t>
              </w:r>
            </w:hyperlink>
          </w:p>
        </w:tc>
        <w:tc>
          <w:tcPr>
            <w:tcW w:w="2940" w:type="dxa"/>
            <w:vAlign w:val="bottom"/>
            <w:tcBorders>
              <w:top w:val="single" w:sz="8" w:color="0563C1"/>
              <w:bottom w:val="single" w:sz="8" w:color="CCEEFF"/>
            </w:tcBorders>
            <w:gridSpan w:val="5"/>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69"/>
        </w:trPr>
        <w:tc>
          <w:tcPr>
            <w:tcW w:w="42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0563C1"/>
                <w:w w:val="98"/>
              </w:rPr>
              <w:t>31.</w:t>
            </w:r>
            <w:r>
              <w:rPr>
                <w:rFonts w:ascii="Times New Roman" w:cs="Times New Roman" w:eastAsia="Times New Roman" w:hAnsi="Times New Roman"/>
                <w:sz w:val="18"/>
                <w:szCs w:val="18"/>
                <w:u w:val="single" w:color="auto"/>
                <w:color w:val="0563C1"/>
                <w:w w:val="98"/>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sz w:val="20"/>
                <w:szCs w:val="20"/>
                <w:color w:val="auto"/>
              </w:rPr>
            </w:pPr>
            <w:r>
              <w:rPr>
                <w:rFonts w:ascii="Times New Roman" w:cs="Times New Roman" w:eastAsia="Times New Roman" w:hAnsi="Times New Roman"/>
                <w:sz w:val="18"/>
                <w:szCs w:val="18"/>
                <w:color w:val="0563C1"/>
              </w:rPr>
              <w:t>Certification of Chief Executive Officer Pursuant to Section 302 of the Sarbanes Oxley Act of 2002.</w:t>
            </w:r>
          </w:p>
        </w:tc>
      </w:tr>
      <w:tr>
        <w:trPr>
          <w:trHeight w:val="169"/>
        </w:trPr>
        <w:tc>
          <w:tcPr>
            <w:tcW w:w="420" w:type="dxa"/>
            <w:vAlign w:val="bottom"/>
            <w:tcBorders>
              <w:top w:val="single" w:sz="8" w:color="0563C1"/>
              <w:bottom w:val="single" w:sz="8" w:color="0563C1"/>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8"/>
              </w:rPr>
              <w:t>31.</w:t>
            </w:r>
            <w:r>
              <w:rPr>
                <w:rFonts w:ascii="Times New Roman" w:cs="Times New Roman" w:eastAsia="Times New Roman" w:hAnsi="Times New Roman"/>
                <w:sz w:val="18"/>
                <w:szCs w:val="18"/>
                <w:u w:val="single" w:color="auto"/>
                <w:color w:val="0563C1"/>
                <w:w w:val="98"/>
              </w:rPr>
              <w:t>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180" w:type="dxa"/>
            <w:vAlign w:val="bottom"/>
            <w:tcBorders>
              <w:top w:val="single" w:sz="8" w:color="0563C1"/>
              <w:bottom w:val="single" w:sz="8" w:color="0563C1"/>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w w:val="99"/>
              </w:rPr>
              <w:t>Certification of Chief Financial Officer Pursuant to Section 302 of the Sarbanes Oxley Act of 2002.</w:t>
            </w:r>
          </w:p>
        </w:tc>
        <w:tc>
          <w:tcPr>
            <w:tcW w:w="120" w:type="dxa"/>
            <w:vAlign w:val="bottom"/>
            <w:tcBorders>
              <w:top w:val="single" w:sz="8" w:color="0563C1"/>
              <w:bottom w:val="single" w:sz="8" w:color="CCEEFF"/>
              <w:right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gridSpan w:val="5"/>
            <w:shd w:val="clear" w:color="auto" w:fill="CCEEFF"/>
          </w:tcPr>
          <w:p>
            <w:pPr>
              <w:spacing w:after="0"/>
              <w:rPr>
                <w:sz w:val="14"/>
                <w:szCs w:val="14"/>
                <w:color w:val="auto"/>
              </w:rPr>
            </w:pPr>
          </w:p>
        </w:tc>
      </w:tr>
      <w:tr>
        <w:trPr>
          <w:trHeight w:val="162"/>
        </w:trPr>
        <w:tc>
          <w:tcPr>
            <w:tcW w:w="840" w:type="dxa"/>
            <w:vAlign w:val="bottom"/>
            <w:gridSpan w:val="4"/>
          </w:tcPr>
          <w:p>
            <w:pPr>
              <w:spacing w:after="0" w:line="162" w:lineRule="exact"/>
              <w:rPr>
                <w:sz w:val="20"/>
                <w:szCs w:val="20"/>
                <w:color w:val="auto"/>
              </w:rPr>
            </w:pPr>
            <w:r>
              <w:rPr>
                <w:rFonts w:ascii="Times New Roman" w:cs="Times New Roman" w:eastAsia="Times New Roman" w:hAnsi="Times New Roman"/>
                <w:sz w:val="18"/>
                <w:szCs w:val="18"/>
                <w:color w:val="0563C1"/>
              </w:rPr>
              <w:t>32.</w:t>
            </w:r>
            <w:r>
              <w:rPr>
                <w:rFonts w:ascii="Times New Roman" w:cs="Times New Roman" w:eastAsia="Times New Roman" w:hAnsi="Times New Roman"/>
                <w:sz w:val="18"/>
                <w:szCs w:val="18"/>
                <w:u w:val="single" w:color="auto"/>
                <w:color w:val="0563C1"/>
              </w:rPr>
              <w:t>1**</w:t>
            </w:r>
          </w:p>
        </w:tc>
        <w:tc>
          <w:tcPr>
            <w:tcW w:w="380" w:type="dxa"/>
            <w:vAlign w:val="bottom"/>
          </w:tcPr>
          <w:p>
            <w:pPr>
              <w:spacing w:after="0"/>
              <w:rPr>
                <w:sz w:val="14"/>
                <w:szCs w:val="14"/>
                <w:color w:val="auto"/>
              </w:rPr>
            </w:pPr>
          </w:p>
        </w:tc>
        <w:tc>
          <w:tcPr>
            <w:tcW w:w="10020" w:type="dxa"/>
            <w:vAlign w:val="bottom"/>
            <w:gridSpan w:val="9"/>
          </w:tcPr>
          <w:p>
            <w:pPr>
              <w:spacing w:after="0" w:line="162" w:lineRule="exact"/>
              <w:rPr>
                <w:sz w:val="20"/>
                <w:szCs w:val="20"/>
                <w:color w:val="auto"/>
              </w:rPr>
            </w:pPr>
            <w:r>
              <w:rPr>
                <w:rFonts w:ascii="Times New Roman" w:cs="Times New Roman" w:eastAsia="Times New Roman" w:hAnsi="Times New Roman"/>
                <w:sz w:val="18"/>
                <w:szCs w:val="18"/>
                <w:color w:val="0563C1"/>
              </w:rPr>
              <w:t>Certifications of Chief Executive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84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32.</w:t>
            </w:r>
            <w:r>
              <w:rPr>
                <w:rFonts w:ascii="Times New Roman" w:cs="Times New Roman" w:eastAsia="Times New Roman" w:hAnsi="Times New Roman"/>
                <w:sz w:val="18"/>
                <w:szCs w:val="18"/>
                <w:u w:val="single" w:color="auto"/>
                <w:color w:val="0563C1"/>
              </w:rPr>
              <w:t>2**</w:t>
            </w: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563C1"/>
              </w:rPr>
              <w:t>Certifications of Chief Financial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91"/>
        </w:trPr>
        <w:tc>
          <w:tcPr>
            <w:tcW w:w="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The following financial statements from the Quarterly Report on Form 10-Q for the quarter ended September 30, 2025 are formatted in</w:t>
            </w:r>
          </w:p>
        </w:tc>
      </w:tr>
    </w:tbl>
    <w:p>
      <w:pPr>
        <w:ind w:left="1220"/>
        <w:spacing w:after="0" w:line="219" w:lineRule="auto"/>
        <w:rPr>
          <w:sz w:val="20"/>
          <w:szCs w:val="20"/>
          <w:color w:val="auto"/>
        </w:rPr>
      </w:pPr>
      <w:r>
        <w:rPr>
          <w:rFonts w:ascii="Times New Roman" w:cs="Times New Roman" w:eastAsia="Times New Roman" w:hAnsi="Times New Roman"/>
          <w:sz w:val="18"/>
          <w:szCs w:val="18"/>
          <w:color w:val="auto"/>
        </w:rPr>
        <w:t>iXBRL (Inline eXtensible Business Reporting Language): (i) Consolidated Balance Sheets, (ii) Consolidated Statements of Operations,</w:t>
      </w:r>
    </w:p>
    <w:p>
      <w:pPr>
        <w:ind w:left="1220" w:right="240" w:firstLine="3"/>
        <w:spacing w:after="0" w:line="226" w:lineRule="auto"/>
        <w:tabs>
          <w:tab w:leader="none" w:pos="15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(Loss) Income, (iv) Consolidated Statements of Stockholders’ Equity, (v) Consolidated Statements of Cash Flows, and (vi) the Notes to Consolidated Financial Statements.</w:t>
      </w:r>
    </w:p>
    <w:p>
      <w:pPr>
        <w:spacing w:after="0" w:line="2"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37" w:lineRule="auto"/>
        <w:rPr>
          <w:sz w:val="20"/>
          <w:szCs w:val="20"/>
          <w:color w:val="auto"/>
        </w:rPr>
      </w:pPr>
      <w:r>
        <w:rPr>
          <w:rFonts w:ascii="Times New Roman" w:cs="Times New Roman" w:eastAsia="Times New Roman" w:hAnsi="Times New Roman"/>
          <w:sz w:val="18"/>
          <w:szCs w:val="18"/>
          <w:color w:val="auto"/>
        </w:rPr>
        <w:t>** Furnished herewith</w:t>
      </w:r>
    </w:p>
    <w:p>
      <w:pPr>
        <w:ind w:left="160" w:hanging="152"/>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plan or arrangement.</w:t>
      </w:r>
    </w:p>
    <w:p>
      <w:pPr>
        <w:spacing w:after="0" w:line="151" w:lineRule="exact"/>
        <w:rPr>
          <w:rFonts w:ascii="Times New Roman" w:cs="Times New Roman" w:eastAsia="Times New Roman" w:hAnsi="Times New Roman"/>
          <w:sz w:val="18"/>
          <w:szCs w:val="18"/>
          <w:color w:val="auto"/>
        </w:rPr>
      </w:pPr>
    </w:p>
    <w:p>
      <w:pPr>
        <w:ind w:left="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618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TILE SHOP HOLDINGS, INC.</w:t>
            </w:r>
          </w:p>
        </w:tc>
      </w:tr>
      <w:tr>
        <w:trPr>
          <w:trHeight w:val="36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2025</w:t>
            </w:r>
          </w:p>
        </w:tc>
        <w:tc>
          <w:tcPr>
            <w:tcW w:w="61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CABELL H. LOLMAUGH</w:t>
            </w:r>
          </w:p>
        </w:tc>
      </w:tr>
      <w:tr>
        <w:trPr>
          <w:trHeight w:val="151"/>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Cabell H. Lolmaugh</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78"/>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2025</w:t>
            </w:r>
          </w:p>
        </w:tc>
        <w:tc>
          <w:tcPr>
            <w:tcW w:w="61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MARK B. DAVIS</w:t>
            </w:r>
          </w:p>
        </w:tc>
      </w:tr>
      <w:tr>
        <w:trPr>
          <w:trHeight w:val="151"/>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0" w:lineRule="exact"/>
              <w:rPr>
                <w:sz w:val="20"/>
                <w:szCs w:val="20"/>
                <w:color w:val="auto"/>
              </w:rPr>
            </w:pPr>
            <w:r>
              <w:rPr>
                <w:rFonts w:ascii="Times New Roman" w:cs="Times New Roman" w:eastAsia="Times New Roman" w:hAnsi="Times New Roman"/>
                <w:sz w:val="17"/>
                <w:szCs w:val="17"/>
                <w:color w:val="auto"/>
              </w:rPr>
              <w:t>Mark B. Davis</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0"/>
        </w:trPr>
        <w:tc>
          <w:tcPr>
            <w:tcW w:w="3700" w:type="dxa"/>
            <w:vAlign w:val="bottom"/>
          </w:tcPr>
          <w:p>
            <w:pPr>
              <w:spacing w:after="0"/>
              <w:rPr>
                <w:sz w:val="24"/>
                <w:szCs w:val="24"/>
                <w:color w:val="auto"/>
              </w:rPr>
            </w:pPr>
          </w:p>
        </w:tc>
        <w:tc>
          <w:tcPr>
            <w:tcW w:w="2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4" w:right="379" w:bottom="1440" w:gutter="0" w:footer="0" w:header="0"/>
        </w:sectPr>
      </w:pPr>
    </w:p>
    <w:bookmarkStart w:id="28" w:name="page29"/>
    <w:bookmarkEnd w:id="28"/>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ind w:left="180" w:right="2199" w:firstLine="1998"/>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302 CERTIFICATION OF CHIEF EXECUTIVE OFFICER </w:t>
      </w:r>
      <w:r>
        <w:rPr>
          <w:rFonts w:ascii="Times New Roman" w:cs="Times New Roman" w:eastAsia="Times New Roman" w:hAnsi="Times New Roman"/>
          <w:sz w:val="18"/>
          <w:szCs w:val="18"/>
          <w:color w:val="auto"/>
        </w:rPr>
        <w:t>I, Cabell H. Lolmaugh, certify that:</w:t>
      </w:r>
    </w:p>
    <w:p>
      <w:pPr>
        <w:ind w:left="500" w:hanging="316"/>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500" w:right="499" w:hanging="316"/>
        <w:spacing w:after="0" w:line="23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500" w:right="379" w:hanging="316"/>
        <w:spacing w:after="0" w:line="22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ind w:left="500" w:right="399" w:hanging="316"/>
        <w:spacing w:after="0" w:line="231"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820" w:right="239" w:hanging="312"/>
        <w:spacing w:after="0" w:line="224"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820" w:right="219" w:hanging="312"/>
        <w:spacing w:after="0" w:line="224"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820" w:right="399" w:hanging="312"/>
        <w:spacing w:after="0" w:line="231"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20" w:right="319" w:hanging="312"/>
        <w:spacing w:after="0" w:line="224"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500" w:right="559" w:hanging="316"/>
        <w:spacing w:after="0" w:line="226"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Times New Roman" w:cs="Times New Roman" w:eastAsia="Times New Roman" w:hAnsi="Times New Roman"/>
          <w:sz w:val="18"/>
          <w:szCs w:val="18"/>
          <w:color w:val="auto"/>
        </w:rPr>
      </w:pPr>
    </w:p>
    <w:p>
      <w:pPr>
        <w:ind w:left="820" w:right="499" w:hanging="312"/>
        <w:spacing w:after="0" w:line="231"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20" w:right="299" w:hanging="312"/>
        <w:spacing w:after="0" w:line="250" w:lineRule="auto"/>
        <w:tabs>
          <w:tab w:leader="none" w:pos="8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Cabell H. Lolmaugh</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29" w:name="page30"/>
    <w:bookmarkEnd w:id="29"/>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ind w:left="180" w:right="2219" w:firstLine="2023"/>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302 CERTIFICATION OF CHIEF FINANCIAL OFFICER </w:t>
      </w:r>
      <w:r>
        <w:rPr>
          <w:rFonts w:ascii="Times New Roman" w:cs="Times New Roman" w:eastAsia="Times New Roman" w:hAnsi="Times New Roman"/>
          <w:sz w:val="18"/>
          <w:szCs w:val="18"/>
          <w:color w:val="auto"/>
        </w:rPr>
        <w:t>I, Mark B. Davis, certify that:</w:t>
      </w:r>
    </w:p>
    <w:p>
      <w:pPr>
        <w:ind w:left="500" w:hanging="316"/>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Tile Shop Holdings, Inc.;</w:t>
      </w:r>
    </w:p>
    <w:p>
      <w:pPr>
        <w:spacing w:after="0" w:line="144" w:lineRule="exact"/>
        <w:rPr>
          <w:rFonts w:ascii="Times New Roman" w:cs="Times New Roman" w:eastAsia="Times New Roman" w:hAnsi="Times New Roman"/>
          <w:sz w:val="18"/>
          <w:szCs w:val="18"/>
          <w:color w:val="auto"/>
        </w:rPr>
      </w:pPr>
    </w:p>
    <w:p>
      <w:pPr>
        <w:ind w:left="500" w:right="499" w:hanging="316"/>
        <w:spacing w:after="0" w:line="231"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1" w:lineRule="exact"/>
        <w:rPr>
          <w:rFonts w:ascii="Times New Roman" w:cs="Times New Roman" w:eastAsia="Times New Roman" w:hAnsi="Times New Roman"/>
          <w:sz w:val="18"/>
          <w:szCs w:val="18"/>
          <w:color w:val="auto"/>
        </w:rPr>
      </w:pPr>
    </w:p>
    <w:p>
      <w:pPr>
        <w:ind w:left="500" w:right="379" w:hanging="316"/>
        <w:spacing w:after="0" w:line="22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Times New Roman" w:cs="Times New Roman" w:eastAsia="Times New Roman" w:hAnsi="Times New Roman"/>
          <w:sz w:val="18"/>
          <w:szCs w:val="18"/>
          <w:color w:val="auto"/>
        </w:rPr>
      </w:pPr>
    </w:p>
    <w:p>
      <w:pPr>
        <w:ind w:left="500" w:right="399" w:hanging="316"/>
        <w:spacing w:after="0" w:line="231"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Times New Roman" w:cs="Times New Roman" w:eastAsia="Times New Roman" w:hAnsi="Times New Roman"/>
          <w:sz w:val="18"/>
          <w:szCs w:val="18"/>
          <w:color w:val="auto"/>
        </w:rPr>
      </w:pPr>
    </w:p>
    <w:p>
      <w:pPr>
        <w:ind w:left="820" w:right="239" w:hanging="312"/>
        <w:spacing w:after="0" w:line="224"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Times New Roman" w:cs="Times New Roman" w:eastAsia="Times New Roman" w:hAnsi="Times New Roman"/>
          <w:sz w:val="18"/>
          <w:szCs w:val="18"/>
          <w:color w:val="auto"/>
        </w:rPr>
      </w:pPr>
    </w:p>
    <w:p>
      <w:pPr>
        <w:ind w:left="820" w:right="219" w:hanging="312"/>
        <w:spacing w:after="0" w:line="224"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Times New Roman" w:cs="Times New Roman" w:eastAsia="Times New Roman" w:hAnsi="Times New Roman"/>
          <w:sz w:val="18"/>
          <w:szCs w:val="18"/>
          <w:color w:val="auto"/>
        </w:rPr>
      </w:pPr>
    </w:p>
    <w:p>
      <w:pPr>
        <w:jc w:val="both"/>
        <w:ind w:left="820" w:right="399" w:hanging="312"/>
        <w:spacing w:after="0" w:line="231"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Times New Roman" w:cs="Times New Roman" w:eastAsia="Times New Roman" w:hAnsi="Times New Roman"/>
          <w:sz w:val="18"/>
          <w:szCs w:val="18"/>
          <w:color w:val="auto"/>
        </w:rPr>
      </w:pPr>
    </w:p>
    <w:p>
      <w:pPr>
        <w:ind w:left="820" w:right="319" w:hanging="312"/>
        <w:spacing w:after="0" w:line="224"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Times New Roman" w:cs="Times New Roman" w:eastAsia="Times New Roman" w:hAnsi="Times New Roman"/>
          <w:sz w:val="18"/>
          <w:szCs w:val="18"/>
          <w:color w:val="auto"/>
        </w:rPr>
      </w:pPr>
    </w:p>
    <w:p>
      <w:pPr>
        <w:ind w:left="500" w:right="559" w:hanging="316"/>
        <w:spacing w:after="0" w:line="226"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Times New Roman" w:cs="Times New Roman" w:eastAsia="Times New Roman" w:hAnsi="Times New Roman"/>
          <w:sz w:val="18"/>
          <w:szCs w:val="18"/>
          <w:color w:val="auto"/>
        </w:rPr>
      </w:pPr>
    </w:p>
    <w:p>
      <w:pPr>
        <w:ind w:left="820" w:right="499" w:hanging="312"/>
        <w:spacing w:after="0" w:line="231"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Times New Roman" w:cs="Times New Roman" w:eastAsia="Times New Roman" w:hAnsi="Times New Roman"/>
          <w:sz w:val="18"/>
          <w:szCs w:val="18"/>
          <w:color w:val="auto"/>
        </w:rPr>
      </w:pPr>
    </w:p>
    <w:p>
      <w:pPr>
        <w:ind w:left="820" w:right="299" w:hanging="312"/>
        <w:spacing w:after="0" w:line="250" w:lineRule="auto"/>
        <w:tabs>
          <w:tab w:leader="none" w:pos="8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1"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7"/>
          <w:szCs w:val="17"/>
          <w:color w:val="auto"/>
        </w:rPr>
        <w:t>/s/ MARK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B. Davis</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0" w:name="page31"/>
    <w:bookmarkEnd w:id="30"/>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3" w:lineRule="exact"/>
        <w:rPr>
          <w:sz w:val="20"/>
          <w:szCs w:val="20"/>
          <w:color w:val="auto"/>
        </w:rPr>
      </w:pPr>
    </w:p>
    <w:p>
      <w:pPr>
        <w:ind w:left="180" w:right="319" w:firstLine="648"/>
        <w:spacing w:after="0" w:line="236" w:lineRule="auto"/>
        <w:rPr>
          <w:sz w:val="20"/>
          <w:szCs w:val="20"/>
          <w:color w:val="auto"/>
        </w:rPr>
      </w:pPr>
      <w:r>
        <w:rPr>
          <w:rFonts w:ascii="Times New Roman" w:cs="Times New Roman" w:eastAsia="Times New Roman" w:hAnsi="Times New Roman"/>
          <w:sz w:val="17"/>
          <w:szCs w:val="17"/>
          <w:color w:val="auto"/>
        </w:rPr>
        <w:t>Pursuant to 18 U.S.C. §1350 (as adopted pursuant to §906 of the Sarbanes-Oxley Act of 2002), I, Cabell H. Lolmaugh, the Chief Executive Officer of Tile Shop Holdings, Inc. (the “Company”), hereby certify that the Quarterly</w:t>
      </w:r>
    </w:p>
    <w:p>
      <w:pPr>
        <w:ind w:left="180" w:right="299"/>
        <w:spacing w:after="0" w:line="218" w:lineRule="auto"/>
        <w:rPr>
          <w:sz w:val="20"/>
          <w:szCs w:val="20"/>
          <w:color w:val="auto"/>
        </w:rPr>
      </w:pPr>
      <w:r>
        <w:rPr>
          <w:rFonts w:ascii="Times New Roman" w:cs="Times New Roman" w:eastAsia="Times New Roman" w:hAnsi="Times New Roman"/>
          <w:sz w:val="18"/>
          <w:szCs w:val="18"/>
          <w:color w:val="auto"/>
        </w:rPr>
        <w:t>Report on Form 10-Q of the Company for the period ended September 30, 2025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31" w:lineRule="exact"/>
        <w:rPr>
          <w:sz w:val="20"/>
          <w:szCs w:val="20"/>
          <w:color w:val="auto"/>
        </w:rPr>
      </w:pPr>
    </w:p>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5"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Cabell H. Lolmaugh</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31" w:name="page32"/>
    <w:bookmarkEnd w:id="31"/>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313" w:lineRule="exact"/>
        <w:rPr>
          <w:sz w:val="20"/>
          <w:szCs w:val="20"/>
          <w:color w:val="auto"/>
        </w:rPr>
      </w:pPr>
    </w:p>
    <w:p>
      <w:pPr>
        <w:ind w:left="180" w:right="539" w:firstLine="648"/>
        <w:spacing w:after="0" w:line="222" w:lineRule="auto"/>
        <w:rPr>
          <w:sz w:val="20"/>
          <w:szCs w:val="20"/>
          <w:color w:val="auto"/>
        </w:rPr>
      </w:pPr>
      <w:r>
        <w:rPr>
          <w:rFonts w:ascii="Times New Roman" w:cs="Times New Roman" w:eastAsia="Times New Roman" w:hAnsi="Times New Roman"/>
          <w:sz w:val="18"/>
          <w:szCs w:val="18"/>
          <w:color w:val="auto"/>
        </w:rPr>
        <w:t>Pursuant to 18 U.S.C. §1350 (as adopted pursuant to §906 of the Sarbanes-Oxley Act of 2002), I, Mark B. Davis, the Chief Financial Officer of Tile Shop Holdings, Inc. (the “Company”), hereby certify that the Quarterly</w:t>
      </w:r>
    </w:p>
    <w:p>
      <w:pPr>
        <w:spacing w:after="0" w:line="2" w:lineRule="exact"/>
        <w:rPr>
          <w:sz w:val="20"/>
          <w:szCs w:val="20"/>
          <w:color w:val="auto"/>
        </w:rPr>
      </w:pPr>
    </w:p>
    <w:p>
      <w:pPr>
        <w:ind w:left="180" w:right="299"/>
        <w:spacing w:after="0" w:line="218" w:lineRule="auto"/>
        <w:rPr>
          <w:sz w:val="20"/>
          <w:szCs w:val="20"/>
          <w:color w:val="auto"/>
        </w:rPr>
      </w:pPr>
      <w:r>
        <w:rPr>
          <w:rFonts w:ascii="Times New Roman" w:cs="Times New Roman" w:eastAsia="Times New Roman" w:hAnsi="Times New Roman"/>
          <w:sz w:val="18"/>
          <w:szCs w:val="18"/>
          <w:color w:val="auto"/>
        </w:rPr>
        <w:t>Report on Form 10-Q of the Company for the period ended September 30, 2025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31" w:lineRule="exact"/>
        <w:rPr>
          <w:sz w:val="20"/>
          <w:szCs w:val="20"/>
          <w:color w:val="auto"/>
        </w:rPr>
      </w:pPr>
    </w:p>
    <w:p>
      <w:pPr>
        <w:ind w:left="180" w:right="199" w:firstLine="648"/>
        <w:spacing w:after="0" w:line="237"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 or its staff upon request.</w:t>
      </w:r>
    </w:p>
    <w:p>
      <w:pPr>
        <w:spacing w:after="0" w:line="145" w:lineRule="exact"/>
        <w:rPr>
          <w:sz w:val="20"/>
          <w:szCs w:val="20"/>
          <w:color w:val="auto"/>
        </w:rPr>
      </w:pPr>
    </w:p>
    <w:p>
      <w:pPr>
        <w:ind w:left="18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4, 2025</w:t>
      </w:r>
      <w:r>
        <w:rPr>
          <w:sz w:val="20"/>
          <w:szCs w:val="20"/>
          <w:color w:val="auto"/>
        </w:rPr>
        <w:tab/>
      </w:r>
      <w:r>
        <w:rPr>
          <w:rFonts w:ascii="Times New Roman" w:cs="Times New Roman" w:eastAsia="Times New Roman" w:hAnsi="Times New Roman"/>
          <w:sz w:val="17"/>
          <w:szCs w:val="17"/>
          <w:color w:val="auto"/>
        </w:rPr>
        <w:t>/s/ MARK B.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743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Mark B. Davis</w:t>
      </w:r>
    </w:p>
    <w:p>
      <w:pPr>
        <w:ind w:left="45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
      <w:numFmt w:val="bullet"/>
      <w:start w:val="1"/>
    </w:lvl>
  </w:abstractNum>
  <w:abstractNum w:abstractNumId="6">
    <w:nsid w:val="216231B"/>
    <w:multiLevelType w:val="hybridMultilevel"/>
    <w:lvl w:ilvl="0">
      <w:lvlJc w:val="left"/>
      <w:lvlText w:val=" "/>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lowerRoman"/>
      <w:start w:val="3"/>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40" Type="http://schemas.openxmlformats.org/officeDocument/2006/relationships/hyperlink" Target="http://www.sec.gov/Archives/edgar/data/1552800/000114420412037509/v316486_ex3-1.htm" TargetMode="External"/><Relationship Id="rId41" Type="http://schemas.openxmlformats.org/officeDocument/2006/relationships/hyperlink" Target="http://www.sec.gov/Archives/edgar/data/1552800/000110465921094416/tm2122262d1_ex3-2.htm" TargetMode="External"/><Relationship Id="rId42" Type="http://schemas.openxmlformats.org/officeDocument/2006/relationships/hyperlink" Target="http://www.sec.gov/Archives/edgar/data/1552800/000114420412037509/v31648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2025-11-04T15:56:44Z</dcterms:created>
  <dcterms:modified xsi:type="dcterms:W3CDTF">2025-11-04T15:56:44Z</dcterms:modified>
</cp:coreProperties>
</file>