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7874-1_4seq1.xml.htm"/>
      <w:bookmarkStart w:id="1" w:name="kstm26787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Davis Mark Burton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TILE SHOP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14000 CARLSON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PLYMOUTH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TILE SHOP HOLDINGS, INC.</w:t>
              </w:r>
            </w:hyperlink>
            <w:r>
              <w:rPr/>
              <w:t xml:space="preserve"> [ </w:t>
            </w:r>
            <w:r>
              <w:rPr>
                <w:rFonts w:ascii="Times;serif" w:hAnsi="Times;serif"/>
                <w:color w:val="0000FF"/>
                <w:sz w:val="24"/>
                <w:shd w:fill="FFFFFF" w:val="clear"/>
              </w:rPr>
              <w:t>TTSH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Senior VP, CFO and Secretary</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215"/>
        <w:gridCol w:w="1014"/>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108,975</w:t>
            </w:r>
            <w:r>
              <w:rPr>
                <w:rFonts w:ascii="Times;serif" w:hAnsi="Times;serif"/>
                <w:color w:val="008000"/>
                <w:position w:val="7"/>
                <w:sz w:val="16"/>
                <w:sz w:val="20"/>
                <w:shd w:fill="FFFFFF" w:val="clear"/>
              </w:rPr>
              <w:t>(1)(2)</w:t>
            </w:r>
            <w:r>
              <w:rPr/>
              <w:t xml:space="preserve"> </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11/06/2027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(i) 3,086 shares of restricted stock for which the risks of forfeiture will lapse on 3/6/26; (ii) 5,041 shares of restricted stock for which the risks of forfeiture will lapse in equal annual installments on each of 3/4/26 and 3/4/27; (iii) 1,642 shares of restricted stock for which the risks of forfeiture will lapse in equal annual installments on each of 5/13/26 and 5/13/27; (iv) 9,028 shares of restricted stock for which the risks of forfeiture will lapse in equal annual installments on each of 3/3/26, 3/3/27 and 3/3/28; and (v) the following shares of performance-based restricted stock, which are, in each case, subject to Mr. Davis remaining in continuous employment with the Issuer through December 31 of the year preceding the applicable vesting date and the Issuer achieving its performance target for each respective year: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 (A) 6,049 shares for which the risks of forfeiture will lapse on the date the Issuer releases its annual financial statements for the 2026 fiscal year; (B) 1,972 shares for which the risks of forfeiture will lapse on the date the Issuer releases its annual financial statements for the 2026 fiscal year; and (C) 12,638 shares for which the risks of forfeiture will lapse as to 30% and 40% of the initial number of shares granted on each of the dates the Issuer releases its annual financial statements for the 2026 and 2027 fiscal years, respectively. The Issuer's Form 10-K for the year ended December 31, 2025 contains additional information regarding the applicable performance targets.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 in three substantially equal installments on each of 3/2/2027, 3/2/2028 and 3/2/2029, subject to continuous employment as of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Fully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B. Davis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7766" TargetMode="External"/><Relationship Id="rId5" Type="http://schemas.openxmlformats.org/officeDocument/2006/relationships/hyperlink" Target="http://www.sec.gov/cgi-bin/browse-edgar?action=getcompany&amp;CIK=0001552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876</Words>
  <Characters>4658</Characters>
  <CharactersWithSpaces>5461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