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79"/>
        <w:spacing w:after="0" w:line="221" w:lineRule="auto"/>
        <w:rPr>
          <w:sz w:val="20"/>
          <w:szCs w:val="20"/>
          <w:color w:val="auto"/>
        </w:rPr>
      </w:pPr>
      <w:r>
        <w:rPr>
          <w:rFonts w:ascii="Arial" w:cs="Arial" w:eastAsia="Arial" w:hAnsi="Arial"/>
          <w:sz w:val="18"/>
          <w:szCs w:val="18"/>
          <w:b w:val="1"/>
          <w:bCs w:val="1"/>
          <w:color w:val="auto"/>
        </w:rPr>
        <w:t>SECURITIES AND EXCHANGE COMMISSION</w:t>
      </w:r>
    </w:p>
    <w:p>
      <w:pPr>
        <w:jc w:val="center"/>
        <w:ind w:right="-119"/>
        <w:spacing w:after="0" w:line="225" w:lineRule="auto"/>
        <w:rPr>
          <w:sz w:val="20"/>
          <w:szCs w:val="20"/>
          <w:color w:val="auto"/>
        </w:rPr>
      </w:pPr>
      <w:r>
        <w:rPr>
          <w:rFonts w:ascii="Arial" w:cs="Arial" w:eastAsia="Arial" w:hAnsi="Arial"/>
          <w:sz w:val="18"/>
          <w:szCs w:val="18"/>
          <w:b w:val="1"/>
          <w:bCs w:val="1"/>
          <w:color w:val="auto"/>
        </w:rPr>
        <w:t>Washington, D.C. 20549</w:t>
      </w:r>
    </w:p>
    <w:p>
      <w:pPr>
        <w:ind w:left="4580"/>
        <w:spacing w:after="0"/>
        <w:rPr>
          <w:sz w:val="20"/>
          <w:szCs w:val="20"/>
          <w:color w:val="auto"/>
        </w:rPr>
      </w:pPr>
      <w:r>
        <w:rPr>
          <w:rFonts w:ascii="Arial" w:cs="Arial" w:eastAsia="Arial" w:hAnsi="Arial"/>
          <w:sz w:val="14"/>
          <w:szCs w:val="14"/>
          <w:color w:val="auto"/>
        </w:rPr>
        <w:t>_____________________________</w:t>
      </w:r>
    </w:p>
    <w:p>
      <w:pPr>
        <w:spacing w:after="0" w:line="11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ind w:left="4580"/>
        <w:spacing w:after="0" w:line="224" w:lineRule="auto"/>
        <w:rPr>
          <w:sz w:val="20"/>
          <w:szCs w:val="20"/>
          <w:color w:val="auto"/>
        </w:rPr>
      </w:pPr>
      <w:r>
        <w:rPr>
          <w:rFonts w:ascii="Arial" w:cs="Arial" w:eastAsia="Arial" w:hAnsi="Arial"/>
          <w:sz w:val="14"/>
          <w:szCs w:val="14"/>
          <w:color w:val="auto"/>
        </w:rPr>
        <w:t>_____________________________</w:t>
      </w:r>
    </w:p>
    <w:p>
      <w:pPr>
        <w:ind w:left="60"/>
        <w:spacing w:after="0" w:line="235" w:lineRule="auto"/>
        <w:rPr>
          <w:sz w:val="20"/>
          <w:szCs w:val="20"/>
          <w:color w:val="auto"/>
        </w:rPr>
      </w:pPr>
      <w:r>
        <w:rPr>
          <w:rFonts w:ascii="Arial" w:cs="Arial" w:eastAsia="Arial" w:hAnsi="Arial"/>
          <w:sz w:val="18"/>
          <w:szCs w:val="18"/>
          <w:color w:val="auto"/>
        </w:rPr>
        <w:t>(Mark One)</w:t>
      </w:r>
    </w:p>
    <w:p>
      <w:pPr>
        <w:ind w:left="320" w:hanging="299"/>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320" w:hanging="299"/>
        <w:spacing w:after="0"/>
        <w:tabs>
          <w:tab w:leader="none" w:pos="3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For the transition period from – to –</w:t>
      </w:r>
    </w:p>
    <w:p>
      <w:pPr>
        <w:spacing w:after="0" w:line="131"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Commission file number: 001-35629</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_____________________________</w:t>
      </w:r>
    </w:p>
    <w:p>
      <w:pPr>
        <w:spacing w:after="0" w:line="8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TILE SHOP HOLDINGS, INC.</w:t>
      </w: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ind w:left="4580"/>
        <w:spacing w:after="0"/>
        <w:rPr>
          <w:sz w:val="20"/>
          <w:szCs w:val="20"/>
          <w:color w:val="auto"/>
        </w:rPr>
      </w:pPr>
      <w:r>
        <w:rPr>
          <w:rFonts w:ascii="Arial" w:cs="Arial" w:eastAsia="Arial" w:hAnsi="Arial"/>
          <w:sz w:val="14"/>
          <w:szCs w:val="14"/>
          <w:color w:val="auto"/>
        </w:rPr>
        <w:t>_____________________________</w:t>
      </w:r>
    </w:p>
    <w:p>
      <w:pPr>
        <w:spacing w:after="0" w:line="106"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5600" w:type="dxa"/>
            <w:vAlign w:val="bottom"/>
          </w:tcPr>
          <w:p>
            <w:pPr>
              <w:jc w:val="center"/>
              <w:ind w:right="970"/>
              <w:spacing w:after="0"/>
              <w:rPr>
                <w:sz w:val="20"/>
                <w:szCs w:val="20"/>
                <w:color w:val="auto"/>
              </w:rPr>
            </w:pPr>
            <w:r>
              <w:rPr>
                <w:rFonts w:ascii="Arial" w:cs="Arial" w:eastAsia="Arial" w:hAnsi="Arial"/>
                <w:sz w:val="18"/>
                <w:szCs w:val="18"/>
                <w:b w:val="1"/>
                <w:bCs w:val="1"/>
                <w:color w:val="auto"/>
                <w:w w:val="93"/>
              </w:rPr>
              <w:t>Delaware</w:t>
            </w:r>
          </w:p>
        </w:tc>
        <w:tc>
          <w:tcPr>
            <w:tcW w:w="3700" w:type="dxa"/>
            <w:vAlign w:val="bottom"/>
          </w:tcPr>
          <w:p>
            <w:pPr>
              <w:jc w:val="right"/>
              <w:ind w:right="850"/>
              <w:spacing w:after="0"/>
              <w:rPr>
                <w:sz w:val="20"/>
                <w:szCs w:val="20"/>
                <w:color w:val="auto"/>
              </w:rPr>
            </w:pPr>
            <w:r>
              <w:rPr>
                <w:rFonts w:ascii="Arial" w:cs="Arial" w:eastAsia="Arial" w:hAnsi="Arial"/>
                <w:sz w:val="18"/>
                <w:szCs w:val="18"/>
                <w:b w:val="1"/>
                <w:bCs w:val="1"/>
                <w:color w:val="auto"/>
              </w:rPr>
              <w:t>45-5538095</w:t>
            </w:r>
          </w:p>
        </w:tc>
      </w:tr>
      <w:tr>
        <w:trPr>
          <w:trHeight w:val="234"/>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360"/>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14000 Carlson Parkway</w:t>
            </w:r>
          </w:p>
        </w:tc>
        <w:tc>
          <w:tcPr>
            <w:tcW w:w="3700" w:type="dxa"/>
            <w:vAlign w:val="bottom"/>
          </w:tcPr>
          <w:p>
            <w:pPr>
              <w:spacing w:after="0"/>
              <w:rPr>
                <w:sz w:val="24"/>
                <w:szCs w:val="24"/>
                <w:color w:val="auto"/>
              </w:rPr>
            </w:pPr>
          </w:p>
        </w:tc>
      </w:tr>
      <w:tr>
        <w:trPr>
          <w:trHeight w:val="189"/>
        </w:trPr>
        <w:tc>
          <w:tcPr>
            <w:tcW w:w="5600" w:type="dxa"/>
            <w:vAlign w:val="bottom"/>
          </w:tcPr>
          <w:p>
            <w:pPr>
              <w:jc w:val="center"/>
              <w:ind w:right="930"/>
              <w:spacing w:after="0" w:line="189" w:lineRule="exact"/>
              <w:rPr>
                <w:sz w:val="20"/>
                <w:szCs w:val="20"/>
                <w:color w:val="auto"/>
              </w:rPr>
            </w:pPr>
            <w:r>
              <w:rPr>
                <w:rFonts w:ascii="Arial" w:cs="Arial" w:eastAsia="Arial" w:hAnsi="Arial"/>
                <w:sz w:val="18"/>
                <w:szCs w:val="18"/>
                <w:b w:val="1"/>
                <w:bCs w:val="1"/>
                <w:color w:val="auto"/>
                <w:w w:val="91"/>
              </w:rPr>
              <w:t>Plymouth, Minnesota</w:t>
            </w:r>
          </w:p>
        </w:tc>
        <w:tc>
          <w:tcPr>
            <w:tcW w:w="3700" w:type="dxa"/>
            <w:vAlign w:val="bottom"/>
          </w:tcPr>
          <w:p>
            <w:pPr>
              <w:jc w:val="right"/>
              <w:ind w:right="1050"/>
              <w:spacing w:after="0" w:line="189" w:lineRule="exact"/>
              <w:rPr>
                <w:sz w:val="20"/>
                <w:szCs w:val="20"/>
                <w:color w:val="auto"/>
              </w:rPr>
            </w:pPr>
            <w:r>
              <w:rPr>
                <w:rFonts w:ascii="Arial" w:cs="Arial" w:eastAsia="Arial" w:hAnsi="Arial"/>
                <w:sz w:val="18"/>
                <w:szCs w:val="18"/>
                <w:b w:val="1"/>
                <w:bCs w:val="1"/>
                <w:color w:val="auto"/>
              </w:rPr>
              <w:t>55441</w:t>
            </w:r>
          </w:p>
        </w:tc>
      </w:tr>
      <w:tr>
        <w:trPr>
          <w:trHeight w:val="234"/>
        </w:trPr>
        <w:tc>
          <w:tcPr>
            <w:tcW w:w="5600" w:type="dxa"/>
            <w:vAlign w:val="bottom"/>
          </w:tcPr>
          <w:p>
            <w:pPr>
              <w:jc w:val="center"/>
              <w:ind w:right="9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(Zip Code)</w:t>
            </w:r>
          </w:p>
        </w:tc>
      </w:tr>
    </w:tbl>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(763) 852-2950</w:t>
      </w:r>
    </w:p>
    <w:p>
      <w:pPr>
        <w:jc w:val="center"/>
        <w:ind w:right="-119"/>
        <w:spacing w:after="0" w:line="227" w:lineRule="auto"/>
        <w:rPr>
          <w:sz w:val="20"/>
          <w:szCs w:val="20"/>
          <w:color w:val="auto"/>
        </w:rPr>
      </w:pPr>
      <w:r>
        <w:rPr>
          <w:rFonts w:ascii="Arial" w:cs="Arial" w:eastAsia="Arial" w:hAnsi="Arial"/>
          <w:sz w:val="18"/>
          <w:szCs w:val="18"/>
          <w:b w:val="1"/>
          <w:bCs w:val="1"/>
          <w:color w:val="auto"/>
        </w:rPr>
        <w:t>(Registrant’s telephone number, including area code)</w:t>
      </w:r>
    </w:p>
    <w:p>
      <w:pPr>
        <w:ind w:left="4580"/>
        <w:spacing w:after="0" w:line="214" w:lineRule="auto"/>
        <w:rPr>
          <w:sz w:val="20"/>
          <w:szCs w:val="20"/>
          <w:color w:val="auto"/>
        </w:rPr>
      </w:pPr>
      <w:r>
        <w:rPr>
          <w:rFonts w:ascii="Arial" w:cs="Arial" w:eastAsia="Arial" w:hAnsi="Arial"/>
          <w:sz w:val="14"/>
          <w:szCs w:val="14"/>
          <w:color w:val="auto"/>
        </w:rPr>
        <w:t>_____________________________</w:t>
      </w: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648" w:right="459" w:bottom="1440" w:gutter="0" w:footer="0" w:header="0"/>
        </w:sectPr>
      </w:pPr>
    </w:p>
    <w:p>
      <w:pPr>
        <w:spacing w:after="0" w:line="155" w:lineRule="exact"/>
        <w:rPr>
          <w:sz w:val="24"/>
          <w:szCs w:val="24"/>
          <w:color w:val="auto"/>
        </w:rPr>
      </w:pPr>
    </w:p>
    <w:p>
      <w:pPr>
        <w:ind w:left="12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35" w:lineRule="exact"/>
        <w:rPr>
          <w:sz w:val="24"/>
          <w:szCs w:val="24"/>
          <w:color w:val="auto"/>
        </w:rPr>
      </w:pPr>
    </w:p>
    <w:p>
      <w:pPr>
        <w:sectPr>
          <w:pgSz w:w="11900" w:h="16838" w:orient="portrait"/>
          <w:cols w:equalWidth="0" w:num="3">
            <w:col w:w="3960" w:space="720"/>
            <w:col w:w="2100" w:space="720"/>
            <w:col w:w="3620"/>
          </w:cols>
          <w:pgMar w:left="320" w:top="648" w:right="459" w:bottom="1440" w:gutter="0" w:footer="0" w:header="0"/>
          <w:type w:val="continuous"/>
        </w:sectPr>
      </w:pPr>
    </w:p>
    <w:p>
      <w:pPr>
        <w:spacing w:after="0" w:line="11" w:lineRule="exact"/>
        <w:rPr>
          <w:sz w:val="24"/>
          <w:szCs w:val="24"/>
          <w:color w:val="auto"/>
        </w:rPr>
      </w:pPr>
    </w:p>
    <w:p>
      <w:pPr>
        <w:ind w:left="840"/>
        <w:spacing w:after="0"/>
        <w:rPr>
          <w:sz w:val="20"/>
          <w:szCs w:val="20"/>
          <w:color w:val="auto"/>
        </w:rPr>
      </w:pPr>
      <w:r>
        <w:rPr>
          <w:rFonts w:ascii="Arial" w:cs="Arial" w:eastAsia="Arial" w:hAnsi="Arial"/>
          <w:sz w:val="12"/>
          <w:szCs w:val="12"/>
          <w:b w:val="1"/>
          <w:bCs w:val="1"/>
          <w:color w:val="auto"/>
        </w:rPr>
        <w:t>Common Stock, $0.0001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TTSH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146" w:lineRule="exact"/>
        <w:rPr>
          <w:sz w:val="24"/>
          <w:szCs w:val="24"/>
          <w:color w:val="auto"/>
        </w:rPr>
      </w:pPr>
    </w:p>
    <w:p>
      <w:pPr>
        <w:sectPr>
          <w:pgSz w:w="11900" w:h="16838" w:orient="portrait"/>
          <w:cols w:equalWidth="0" w:num="3">
            <w:col w:w="4440" w:space="720"/>
            <w:col w:w="2240" w:space="720"/>
            <w:col w:w="3000"/>
          </w:cols>
          <w:pgMar w:left="320" w:top="648" w:right="459" w:bottom="1440" w:gutter="0" w:footer="0" w:header="0"/>
          <w:type w:val="continuous"/>
        </w:sectPr>
      </w:pPr>
    </w:p>
    <w:p>
      <w:pPr>
        <w:ind w:right="180"/>
        <w:spacing w:after="0" w:line="20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9" w:lineRule="exact"/>
        <w:rPr>
          <w:sz w:val="24"/>
          <w:szCs w:val="24"/>
          <w:color w:val="auto"/>
        </w:rPr>
      </w:pPr>
    </w:p>
    <w:p>
      <w:pPr>
        <w:spacing w:after="0" w:line="20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9" w:lineRule="exact"/>
        <w:rPr>
          <w:sz w:val="24"/>
          <w:szCs w:val="24"/>
          <w:color w:val="auto"/>
        </w:rPr>
      </w:pPr>
    </w:p>
    <w:p>
      <w:pPr>
        <w:ind w:right="200"/>
        <w:spacing w:after="0" w:line="23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222"/>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80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76"/>
        </w:trPr>
        <w:tc>
          <w:tcPr>
            <w:tcW w:w="1840" w:type="dxa"/>
            <w:vAlign w:val="bottom"/>
          </w:tcPr>
          <w:p>
            <w:pPr>
              <w:spacing w:after="0" w:line="176" w:lineRule="exact"/>
              <w:rPr>
                <w:sz w:val="20"/>
                <w:szCs w:val="20"/>
                <w:color w:val="auto"/>
              </w:rPr>
            </w:pPr>
            <w:r>
              <w:rPr>
                <w:rFonts w:ascii="Arial" w:cs="Arial" w:eastAsia="Arial" w:hAnsi="Arial"/>
                <w:sz w:val="18"/>
                <w:szCs w:val="18"/>
                <w:color w:val="auto"/>
              </w:rPr>
              <w:t>Non-accelerated filer</w:t>
            </w:r>
          </w:p>
        </w:tc>
        <w:tc>
          <w:tcPr>
            <w:tcW w:w="2180" w:type="dxa"/>
            <w:vAlign w:val="bottom"/>
          </w:tcPr>
          <w:p>
            <w:pPr>
              <w:ind w:left="220"/>
              <w:spacing w:after="0" w:line="176" w:lineRule="exact"/>
              <w:rPr>
                <w:sz w:val="20"/>
                <w:szCs w:val="20"/>
                <w:color w:val="auto"/>
              </w:rPr>
            </w:pPr>
            <w:r>
              <w:rPr>
                <w:rFonts w:ascii="Arial" w:cs="Arial" w:eastAsia="Arial" w:hAnsi="Arial"/>
                <w:sz w:val="18"/>
                <w:szCs w:val="18"/>
                <w:color w:val="auto"/>
              </w:rPr>
              <w:t>x</w:t>
            </w:r>
          </w:p>
        </w:tc>
        <w:tc>
          <w:tcPr>
            <w:tcW w:w="4080" w:type="dxa"/>
            <w:vAlign w:val="bottom"/>
          </w:tcPr>
          <w:p>
            <w:pPr>
              <w:ind w:left="1800"/>
              <w:spacing w:after="0" w:line="176" w:lineRule="exact"/>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76" w:lineRule="exact"/>
              <w:rPr>
                <w:sz w:val="20"/>
                <w:szCs w:val="20"/>
                <w:color w:val="auto"/>
              </w:rPr>
            </w:pPr>
            <w:r>
              <w:rPr>
                <w:rFonts w:ascii="Arial" w:cs="Arial" w:eastAsia="Arial" w:hAnsi="Arial"/>
                <w:sz w:val="18"/>
                <w:szCs w:val="18"/>
                <w:color w:val="auto"/>
              </w:rPr>
              <w:t>x</w:t>
            </w:r>
          </w:p>
        </w:tc>
      </w:tr>
      <w:tr>
        <w:trPr>
          <w:trHeight w:val="283"/>
        </w:trPr>
        <w:tc>
          <w:tcPr>
            <w:tcW w:w="1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80" w:type="dxa"/>
            <w:vAlign w:val="bottom"/>
          </w:tcPr>
          <w:p>
            <w:pPr>
              <w:ind w:left="180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7" w:lineRule="exact"/>
        <w:rPr>
          <w:sz w:val="24"/>
          <w:szCs w:val="24"/>
          <w:color w:val="auto"/>
        </w:rPr>
      </w:pPr>
    </w:p>
    <w:p>
      <w:pPr>
        <w:ind w:right="4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196" w:lineRule="exact"/>
        <w:tabs>
          <w:tab w:leader="none" w:pos="88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tab/>
        <w:t>x No</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color w:val="auto"/>
        </w:rPr>
        <w:t>As of August 2, 2021, there were 51,968,043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48"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22"/>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2"/>
        </w:trPr>
        <w:tc>
          <w:tcPr>
            <w:tcW w:w="5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380" w:type="dxa"/>
            <w:vAlign w:val="bottom"/>
            <w:tcBorders>
              <w:top w:val="single" w:sz="8" w:color="0563C1"/>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6"/>
          </w:tcPr>
          <w:p>
            <w:pPr>
              <w:jc w:val="center"/>
              <w:ind w:right="3480"/>
              <w:spacing w:after="0"/>
              <w:rPr>
                <w:sz w:val="20"/>
                <w:szCs w:val="20"/>
                <w:color w:val="auto"/>
              </w:rPr>
            </w:pPr>
            <w:r>
              <w:rPr>
                <w:rFonts w:ascii="Arial" w:cs="Arial" w:eastAsia="Arial" w:hAnsi="Arial"/>
                <w:sz w:val="18"/>
                <w:szCs w:val="18"/>
                <w:b w:val="1"/>
                <w:bCs w:val="1"/>
                <w:color w:val="auto"/>
              </w:rPr>
              <w:t>TILE SHOP HOLDINGS, INC.</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80" w:type="dxa"/>
            <w:vAlign w:val="bottom"/>
            <w:gridSpan w:val="5"/>
          </w:tcPr>
          <w:p>
            <w:pPr>
              <w:jc w:val="center"/>
              <w:ind w:right="3880"/>
              <w:spacing w:after="0"/>
              <w:rPr>
                <w:sz w:val="20"/>
                <w:szCs w:val="20"/>
                <w:color w:val="auto"/>
              </w:rPr>
            </w:pPr>
            <w:r>
              <w:rPr>
                <w:rFonts w:ascii="Arial" w:cs="Arial" w:eastAsia="Arial" w:hAnsi="Arial"/>
                <w:sz w:val="18"/>
                <w:szCs w:val="18"/>
                <w:b w:val="1"/>
                <w:bCs w:val="1"/>
                <w:color w:val="auto"/>
                <w:w w:val="89"/>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3"/>
        </w:trPr>
        <w:tc>
          <w:tcPr>
            <w:tcW w:w="3080" w:type="dxa"/>
            <w:vAlign w:val="bottom"/>
            <w:tcBorders>
              <w:top w:val="single" w:sz="8" w:color="CCEEFF"/>
              <w:bottom w:val="single" w:sz="8" w:color="0563C1"/>
            </w:tcBorders>
            <w:gridSpan w:val="12"/>
            <w:shd w:val="clear" w:color="auto" w:fill="CCEEFF"/>
          </w:tcPr>
          <w:p>
            <w:pPr>
              <w:spacing w:after="0" w:line="142" w:lineRule="exact"/>
              <w:rPr>
                <w:rFonts w:ascii="Arial" w:cs="Arial" w:eastAsia="Arial" w:hAnsi="Arial"/>
                <w:sz w:val="16"/>
                <w:szCs w:val="16"/>
                <w:b w:val="1"/>
                <w:bCs w:val="1"/>
                <w:color w:val="0563C1"/>
              </w:rPr>
            </w:pPr>
            <w:hyperlink w:anchor="page3">
              <w:r>
                <w:rPr>
                  <w:rFonts w:ascii="Arial" w:cs="Arial" w:eastAsia="Arial" w:hAnsi="Arial"/>
                  <w:sz w:val="16"/>
                  <w:szCs w:val="16"/>
                  <w:b w:val="1"/>
                  <w:bCs w:val="1"/>
                  <w:color w:val="0563C1"/>
                </w:rPr>
                <w:t>PART I. FINANCIAL INFORMATION</w:t>
              </w:r>
            </w:hyperlink>
          </w:p>
        </w:tc>
        <w:tc>
          <w:tcPr>
            <w:tcW w:w="7520" w:type="dxa"/>
            <w:vAlign w:val="bottom"/>
            <w:tcBorders>
              <w:top w:val="single" w:sz="8" w:color="CCEEFF"/>
              <w:bottom w:val="single" w:sz="8" w:color="CCEEFF"/>
            </w:tcBorders>
            <w:gridSpan w:val="10"/>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line="162" w:lineRule="exact"/>
              <w:rPr>
                <w:rFonts w:ascii="Arial" w:cs="Arial" w:eastAsia="Arial" w:hAnsi="Arial"/>
                <w:sz w:val="18"/>
                <w:szCs w:val="18"/>
                <w:color w:val="0563C1"/>
                <w:w w:val="90"/>
              </w:rPr>
            </w:pPr>
            <w:hyperlink w:anchor="page3">
              <w:r>
                <w:rPr>
                  <w:rFonts w:ascii="Arial" w:cs="Arial" w:eastAsia="Arial" w:hAnsi="Arial"/>
                  <w:sz w:val="18"/>
                  <w:szCs w:val="18"/>
                  <w:color w:val="0563C1"/>
                  <w:w w:val="90"/>
                </w:rPr>
                <w:t>Item 1.</w:t>
              </w:r>
            </w:hyperlink>
          </w:p>
        </w:tc>
        <w:tc>
          <w:tcPr>
            <w:tcW w:w="460" w:type="dxa"/>
            <w:vAlign w:val="bottom"/>
            <w:gridSpan w:val="3"/>
          </w:tcPr>
          <w:p>
            <w:pPr>
              <w:spacing w:after="0"/>
              <w:rPr>
                <w:sz w:val="14"/>
                <w:szCs w:val="14"/>
                <w:color w:val="auto"/>
              </w:rPr>
            </w:pPr>
          </w:p>
        </w:tc>
        <w:tc>
          <w:tcPr>
            <w:tcW w:w="9620" w:type="dxa"/>
            <w:vAlign w:val="bottom"/>
            <w:gridSpan w:val="18"/>
          </w:tcPr>
          <w:p>
            <w:pPr>
              <w:spacing w:after="0" w:line="162" w:lineRule="exact"/>
              <w:rPr>
                <w:rFonts w:ascii="Arial" w:cs="Arial" w:eastAsia="Arial" w:hAnsi="Arial"/>
                <w:sz w:val="18"/>
                <w:szCs w:val="18"/>
                <w:color w:val="0563C1"/>
              </w:rPr>
            </w:pPr>
            <w:hyperlink w:anchor="page3">
              <w:r>
                <w:rPr>
                  <w:rFonts w:ascii="Arial" w:cs="Arial" w:eastAsia="Arial" w:hAnsi="Arial"/>
                  <w:sz w:val="18"/>
                  <w:szCs w:val="18"/>
                  <w:color w:val="0563C1"/>
                </w:rPr>
                <w:t>Financial Statements</w:t>
              </w:r>
            </w:hyperlink>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0563C1"/>
            </w:tcBorders>
            <w:gridSpan w:val="9"/>
            <w:shd w:val="clear" w:color="auto" w:fill="CCEEFF"/>
          </w:tcPr>
          <w:p>
            <w:pPr>
              <w:spacing w:after="0" w:line="162" w:lineRule="exact"/>
              <w:rPr>
                <w:rFonts w:ascii="Arial" w:cs="Arial" w:eastAsia="Arial" w:hAnsi="Arial"/>
                <w:sz w:val="18"/>
                <w:szCs w:val="18"/>
                <w:color w:val="0563C1"/>
                <w:w w:val="89"/>
              </w:rPr>
            </w:pPr>
            <w:hyperlink w:anchor="page3">
              <w:r>
                <w:rPr>
                  <w:rFonts w:ascii="Arial" w:cs="Arial" w:eastAsia="Arial" w:hAnsi="Arial"/>
                  <w:sz w:val="18"/>
                  <w:szCs w:val="18"/>
                  <w:color w:val="0563C1"/>
                  <w:w w:val="89"/>
                </w:rPr>
                <w:t>Consolidated Balance Sheets</w:t>
              </w:r>
            </w:hyperlink>
          </w:p>
        </w:tc>
        <w:tc>
          <w:tcPr>
            <w:tcW w:w="7480" w:type="dxa"/>
            <w:vAlign w:val="bottom"/>
            <w:tcBorders>
              <w:bottom w:val="single" w:sz="8" w:color="CCEEFF"/>
            </w:tcBorders>
            <w:gridSpan w:val="9"/>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tcBorders>
              <w:bottom w:val="single" w:sz="8" w:color="0563C1"/>
            </w:tcBorders>
            <w:gridSpan w:val="11"/>
          </w:tcPr>
          <w:p>
            <w:pPr>
              <w:spacing w:after="0" w:line="162" w:lineRule="exact"/>
              <w:rPr>
                <w:rFonts w:ascii="Arial" w:cs="Arial" w:eastAsia="Arial" w:hAnsi="Arial"/>
                <w:sz w:val="18"/>
                <w:szCs w:val="18"/>
                <w:color w:val="0563C1"/>
                <w:w w:val="90"/>
              </w:rPr>
            </w:pPr>
            <w:hyperlink w:anchor="page4">
              <w:r>
                <w:rPr>
                  <w:rFonts w:ascii="Arial" w:cs="Arial" w:eastAsia="Arial" w:hAnsi="Arial"/>
                  <w:sz w:val="18"/>
                  <w:szCs w:val="18"/>
                  <w:color w:val="0563C1"/>
                  <w:w w:val="90"/>
                </w:rPr>
                <w:t>Consolidated Statements of Operations</w:t>
              </w:r>
            </w:hyperlink>
          </w:p>
        </w:tc>
        <w:tc>
          <w:tcPr>
            <w:tcW w:w="6760" w:type="dxa"/>
            <w:vAlign w:val="bottom"/>
            <w:gridSpan w:val="7"/>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20" w:type="dxa"/>
            <w:vAlign w:val="bottom"/>
            <w:gridSpan w:val="18"/>
            <w:shd w:val="clear" w:color="auto" w:fill="CCEEFF"/>
          </w:tcPr>
          <w:p>
            <w:pPr>
              <w:spacing w:after="0" w:line="162" w:lineRule="exact"/>
              <w:rPr>
                <w:rFonts w:ascii="Arial" w:cs="Arial" w:eastAsia="Arial" w:hAnsi="Arial"/>
                <w:sz w:val="18"/>
                <w:szCs w:val="18"/>
                <w:color w:val="0563C1"/>
              </w:rPr>
            </w:pPr>
            <w:hyperlink w:anchor="page5">
              <w:r>
                <w:rPr>
                  <w:rFonts w:ascii="Arial" w:cs="Arial" w:eastAsia="Arial" w:hAnsi="Arial"/>
                  <w:sz w:val="18"/>
                  <w:szCs w:val="18"/>
                  <w:color w:val="0563C1"/>
                </w:rPr>
                <w:t>Consolidated Statements of Comprehensive Income (Loss)</w:t>
              </w:r>
            </w:hyperlink>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4240" w:type="dxa"/>
            <w:vAlign w:val="bottom"/>
            <w:tcBorders>
              <w:top w:val="single" w:sz="8" w:color="0563C1"/>
            </w:tcBorders>
            <w:gridSpan w:val="14"/>
          </w:tcPr>
          <w:p>
            <w:pPr>
              <w:spacing w:after="0" w:line="162" w:lineRule="exact"/>
              <w:rPr>
                <w:rFonts w:ascii="Arial" w:cs="Arial" w:eastAsia="Arial" w:hAnsi="Arial"/>
                <w:sz w:val="18"/>
                <w:szCs w:val="18"/>
                <w:color w:val="0563C1"/>
              </w:rPr>
            </w:pPr>
            <w:hyperlink w:anchor="page6">
              <w:r>
                <w:rPr>
                  <w:rFonts w:ascii="Arial" w:cs="Arial" w:eastAsia="Arial" w:hAnsi="Arial"/>
                  <w:sz w:val="18"/>
                  <w:szCs w:val="18"/>
                  <w:color w:val="0563C1"/>
                </w:rPr>
                <w:t>Consolidated Statements of Stockholders’ Equity</w:t>
              </w:r>
            </w:hyperlink>
          </w:p>
        </w:tc>
        <w:tc>
          <w:tcPr>
            <w:tcW w:w="5380" w:type="dxa"/>
            <w:vAlign w:val="bottom"/>
            <w:tcBorders>
              <w:top w:val="single" w:sz="8" w:color="CCEEFF"/>
            </w:tcBorders>
            <w:gridSpan w:val="4"/>
          </w:tcPr>
          <w:p>
            <w:pPr>
              <w:spacing w:after="0"/>
              <w:rPr>
                <w:sz w:val="14"/>
                <w:szCs w:val="14"/>
                <w:color w:val="auto"/>
              </w:rPr>
            </w:pPr>
          </w:p>
        </w:tc>
        <w:tc>
          <w:tcPr>
            <w:tcW w:w="64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540" w:type="dxa"/>
            <w:vAlign w:val="bottom"/>
            <w:tcBorders>
              <w:top w:val="single" w:sz="8" w:color="0563C1"/>
            </w:tcBorders>
            <w:gridSpan w:val="13"/>
            <w:shd w:val="clear" w:color="auto" w:fill="CCEEFF"/>
          </w:tcPr>
          <w:p>
            <w:pPr>
              <w:spacing w:after="0" w:line="162" w:lineRule="exact"/>
              <w:rPr>
                <w:rFonts w:ascii="Arial" w:cs="Arial" w:eastAsia="Arial" w:hAnsi="Arial"/>
                <w:sz w:val="18"/>
                <w:szCs w:val="18"/>
                <w:color w:val="0563C1"/>
              </w:rPr>
            </w:pPr>
            <w:hyperlink w:anchor="page8">
              <w:r>
                <w:rPr>
                  <w:rFonts w:ascii="Arial" w:cs="Arial" w:eastAsia="Arial" w:hAnsi="Arial"/>
                  <w:sz w:val="18"/>
                  <w:szCs w:val="18"/>
                  <w:color w:val="0563C1"/>
                </w:rPr>
                <w:t>Consolidated Statements of Cash Flows</w:t>
              </w:r>
            </w:hyperlink>
          </w:p>
        </w:tc>
        <w:tc>
          <w:tcPr>
            <w:tcW w:w="6080" w:type="dxa"/>
            <w:vAlign w:val="bottom"/>
            <w:gridSpan w:val="5"/>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0563C1"/>
            </w:tcBorders>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540" w:type="dxa"/>
            <w:vAlign w:val="bottom"/>
            <w:shd w:val="clear" w:color="auto" w:fill="0563C1"/>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20" w:type="dxa"/>
            <w:vAlign w:val="bottom"/>
            <w:gridSpan w:val="18"/>
          </w:tcPr>
          <w:p>
            <w:pPr>
              <w:spacing w:after="0" w:line="162" w:lineRule="exact"/>
              <w:rPr>
                <w:rFonts w:ascii="Arial" w:cs="Arial" w:eastAsia="Arial" w:hAnsi="Arial"/>
                <w:sz w:val="18"/>
                <w:szCs w:val="18"/>
                <w:color w:val="0563C1"/>
              </w:rPr>
            </w:pPr>
            <w:hyperlink w:anchor="page9">
              <w:r>
                <w:rPr>
                  <w:rFonts w:ascii="Arial" w:cs="Arial" w:eastAsia="Arial" w:hAnsi="Arial"/>
                  <w:sz w:val="18"/>
                  <w:szCs w:val="18"/>
                  <w:color w:val="0563C1"/>
                </w:rPr>
                <w:t>Notes to Consolidated Financial Statements</w:t>
              </w:r>
            </w:hyperlink>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0563C1"/>
            </w:tcBorders>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540" w:type="dxa"/>
            <w:vAlign w:val="bottom"/>
            <w:shd w:val="clear" w:color="auto" w:fill="0563C1"/>
          </w:tcPr>
          <w:p>
            <w:pPr>
              <w:spacing w:after="0"/>
              <w:rPr>
                <w:sz w:val="2"/>
                <w:szCs w:val="2"/>
                <w:color w:val="auto"/>
              </w:rPr>
            </w:pPr>
          </w:p>
        </w:tc>
        <w:tc>
          <w:tcPr>
            <w:tcW w:w="280" w:type="dxa"/>
            <w:vAlign w:val="bottom"/>
            <w:shd w:val="clear" w:color="auto" w:fill="0563C1"/>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rFonts w:ascii="Arial" w:cs="Arial" w:eastAsia="Arial" w:hAnsi="Arial"/>
                <w:sz w:val="18"/>
                <w:szCs w:val="18"/>
                <w:color w:val="0563C1"/>
                <w:w w:val="90"/>
              </w:rPr>
            </w:pPr>
            <w:hyperlink w:anchor="page18">
              <w:r>
                <w:rPr>
                  <w:rFonts w:ascii="Arial" w:cs="Arial" w:eastAsia="Arial" w:hAnsi="Arial"/>
                  <w:sz w:val="18"/>
                  <w:szCs w:val="18"/>
                  <w:color w:val="0563C1"/>
                  <w:w w:val="90"/>
                </w:rPr>
                <w:t>Item 2.</w:t>
              </w:r>
            </w:hyperlink>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6460" w:type="dxa"/>
            <w:vAlign w:val="bottom"/>
            <w:tcBorders>
              <w:bottom w:val="single" w:sz="8" w:color="0563C1"/>
            </w:tcBorders>
            <w:gridSpan w:val="17"/>
            <w:shd w:val="clear" w:color="auto" w:fill="CCEEFF"/>
          </w:tcPr>
          <w:p>
            <w:pPr>
              <w:spacing w:after="0" w:line="162" w:lineRule="exact"/>
              <w:rPr>
                <w:rFonts w:ascii="Arial" w:cs="Arial" w:eastAsia="Arial" w:hAnsi="Arial"/>
                <w:sz w:val="18"/>
                <w:szCs w:val="18"/>
                <w:color w:val="0563C1"/>
                <w:w w:val="90"/>
              </w:rPr>
            </w:pPr>
            <w:hyperlink w:anchor="page18">
              <w:r>
                <w:rPr>
                  <w:rFonts w:ascii="Arial" w:cs="Arial" w:eastAsia="Arial" w:hAnsi="Arial"/>
                  <w:sz w:val="18"/>
                  <w:szCs w:val="18"/>
                  <w:color w:val="0563C1"/>
                  <w:w w:val="90"/>
                </w:rPr>
                <w:t>Management’s Discussion and Analysis of Financial Condition and Results of Operations</w:t>
              </w:r>
            </w:hyperlink>
          </w:p>
        </w:tc>
        <w:tc>
          <w:tcPr>
            <w:tcW w:w="3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tcPr>
          <w:p>
            <w:pPr>
              <w:spacing w:after="0" w:line="162" w:lineRule="exact"/>
              <w:rPr>
                <w:rFonts w:ascii="Arial" w:cs="Arial" w:eastAsia="Arial" w:hAnsi="Arial"/>
                <w:sz w:val="18"/>
                <w:szCs w:val="18"/>
                <w:color w:val="0563C1"/>
                <w:w w:val="90"/>
              </w:rPr>
            </w:pPr>
            <w:hyperlink w:anchor="page26">
              <w:r>
                <w:rPr>
                  <w:rFonts w:ascii="Arial" w:cs="Arial" w:eastAsia="Arial" w:hAnsi="Arial"/>
                  <w:sz w:val="18"/>
                  <w:szCs w:val="18"/>
                  <w:color w:val="0563C1"/>
                  <w:w w:val="90"/>
                </w:rPr>
                <w:t>Item 3.</w:t>
              </w:r>
            </w:hyperlink>
          </w:p>
        </w:tc>
        <w:tc>
          <w:tcPr>
            <w:tcW w:w="460" w:type="dxa"/>
            <w:vAlign w:val="bottom"/>
            <w:gridSpan w:val="3"/>
          </w:tcPr>
          <w:p>
            <w:pPr>
              <w:spacing w:after="0"/>
              <w:rPr>
                <w:sz w:val="14"/>
                <w:szCs w:val="14"/>
                <w:color w:val="auto"/>
              </w:rPr>
            </w:pPr>
          </w:p>
        </w:tc>
        <w:tc>
          <w:tcPr>
            <w:tcW w:w="4360" w:type="dxa"/>
            <w:vAlign w:val="bottom"/>
            <w:tcBorders>
              <w:bottom w:val="single" w:sz="8" w:color="0563C1"/>
            </w:tcBorders>
            <w:gridSpan w:val="16"/>
          </w:tcPr>
          <w:p>
            <w:pPr>
              <w:spacing w:after="0" w:line="162" w:lineRule="exact"/>
              <w:rPr>
                <w:rFonts w:ascii="Arial" w:cs="Arial" w:eastAsia="Arial" w:hAnsi="Arial"/>
                <w:sz w:val="18"/>
                <w:szCs w:val="18"/>
                <w:color w:val="0563C1"/>
                <w:w w:val="92"/>
              </w:rPr>
            </w:pPr>
            <w:hyperlink w:anchor="page26">
              <w:r>
                <w:rPr>
                  <w:rFonts w:ascii="Arial" w:cs="Arial" w:eastAsia="Arial" w:hAnsi="Arial"/>
                  <w:sz w:val="18"/>
                  <w:szCs w:val="18"/>
                  <w:color w:val="0563C1"/>
                  <w:w w:val="92"/>
                </w:rPr>
                <w:t>Quantitative and Qualitative Disclosures About Market Risk</w:t>
              </w:r>
            </w:hyperlink>
          </w:p>
        </w:tc>
        <w:tc>
          <w:tcPr>
            <w:tcW w:w="5260" w:type="dxa"/>
            <w:vAlign w:val="bottom"/>
            <w:gridSpan w:val="2"/>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CCEEFF"/>
          </w:tcPr>
          <w:p>
            <w:pPr>
              <w:spacing w:after="0" w:line="162" w:lineRule="exact"/>
              <w:rPr>
                <w:rFonts w:ascii="Arial" w:cs="Arial" w:eastAsia="Arial" w:hAnsi="Arial"/>
                <w:sz w:val="18"/>
                <w:szCs w:val="18"/>
                <w:color w:val="0563C1"/>
                <w:w w:val="90"/>
              </w:rPr>
            </w:pPr>
            <w:hyperlink w:anchor="page26">
              <w:r>
                <w:rPr>
                  <w:rFonts w:ascii="Arial" w:cs="Arial" w:eastAsia="Arial" w:hAnsi="Arial"/>
                  <w:sz w:val="18"/>
                  <w:szCs w:val="18"/>
                  <w:color w:val="0563C1"/>
                  <w:w w:val="90"/>
                </w:rPr>
                <w:t>Item 4.</w:t>
              </w:r>
            </w:hyperlink>
          </w:p>
        </w:tc>
        <w:tc>
          <w:tcPr>
            <w:tcW w:w="460" w:type="dxa"/>
            <w:vAlign w:val="bottom"/>
            <w:gridSpan w:val="3"/>
            <w:shd w:val="clear" w:color="auto" w:fill="CCEEFF"/>
          </w:tcPr>
          <w:p>
            <w:pPr>
              <w:spacing w:after="0"/>
              <w:rPr>
                <w:sz w:val="14"/>
                <w:szCs w:val="14"/>
                <w:color w:val="auto"/>
              </w:rPr>
            </w:pPr>
          </w:p>
        </w:tc>
        <w:tc>
          <w:tcPr>
            <w:tcW w:w="9620" w:type="dxa"/>
            <w:vAlign w:val="bottom"/>
            <w:gridSpan w:val="18"/>
            <w:shd w:val="clear" w:color="auto" w:fill="CCEEFF"/>
          </w:tcPr>
          <w:p>
            <w:pPr>
              <w:spacing w:after="0" w:line="162" w:lineRule="exact"/>
              <w:rPr>
                <w:rFonts w:ascii="Arial" w:cs="Arial" w:eastAsia="Arial" w:hAnsi="Arial"/>
                <w:sz w:val="18"/>
                <w:szCs w:val="18"/>
                <w:color w:val="0563C1"/>
              </w:rPr>
            </w:pPr>
            <w:hyperlink w:anchor="page26">
              <w:r>
                <w:rPr>
                  <w:rFonts w:ascii="Arial" w:cs="Arial" w:eastAsia="Arial" w:hAnsi="Arial"/>
                  <w:sz w:val="18"/>
                  <w:szCs w:val="18"/>
                  <w:color w:val="0563C1"/>
                </w:rPr>
                <w:t>Controls and Procedures</w:t>
              </w:r>
            </w:hyperlink>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CCEEFF"/>
            </w:tcBorders>
            <w:shd w:val="clear" w:color="auto" w:fill="0563C1"/>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780" w:type="dxa"/>
            <w:vAlign w:val="bottom"/>
            <w:tcBorders>
              <w:bottom w:val="single" w:sz="8" w:color="0563C1"/>
            </w:tcBorders>
            <w:gridSpan w:val="11"/>
          </w:tcPr>
          <w:p>
            <w:pPr>
              <w:spacing w:after="0" w:line="162" w:lineRule="exact"/>
              <w:rPr>
                <w:rFonts w:ascii="Arial" w:cs="Arial" w:eastAsia="Arial" w:hAnsi="Arial"/>
                <w:sz w:val="18"/>
                <w:szCs w:val="18"/>
                <w:b w:val="1"/>
                <w:bCs w:val="1"/>
                <w:color w:val="0563C1"/>
              </w:rPr>
            </w:pPr>
            <w:hyperlink w:anchor="page26">
              <w:r>
                <w:rPr>
                  <w:rFonts w:ascii="Arial" w:cs="Arial" w:eastAsia="Arial" w:hAnsi="Arial"/>
                  <w:sz w:val="18"/>
                  <w:szCs w:val="18"/>
                  <w:b w:val="1"/>
                  <w:bCs w:val="1"/>
                  <w:color w:val="0563C1"/>
                </w:rPr>
                <w:t>PART II. OTHER INFORMATION</w:t>
              </w:r>
            </w:hyperlink>
          </w:p>
        </w:tc>
        <w:tc>
          <w:tcPr>
            <w:tcW w:w="7820" w:type="dxa"/>
            <w:vAlign w:val="bottom"/>
            <w:gridSpan w:val="11"/>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rFonts w:ascii="Arial" w:cs="Arial" w:eastAsia="Arial" w:hAnsi="Arial"/>
                <w:sz w:val="18"/>
                <w:szCs w:val="18"/>
                <w:color w:val="0563C1"/>
                <w:w w:val="90"/>
              </w:rPr>
            </w:pPr>
            <w:hyperlink w:anchor="page26">
              <w:r>
                <w:rPr>
                  <w:rFonts w:ascii="Arial" w:cs="Arial" w:eastAsia="Arial" w:hAnsi="Arial"/>
                  <w:sz w:val="18"/>
                  <w:szCs w:val="18"/>
                  <w:color w:val="0563C1"/>
                  <w:w w:val="90"/>
                </w:rPr>
                <w:t>Item 1.</w:t>
              </w:r>
            </w:hyperlink>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1340" w:type="dxa"/>
            <w:vAlign w:val="bottom"/>
            <w:tcBorders>
              <w:bottom w:val="single" w:sz="8" w:color="0563C1"/>
            </w:tcBorders>
            <w:gridSpan w:val="5"/>
            <w:shd w:val="clear" w:color="auto" w:fill="CCEEFF"/>
          </w:tcPr>
          <w:p>
            <w:pPr>
              <w:spacing w:after="0" w:line="162" w:lineRule="exact"/>
              <w:rPr>
                <w:rFonts w:ascii="Arial" w:cs="Arial" w:eastAsia="Arial" w:hAnsi="Arial"/>
                <w:sz w:val="18"/>
                <w:szCs w:val="18"/>
                <w:color w:val="0563C1"/>
                <w:w w:val="88"/>
              </w:rPr>
            </w:pPr>
            <w:hyperlink w:anchor="page26">
              <w:r>
                <w:rPr>
                  <w:rFonts w:ascii="Arial" w:cs="Arial" w:eastAsia="Arial" w:hAnsi="Arial"/>
                  <w:sz w:val="18"/>
                  <w:szCs w:val="18"/>
                  <w:color w:val="0563C1"/>
                  <w:w w:val="88"/>
                </w:rPr>
                <w:t>Legal Proceedings</w:t>
              </w:r>
            </w:hyperlink>
          </w:p>
        </w:tc>
        <w:tc>
          <w:tcPr>
            <w:tcW w:w="8280" w:type="dxa"/>
            <w:vAlign w:val="bottom"/>
            <w:tcBorders>
              <w:bottom w:val="single" w:sz="8" w:color="CCEEFF"/>
            </w:tcBorders>
            <w:gridSpan w:val="13"/>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4"/>
          </w:tcPr>
          <w:p>
            <w:pPr>
              <w:spacing w:after="0" w:line="162" w:lineRule="exact"/>
              <w:rPr>
                <w:rFonts w:ascii="Arial" w:cs="Arial" w:eastAsia="Arial" w:hAnsi="Arial"/>
                <w:sz w:val="18"/>
                <w:szCs w:val="18"/>
                <w:color w:val="0563C1"/>
              </w:rPr>
            </w:pPr>
            <w:hyperlink w:anchor="page27">
              <w:r>
                <w:rPr>
                  <w:rFonts w:ascii="Arial" w:cs="Arial" w:eastAsia="Arial" w:hAnsi="Arial"/>
                  <w:sz w:val="18"/>
                  <w:szCs w:val="18"/>
                  <w:color w:val="0563C1"/>
                </w:rPr>
                <w:t>Item 1A.</w:t>
              </w:r>
            </w:hyperlink>
          </w:p>
        </w:tc>
        <w:tc>
          <w:tcPr>
            <w:tcW w:w="9620" w:type="dxa"/>
            <w:vAlign w:val="bottom"/>
            <w:gridSpan w:val="18"/>
          </w:tcPr>
          <w:p>
            <w:pPr>
              <w:spacing w:after="0" w:line="162" w:lineRule="exact"/>
              <w:rPr>
                <w:rFonts w:ascii="Arial" w:cs="Arial" w:eastAsia="Arial" w:hAnsi="Arial"/>
                <w:sz w:val="18"/>
                <w:szCs w:val="18"/>
                <w:color w:val="0563C1"/>
              </w:rPr>
            </w:pPr>
            <w:hyperlink w:anchor="page27">
              <w:r>
                <w:rPr>
                  <w:rFonts w:ascii="Arial" w:cs="Arial" w:eastAsia="Arial" w:hAnsi="Arial"/>
                  <w:sz w:val="18"/>
                  <w:szCs w:val="18"/>
                  <w:color w:val="0563C1"/>
                </w:rPr>
                <w:t>Risk Factors</w:t>
              </w:r>
            </w:hyperlink>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shd w:val="clear" w:color="auto" w:fill="0563C1"/>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shd w:val="clear" w:color="auto" w:fill="CCEEFF"/>
          </w:tcPr>
          <w:p>
            <w:pPr>
              <w:spacing w:after="0" w:line="162" w:lineRule="exact"/>
              <w:rPr>
                <w:rFonts w:ascii="Arial" w:cs="Arial" w:eastAsia="Arial" w:hAnsi="Arial"/>
                <w:sz w:val="18"/>
                <w:szCs w:val="18"/>
                <w:color w:val="0563C1"/>
                <w:w w:val="90"/>
              </w:rPr>
            </w:pPr>
            <w:hyperlink w:anchor="page27">
              <w:r>
                <w:rPr>
                  <w:rFonts w:ascii="Arial" w:cs="Arial" w:eastAsia="Arial" w:hAnsi="Arial"/>
                  <w:sz w:val="18"/>
                  <w:szCs w:val="18"/>
                  <w:color w:val="0563C1"/>
                  <w:w w:val="90"/>
                </w:rPr>
                <w:t>Item 2.</w:t>
              </w:r>
            </w:hyperlink>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spacing w:after="0"/>
              <w:rPr>
                <w:sz w:val="14"/>
                <w:szCs w:val="14"/>
                <w:color w:val="auto"/>
              </w:rPr>
            </w:pPr>
          </w:p>
        </w:tc>
        <w:tc>
          <w:tcPr>
            <w:tcW w:w="9620" w:type="dxa"/>
            <w:vAlign w:val="bottom"/>
            <w:gridSpan w:val="18"/>
            <w:shd w:val="clear" w:color="auto" w:fill="CCEEFF"/>
          </w:tcPr>
          <w:p>
            <w:pPr>
              <w:spacing w:after="0" w:line="162" w:lineRule="exact"/>
              <w:rPr>
                <w:rFonts w:ascii="Arial" w:cs="Arial" w:eastAsia="Arial" w:hAnsi="Arial"/>
                <w:sz w:val="18"/>
                <w:szCs w:val="18"/>
                <w:color w:val="0563C1"/>
              </w:rPr>
            </w:pPr>
            <w:hyperlink w:anchor="page27">
              <w:r>
                <w:rPr>
                  <w:rFonts w:ascii="Arial" w:cs="Arial" w:eastAsia="Arial" w:hAnsi="Arial"/>
                  <w:sz w:val="18"/>
                  <w:szCs w:val="18"/>
                  <w:color w:val="0563C1"/>
                </w:rPr>
                <w:t>Unregistered Sales of Equity Securities and Use of Proceeds</w:t>
              </w:r>
            </w:hyperlink>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tcBorders>
          </w:tcPr>
          <w:p>
            <w:pPr>
              <w:spacing w:after="0" w:line="162" w:lineRule="exact"/>
              <w:rPr>
                <w:rFonts w:ascii="Arial" w:cs="Arial" w:eastAsia="Arial" w:hAnsi="Arial"/>
                <w:sz w:val="18"/>
                <w:szCs w:val="18"/>
                <w:color w:val="0563C1"/>
                <w:w w:val="90"/>
              </w:rPr>
            </w:pPr>
            <w:hyperlink w:anchor="page27">
              <w:r>
                <w:rPr>
                  <w:rFonts w:ascii="Arial" w:cs="Arial" w:eastAsia="Arial" w:hAnsi="Arial"/>
                  <w:sz w:val="18"/>
                  <w:szCs w:val="18"/>
                  <w:color w:val="0563C1"/>
                  <w:w w:val="90"/>
                </w:rPr>
                <w:t>Item 3.</w:t>
              </w:r>
            </w:hyperlink>
          </w:p>
        </w:tc>
        <w:tc>
          <w:tcPr>
            <w:tcW w:w="460" w:type="dxa"/>
            <w:vAlign w:val="bottom"/>
            <w:tcBorders>
              <w:top w:val="single" w:sz="8" w:color="CCEEFF"/>
            </w:tcBorders>
            <w:gridSpan w:val="3"/>
          </w:tcPr>
          <w:p>
            <w:pPr>
              <w:spacing w:after="0"/>
              <w:rPr>
                <w:sz w:val="14"/>
                <w:szCs w:val="14"/>
                <w:color w:val="auto"/>
              </w:rPr>
            </w:pPr>
          </w:p>
        </w:tc>
        <w:tc>
          <w:tcPr>
            <w:tcW w:w="4340" w:type="dxa"/>
            <w:vAlign w:val="bottom"/>
            <w:tcBorders>
              <w:top w:val="single" w:sz="8" w:color="0563C1"/>
            </w:tcBorders>
            <w:gridSpan w:val="15"/>
          </w:tcPr>
          <w:p>
            <w:pPr>
              <w:spacing w:after="0" w:line="162" w:lineRule="exact"/>
              <w:rPr>
                <w:rFonts w:ascii="Arial" w:cs="Arial" w:eastAsia="Arial" w:hAnsi="Arial"/>
                <w:sz w:val="18"/>
                <w:szCs w:val="18"/>
                <w:color w:val="0563C1"/>
              </w:rPr>
            </w:pPr>
            <w:hyperlink w:anchor="page27">
              <w:r>
                <w:rPr>
                  <w:rFonts w:ascii="Arial" w:cs="Arial" w:eastAsia="Arial" w:hAnsi="Arial"/>
                  <w:sz w:val="18"/>
                  <w:szCs w:val="18"/>
                  <w:color w:val="0563C1"/>
                </w:rPr>
                <w:t>Defaults Upon Senior Securities</w:t>
              </w:r>
            </w:hyperlink>
          </w:p>
        </w:tc>
        <w:tc>
          <w:tcPr>
            <w:tcW w:w="5280" w:type="dxa"/>
            <w:vAlign w:val="bottom"/>
            <w:tcBorders>
              <w:top w:val="single" w:sz="8" w:color="CCEEFF"/>
            </w:tcBorders>
            <w:gridSpan w:val="3"/>
          </w:tcPr>
          <w:p>
            <w:pPr>
              <w:spacing w:after="0"/>
              <w:rPr>
                <w:sz w:val="14"/>
                <w:szCs w:val="14"/>
                <w:color w:val="auto"/>
              </w:rPr>
            </w:pPr>
          </w:p>
        </w:tc>
        <w:tc>
          <w:tcPr>
            <w:tcW w:w="64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tcBorders>
            <w:shd w:val="clear" w:color="auto" w:fill="CCEEFF"/>
          </w:tcPr>
          <w:p>
            <w:pPr>
              <w:spacing w:after="0" w:line="162" w:lineRule="exact"/>
              <w:rPr>
                <w:rFonts w:ascii="Arial" w:cs="Arial" w:eastAsia="Arial" w:hAnsi="Arial"/>
                <w:sz w:val="18"/>
                <w:szCs w:val="18"/>
                <w:color w:val="0563C1"/>
                <w:w w:val="90"/>
              </w:rPr>
            </w:pPr>
            <w:hyperlink w:anchor="page27">
              <w:r>
                <w:rPr>
                  <w:rFonts w:ascii="Arial" w:cs="Arial" w:eastAsia="Arial" w:hAnsi="Arial"/>
                  <w:sz w:val="18"/>
                  <w:szCs w:val="18"/>
                  <w:color w:val="0563C1"/>
                  <w:w w:val="90"/>
                </w:rPr>
                <w:t>Item 4.</w:t>
              </w:r>
            </w:hyperlink>
          </w:p>
        </w:tc>
        <w:tc>
          <w:tcPr>
            <w:tcW w:w="460" w:type="dxa"/>
            <w:vAlign w:val="bottom"/>
            <w:gridSpan w:val="3"/>
            <w:shd w:val="clear" w:color="auto" w:fill="CCEEFF"/>
          </w:tcPr>
          <w:p>
            <w:pPr>
              <w:spacing w:after="0"/>
              <w:rPr>
                <w:sz w:val="14"/>
                <w:szCs w:val="14"/>
                <w:color w:val="auto"/>
              </w:rPr>
            </w:pPr>
          </w:p>
        </w:tc>
        <w:tc>
          <w:tcPr>
            <w:tcW w:w="2320" w:type="dxa"/>
            <w:vAlign w:val="bottom"/>
            <w:tcBorders>
              <w:top w:val="single" w:sz="8" w:color="0563C1"/>
            </w:tcBorders>
            <w:gridSpan w:val="10"/>
            <w:shd w:val="clear" w:color="auto" w:fill="CCEEFF"/>
          </w:tcPr>
          <w:p>
            <w:pPr>
              <w:spacing w:after="0" w:line="162" w:lineRule="exact"/>
              <w:rPr>
                <w:rFonts w:ascii="Arial" w:cs="Arial" w:eastAsia="Arial" w:hAnsi="Arial"/>
                <w:sz w:val="18"/>
                <w:szCs w:val="18"/>
                <w:color w:val="0563C1"/>
              </w:rPr>
            </w:pPr>
            <w:hyperlink w:anchor="page27">
              <w:r>
                <w:rPr>
                  <w:rFonts w:ascii="Arial" w:cs="Arial" w:eastAsia="Arial" w:hAnsi="Arial"/>
                  <w:sz w:val="18"/>
                  <w:szCs w:val="18"/>
                  <w:color w:val="0563C1"/>
                </w:rPr>
                <w:t>Mine Safety Disclosures</w:t>
              </w:r>
            </w:hyperlink>
          </w:p>
        </w:tc>
        <w:tc>
          <w:tcPr>
            <w:tcW w:w="7300" w:type="dxa"/>
            <w:vAlign w:val="bottom"/>
            <w:gridSpan w:val="8"/>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bottom w:val="single" w:sz="8" w:color="0563C1"/>
            </w:tcBorders>
          </w:tcPr>
          <w:p>
            <w:pPr>
              <w:spacing w:after="0" w:line="162" w:lineRule="exact"/>
              <w:rPr>
                <w:rFonts w:ascii="Arial" w:cs="Arial" w:eastAsia="Arial" w:hAnsi="Arial"/>
                <w:sz w:val="18"/>
                <w:szCs w:val="18"/>
                <w:color w:val="0563C1"/>
                <w:w w:val="90"/>
              </w:rPr>
            </w:pPr>
            <w:hyperlink w:anchor="page27">
              <w:r>
                <w:rPr>
                  <w:rFonts w:ascii="Arial" w:cs="Arial" w:eastAsia="Arial" w:hAnsi="Arial"/>
                  <w:sz w:val="18"/>
                  <w:szCs w:val="18"/>
                  <w:color w:val="0563C1"/>
                  <w:w w:val="90"/>
                </w:rPr>
                <w:t>Item 5.</w:t>
              </w:r>
            </w:hyperlink>
          </w:p>
        </w:tc>
        <w:tc>
          <w:tcPr>
            <w:tcW w:w="460" w:type="dxa"/>
            <w:vAlign w:val="bottom"/>
            <w:tcBorders>
              <w:top w:val="single" w:sz="8" w:color="CCEEFF"/>
            </w:tcBorders>
            <w:gridSpan w:val="3"/>
          </w:tcPr>
          <w:p>
            <w:pPr>
              <w:spacing w:after="0"/>
              <w:rPr>
                <w:sz w:val="14"/>
                <w:szCs w:val="14"/>
                <w:color w:val="auto"/>
              </w:rPr>
            </w:pPr>
          </w:p>
        </w:tc>
        <w:tc>
          <w:tcPr>
            <w:tcW w:w="1320" w:type="dxa"/>
            <w:vAlign w:val="bottom"/>
            <w:tcBorders>
              <w:top w:val="single" w:sz="8" w:color="0563C1"/>
              <w:bottom w:val="single" w:sz="8" w:color="0563C1"/>
            </w:tcBorders>
            <w:gridSpan w:val="4"/>
          </w:tcPr>
          <w:p>
            <w:pPr>
              <w:spacing w:after="0" w:line="162" w:lineRule="exact"/>
              <w:rPr>
                <w:rFonts w:ascii="Arial" w:cs="Arial" w:eastAsia="Arial" w:hAnsi="Arial"/>
                <w:sz w:val="18"/>
                <w:szCs w:val="18"/>
                <w:color w:val="0563C1"/>
                <w:w w:val="92"/>
              </w:rPr>
            </w:pPr>
            <w:hyperlink w:anchor="page27">
              <w:r>
                <w:rPr>
                  <w:rFonts w:ascii="Arial" w:cs="Arial" w:eastAsia="Arial" w:hAnsi="Arial"/>
                  <w:sz w:val="18"/>
                  <w:szCs w:val="18"/>
                  <w:color w:val="0563C1"/>
                  <w:w w:val="92"/>
                </w:rPr>
                <w:t>Other Information</w:t>
              </w:r>
            </w:hyperlink>
          </w:p>
        </w:tc>
        <w:tc>
          <w:tcPr>
            <w:tcW w:w="480" w:type="dxa"/>
            <w:vAlign w:val="bottom"/>
            <w:tcBorders>
              <w:top w:val="single" w:sz="8" w:color="0563C1"/>
            </w:tcBorders>
            <w:gridSpan w:val="3"/>
          </w:tcPr>
          <w:p>
            <w:pPr>
              <w:spacing w:after="0"/>
              <w:rPr>
                <w:sz w:val="14"/>
                <w:szCs w:val="14"/>
                <w:color w:val="auto"/>
              </w:rPr>
            </w:pPr>
          </w:p>
        </w:tc>
        <w:tc>
          <w:tcPr>
            <w:tcW w:w="7820" w:type="dxa"/>
            <w:vAlign w:val="bottom"/>
            <w:tcBorders>
              <w:top w:val="single" w:sz="8" w:color="CCEEFF"/>
            </w:tcBorders>
            <w:gridSpan w:val="11"/>
          </w:tcPr>
          <w:p>
            <w:pPr>
              <w:spacing w:after="0"/>
              <w:rPr>
                <w:sz w:val="14"/>
                <w:szCs w:val="14"/>
                <w:color w:val="auto"/>
              </w:rPr>
            </w:pPr>
          </w:p>
        </w:tc>
        <w:tc>
          <w:tcPr>
            <w:tcW w:w="64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rFonts w:ascii="Arial" w:cs="Arial" w:eastAsia="Arial" w:hAnsi="Arial"/>
                <w:sz w:val="18"/>
                <w:szCs w:val="18"/>
                <w:color w:val="0563C1"/>
                <w:w w:val="90"/>
              </w:rPr>
            </w:pPr>
            <w:hyperlink w:anchor="page30">
              <w:r>
                <w:rPr>
                  <w:rFonts w:ascii="Arial" w:cs="Arial" w:eastAsia="Arial" w:hAnsi="Arial"/>
                  <w:sz w:val="18"/>
                  <w:szCs w:val="18"/>
                  <w:color w:val="0563C1"/>
                  <w:w w:val="90"/>
                </w:rPr>
                <w:t>Item 6.</w:t>
              </w:r>
            </w:hyperlink>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600" w:type="dxa"/>
            <w:vAlign w:val="bottom"/>
            <w:tcBorders>
              <w:bottom w:val="single" w:sz="8" w:color="0563C1"/>
            </w:tcBorders>
            <w:gridSpan w:val="2"/>
            <w:shd w:val="clear" w:color="auto" w:fill="CCEEFF"/>
          </w:tcPr>
          <w:p>
            <w:pPr>
              <w:spacing w:after="0" w:line="162" w:lineRule="exact"/>
              <w:rPr>
                <w:rFonts w:ascii="Arial" w:cs="Arial" w:eastAsia="Arial" w:hAnsi="Arial"/>
                <w:sz w:val="18"/>
                <w:szCs w:val="18"/>
                <w:color w:val="0563C1"/>
                <w:w w:val="91"/>
              </w:rPr>
            </w:pPr>
            <w:hyperlink w:anchor="page30">
              <w:r>
                <w:rPr>
                  <w:rFonts w:ascii="Arial" w:cs="Arial" w:eastAsia="Arial" w:hAnsi="Arial"/>
                  <w:sz w:val="18"/>
                  <w:szCs w:val="18"/>
                  <w:color w:val="0563C1"/>
                  <w:w w:val="91"/>
                </w:rPr>
                <w:t>Exhibits</w:t>
              </w:r>
            </w:hyperlink>
          </w:p>
        </w:tc>
        <w:tc>
          <w:tcPr>
            <w:tcW w:w="9020" w:type="dxa"/>
            <w:vAlign w:val="bottom"/>
            <w:tcBorders>
              <w:bottom w:val="single" w:sz="8" w:color="CCEEFF"/>
            </w:tcBorders>
            <w:gridSpan w:val="16"/>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4"/>
          </w:tcPr>
          <w:p>
            <w:pPr>
              <w:spacing w:after="0" w:line="162" w:lineRule="exact"/>
              <w:rPr>
                <w:rFonts w:ascii="Arial" w:cs="Arial" w:eastAsia="Arial" w:hAnsi="Arial"/>
                <w:sz w:val="18"/>
                <w:szCs w:val="18"/>
                <w:color w:val="0563C1"/>
              </w:rPr>
            </w:pPr>
            <w:hyperlink w:anchor="page30">
              <w:r>
                <w:rPr>
                  <w:rFonts w:ascii="Arial" w:cs="Arial" w:eastAsia="Arial" w:hAnsi="Arial"/>
                  <w:sz w:val="18"/>
                  <w:szCs w:val="18"/>
                  <w:color w:val="0563C1"/>
                </w:rPr>
                <w:t>Signatures</w:t>
              </w:r>
            </w:hyperlink>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360" w:type="dxa"/>
            <w:vAlign w:val="bottom"/>
            <w:shd w:val="clear" w:color="auto" w:fill="0563C1"/>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13"/>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7"/>
        </w:trPr>
        <w:tc>
          <w:tcPr>
            <w:tcW w:w="1360" w:type="dxa"/>
            <w:vAlign w:val="bottom"/>
          </w:tcPr>
          <w:p>
            <w:pPr>
              <w:spacing w:after="0"/>
              <w:rPr>
                <w:sz w:val="24"/>
                <w:szCs w:val="24"/>
                <w:color w:val="auto"/>
              </w:rPr>
            </w:pPr>
          </w:p>
        </w:tc>
        <w:tc>
          <w:tcPr>
            <w:tcW w:w="7000" w:type="dxa"/>
            <w:vAlign w:val="bottom"/>
          </w:tcPr>
          <w:p>
            <w:pPr>
              <w:ind w:left="2680"/>
              <w:spacing w:after="0"/>
              <w:rPr>
                <w:sz w:val="20"/>
                <w:szCs w:val="20"/>
                <w:color w:val="auto"/>
              </w:rPr>
            </w:pPr>
            <w:r>
              <w:rPr>
                <w:rFonts w:ascii="Arial" w:cs="Arial" w:eastAsia="Arial" w:hAnsi="Arial"/>
                <w:sz w:val="18"/>
                <w:szCs w:val="18"/>
                <w:b w:val="1"/>
                <w:bCs w:val="1"/>
                <w:color w:val="auto"/>
              </w:rPr>
              <w:t>Tile Shop Holdings, Inc. and Subsidiaries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7000" w:type="dxa"/>
            <w:vAlign w:val="bottom"/>
          </w:tcPr>
          <w:p>
            <w:pPr>
              <w:ind w:left="3220"/>
              <w:spacing w:after="0" w:line="189" w:lineRule="exact"/>
              <w:rPr>
                <w:sz w:val="20"/>
                <w:szCs w:val="20"/>
                <w:color w:val="auto"/>
              </w:rPr>
            </w:pPr>
            <w:r>
              <w:rPr>
                <w:rFonts w:ascii="Arial" w:cs="Arial" w:eastAsia="Arial" w:hAnsi="Arial"/>
                <w:sz w:val="18"/>
                <w:szCs w:val="18"/>
                <w:color w:val="auto"/>
              </w:rPr>
              <w:t>Consolidated Balance Sheets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0"/>
        </w:trPr>
        <w:tc>
          <w:tcPr>
            <w:tcW w:w="1360" w:type="dxa"/>
            <w:vAlign w:val="bottom"/>
          </w:tcPr>
          <w:p>
            <w:pPr>
              <w:spacing w:after="0"/>
              <w:rPr>
                <w:sz w:val="20"/>
                <w:szCs w:val="20"/>
                <w:color w:val="auto"/>
              </w:rPr>
            </w:pPr>
          </w:p>
        </w:tc>
        <w:tc>
          <w:tcPr>
            <w:tcW w:w="7000" w:type="dxa"/>
            <w:vAlign w:val="bottom"/>
          </w:tcPr>
          <w:p>
            <w:pPr>
              <w:ind w:left="2660"/>
              <w:spacing w:after="0"/>
              <w:rPr>
                <w:sz w:val="20"/>
                <w:szCs w:val="20"/>
                <w:color w:val="auto"/>
              </w:rPr>
            </w:pPr>
            <w:r>
              <w:rPr>
                <w:rFonts w:ascii="Arial" w:cs="Arial" w:eastAsia="Arial" w:hAnsi="Arial"/>
                <w:sz w:val="18"/>
                <w:szCs w:val="18"/>
                <w:color w:val="auto"/>
              </w:rPr>
              <w:t>(dollars in thousands, except per share data)</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1"/>
        </w:trPr>
        <w:tc>
          <w:tcPr>
            <w:tcW w:w="13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June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8"/>
              </w:rPr>
              <w:t>December 31,</w:t>
            </w:r>
          </w:p>
        </w:tc>
      </w:tr>
      <w:tr>
        <w:trPr>
          <w:trHeight w:val="189"/>
        </w:trPr>
        <w:tc>
          <w:tcPr>
            <w:tcW w:w="136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89"/>
              </w:rPr>
              <w:t>2021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89"/>
              </w:rPr>
              <w:t>2020</w:t>
            </w:r>
          </w:p>
        </w:tc>
      </w:tr>
      <w:tr>
        <w:trPr>
          <w:trHeight w:val="217"/>
        </w:trPr>
        <w:tc>
          <w:tcPr>
            <w:tcW w:w="13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(unaudited)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0"/>
              </w:rPr>
              <w:t>(audited)</w:t>
            </w:r>
          </w:p>
        </w:tc>
      </w:tr>
      <w:tr>
        <w:trPr>
          <w:trHeight w:val="183"/>
        </w:trPr>
        <w:tc>
          <w:tcPr>
            <w:tcW w:w="83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44,750</w:t>
            </w:r>
          </w:p>
        </w:tc>
        <w:tc>
          <w:tcPr>
            <w:tcW w:w="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9,617</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655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655</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Receivables, net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3,273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2,975</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68,933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74,296</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tax receivable</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8,911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8,116</w:t>
            </w:r>
          </w:p>
        </w:tc>
      </w:tr>
      <w:tr>
        <w:trPr>
          <w:trHeight w:val="189"/>
        </w:trPr>
        <w:tc>
          <w:tcPr>
            <w:tcW w:w="836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Other current assets, net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7,061</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8,995</w:t>
            </w:r>
          </w:p>
        </w:tc>
      </w:tr>
      <w:tr>
        <w:trPr>
          <w:trHeight w:val="183"/>
        </w:trPr>
        <w:tc>
          <w:tcPr>
            <w:tcW w:w="83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133,583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104,654</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91,376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99,035</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Right of use asset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124,771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132,374</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5,515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5,341</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1,200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1,286</w:t>
            </w:r>
          </w:p>
        </w:tc>
      </w:tr>
      <w:tr>
        <w:trPr>
          <w:trHeight w:val="22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356,445</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342,690</w:t>
            </w:r>
          </w:p>
        </w:tc>
      </w:tr>
      <w:tr>
        <w:trPr>
          <w:trHeight w:val="169"/>
        </w:trPr>
        <w:tc>
          <w:tcPr>
            <w:tcW w:w="1360" w:type="dxa"/>
            <w:vAlign w:val="bottom"/>
            <w:shd w:val="clear" w:color="auto" w:fill="CCEEFF"/>
          </w:tcPr>
          <w:p>
            <w:pPr>
              <w:spacing w:after="0"/>
              <w:rPr>
                <w:sz w:val="14"/>
                <w:szCs w:val="14"/>
                <w:color w:val="auto"/>
              </w:rPr>
            </w:pPr>
          </w:p>
        </w:tc>
        <w:tc>
          <w:tcPr>
            <w:tcW w:w="7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Accounts payable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16,002</w:t>
            </w:r>
          </w:p>
        </w:tc>
        <w:tc>
          <w:tcPr>
            <w:tcW w:w="80" w:type="dxa"/>
            <w:vAlign w:val="bottom"/>
          </w:tcPr>
          <w:p>
            <w:pPr>
              <w:spacing w:after="0"/>
              <w:rPr>
                <w:sz w:val="16"/>
                <w:szCs w:val="16"/>
                <w:color w:val="auto"/>
              </w:rPr>
            </w:pPr>
          </w:p>
        </w:tc>
        <w:tc>
          <w:tcPr>
            <w:tcW w:w="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15,382</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tax payable</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Current portion of lease liability</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28,640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27,223</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42,708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34,106</w:t>
            </w:r>
          </w:p>
        </w:tc>
      </w:tr>
      <w:tr>
        <w:trPr>
          <w:trHeight w:val="182"/>
        </w:trPr>
        <w:tc>
          <w:tcPr>
            <w:tcW w:w="8360" w:type="dxa"/>
            <w:vAlign w:val="bottom"/>
            <w:gridSpan w:val="2"/>
          </w:tcPr>
          <w:p>
            <w:pPr>
              <w:spacing w:after="0" w:line="182"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87,478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76,804</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Long-term lease liability, net</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113,234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122,678</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5,275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4,146</w:t>
            </w:r>
          </w:p>
        </w:tc>
      </w:tr>
      <w:tr>
        <w:trPr>
          <w:trHeight w:val="18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205,987</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203,628</w:t>
            </w:r>
          </w:p>
        </w:tc>
      </w:tr>
      <w:tr>
        <w:trPr>
          <w:trHeight w:val="183"/>
        </w:trPr>
        <w:tc>
          <w:tcPr>
            <w:tcW w:w="1360" w:type="dxa"/>
            <w:vAlign w:val="bottom"/>
            <w:shd w:val="clear" w:color="auto" w:fill="CCEEFF"/>
          </w:tcPr>
          <w:p>
            <w:pPr>
              <w:spacing w:after="0"/>
              <w:rPr>
                <w:sz w:val="15"/>
                <w:szCs w:val="15"/>
                <w:color w:val="auto"/>
              </w:rPr>
            </w:pPr>
          </w:p>
        </w:tc>
        <w:tc>
          <w:tcPr>
            <w:tcW w:w="7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61"/>
        </w:trPr>
        <w:tc>
          <w:tcPr>
            <w:tcW w:w="8360" w:type="dxa"/>
            <w:vAlign w:val="bottom"/>
            <w:gridSpan w:val="2"/>
            <w:shd w:val="clear" w:color="auto" w:fill="CCEEFF"/>
          </w:tcPr>
          <w:p>
            <w:pPr>
              <w:spacing w:after="0" w:line="161" w:lineRule="exact"/>
              <w:rPr>
                <w:sz w:val="20"/>
                <w:szCs w:val="20"/>
                <w:color w:val="auto"/>
              </w:rPr>
            </w:pPr>
            <w:r>
              <w:rPr>
                <w:rFonts w:ascii="Arial" w:cs="Arial" w:eastAsia="Arial" w:hAnsi="Arial"/>
                <w:sz w:val="18"/>
                <w:szCs w:val="18"/>
                <w:color w:val="auto"/>
                <w:w w:val="96"/>
              </w:rPr>
              <w:t>Common stock, par value $0.0001; authorized: 100,000,000 shares; issued and outstanding: 51,912,689 and</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17"/>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51,701,080 shares, respectively</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Preferred stock, par value $0.0001; authorized: 10,000,000 shares; issued and outstanding: 0 shares</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159,149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158,556</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6"/>
                <w:szCs w:val="16"/>
                <w:color w:val="auto"/>
              </w:rPr>
            </w:pPr>
          </w:p>
        </w:tc>
        <w:tc>
          <w:tcPr>
            <w:tcW w:w="12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(8,696)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(19,487)</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r>
      <w:tr>
        <w:trPr>
          <w:trHeight w:val="18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150,458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139,062</w:t>
            </w:r>
          </w:p>
        </w:tc>
      </w:tr>
      <w:tr>
        <w:trPr>
          <w:trHeight w:val="183"/>
        </w:trPr>
        <w:tc>
          <w:tcPr>
            <w:tcW w:w="836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356,445</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342,690</w:t>
            </w:r>
          </w:p>
        </w:tc>
      </w:tr>
      <w:tr>
        <w:trPr>
          <w:trHeight w:val="20"/>
        </w:trPr>
        <w:tc>
          <w:tcPr>
            <w:tcW w:w="13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620" w:type="dxa"/>
            <w:vAlign w:val="bottom"/>
            <w:gridSpan w:val="2"/>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506"/>
        </w:trPr>
        <w:tc>
          <w:tcPr>
            <w:tcW w:w="1360" w:type="dxa"/>
            <w:vAlign w:val="bottom"/>
            <w:tcBorders>
              <w:top w:val="single" w:sz="8" w:color="0563C1"/>
            </w:tcBorders>
          </w:tcPr>
          <w:p>
            <w:pPr>
              <w:spacing w:after="0"/>
              <w:rPr>
                <w:sz w:val="24"/>
                <w:szCs w:val="24"/>
                <w:color w:val="auto"/>
              </w:rPr>
            </w:pPr>
          </w:p>
        </w:tc>
        <w:tc>
          <w:tcPr>
            <w:tcW w:w="2260" w:type="dxa"/>
            <w:vAlign w:val="bottom"/>
          </w:tcPr>
          <w:p>
            <w:pPr>
              <w:spacing w:after="0"/>
              <w:rPr>
                <w:sz w:val="24"/>
                <w:szCs w:val="24"/>
                <w:color w:val="auto"/>
              </w:rPr>
            </w:pPr>
          </w:p>
        </w:tc>
        <w:tc>
          <w:tcPr>
            <w:tcW w:w="3800" w:type="dxa"/>
            <w:vAlign w:val="bottom"/>
            <w:gridSpan w:val="5"/>
          </w:tcPr>
          <w:p>
            <w:pPr>
              <w:jc w:val="center"/>
              <w:ind w:left="130"/>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460" w:type="dxa"/>
            <w:vAlign w:val="bottom"/>
            <w:gridSpan w:val="4"/>
          </w:tcPr>
          <w:p>
            <w:pPr>
              <w:jc w:val="center"/>
              <w:ind w:left="470"/>
              <w:spacing w:after="0" w:line="189" w:lineRule="exact"/>
              <w:rPr>
                <w:sz w:val="20"/>
                <w:szCs w:val="20"/>
                <w:color w:val="auto"/>
              </w:rPr>
            </w:pPr>
            <w:r>
              <w:rPr>
                <w:rFonts w:ascii="Arial" w:cs="Arial" w:eastAsia="Arial" w:hAnsi="Arial"/>
                <w:sz w:val="18"/>
                <w:szCs w:val="18"/>
                <w:color w:val="auto"/>
                <w:w w:val="89"/>
              </w:rPr>
              <w:t>Consolidated Statements of Operations</w:t>
            </w: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800" w:type="dxa"/>
            <w:vAlign w:val="bottom"/>
            <w:gridSpan w:val="5"/>
          </w:tcPr>
          <w:p>
            <w:pPr>
              <w:jc w:val="center"/>
              <w:ind w:left="70"/>
              <w:spacing w:after="0" w:line="189" w:lineRule="exact"/>
              <w:rPr>
                <w:sz w:val="20"/>
                <w:szCs w:val="20"/>
                <w:color w:val="auto"/>
              </w:rPr>
            </w:pPr>
            <w:r>
              <w:rPr>
                <w:rFonts w:ascii="Arial" w:cs="Arial" w:eastAsia="Arial" w:hAnsi="Arial"/>
                <w:sz w:val="18"/>
                <w:szCs w:val="18"/>
                <w:color w:val="auto"/>
                <w:w w:val="88"/>
              </w:rPr>
              <w:t>(dollars in thousands, except per share data)</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0"/>
        </w:trPr>
        <w:tc>
          <w:tcPr>
            <w:tcW w:w="1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20" w:type="dxa"/>
            <w:vAlign w:val="bottom"/>
            <w:gridSpan w:val="2"/>
          </w:tcPr>
          <w:p>
            <w:pPr>
              <w:jc w:val="center"/>
              <w:ind w:left="1490"/>
              <w:spacing w:after="0"/>
              <w:rPr>
                <w:sz w:val="20"/>
                <w:szCs w:val="20"/>
                <w:color w:val="auto"/>
              </w:rPr>
            </w:pPr>
            <w:r>
              <w:rPr>
                <w:rFonts w:ascii="Arial" w:cs="Arial" w:eastAsia="Arial" w:hAnsi="Arial"/>
                <w:sz w:val="18"/>
                <w:szCs w:val="18"/>
                <w:color w:val="auto"/>
                <w:w w:val="92"/>
              </w:rPr>
              <w:t>(unaudited)</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04"/>
        </w:trPr>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40" w:type="dxa"/>
            <w:vAlign w:val="bottom"/>
            <w:gridSpan w:val="5"/>
          </w:tcPr>
          <w:p>
            <w:pPr>
              <w:jc w:val="right"/>
              <w:ind w:right="72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4"/>
          </w:tcPr>
          <w:p>
            <w:pPr>
              <w:jc w:val="right"/>
              <w:ind w:right="590"/>
              <w:spacing w:after="0"/>
              <w:rPr>
                <w:sz w:val="20"/>
                <w:szCs w:val="20"/>
                <w:color w:val="auto"/>
              </w:rPr>
            </w:pPr>
            <w:r>
              <w:rPr>
                <w:rFonts w:ascii="Arial" w:cs="Arial" w:eastAsia="Arial" w:hAnsi="Arial"/>
                <w:sz w:val="18"/>
                <w:szCs w:val="18"/>
                <w:color w:val="auto"/>
              </w:rPr>
              <w:t>Six Months Ended</w:t>
            </w:r>
          </w:p>
        </w:tc>
      </w:tr>
      <w:tr>
        <w:trPr>
          <w:trHeight w:val="217"/>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June 30,</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color w:val="auto"/>
              </w:rPr>
              <w:t>June 30,</w:t>
            </w:r>
          </w:p>
        </w:tc>
        <w:tc>
          <w:tcPr>
            <w:tcW w:w="960" w:type="dxa"/>
            <w:vAlign w:val="bottom"/>
            <w:tcBorders>
              <w:bottom w:val="single" w:sz="8" w:color="auto"/>
            </w:tcBorders>
          </w:tcPr>
          <w:p>
            <w:pPr>
              <w:spacing w:after="0"/>
              <w:rPr>
                <w:sz w:val="18"/>
                <w:szCs w:val="18"/>
                <w:color w:val="auto"/>
              </w:rPr>
            </w:pPr>
          </w:p>
        </w:tc>
      </w:tr>
      <w:tr>
        <w:trPr>
          <w:trHeight w:val="183"/>
        </w:trPr>
        <w:tc>
          <w:tcPr>
            <w:tcW w:w="136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20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w w:val="99"/>
              </w:rPr>
              <w:t>2021</w:t>
            </w:r>
          </w:p>
        </w:tc>
        <w:tc>
          <w:tcPr>
            <w:tcW w:w="14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0"/>
              <w:spacing w:after="0" w:line="182" w:lineRule="exact"/>
              <w:rPr>
                <w:sz w:val="20"/>
                <w:szCs w:val="20"/>
                <w:color w:val="auto"/>
              </w:rPr>
            </w:pPr>
            <w:r>
              <w:rPr>
                <w:rFonts w:ascii="Arial" w:cs="Arial" w:eastAsia="Arial" w:hAnsi="Arial"/>
                <w:sz w:val="18"/>
                <w:szCs w:val="18"/>
                <w:color w:val="auto"/>
              </w:rPr>
              <w:t>2020</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96,193</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67,730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188,277</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162,009</w:t>
            </w:r>
          </w:p>
        </w:tc>
      </w:tr>
      <w:tr>
        <w:trPr>
          <w:trHeight w:val="189"/>
        </w:trPr>
        <w:tc>
          <w:tcPr>
            <w:tcW w:w="36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Cost of sales</w:t>
            </w:r>
          </w:p>
        </w:tc>
        <w:tc>
          <w:tcPr>
            <w:tcW w:w="20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29,768</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22,316</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57,666</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51,640</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66,425</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45,414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130,611</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110,369</w:t>
            </w:r>
          </w:p>
        </w:tc>
      </w:tr>
      <w:tr>
        <w:trPr>
          <w:trHeight w:val="189"/>
        </w:trPr>
        <w:tc>
          <w:tcPr>
            <w:tcW w:w="36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20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58,811</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47,208</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116,089</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109,569</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(loss) from operations</w:t>
            </w: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7,614</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(1,794)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14,522</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800</w:t>
            </w:r>
          </w:p>
        </w:tc>
      </w:tr>
      <w:tr>
        <w:trPr>
          <w:trHeight w:val="189"/>
        </w:trPr>
        <w:tc>
          <w:tcPr>
            <w:tcW w:w="3620" w:type="dxa"/>
            <w:vAlign w:val="bottom"/>
            <w:gridSpan w:val="2"/>
          </w:tcPr>
          <w:p>
            <w:pPr>
              <w:spacing w:after="0" w:line="189" w:lineRule="exact"/>
              <w:rPr>
                <w:sz w:val="20"/>
                <w:szCs w:val="20"/>
                <w:color w:val="auto"/>
              </w:rPr>
            </w:pPr>
            <w:r>
              <w:rPr>
                <w:rFonts w:ascii="Arial" w:cs="Arial" w:eastAsia="Arial" w:hAnsi="Arial"/>
                <w:sz w:val="18"/>
                <w:szCs w:val="18"/>
                <w:color w:val="auto"/>
              </w:rPr>
              <w:t>Interest expense</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(145)</w:t>
            </w:r>
          </w:p>
        </w:tc>
        <w:tc>
          <w:tcPr>
            <w:tcW w:w="340" w:type="dxa"/>
            <w:vAlign w:val="bottom"/>
          </w:tcPr>
          <w:p>
            <w:pPr>
              <w:spacing w:after="0"/>
              <w:rPr>
                <w:sz w:val="16"/>
                <w:szCs w:val="16"/>
                <w:color w:val="auto"/>
              </w:rPr>
            </w:pPr>
          </w:p>
        </w:tc>
        <w:tc>
          <w:tcPr>
            <w:tcW w:w="10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(559)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(313)</w:t>
            </w:r>
          </w:p>
        </w:tc>
        <w:tc>
          <w:tcPr>
            <w:tcW w:w="2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(1,407)</w:t>
            </w:r>
          </w:p>
        </w:tc>
      </w:tr>
      <w:tr>
        <w:trPr>
          <w:trHeight w:val="183"/>
        </w:trPr>
        <w:tc>
          <w:tcPr>
            <w:tcW w:w="36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(loss) before income taxes</w:t>
            </w:r>
          </w:p>
        </w:tc>
        <w:tc>
          <w:tcPr>
            <w:tcW w:w="20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7,469</w:t>
            </w:r>
          </w:p>
        </w:tc>
        <w:tc>
          <w:tcPr>
            <w:tcW w:w="1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(2,353)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14,209</w:t>
            </w: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(607)</w:t>
            </w:r>
          </w:p>
        </w:tc>
      </w:tr>
      <w:tr>
        <w:trPr>
          <w:trHeight w:val="189"/>
        </w:trPr>
        <w:tc>
          <w:tcPr>
            <w:tcW w:w="3620" w:type="dxa"/>
            <w:vAlign w:val="bottom"/>
            <w:gridSpan w:val="2"/>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(1,975)</w:t>
            </w:r>
          </w:p>
        </w:tc>
        <w:tc>
          <w:tcPr>
            <w:tcW w:w="34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1,593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(3,418)</w:t>
            </w:r>
          </w:p>
        </w:tc>
        <w:tc>
          <w:tcPr>
            <w:tcW w:w="2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3,349</w:t>
            </w:r>
          </w:p>
        </w:tc>
      </w:tr>
      <w:tr>
        <w:trPr>
          <w:trHeight w:val="183"/>
        </w:trPr>
        <w:tc>
          <w:tcPr>
            <w:tcW w:w="362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Net income (loss)</w:t>
            </w:r>
          </w:p>
        </w:tc>
        <w:tc>
          <w:tcPr>
            <w:tcW w:w="20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5,494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(760)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10,791</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2,742</w:t>
            </w:r>
          </w:p>
        </w:tc>
      </w:tr>
      <w:tr>
        <w:trPr>
          <w:trHeight w:val="20"/>
        </w:trPr>
        <w:tc>
          <w:tcPr>
            <w:tcW w:w="1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1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(loss) per common share:</w:t>
            </w:r>
          </w:p>
        </w:tc>
        <w:tc>
          <w:tcPr>
            <w:tcW w:w="2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36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w:t>
            </w:r>
          </w:p>
        </w:tc>
        <w:tc>
          <w:tcPr>
            <w:tcW w:w="2420" w:type="dxa"/>
            <w:vAlign w:val="bottom"/>
            <w:gridSpan w:val="2"/>
          </w:tcPr>
          <w:p>
            <w:pPr>
              <w:jc w:val="right"/>
              <w:ind w:right="267"/>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0.11</w:t>
            </w:r>
          </w:p>
        </w:tc>
        <w:tc>
          <w:tcPr>
            <w:tcW w:w="140" w:type="dxa"/>
            <w:vAlign w:val="bottom"/>
          </w:tcPr>
          <w:p>
            <w:pPr>
              <w:spacing w:after="0"/>
              <w:rPr>
                <w:sz w:val="16"/>
                <w:szCs w:val="16"/>
                <w:color w:val="auto"/>
              </w:rPr>
            </w:pPr>
          </w:p>
        </w:tc>
        <w:tc>
          <w:tcPr>
            <w:tcW w:w="340" w:type="dxa"/>
            <w:vAlign w:val="bottom"/>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(0.02)</w:t>
            </w:r>
          </w:p>
        </w:tc>
        <w:tc>
          <w:tcPr>
            <w:tcW w:w="340" w:type="dxa"/>
            <w:vAlign w:val="bottom"/>
            <w:gridSpan w:val="2"/>
          </w:tcPr>
          <w:p>
            <w:pPr>
              <w:jc w:val="right"/>
              <w:ind w:right="107"/>
              <w:spacing w:after="0" w:line="189"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0.22</w:t>
            </w:r>
          </w:p>
        </w:tc>
        <w:tc>
          <w:tcPr>
            <w:tcW w:w="140" w:type="dxa"/>
            <w:vAlign w:val="bottom"/>
          </w:tcPr>
          <w:p>
            <w:pPr>
              <w:spacing w:after="0"/>
              <w:rPr>
                <w:sz w:val="16"/>
                <w:szCs w:val="16"/>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0.05</w:t>
            </w:r>
          </w:p>
        </w:tc>
      </w:tr>
      <w:tr>
        <w:trPr>
          <w:trHeight w:val="189"/>
        </w:trPr>
        <w:tc>
          <w:tcPr>
            <w:tcW w:w="36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2420" w:type="dxa"/>
            <w:vAlign w:val="bottom"/>
            <w:gridSpan w:val="2"/>
            <w:shd w:val="clear" w:color="auto" w:fill="CCEEFF"/>
          </w:tcPr>
          <w:p>
            <w:pPr>
              <w:jc w:val="right"/>
              <w:ind w:right="267"/>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(0.02)</w:t>
            </w:r>
          </w:p>
        </w:tc>
        <w:tc>
          <w:tcPr>
            <w:tcW w:w="340" w:type="dxa"/>
            <w:vAlign w:val="bottom"/>
            <w:gridSpan w:val="2"/>
            <w:shd w:val="clear" w:color="auto" w:fill="CCEEFF"/>
          </w:tcPr>
          <w:p>
            <w:pPr>
              <w:jc w:val="right"/>
              <w:ind w:right="107"/>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0.05</w:t>
            </w: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Weighted average shares outstanding:</w:t>
            </w:r>
          </w:p>
        </w:tc>
        <w:tc>
          <w:tcPr>
            <w:tcW w:w="2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36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w w:val="88"/>
              </w:rPr>
              <w:t>50,259,945</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w w:val="99"/>
              </w:rPr>
              <w:t>49,926,267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50,183,310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w w:val="97"/>
              </w:rPr>
              <w:t>49,884,169</w:t>
            </w:r>
          </w:p>
        </w:tc>
      </w:tr>
      <w:tr>
        <w:trPr>
          <w:trHeight w:val="189"/>
        </w:trPr>
        <w:tc>
          <w:tcPr>
            <w:tcW w:w="36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2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8"/>
              </w:rPr>
              <w:t>51,333,949</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49,926,267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51,183,259</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50,052,990</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21" w:lineRule="auto"/>
        <w:rPr>
          <w:sz w:val="20"/>
          <w:szCs w:val="20"/>
          <w:color w:val="auto"/>
        </w:rPr>
      </w:pPr>
      <w:r>
        <w:rPr>
          <w:rFonts w:ascii="Arial" w:cs="Arial" w:eastAsia="Arial" w:hAnsi="Arial"/>
          <w:sz w:val="18"/>
          <w:szCs w:val="18"/>
          <w:color w:val="auto"/>
        </w:rPr>
        <w:t>Consolidated Statements of Comprehensive Income (Loss)</w:t>
      </w:r>
    </w:p>
    <w:p>
      <w:pPr>
        <w:jc w:val="center"/>
        <w:spacing w:after="0" w:line="219"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520" w:type="dxa"/>
            <w:vAlign w:val="bottom"/>
            <w:gridSpan w:val="4"/>
          </w:tcPr>
          <w:p>
            <w:pPr>
              <w:jc w:val="right"/>
              <w:ind w:right="207"/>
              <w:spacing w:after="0"/>
              <w:rPr>
                <w:sz w:val="20"/>
                <w:szCs w:val="20"/>
                <w:color w:val="auto"/>
              </w:rPr>
            </w:pPr>
            <w:r>
              <w:rPr>
                <w:rFonts w:ascii="Arial" w:cs="Arial" w:eastAsia="Arial" w:hAnsi="Arial"/>
                <w:sz w:val="18"/>
                <w:szCs w:val="18"/>
                <w:color w:val="auto"/>
              </w:rPr>
              <w:t>Three Months Ended</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80" w:type="dxa"/>
            <w:vAlign w:val="bottom"/>
            <w:gridSpan w:val="5"/>
          </w:tcPr>
          <w:p>
            <w:pPr>
              <w:jc w:val="right"/>
              <w:ind w:right="730"/>
              <w:spacing w:after="0"/>
              <w:rPr>
                <w:sz w:val="20"/>
                <w:szCs w:val="20"/>
                <w:color w:val="auto"/>
              </w:rPr>
            </w:pPr>
            <w:r>
              <w:rPr>
                <w:rFonts w:ascii="Arial" w:cs="Arial" w:eastAsia="Arial" w:hAnsi="Arial"/>
                <w:sz w:val="18"/>
                <w:szCs w:val="18"/>
                <w:color w:val="auto"/>
              </w:rPr>
              <w:t>Six Months Ended</w:t>
            </w:r>
          </w:p>
        </w:tc>
      </w:tr>
      <w:tr>
        <w:trPr>
          <w:trHeight w:val="217"/>
        </w:trPr>
        <w:tc>
          <w:tcPr>
            <w:tcW w:w="3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667"/>
              <w:spacing w:after="0"/>
              <w:rPr>
                <w:sz w:val="20"/>
                <w:szCs w:val="20"/>
                <w:color w:val="auto"/>
              </w:rPr>
            </w:pPr>
            <w:r>
              <w:rPr>
                <w:rFonts w:ascii="Arial" w:cs="Arial" w:eastAsia="Arial" w:hAnsi="Arial"/>
                <w:sz w:val="18"/>
                <w:szCs w:val="18"/>
                <w:color w:val="auto"/>
              </w:rPr>
              <w:t>June 30,</w:t>
            </w:r>
          </w:p>
        </w:tc>
        <w:tc>
          <w:tcPr>
            <w:tcW w:w="4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18"/>
                <w:szCs w:val="18"/>
                <w:color w:val="auto"/>
              </w:rPr>
            </w:pPr>
          </w:p>
        </w:tc>
      </w:tr>
      <w:tr>
        <w:trPr>
          <w:trHeight w:val="183"/>
        </w:trPr>
        <w:tc>
          <w:tcPr>
            <w:tcW w:w="3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2021</w:t>
            </w:r>
          </w:p>
        </w:tc>
        <w:tc>
          <w:tcPr>
            <w:tcW w:w="480" w:type="dxa"/>
            <w:vAlign w:val="bottom"/>
          </w:tcPr>
          <w:p>
            <w:pPr>
              <w:spacing w:after="0"/>
              <w:rPr>
                <w:sz w:val="15"/>
                <w:szCs w:val="15"/>
                <w:color w:val="auto"/>
              </w:rPr>
            </w:pPr>
          </w:p>
        </w:tc>
        <w:tc>
          <w:tcPr>
            <w:tcW w:w="1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2020</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ind w:right="430"/>
              <w:spacing w:after="0" w:line="182" w:lineRule="exact"/>
              <w:rPr>
                <w:sz w:val="20"/>
                <w:szCs w:val="20"/>
                <w:color w:val="auto"/>
              </w:rPr>
            </w:pPr>
            <w:r>
              <w:rPr>
                <w:rFonts w:ascii="Arial" w:cs="Arial" w:eastAsia="Arial" w:hAnsi="Arial"/>
                <w:sz w:val="18"/>
                <w:szCs w:val="18"/>
                <w:color w:val="auto"/>
              </w:rPr>
              <w:t>2021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jc w:val="right"/>
              <w:ind w:right="430"/>
              <w:spacing w:after="0" w:line="182" w:lineRule="exact"/>
              <w:rPr>
                <w:sz w:val="20"/>
                <w:szCs w:val="20"/>
                <w:color w:val="auto"/>
              </w:rPr>
            </w:pPr>
            <w:r>
              <w:rPr>
                <w:rFonts w:ascii="Arial" w:cs="Arial" w:eastAsia="Arial" w:hAnsi="Arial"/>
                <w:sz w:val="18"/>
                <w:szCs w:val="18"/>
                <w:color w:val="auto"/>
              </w:rPr>
              <w:t>2020</w:t>
            </w:r>
          </w:p>
        </w:tc>
      </w:tr>
      <w:tr>
        <w:trPr>
          <w:trHeight w:val="183"/>
        </w:trPr>
        <w:tc>
          <w:tcPr>
            <w:tcW w:w="3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 (loss)</w:t>
            </w:r>
          </w:p>
        </w:tc>
        <w:tc>
          <w:tcPr>
            <w:tcW w:w="1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8"/>
              </w:rPr>
              <w:t>5,494</w:t>
            </w:r>
          </w:p>
        </w:tc>
        <w:tc>
          <w:tcPr>
            <w:tcW w:w="1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(760)</w:t>
            </w: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10,791</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2,742</w:t>
            </w:r>
          </w:p>
        </w:tc>
      </w:tr>
      <w:tr>
        <w:trPr>
          <w:trHeight w:val="189"/>
        </w:trPr>
        <w:tc>
          <w:tcPr>
            <w:tcW w:w="38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Currency translation adjustment</w:t>
            </w:r>
          </w:p>
        </w:tc>
        <w:tc>
          <w:tcPr>
            <w:tcW w:w="12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w:t>
            </w:r>
          </w:p>
        </w:tc>
      </w:tr>
      <w:tr>
        <w:trPr>
          <w:trHeight w:val="183"/>
        </w:trPr>
        <w:tc>
          <w:tcPr>
            <w:tcW w:w="38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Other comprehensive income (loss)</w:t>
            </w:r>
          </w:p>
        </w:tc>
        <w:tc>
          <w:tcPr>
            <w:tcW w:w="128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w:t>
            </w:r>
          </w:p>
        </w:tc>
      </w:tr>
      <w:tr>
        <w:trPr>
          <w:trHeight w:val="183"/>
        </w:trPr>
        <w:tc>
          <w:tcPr>
            <w:tcW w:w="3840" w:type="dxa"/>
            <w:vAlign w:val="bottom"/>
          </w:tcPr>
          <w:p>
            <w:pPr>
              <w:spacing w:after="0" w:line="182" w:lineRule="exact"/>
              <w:rPr>
                <w:sz w:val="20"/>
                <w:szCs w:val="20"/>
                <w:color w:val="auto"/>
              </w:rPr>
            </w:pPr>
            <w:r>
              <w:rPr>
                <w:rFonts w:ascii="Arial" w:cs="Arial" w:eastAsia="Arial" w:hAnsi="Arial"/>
                <w:sz w:val="18"/>
                <w:szCs w:val="18"/>
                <w:b w:val="1"/>
                <w:bCs w:val="1"/>
                <w:color w:val="auto"/>
              </w:rPr>
              <w:t>Comprehensive income (loss)</w:t>
            </w:r>
          </w:p>
        </w:tc>
        <w:tc>
          <w:tcPr>
            <w:tcW w:w="1280" w:type="dxa"/>
            <w:vAlign w:val="bottom"/>
          </w:tcPr>
          <w:p>
            <w:pPr>
              <w:spacing w:after="0"/>
              <w:rPr>
                <w:sz w:val="15"/>
                <w:szCs w:val="15"/>
                <w:color w:val="auto"/>
              </w:rPr>
            </w:pPr>
          </w:p>
        </w:tc>
        <w:tc>
          <w:tcPr>
            <w:tcW w:w="920" w:type="dxa"/>
            <w:vAlign w:val="bottom"/>
            <w:tcBorders>
              <w:bottom w:val="single" w:sz="8" w:color="auto"/>
            </w:tcBorders>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8"/>
              </w:rPr>
              <w:t>5,498</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(758)</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10,803</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2,728</w:t>
            </w:r>
          </w:p>
        </w:tc>
      </w:tr>
      <w:tr>
        <w:trPr>
          <w:trHeight w:val="20"/>
        </w:trPr>
        <w:tc>
          <w:tcPr>
            <w:tcW w:w="3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ind w:left="3860"/>
        <w:spacing w:after="0" w:line="221" w:lineRule="auto"/>
        <w:rPr>
          <w:sz w:val="20"/>
          <w:szCs w:val="20"/>
          <w:color w:val="auto"/>
        </w:rPr>
      </w:pPr>
      <w:r>
        <w:rPr>
          <w:rFonts w:ascii="Arial" w:cs="Arial" w:eastAsia="Arial" w:hAnsi="Arial"/>
          <w:sz w:val="18"/>
          <w:szCs w:val="18"/>
          <w:color w:val="auto"/>
        </w:rPr>
        <w:t>Consolidated Statements of Stockholders’ Equity</w:t>
      </w:r>
    </w:p>
    <w:p>
      <w:pPr>
        <w:ind w:left="4020"/>
        <w:spacing w:after="0" w:line="219" w:lineRule="auto"/>
        <w:rPr>
          <w:sz w:val="20"/>
          <w:szCs w:val="20"/>
          <w:color w:val="auto"/>
        </w:rPr>
      </w:pPr>
      <w:r>
        <w:rPr>
          <w:rFonts w:ascii="Arial" w:cs="Arial" w:eastAsia="Arial" w:hAnsi="Arial"/>
          <w:sz w:val="18"/>
          <w:szCs w:val="18"/>
          <w:color w:val="auto"/>
        </w:rPr>
        <w:t>(dollars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Common stock</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3"/>
              </w:rPr>
              <w:t>Accumulated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Additional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7"/>
              </w:rPr>
              <w:t>other</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paid-in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comprehensive</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00" w:type="dxa"/>
            <w:vAlign w:val="bottom"/>
          </w:tcPr>
          <w:p>
            <w:pPr>
              <w:spacing w:after="0"/>
              <w:rPr>
                <w:sz w:val="14"/>
                <w:szCs w:val="14"/>
                <w:color w:val="auto"/>
              </w:rPr>
            </w:pPr>
          </w:p>
        </w:tc>
        <w:tc>
          <w:tcPr>
            <w:tcW w:w="1500" w:type="dxa"/>
            <w:vAlign w:val="bottom"/>
            <w:gridSpan w:val="2"/>
          </w:tcPr>
          <w:p>
            <w:pPr>
              <w:ind w:left="52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capital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deficit</w:t>
            </w: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income (loss)</w:t>
            </w:r>
          </w:p>
        </w:tc>
        <w:tc>
          <w:tcPr>
            <w:tcW w:w="220" w:type="dxa"/>
            <w:vAlign w:val="bottom"/>
          </w:tcPr>
          <w:p>
            <w:pPr>
              <w:spacing w:after="0"/>
              <w:rPr>
                <w:sz w:val="14"/>
                <w:szCs w:val="14"/>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March 31, 2020</w:t>
            </w:r>
          </w:p>
        </w:tc>
        <w:tc>
          <w:tcPr>
            <w:tcW w:w="14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51,396,986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156,969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(22,016)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134,872</w:t>
            </w:r>
          </w:p>
        </w:tc>
        <w:tc>
          <w:tcPr>
            <w:tcW w:w="0" w:type="dxa"/>
            <w:vAlign w:val="bottom"/>
          </w:tcPr>
          <w:p>
            <w:pPr>
              <w:spacing w:after="0"/>
              <w:rPr>
                <w:sz w:val="1"/>
                <w:szCs w:val="1"/>
                <w:color w:val="auto"/>
              </w:rPr>
            </w:pPr>
          </w:p>
        </w:tc>
      </w:tr>
      <w:tr>
        <w:trPr>
          <w:trHeight w:val="176"/>
        </w:trPr>
        <w:tc>
          <w:tcPr>
            <w:tcW w:w="4200" w:type="dxa"/>
            <w:vAlign w:val="bottom"/>
          </w:tcPr>
          <w:p>
            <w:pPr>
              <w:spacing w:after="0" w:line="176" w:lineRule="exact"/>
              <w:rPr>
                <w:sz w:val="20"/>
                <w:szCs w:val="20"/>
                <w:color w:val="auto"/>
              </w:rPr>
            </w:pPr>
            <w:r>
              <w:rPr>
                <w:rFonts w:ascii="Arial" w:cs="Arial" w:eastAsia="Arial" w:hAnsi="Arial"/>
                <w:sz w:val="18"/>
                <w:szCs w:val="18"/>
                <w:color w:val="auto"/>
              </w:rPr>
              <w:t>Issuance of restricted shares</w:t>
            </w:r>
          </w:p>
        </w:tc>
        <w:tc>
          <w:tcPr>
            <w:tcW w:w="1400" w:type="dxa"/>
            <w:vAlign w:val="bottom"/>
          </w:tcPr>
          <w:p>
            <w:pPr>
              <w:jc w:val="right"/>
              <w:spacing w:after="0" w:line="176" w:lineRule="exact"/>
              <w:rPr>
                <w:sz w:val="20"/>
                <w:szCs w:val="20"/>
                <w:color w:val="auto"/>
              </w:rPr>
            </w:pPr>
            <w:r>
              <w:rPr>
                <w:rFonts w:ascii="Arial" w:cs="Arial" w:eastAsia="Arial" w:hAnsi="Arial"/>
                <w:sz w:val="18"/>
                <w:szCs w:val="18"/>
                <w:color w:val="auto"/>
              </w:rPr>
              <w:t>28,494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5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(55,313)</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8"/>
                <w:szCs w:val="18"/>
                <w:color w:val="auto"/>
              </w:rPr>
              <w:t>Stock based compensation</w:t>
            </w: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538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161"/>
        </w:trPr>
        <w:tc>
          <w:tcPr>
            <w:tcW w:w="420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Tax withholdings related to net share settlements of</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awards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loss</w:t>
            </w: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(760)</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June 30, 2020</w:t>
            </w:r>
          </w:p>
        </w:tc>
        <w:tc>
          <w:tcPr>
            <w:tcW w:w="14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51,370,167</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157,493</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(22,776)</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134,638</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March 31, 2021</w:t>
            </w:r>
          </w:p>
        </w:tc>
        <w:tc>
          <w:tcPr>
            <w:tcW w:w="1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51,932,704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158,545</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(14,190)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144,356</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8"/>
                <w:szCs w:val="18"/>
                <w:color w:val="auto"/>
              </w:rPr>
              <w:t>Stock based compensation</w:t>
            </w: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706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161"/>
        </w:trPr>
        <w:tc>
          <w:tcPr>
            <w:tcW w:w="420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Tax withholdings related to net share settlements of</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awards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4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5,494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190"/>
        </w:trPr>
        <w:tc>
          <w:tcPr>
            <w:tcW w:w="4200" w:type="dxa"/>
            <w:vAlign w:val="bottom"/>
          </w:tcPr>
          <w:p>
            <w:pPr>
              <w:spacing w:after="0" w:line="182" w:lineRule="exact"/>
              <w:rPr>
                <w:sz w:val="20"/>
                <w:szCs w:val="20"/>
                <w:color w:val="auto"/>
              </w:rPr>
            </w:pPr>
            <w:r>
              <w:rPr>
                <w:rFonts w:ascii="Arial" w:cs="Arial" w:eastAsia="Arial" w:hAnsi="Arial"/>
                <w:sz w:val="18"/>
                <w:szCs w:val="18"/>
                <w:b w:val="1"/>
                <w:bCs w:val="1"/>
                <w:color w:val="auto"/>
              </w:rPr>
              <w:t>Balance at June 30, 2021</w:t>
            </w:r>
          </w:p>
        </w:tc>
        <w:tc>
          <w:tcPr>
            <w:tcW w:w="14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51,912,689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159,149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(8,696)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150,458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ind w:left="3860"/>
        <w:spacing w:after="0" w:line="221" w:lineRule="auto"/>
        <w:rPr>
          <w:sz w:val="20"/>
          <w:szCs w:val="20"/>
          <w:color w:val="auto"/>
        </w:rPr>
      </w:pPr>
      <w:r>
        <w:rPr>
          <w:rFonts w:ascii="Arial" w:cs="Arial" w:eastAsia="Arial" w:hAnsi="Arial"/>
          <w:sz w:val="18"/>
          <w:szCs w:val="18"/>
          <w:color w:val="auto"/>
        </w:rPr>
        <w:t>Consolidated Statements of Stockholders’ Equity</w:t>
      </w:r>
    </w:p>
    <w:p>
      <w:pPr>
        <w:ind w:left="4020"/>
        <w:spacing w:after="0" w:line="219" w:lineRule="auto"/>
        <w:rPr>
          <w:sz w:val="20"/>
          <w:szCs w:val="20"/>
          <w:color w:val="auto"/>
        </w:rPr>
      </w:pPr>
      <w:r>
        <w:rPr>
          <w:rFonts w:ascii="Arial" w:cs="Arial" w:eastAsia="Arial" w:hAnsi="Arial"/>
          <w:sz w:val="18"/>
          <w:szCs w:val="18"/>
          <w:color w:val="auto"/>
        </w:rPr>
        <w:t>(dollars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00" w:type="dxa"/>
            <w:vAlign w:val="bottom"/>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Common stock</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3"/>
              </w:rPr>
              <w:t>Accumulated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4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Additional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other</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paid-in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Accumulated</w:t>
            </w:r>
          </w:p>
        </w:tc>
        <w:tc>
          <w:tcPr>
            <w:tcW w:w="16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comprehensive</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00" w:type="dxa"/>
            <w:vAlign w:val="bottom"/>
          </w:tcPr>
          <w:p>
            <w:pPr>
              <w:spacing w:after="0"/>
              <w:rPr>
                <w:sz w:val="14"/>
                <w:szCs w:val="14"/>
                <w:color w:val="auto"/>
              </w:rPr>
            </w:pPr>
          </w:p>
        </w:tc>
        <w:tc>
          <w:tcPr>
            <w:tcW w:w="1460" w:type="dxa"/>
            <w:vAlign w:val="bottom"/>
            <w:gridSpan w:val="2"/>
          </w:tcPr>
          <w:p>
            <w:pPr>
              <w:ind w:left="50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capital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deficit</w:t>
            </w:r>
          </w:p>
        </w:tc>
        <w:tc>
          <w:tcPr>
            <w:tcW w:w="16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income (loss)</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December 31, 2019</w:t>
            </w: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50,806,674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156,482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(25,518)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130,899</w:t>
            </w:r>
          </w:p>
        </w:tc>
        <w:tc>
          <w:tcPr>
            <w:tcW w:w="0" w:type="dxa"/>
            <w:vAlign w:val="bottom"/>
          </w:tcPr>
          <w:p>
            <w:pPr>
              <w:spacing w:after="0"/>
              <w:rPr>
                <w:sz w:val="1"/>
                <w:szCs w:val="1"/>
                <w:color w:val="auto"/>
              </w:rPr>
            </w:pPr>
          </w:p>
        </w:tc>
      </w:tr>
      <w:tr>
        <w:trPr>
          <w:trHeight w:val="176"/>
        </w:trPr>
        <w:tc>
          <w:tcPr>
            <w:tcW w:w="4300" w:type="dxa"/>
            <w:vAlign w:val="bottom"/>
          </w:tcPr>
          <w:p>
            <w:pPr>
              <w:spacing w:after="0" w:line="176" w:lineRule="exact"/>
              <w:rPr>
                <w:sz w:val="20"/>
                <w:szCs w:val="20"/>
                <w:color w:val="auto"/>
              </w:rPr>
            </w:pPr>
            <w:r>
              <w:rPr>
                <w:rFonts w:ascii="Arial" w:cs="Arial" w:eastAsia="Arial" w:hAnsi="Arial"/>
                <w:sz w:val="18"/>
                <w:szCs w:val="18"/>
                <w:color w:val="auto"/>
              </w:rPr>
              <w:t>Issuance of restricted shares</w:t>
            </w:r>
          </w:p>
        </w:tc>
        <w:tc>
          <w:tcPr>
            <w:tcW w:w="1380" w:type="dxa"/>
            <w:vAlign w:val="bottom"/>
          </w:tcPr>
          <w:p>
            <w:pPr>
              <w:jc w:val="right"/>
              <w:spacing w:after="0" w:line="176" w:lineRule="exact"/>
              <w:rPr>
                <w:sz w:val="20"/>
                <w:szCs w:val="20"/>
                <w:color w:val="auto"/>
              </w:rPr>
            </w:pPr>
            <w:r>
              <w:rPr>
                <w:rFonts w:ascii="Arial" w:cs="Arial" w:eastAsia="Arial" w:hAnsi="Arial"/>
                <w:sz w:val="18"/>
                <w:szCs w:val="18"/>
                <w:color w:val="auto"/>
              </w:rPr>
              <w:t>698,103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4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(134,610)</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00" w:type="dxa"/>
            <w:vAlign w:val="bottom"/>
          </w:tcPr>
          <w:p>
            <w:pPr>
              <w:spacing w:after="0" w:line="189" w:lineRule="exact"/>
              <w:rPr>
                <w:sz w:val="20"/>
                <w:szCs w:val="20"/>
                <w:color w:val="auto"/>
              </w:rPr>
            </w:pPr>
            <w:r>
              <w:rPr>
                <w:rFonts w:ascii="Arial" w:cs="Arial" w:eastAsia="Arial" w:hAnsi="Arial"/>
                <w:sz w:val="18"/>
                <w:szCs w:val="18"/>
                <w:color w:val="auto"/>
              </w:rPr>
              <w:t>Stock based compensation</w:t>
            </w: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1,104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161"/>
        </w:trPr>
        <w:tc>
          <w:tcPr>
            <w:tcW w:w="430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w w:val="93"/>
              </w:rPr>
              <w:t>Tax withholdings related to net share settlements of stock</w:t>
            </w:r>
          </w:p>
        </w:tc>
        <w:tc>
          <w:tcPr>
            <w:tcW w:w="1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based compensation awards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9"/>
        </w:trPr>
        <w:tc>
          <w:tcPr>
            <w:tcW w:w="4300" w:type="dxa"/>
            <w:vAlign w:val="bottom"/>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(14)</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2,742</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189"/>
        </w:trPr>
        <w:tc>
          <w:tcPr>
            <w:tcW w:w="43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June 30, 2020</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51,370,167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157,493</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(22,776)</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(84)</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134,638</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December 31, 2020</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51,701,080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158,556</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(19,487)</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139,062</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Issuance of restricted shares</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322,024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00" w:type="dxa"/>
            <w:vAlign w:val="bottom"/>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4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(7,055)</w:t>
            </w: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1,299</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161"/>
        </w:trPr>
        <w:tc>
          <w:tcPr>
            <w:tcW w:w="4300" w:type="dxa"/>
            <w:vAlign w:val="bottom"/>
          </w:tcPr>
          <w:p>
            <w:pPr>
              <w:spacing w:after="0" w:line="161" w:lineRule="exact"/>
              <w:rPr>
                <w:sz w:val="20"/>
                <w:szCs w:val="20"/>
                <w:color w:val="auto"/>
              </w:rPr>
            </w:pPr>
            <w:r>
              <w:rPr>
                <w:rFonts w:ascii="Arial" w:cs="Arial" w:eastAsia="Arial" w:hAnsi="Arial"/>
                <w:sz w:val="18"/>
                <w:szCs w:val="18"/>
                <w:color w:val="auto"/>
                <w:w w:val="93"/>
              </w:rPr>
              <w:t>Tax withholdings related to net share settlements of stock</w:t>
            </w: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300" w:type="dxa"/>
            <w:vAlign w:val="bottom"/>
          </w:tcPr>
          <w:p>
            <w:pPr>
              <w:spacing w:after="0"/>
              <w:rPr>
                <w:sz w:val="20"/>
                <w:szCs w:val="20"/>
                <w:color w:val="auto"/>
              </w:rPr>
            </w:pPr>
            <w:r>
              <w:rPr>
                <w:rFonts w:ascii="Arial" w:cs="Arial" w:eastAsia="Arial" w:hAnsi="Arial"/>
                <w:sz w:val="18"/>
                <w:szCs w:val="18"/>
                <w:color w:val="auto"/>
              </w:rPr>
              <w:t>based compensation awards</w:t>
            </w:r>
          </w:p>
        </w:tc>
        <w:tc>
          <w:tcPr>
            <w:tcW w:w="1380" w:type="dxa"/>
            <w:vAlign w:val="bottom"/>
          </w:tcPr>
          <w:p>
            <w:pPr>
              <w:jc w:val="right"/>
              <w:spacing w:after="0"/>
              <w:rPr>
                <w:sz w:val="20"/>
                <w:szCs w:val="20"/>
                <w:color w:val="auto"/>
              </w:rPr>
            </w:pPr>
            <w:r>
              <w:rPr>
                <w:rFonts w:ascii="Arial" w:cs="Arial" w:eastAsia="Arial" w:hAnsi="Arial"/>
                <w:sz w:val="18"/>
                <w:szCs w:val="18"/>
                <w:color w:val="auto"/>
              </w:rPr>
              <w:t>(103,360)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9"/>
        </w:trPr>
        <w:tc>
          <w:tcPr>
            <w:tcW w:w="43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10,791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10,791</w:t>
            </w:r>
          </w:p>
        </w:tc>
        <w:tc>
          <w:tcPr>
            <w:tcW w:w="0" w:type="dxa"/>
            <w:vAlign w:val="bottom"/>
          </w:tcPr>
          <w:p>
            <w:pPr>
              <w:spacing w:after="0"/>
              <w:rPr>
                <w:sz w:val="1"/>
                <w:szCs w:val="1"/>
                <w:color w:val="auto"/>
              </w:rPr>
            </w:pPr>
          </w:p>
        </w:tc>
      </w:tr>
      <w:tr>
        <w:trPr>
          <w:trHeight w:val="189"/>
        </w:trPr>
        <w:tc>
          <w:tcPr>
            <w:tcW w:w="43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June 30, 2021</w:t>
            </w:r>
          </w:p>
        </w:tc>
        <w:tc>
          <w:tcPr>
            <w:tcW w:w="13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51,912,689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159,149</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(8,696)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gridSpan w:val="2"/>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150,458</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ind w:right="40"/>
        <w:spacing w:after="0" w:line="221" w:lineRule="auto"/>
        <w:rPr>
          <w:sz w:val="20"/>
          <w:szCs w:val="20"/>
          <w:color w:val="auto"/>
        </w:rPr>
      </w:pPr>
      <w:r>
        <w:rPr>
          <w:rFonts w:ascii="Arial" w:cs="Arial" w:eastAsia="Arial" w:hAnsi="Arial"/>
          <w:sz w:val="18"/>
          <w:szCs w:val="18"/>
          <w:color w:val="auto"/>
        </w:rPr>
        <w:t>Consolidated Statements of Cash Flows</w:t>
      </w:r>
    </w:p>
    <w:p>
      <w:pPr>
        <w:jc w:val="center"/>
        <w:spacing w:after="0" w:line="219"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5"/>
          </w:tcPr>
          <w:p>
            <w:pPr>
              <w:jc w:val="right"/>
              <w:ind w:right="690"/>
              <w:spacing w:after="0"/>
              <w:rPr>
                <w:sz w:val="20"/>
                <w:szCs w:val="20"/>
                <w:color w:val="auto"/>
              </w:rPr>
            </w:pPr>
            <w:r>
              <w:rPr>
                <w:rFonts w:ascii="Arial" w:cs="Arial" w:eastAsia="Arial" w:hAnsi="Arial"/>
                <w:sz w:val="18"/>
                <w:szCs w:val="18"/>
                <w:color w:val="auto"/>
              </w:rPr>
              <w:t>Six Months Ended</w:t>
            </w:r>
          </w:p>
        </w:tc>
      </w:tr>
      <w:tr>
        <w:trPr>
          <w:trHeight w:val="217"/>
        </w:trPr>
        <w:tc>
          <w:tcPr>
            <w:tcW w:w="8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18"/>
                <w:szCs w:val="18"/>
                <w:color w:val="auto"/>
              </w:rPr>
            </w:pPr>
          </w:p>
        </w:tc>
      </w:tr>
      <w:tr>
        <w:trPr>
          <w:trHeight w:val="183"/>
        </w:trPr>
        <w:tc>
          <w:tcPr>
            <w:tcW w:w="83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2020</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Net income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10,791</w:t>
            </w:r>
          </w:p>
        </w:tc>
        <w:tc>
          <w:tcPr>
            <w:tcW w:w="80" w:type="dxa"/>
            <w:vAlign w:val="bottom"/>
          </w:tcPr>
          <w:p>
            <w:pPr>
              <w:spacing w:after="0"/>
              <w:rPr>
                <w:sz w:val="16"/>
                <w:szCs w:val="16"/>
                <w:color w:val="auto"/>
              </w:rPr>
            </w:pPr>
          </w:p>
        </w:tc>
        <w:tc>
          <w:tcPr>
            <w:tcW w:w="440" w:type="dxa"/>
            <w:vAlign w:val="bottom"/>
            <w:gridSpan w:val="2"/>
          </w:tcPr>
          <w:p>
            <w:pPr>
              <w:jc w:val="right"/>
              <w:ind w:right="207"/>
              <w:spacing w:after="0" w:line="189"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2,742</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14,259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16,082</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debt issuance costs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298</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Loss on disposals of property, plant and equipment</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Impairment charges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2,155</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Non-cash lease expense</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12,393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12,353</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Stock based compensation</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1,299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1,104</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(174)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3,058</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(297)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145</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5,363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18,567</w:t>
            </w: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Other current assets, net</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1,870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908</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(4,939)</w:t>
            </w: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Income tax receivable / payable</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(760)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(6,445)</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Accrued expenses and other liabilities</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(3,934)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(5,040)</w:t>
            </w:r>
          </w:p>
        </w:tc>
      </w:tr>
      <w:tr>
        <w:trPr>
          <w:trHeight w:val="183"/>
        </w:trPr>
        <w:tc>
          <w:tcPr>
            <w:tcW w:w="8360" w:type="dxa"/>
            <w:vAlign w:val="bottom"/>
            <w:tcBorders>
              <w:bottom w:val="single" w:sz="8" w:color="CCEEFF"/>
            </w:tcBorders>
          </w:tcPr>
          <w:p>
            <w:pPr>
              <w:ind w:left="440"/>
              <w:spacing w:after="0" w:line="182" w:lineRule="exact"/>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41,985</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40,988</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Purchases of property, plant and equipment</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(6,157)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(929)</w:t>
            </w:r>
          </w:p>
        </w:tc>
      </w:tr>
      <w:tr>
        <w:trPr>
          <w:trHeight w:val="183"/>
        </w:trPr>
        <w:tc>
          <w:tcPr>
            <w:tcW w:w="8360" w:type="dxa"/>
            <w:vAlign w:val="bottom"/>
            <w:tcBorders>
              <w:top w:val="single" w:sz="8" w:color="CCEEFF"/>
            </w:tcBorders>
            <w:shd w:val="clear" w:color="auto" w:fill="CCEEFF"/>
          </w:tcPr>
          <w:p>
            <w:pPr>
              <w:ind w:left="440"/>
              <w:spacing w:after="0" w:line="182" w:lineRule="exact"/>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(6,157)</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(929)</w:t>
            </w:r>
          </w:p>
        </w:tc>
      </w:tr>
      <w:tr>
        <w:trPr>
          <w:trHeight w:val="183"/>
        </w:trPr>
        <w:tc>
          <w:tcPr>
            <w:tcW w:w="8360" w:type="dxa"/>
            <w:vAlign w:val="bottom"/>
          </w:tcPr>
          <w:p>
            <w:pPr>
              <w:spacing w:after="0" w:line="182" w:lineRule="exact"/>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Payments of long-term debt and financing lease obligations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(97,223)</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Advances on line of credit</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56,099</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Employee taxes paid for shares withheld</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(706)</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w:t>
            </w:r>
          </w:p>
        </w:tc>
      </w:tr>
      <w:tr>
        <w:trPr>
          <w:trHeight w:val="183"/>
        </w:trPr>
        <w:tc>
          <w:tcPr>
            <w:tcW w:w="8360" w:type="dxa"/>
            <w:vAlign w:val="bottom"/>
            <w:tcBorders>
              <w:bottom w:val="single" w:sz="8" w:color="CCEEFF"/>
            </w:tcBorders>
          </w:tcPr>
          <w:p>
            <w:pPr>
              <w:ind w:left="440"/>
              <w:spacing w:after="0" w:line="182" w:lineRule="exact"/>
              <w:rPr>
                <w:sz w:val="20"/>
                <w:szCs w:val="20"/>
                <w:color w:val="auto"/>
              </w:rPr>
            </w:pPr>
            <w:r>
              <w:rPr>
                <w:rFonts w:ascii="Arial" w:cs="Arial" w:eastAsia="Arial" w:hAnsi="Arial"/>
                <w:sz w:val="18"/>
                <w:szCs w:val="18"/>
                <w:b w:val="1"/>
                <w:bCs w:val="1"/>
                <w:color w:val="auto"/>
              </w:rPr>
              <w:t>Net cash used in financing activities</w:t>
            </w:r>
          </w:p>
        </w:tc>
        <w:tc>
          <w:tcPr>
            <w:tcW w:w="2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(706)</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(41,217)</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Effect of exchange rate changes on cash</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w:t>
            </w: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35,133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(1,168)</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cash equivalents and restricted cash beginning of period</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10,272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9,919</w:t>
            </w:r>
          </w:p>
        </w:tc>
      </w:tr>
      <w:tr>
        <w:trPr>
          <w:trHeight w:val="223"/>
        </w:trPr>
        <w:tc>
          <w:tcPr>
            <w:tcW w:w="836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45,405</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8,751</w:t>
            </w:r>
          </w:p>
        </w:tc>
      </w:tr>
      <w:tr>
        <w:trPr>
          <w:trHeight w:val="169"/>
        </w:trPr>
        <w:tc>
          <w:tcPr>
            <w:tcW w:w="8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44,750</w:t>
            </w:r>
          </w:p>
        </w:tc>
        <w:tc>
          <w:tcPr>
            <w:tcW w:w="80" w:type="dxa"/>
            <w:vAlign w:val="bottom"/>
          </w:tcPr>
          <w:p>
            <w:pPr>
              <w:spacing w:after="0"/>
              <w:rPr>
                <w:sz w:val="16"/>
                <w:szCs w:val="16"/>
                <w:color w:val="auto"/>
              </w:rPr>
            </w:pPr>
          </w:p>
        </w:tc>
        <w:tc>
          <w:tcPr>
            <w:tcW w:w="440" w:type="dxa"/>
            <w:vAlign w:val="bottom"/>
            <w:gridSpan w:val="2"/>
          </w:tcPr>
          <w:p>
            <w:pPr>
              <w:jc w:val="right"/>
              <w:ind w:right="207"/>
              <w:spacing w:after="0" w:line="189"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7,936</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655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815</w:t>
            </w:r>
          </w:p>
        </w:tc>
      </w:tr>
      <w:tr>
        <w:trPr>
          <w:trHeight w:val="222"/>
        </w:trPr>
        <w:tc>
          <w:tcPr>
            <w:tcW w:w="836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45,405</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8,751</w:t>
            </w:r>
          </w:p>
        </w:tc>
      </w:tr>
      <w:tr>
        <w:trPr>
          <w:trHeight w:val="170"/>
        </w:trPr>
        <w:tc>
          <w:tcPr>
            <w:tcW w:w="8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Purchases of property, plant and equipment included in accounts payable and accrued expenses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7"/>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103</w:t>
            </w: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Cash paid for interest</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361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1,445</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Cash paid for income taxes, net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4,352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w:t>
            </w:r>
          </w:p>
        </w:tc>
      </w:tr>
    </w:tbl>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Tile Shop Holdings, Inc. (“Holdings,” and together with its wholly owned subsidiaries, the “Company”) was incorporated in Delaware in June 2012.</w:t>
      </w:r>
    </w:p>
    <w:p>
      <w:pPr>
        <w:spacing w:after="0" w:line="183"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The Company is a specialty retailer of natural stone and man-made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June 30, 2021, the Company had 143 stores in 31 states and the District of Columbia, with an average size of approximately 20,000 square feet. The Company has distribution centers located in Michigan, New Jersey, Oklahoma, Virginia and Wisconsin. The Company also has a sourcing office located in China.</w:t>
      </w:r>
    </w:p>
    <w:p>
      <w:pPr>
        <w:spacing w:after="0" w:line="15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and six months ended June 30, 2021 are not necessarily indicative of the results that may be expected for the fiscal year ending December 31, 2021.</w:t>
      </w:r>
    </w:p>
    <w:p>
      <w:pPr>
        <w:spacing w:after="0" w:line="134"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These statements should be read in conjunction with the Consolidated Financial Statements and footnotes included in the Company’s Annual Report on Form 10-K for the fiscal year ended December 31, 2020. The accounting policies used in preparing these Consolidated Financial Statements are the same as those described in Note 1 to the Consolidated Financial Statements in such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171"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Certain amounts in the prior year financial statements have been reclassified for comparative purposes to conform to the presentation for the quarter ended June 30, 2021. Specifically, the Company elected to change the way it presents cash flows from operating leases in its Statement of Cash Flows. In the six months ended June 30, 2020, the Company presented the net change in the right of use asset and lease liabilities as other, net within the operating section of the Statement of Cash Flows. During the third quarter of 2020, the Company determined it would be more appropriate to disaggregate this activity. The amortization of the right of use assets is now presented as a non-cash lease expense within the operating section of the Statement of Cash Flows. Lease payments, net of the accretion of lease liabilities, are now presented as a change in accrued expenses and other liabilities within the operating section of the Statement of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this change on the Statement of Cash Flows presented as of June 30, 2020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Previously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(in thousands)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Reported</w:t>
            </w:r>
          </w:p>
        </w:tc>
        <w:tc>
          <w:tcPr>
            <w:tcW w:w="22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18"/>
                <w:szCs w:val="18"/>
                <w:color w:val="auto"/>
              </w:rPr>
            </w:pPr>
          </w:p>
        </w:tc>
        <w:tc>
          <w:tcPr>
            <w:tcW w:w="2240" w:type="dxa"/>
            <w:vAlign w:val="bottom"/>
            <w:gridSpan w:val="2"/>
          </w:tcPr>
          <w:p>
            <w:pPr>
              <w:jc w:val="right"/>
              <w:ind w:right="1280"/>
              <w:spacing w:after="0"/>
              <w:rPr>
                <w:sz w:val="20"/>
                <w:szCs w:val="20"/>
                <w:color w:val="auto"/>
              </w:rPr>
            </w:pPr>
            <w:r>
              <w:rPr>
                <w:rFonts w:ascii="Arial" w:cs="Arial" w:eastAsia="Arial" w:hAnsi="Arial"/>
                <w:sz w:val="18"/>
                <w:szCs w:val="18"/>
                <w:color w:val="auto"/>
              </w:rPr>
              <w:t>As Revised</w:t>
            </w:r>
          </w:p>
        </w:tc>
      </w:tr>
      <w:tr>
        <w:trPr>
          <w:trHeight w:val="183"/>
        </w:trPr>
        <w:tc>
          <w:tcPr>
            <w:tcW w:w="4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Change in leases</w:t>
            </w:r>
          </w:p>
        </w:tc>
        <w:tc>
          <w:tcPr>
            <w:tcW w:w="1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3,276</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(3,276)</w:t>
            </w: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shd w:val="clear" w:color="auto" w:fill="CCEEFF"/>
          </w:tcPr>
          <w:p>
            <w:pPr>
              <w:spacing w:after="0"/>
              <w:rPr>
                <w:sz w:val="15"/>
                <w:szCs w:val="15"/>
                <w:color w:val="auto"/>
              </w:rPr>
            </w:pP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Non-cash lease expense</w:t>
            </w:r>
          </w:p>
        </w:tc>
        <w:tc>
          <w:tcPr>
            <w:tcW w:w="150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89" w:lineRule="exact"/>
              <w:rPr>
                <w:sz w:val="20"/>
                <w:szCs w:val="20"/>
                <w:color w:val="auto"/>
              </w:rPr>
            </w:pPr>
            <w:r>
              <w:rPr>
                <w:rFonts w:ascii="Arial" w:cs="Arial" w:eastAsia="Arial" w:hAnsi="Arial"/>
                <w:sz w:val="18"/>
                <w:szCs w:val="18"/>
                <w:color w:val="auto"/>
              </w:rPr>
              <w:t>12,353</w:t>
            </w:r>
          </w:p>
        </w:tc>
        <w:tc>
          <w:tcPr>
            <w:tcW w:w="140" w:type="dxa"/>
            <w:vAlign w:val="bottom"/>
          </w:tcPr>
          <w:p>
            <w:pPr>
              <w:spacing w:after="0"/>
              <w:rPr>
                <w:sz w:val="16"/>
                <w:szCs w:val="16"/>
                <w:color w:val="auto"/>
              </w:rPr>
            </w:pP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12,353</w:t>
            </w:r>
          </w:p>
        </w:tc>
        <w:tc>
          <w:tcPr>
            <w:tcW w:w="1060" w:type="dxa"/>
            <w:vAlign w:val="bottom"/>
          </w:tcPr>
          <w:p>
            <w:pPr>
              <w:spacing w:after="0"/>
              <w:rPr>
                <w:sz w:val="16"/>
                <w:szCs w:val="16"/>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9"/>
        </w:trPr>
        <w:tc>
          <w:tcPr>
            <w:tcW w:w="4320" w:type="dxa"/>
            <w:vAlign w:val="bottom"/>
          </w:tcPr>
          <w:p>
            <w:pPr>
              <w:ind w:left="220"/>
              <w:spacing w:after="0" w:line="189" w:lineRule="exact"/>
              <w:rPr>
                <w:sz w:val="20"/>
                <w:szCs w:val="20"/>
                <w:color w:val="auto"/>
              </w:rPr>
            </w:pPr>
            <w:r>
              <w:rPr>
                <w:rFonts w:ascii="Arial" w:cs="Arial" w:eastAsia="Arial" w:hAnsi="Arial"/>
                <w:sz w:val="18"/>
                <w:szCs w:val="18"/>
                <w:color w:val="auto"/>
              </w:rPr>
              <w:t>Accrued expenses and other liabilities</w:t>
            </w:r>
          </w:p>
        </w:tc>
        <w:tc>
          <w:tcPr>
            <w:tcW w:w="150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4,037</w:t>
            </w:r>
          </w:p>
        </w:tc>
        <w:tc>
          <w:tcPr>
            <w:tcW w:w="140" w:type="dxa"/>
            <w:vAlign w:val="bottom"/>
          </w:tcPr>
          <w:p>
            <w:pPr>
              <w:spacing w:after="0"/>
              <w:rPr>
                <w:sz w:val="16"/>
                <w:szCs w:val="16"/>
                <w:color w:val="auto"/>
              </w:rPr>
            </w:pP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(9,077)</w:t>
            </w:r>
          </w:p>
        </w:tc>
        <w:tc>
          <w:tcPr>
            <w:tcW w:w="22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2240" w:type="dxa"/>
            <w:vAlign w:val="bottom"/>
            <w:gridSpan w:val="2"/>
          </w:tcPr>
          <w:p>
            <w:pPr>
              <w:jc w:val="right"/>
              <w:ind w:right="1060"/>
              <w:spacing w:after="0" w:line="189" w:lineRule="exact"/>
              <w:rPr>
                <w:sz w:val="20"/>
                <w:szCs w:val="20"/>
                <w:color w:val="auto"/>
              </w:rPr>
            </w:pPr>
            <w:r>
              <w:rPr>
                <w:rFonts w:ascii="Arial" w:cs="Arial" w:eastAsia="Arial" w:hAnsi="Arial"/>
                <w:sz w:val="18"/>
                <w:szCs w:val="18"/>
                <w:color w:val="auto"/>
              </w:rPr>
              <w:t>(5,040)</w:t>
            </w:r>
          </w:p>
        </w:tc>
      </w:tr>
      <w:tr>
        <w:trPr>
          <w:trHeight w:val="183"/>
        </w:trPr>
        <w:tc>
          <w:tcPr>
            <w:tcW w:w="4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operating activities</w:t>
            </w:r>
          </w:p>
        </w:tc>
        <w:tc>
          <w:tcPr>
            <w:tcW w:w="1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40,988</w:t>
            </w: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40,988</w:t>
            </w:r>
          </w:p>
        </w:tc>
        <w:tc>
          <w:tcPr>
            <w:tcW w:w="1060" w:type="dxa"/>
            <w:vAlign w:val="bottom"/>
            <w:tcBorders>
              <w:top w:val="single" w:sz="8" w:color="CCEEFF"/>
            </w:tcBorders>
            <w:shd w:val="clear" w:color="auto" w:fill="CCEEFF"/>
          </w:tcPr>
          <w:p>
            <w:pPr>
              <w:spacing w:after="0"/>
              <w:rPr>
                <w:sz w:val="15"/>
                <w:szCs w:val="15"/>
                <w:color w:val="auto"/>
              </w:rPr>
            </w:pPr>
          </w:p>
        </w:tc>
      </w:tr>
    </w:tbl>
    <w:p>
      <w:pPr>
        <w:spacing w:after="0" w:line="161"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The change in classification had no impact on the Company’s pretax earnings, earnings per share, net cash provided by operating activities or balance sheets in any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Pandemic</w:t>
      </w:r>
    </w:p>
    <w:p>
      <w:pPr>
        <w:spacing w:after="0" w:line="17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In March 2020, the World Health Organization declared the COVID-19 outbreak a global pandemic. COVID-19 has negatively impacted public health and the global economy, disrupted global supply chains, and created volatility in financial markets. The continuing implications of COVID-19 on the Company remain uncertain and will depend on certain future developments, including the duration, scope and severity of the pandemic and the effects of new variants of COVID-19, some of which may be more virulent or transmissible than the initial strain; its impact on the Company’s employees, customers and suppliers; the range and timing of government mandated restrictions and other measures; and the success of the deployment and widespread adoption of approved COVID-19 vaccines and their effectiveness against new variants of COVID-19. This uncertainty could have a material impact on the</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accounting estimates and assumptions utilized to prepare the Company’s consolidated financial statements in future reporting periods, which could result in a material adverse impact on the Company’s financial position, results of operations and cash flows.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In the first quarter of fiscal 2021, the Company adopted new accounting requirements related to the measurement of credit losses on financial instruments, including trade receivables. The new standard and subsequent amendments replaced the incurred loss impairment model with a forward-looking expected credit loss model, which will generally result in earlier recognition of credit losses. The Company’s allowance for doubtful accounts represents its estimate of expected credit losses related to its trade receivables. To estimate the allowance for doubtful accounts, the Company leverages information on historical losses, current conditions, and reasonable and supportable forecasts of future conditions. Account balances are written off against the allowance when the Company deems the amount is uncollectible. The adoption of this standard did not have a material impact on the Company’s consolidated financial statements.</w:t>
      </w:r>
    </w:p>
    <w:p>
      <w:pPr>
        <w:spacing w:after="0" w:line="154"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In the first quarter of fiscal 2021, the Company adopted a new accounting standard that simplifies accounting for income taxes. Specifically, the new standard simplifies aspects of accounting for franchise taxes and enacted changes in tax laws or rates and clarifies the accounting for transactions that result in a step-up in the tax basis of goodwill. The adoption of this standard did not have a material impact on the Company’s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7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In March 2020, the Financial Accounting Standards Board (FASB) issued guidance providing optional expedients and exceptions to account for the effects of reference rate reform to contracts, hedging relationships and other transactions that reference LIBOR or another reference rate expected to be discontinued. The optional guidance is effective as of the beginning of the reporting period when the election is made through December 31, 2022. The Company is currently evaluating the impact this guidance will have on its consolidated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Revenues</w:t>
      </w:r>
    </w:p>
    <w:p>
      <w:pPr>
        <w:spacing w:after="0" w:line="175"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Revenues are recognized when control of the promised goods or services is transferred to the Company’s customers, in an amount that reflects the consideration received in exchange for those goods or services. Sales taxes are excluded from revenues.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disaggregated by product category: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3540" w:type="dxa"/>
            <w:vAlign w:val="bottom"/>
            <w:gridSpan w:val="5"/>
          </w:tcPr>
          <w:p>
            <w:pPr>
              <w:jc w:val="center"/>
              <w:ind w:right="180"/>
              <w:spacing w:after="0"/>
              <w:rPr>
                <w:sz w:val="20"/>
                <w:szCs w:val="20"/>
                <w:color w:val="auto"/>
              </w:rPr>
            </w:pPr>
            <w:r>
              <w:rPr>
                <w:rFonts w:ascii="Arial" w:cs="Arial" w:eastAsia="Arial" w:hAnsi="Arial"/>
                <w:sz w:val="18"/>
                <w:szCs w:val="18"/>
                <w:color w:val="auto"/>
                <w:w w:val="88"/>
              </w:rPr>
              <w:t>For the three months ended</w:t>
            </w:r>
          </w:p>
        </w:tc>
        <w:tc>
          <w:tcPr>
            <w:tcW w:w="3380" w:type="dxa"/>
            <w:vAlign w:val="bottom"/>
            <w:gridSpan w:val="4"/>
          </w:tcPr>
          <w:p>
            <w:pPr>
              <w:jc w:val="center"/>
              <w:spacing w:after="0"/>
              <w:rPr>
                <w:sz w:val="20"/>
                <w:szCs w:val="20"/>
                <w:color w:val="auto"/>
              </w:rPr>
            </w:pPr>
            <w:r>
              <w:rPr>
                <w:rFonts w:ascii="Arial" w:cs="Arial" w:eastAsia="Arial" w:hAnsi="Arial"/>
                <w:sz w:val="18"/>
                <w:szCs w:val="18"/>
                <w:color w:val="auto"/>
                <w:w w:val="89"/>
              </w:rPr>
              <w:t>For the six months ended</w:t>
            </w:r>
          </w:p>
        </w:tc>
      </w:tr>
      <w:tr>
        <w:trPr>
          <w:trHeight w:val="217"/>
        </w:trPr>
        <w:tc>
          <w:tcPr>
            <w:tcW w:w="4320" w:type="dxa"/>
            <w:vAlign w:val="bottom"/>
          </w:tcPr>
          <w:p>
            <w:pPr>
              <w:spacing w:after="0"/>
              <w:rPr>
                <w:sz w:val="18"/>
                <w:szCs w:val="18"/>
                <w:color w:val="auto"/>
              </w:rPr>
            </w:pPr>
          </w:p>
        </w:tc>
        <w:tc>
          <w:tcPr>
            <w:tcW w:w="2180" w:type="dxa"/>
            <w:vAlign w:val="bottom"/>
            <w:tcBorders>
              <w:bottom w:val="single" w:sz="8" w:color="auto"/>
            </w:tcBorders>
            <w:gridSpan w:val="3"/>
          </w:tcPr>
          <w:p>
            <w:pPr>
              <w:jc w:val="center"/>
              <w:ind w:left="1090"/>
              <w:spacing w:after="0"/>
              <w:rPr>
                <w:sz w:val="20"/>
                <w:szCs w:val="20"/>
                <w:color w:val="auto"/>
              </w:rPr>
            </w:pPr>
            <w:r>
              <w:rPr>
                <w:rFonts w:ascii="Arial" w:cs="Arial" w:eastAsia="Arial" w:hAnsi="Arial"/>
                <w:sz w:val="18"/>
                <w:szCs w:val="18"/>
                <w:color w:val="auto"/>
                <w:w w:val="86"/>
              </w:rPr>
              <w:t>June 30,</w:t>
            </w:r>
          </w:p>
        </w:tc>
        <w:tc>
          <w:tcPr>
            <w:tcW w:w="11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tcBorders>
              <w:bottom w:val="single" w:sz="8" w:color="auto"/>
            </w:tcBorders>
            <w:gridSpan w:val="3"/>
          </w:tcPr>
          <w:p>
            <w:pPr>
              <w:jc w:val="center"/>
              <w:ind w:left="1090"/>
              <w:spacing w:after="0"/>
              <w:rPr>
                <w:sz w:val="20"/>
                <w:szCs w:val="20"/>
                <w:color w:val="auto"/>
              </w:rPr>
            </w:pPr>
            <w:r>
              <w:rPr>
                <w:rFonts w:ascii="Arial" w:cs="Arial" w:eastAsia="Arial" w:hAnsi="Arial"/>
                <w:sz w:val="18"/>
                <w:szCs w:val="18"/>
                <w:color w:val="auto"/>
                <w:w w:val="86"/>
              </w:rPr>
              <w:t>June 30,</w:t>
            </w:r>
          </w:p>
        </w:tc>
        <w:tc>
          <w:tcPr>
            <w:tcW w:w="1200" w:type="dxa"/>
            <w:vAlign w:val="bottom"/>
            <w:tcBorders>
              <w:bottom w:val="single" w:sz="8" w:color="auto"/>
            </w:tcBorders>
          </w:tcPr>
          <w:p>
            <w:pPr>
              <w:spacing w:after="0"/>
              <w:rPr>
                <w:sz w:val="18"/>
                <w:szCs w:val="18"/>
                <w:color w:val="auto"/>
              </w:rPr>
            </w:pPr>
          </w:p>
        </w:tc>
      </w:tr>
      <w:tr>
        <w:trPr>
          <w:trHeight w:val="183"/>
        </w:trPr>
        <w:tc>
          <w:tcPr>
            <w:tcW w:w="432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10"/>
              <w:spacing w:after="0" w:line="182" w:lineRule="exact"/>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rPr>
              <w:t>2020</w:t>
            </w:r>
          </w:p>
        </w:tc>
      </w:tr>
      <w:tr>
        <w:trPr>
          <w:trHeight w:val="183"/>
        </w:trPr>
        <w:tc>
          <w:tcPr>
            <w:tcW w:w="43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Man-made tiles</w:t>
            </w:r>
          </w:p>
        </w:tc>
        <w:tc>
          <w:tcPr>
            <w:tcW w:w="158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48 %</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47 %</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47 %</w:t>
            </w: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46 %</w:t>
            </w: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Natural stone tiles</w:t>
            </w:r>
          </w:p>
        </w:tc>
        <w:tc>
          <w:tcPr>
            <w:tcW w:w="15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28</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28</w:t>
            </w:r>
          </w:p>
        </w:tc>
        <w:tc>
          <w:tcPr>
            <w:tcW w:w="180" w:type="dxa"/>
            <w:vAlign w:val="bottom"/>
          </w:tcPr>
          <w:p>
            <w:pPr>
              <w:spacing w:after="0"/>
              <w:rPr>
                <w:sz w:val="16"/>
                <w:szCs w:val="16"/>
                <w:color w:val="auto"/>
              </w:rPr>
            </w:pPr>
          </w:p>
        </w:tc>
        <w:tc>
          <w:tcPr>
            <w:tcW w:w="15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29</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29</w:t>
            </w: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Setting and maintenance materials</w:t>
            </w:r>
          </w:p>
        </w:tc>
        <w:tc>
          <w:tcPr>
            <w:tcW w:w="158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rPr>
              <w:t>14</w:t>
            </w: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Accessories</w:t>
            </w:r>
          </w:p>
        </w:tc>
        <w:tc>
          <w:tcPr>
            <w:tcW w:w="15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9</w:t>
            </w:r>
          </w:p>
        </w:tc>
        <w:tc>
          <w:tcPr>
            <w:tcW w:w="180" w:type="dxa"/>
            <w:vAlign w:val="bottom"/>
          </w:tcPr>
          <w:p>
            <w:pPr>
              <w:spacing w:after="0"/>
              <w:rPr>
                <w:sz w:val="16"/>
                <w:szCs w:val="16"/>
                <w:color w:val="auto"/>
              </w:rPr>
            </w:pPr>
          </w:p>
        </w:tc>
        <w:tc>
          <w:tcPr>
            <w:tcW w:w="15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9</w:t>
            </w: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Delivery service</w:t>
            </w:r>
          </w:p>
        </w:tc>
        <w:tc>
          <w:tcPr>
            <w:tcW w:w="158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rPr>
              <w:t>2</w:t>
            </w:r>
          </w:p>
        </w:tc>
      </w:tr>
      <w:tr>
        <w:trPr>
          <w:trHeight w:val="183"/>
        </w:trPr>
        <w:tc>
          <w:tcPr>
            <w:tcW w:w="432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100 %</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100 %</w:t>
            </w:r>
          </w:p>
        </w:tc>
        <w:tc>
          <w:tcPr>
            <w:tcW w:w="180" w:type="dxa"/>
            <w:vAlign w:val="bottom"/>
          </w:tcPr>
          <w:p>
            <w:pPr>
              <w:spacing w:after="0"/>
              <w:rPr>
                <w:sz w:val="15"/>
                <w:szCs w:val="15"/>
                <w:color w:val="auto"/>
              </w:rPr>
            </w:pPr>
          </w:p>
        </w:tc>
        <w:tc>
          <w:tcPr>
            <w:tcW w:w="158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100 %</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100 %</w:t>
            </w:r>
          </w:p>
        </w:tc>
      </w:tr>
      <w:tr>
        <w:trPr>
          <w:trHeight w:val="20"/>
        </w:trPr>
        <w:tc>
          <w:tcPr>
            <w:tcW w:w="4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The Company generates revenues by selling tile products, setting and maintenance materials, accessories, and delivery services to its customers through its store locations and online. The timing of revenue recognition coincides with the transfer of control of goods and services ordered by the customer, which falls into one of three categories described below:</w:t>
      </w:r>
    </w:p>
    <w:p>
      <w:pPr>
        <w:spacing w:after="0" w:line="148" w:lineRule="exact"/>
        <w:rPr>
          <w:sz w:val="20"/>
          <w:szCs w:val="20"/>
          <w:color w:val="auto"/>
        </w:rPr>
      </w:pPr>
    </w:p>
    <w:p>
      <w:pPr>
        <w:ind w:left="660" w:right="180"/>
        <w:spacing w:after="0" w:line="246" w:lineRule="auto"/>
        <w:rPr>
          <w:sz w:val="20"/>
          <w:szCs w:val="20"/>
          <w:color w:val="auto"/>
        </w:rPr>
      </w:pPr>
      <w:r>
        <w:rPr>
          <w:rFonts w:ascii="Arial" w:cs="Arial" w:eastAsia="Arial" w:hAnsi="Arial"/>
          <w:sz w:val="18"/>
          <w:szCs w:val="18"/>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43" w:lineRule="exact"/>
        <w:rPr>
          <w:sz w:val="20"/>
          <w:szCs w:val="20"/>
          <w:color w:val="auto"/>
        </w:rPr>
      </w:pPr>
    </w:p>
    <w:p>
      <w:pPr>
        <w:ind w:left="660" w:right="60"/>
        <w:spacing w:after="0" w:line="231" w:lineRule="auto"/>
        <w:rPr>
          <w:sz w:val="20"/>
          <w:szCs w:val="20"/>
          <w:color w:val="auto"/>
        </w:rPr>
      </w:pPr>
      <w:r>
        <w:rPr>
          <w:rFonts w:ascii="Arial" w:cs="Arial" w:eastAsia="Arial" w:hAnsi="Arial"/>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3" w:lineRule="exact"/>
        <w:rPr>
          <w:sz w:val="20"/>
          <w:szCs w:val="20"/>
          <w:color w:val="auto"/>
        </w:rPr>
      </w:pPr>
    </w:p>
    <w:p>
      <w:pPr>
        <w:ind w:left="660" w:right="160"/>
        <w:spacing w:after="0" w:line="307" w:lineRule="auto"/>
        <w:rPr>
          <w:sz w:val="20"/>
          <w:szCs w:val="20"/>
          <w:color w:val="auto"/>
        </w:rPr>
      </w:pPr>
      <w:r>
        <w:rPr>
          <w:rFonts w:ascii="Arial" w:cs="Arial" w:eastAsia="Arial" w:hAnsi="Arial"/>
          <w:sz w:val="16"/>
          <w:szCs w:val="16"/>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9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The customer deposit balance was $16.5 million and $12.2 million as of June 30, 2021 and December 31, 2020, respectively. Revenues recognized during the six months ended June 30, 2021 that were included in the customer deposit balance as of the beginning of the period were $11.6 million.</w:t>
      </w:r>
    </w:p>
    <w:p>
      <w:pPr>
        <w:spacing w:after="0" w:line="149"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The Company extends financing to qualified professional customers who apply for credit. Customers who qualify for an account receive 30-day payment terms. The accounts receivable balance was $3.3 million and $3.0 million at June 30, 2021 and December 31, 2020, respectively. The Company expects that the customer will pay for the goods and services ordered within one year from the date the order is placed. Accordingly, the Company qualifies for the practical expedient outlined in Accounting Standards Codification 606-10-32-18 and does not adjust the promised amount of consideration for the effects of the financing component.</w:t>
      </w:r>
    </w:p>
    <w:p>
      <w:pPr>
        <w:spacing w:after="0" w:line="151" w:lineRule="exact"/>
        <w:rPr>
          <w:sz w:val="20"/>
          <w:szCs w:val="20"/>
          <w:color w:val="auto"/>
        </w:rPr>
      </w:pPr>
    </w:p>
    <w:p>
      <w:pPr>
        <w:ind w:right="280"/>
        <w:spacing w:after="0" w:line="246" w:lineRule="auto"/>
        <w:rPr>
          <w:sz w:val="20"/>
          <w:szCs w:val="20"/>
          <w:color w:val="auto"/>
        </w:rPr>
      </w:pPr>
      <w:r>
        <w:rPr>
          <w:rFonts w:ascii="Arial" w:cs="Arial" w:eastAsia="Arial" w:hAnsi="Arial"/>
          <w:sz w:val="17"/>
          <w:szCs w:val="17"/>
          <w:color w:val="auto"/>
        </w:rPr>
        <w:t>Customers may return purchased items for an exchange or refund. The Company records a reserve for estimated product returns based on the historical returns trends and the current product sales performance. The Company presents the sales returns reserve as an other accrued liability and the estimated value of the inventory that will be returned as an other current asset in the Consolidated Balance Sheet. The components of the sales returns reserve reflected in the Consolidated Balance Sheet as of June 30, 2021 and December 31, 2020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60" w:type="dxa"/>
            <w:vAlign w:val="bottom"/>
            <w:gridSpan w:val="4"/>
          </w:tcPr>
          <w:p>
            <w:pPr>
              <w:jc w:val="right"/>
              <w:ind w:right="850"/>
              <w:spacing w:after="0"/>
              <w:rPr>
                <w:sz w:val="20"/>
                <w:szCs w:val="20"/>
                <w:color w:val="auto"/>
              </w:rPr>
            </w:pPr>
            <w:r>
              <w:rPr>
                <w:rFonts w:ascii="Arial" w:cs="Arial" w:eastAsia="Arial" w:hAnsi="Arial"/>
                <w:sz w:val="18"/>
                <w:szCs w:val="18"/>
                <w:color w:val="auto"/>
              </w:rPr>
              <w:t>(in thousands)</w:t>
            </w:r>
          </w:p>
        </w:tc>
      </w:tr>
      <w:tr>
        <w:trPr>
          <w:trHeight w:val="189"/>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0"/>
              </w:rPr>
              <w:t>December 31,</w:t>
            </w:r>
          </w:p>
        </w:tc>
      </w:tr>
      <w:tr>
        <w:trPr>
          <w:trHeight w:val="217"/>
        </w:trPr>
        <w:tc>
          <w:tcPr>
            <w:tcW w:w="8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Other accrued liabilities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5,709</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4,957</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1,735</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1,516</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Sales returns reserve, net</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3,974</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3,441</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175"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Inventories are stated at the lower of cost (determined using the moving average cost method) or net realizable value. Inventories consist primarily of merchandise held for sale. Inventories were comprised of the following as of June 30, 2021 and December 31, 2020:</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4"/>
          </w:tcPr>
          <w:p>
            <w:pPr>
              <w:jc w:val="right"/>
              <w:ind w:right="850"/>
              <w:spacing w:after="0"/>
              <w:rPr>
                <w:sz w:val="20"/>
                <w:szCs w:val="20"/>
                <w:color w:val="auto"/>
              </w:rPr>
            </w:pPr>
            <w:r>
              <w:rPr>
                <w:rFonts w:ascii="Arial" w:cs="Arial" w:eastAsia="Arial" w:hAnsi="Arial"/>
                <w:sz w:val="18"/>
                <w:szCs w:val="18"/>
                <w:color w:val="auto"/>
              </w:rPr>
              <w:t>(in thousands)</w:t>
            </w:r>
          </w:p>
        </w:tc>
      </w:tr>
      <w:tr>
        <w:trPr>
          <w:trHeight w:val="189"/>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0"/>
              </w:rPr>
              <w:t>December 31,</w:t>
            </w:r>
          </w:p>
        </w:tc>
      </w:tr>
      <w:tr>
        <w:trPr>
          <w:trHeight w:val="217"/>
        </w:trPr>
        <w:tc>
          <w:tcPr>
            <w:tcW w:w="8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67,410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72,619</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1,523</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1,677</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68,933</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74,296</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$0.6 million on both June 30, 2021 and December 31,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175"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The Company's effective tax rate on net income before taxes for the three months ended June 30, 2021 and 2020 was 26.4% and 67.7%, respectively. The Company’s effective tax rate for the six months ended June 30, 2021 and 2020 was 24.1% and 551.7%, respectively. The Company’s effective tax rate during the three and six months ended June 30, 2020 included adjustments resulting from the enactment of the Coronavirus Aid, Relief, and Economic Security Act (the CARES Act), which gave the Company the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ability to carry back federal net operating losses to years with a federal statutory rate of 35%. The Company’s effective tax rate during the six months ended June 30, 2021 included a $0.3 million tax benefit associated with restricted stock award vestings.</w:t>
      </w:r>
    </w:p>
    <w:p>
      <w:pPr>
        <w:spacing w:after="0" w:line="143"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Company records interest and penalties relating to uncertain tax positions in income tax expense. As of June 30, 2021 and 2020, the Company had not recognized any liabilities for uncertain tax positions, nor had interest and penalties related to uncertain tax positions been accrued.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(Loss) Per Share</w:t>
      </w:r>
    </w:p>
    <w:p>
      <w:pPr>
        <w:spacing w:after="0" w:line="17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Basic earnings (loss) per share is calculated by dividing net income (loss) by the weighted-average number of common shares outstanding during the period. Diluted earnings (loss) per share is calculated by dividing net income (loss) by the weighted-average number of common shares outstanding, after taking into consideration all dilutive potential shares outstanding during the period.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r>
              <w:rPr>
                <w:rFonts w:ascii="Arial" w:cs="Arial" w:eastAsia="Arial" w:hAnsi="Arial"/>
                <w:sz w:val="18"/>
                <w:szCs w:val="18"/>
                <w:color w:val="auto"/>
                <w:w w:val="94"/>
              </w:rPr>
              <w:t>Basic and diluted earnings (loss) per share were calculated as follows:</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60" w:type="dxa"/>
            <w:vAlign w:val="bottom"/>
            <w:gridSpan w:val="15"/>
            <w:vMerge w:val="restart"/>
          </w:tcPr>
          <w:p>
            <w:pPr>
              <w:ind w:left="860"/>
              <w:spacing w:after="0"/>
              <w:rPr>
                <w:sz w:val="20"/>
                <w:szCs w:val="20"/>
                <w:color w:val="auto"/>
              </w:rPr>
            </w:pPr>
            <w:r>
              <w:rPr>
                <w:rFonts w:ascii="Arial" w:cs="Arial" w:eastAsia="Arial" w:hAnsi="Arial"/>
                <w:sz w:val="18"/>
                <w:szCs w:val="18"/>
                <w:color w:val="auto"/>
                <w:w w:val="92"/>
              </w:rPr>
              <w:t>(dollars in thousands, except per share data)</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5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60" w:type="dxa"/>
            <w:vAlign w:val="bottom"/>
            <w:gridSpan w:val="15"/>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60" w:type="dxa"/>
            <w:vAlign w:val="bottom"/>
            <w:gridSpan w:val="6"/>
          </w:tcPr>
          <w:p>
            <w:pPr>
              <w:jc w:val="right"/>
              <w:ind w:right="380"/>
              <w:spacing w:after="0" w:line="189" w:lineRule="exact"/>
              <w:rPr>
                <w:sz w:val="20"/>
                <w:szCs w:val="20"/>
                <w:color w:val="auto"/>
              </w:rPr>
            </w:pPr>
            <w:r>
              <w:rPr>
                <w:rFonts w:ascii="Arial" w:cs="Arial" w:eastAsia="Arial" w:hAnsi="Arial"/>
                <w:sz w:val="18"/>
                <w:szCs w:val="18"/>
                <w:color w:val="auto"/>
                <w:w w:val="92"/>
              </w:rPr>
              <w:t>For the three months ended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8"/>
          </w:tcPr>
          <w:p>
            <w:pPr>
              <w:jc w:val="center"/>
              <w:ind w:right="30"/>
              <w:spacing w:after="0" w:line="189" w:lineRule="exact"/>
              <w:rPr>
                <w:sz w:val="20"/>
                <w:szCs w:val="20"/>
                <w:color w:val="auto"/>
              </w:rPr>
            </w:pPr>
            <w:r>
              <w:rPr>
                <w:rFonts w:ascii="Arial" w:cs="Arial" w:eastAsia="Arial" w:hAnsi="Arial"/>
                <w:sz w:val="18"/>
                <w:szCs w:val="18"/>
                <w:color w:val="auto"/>
                <w:w w:val="89"/>
              </w:rPr>
              <w:t>For the six months ended</w:t>
            </w:r>
          </w:p>
        </w:tc>
        <w:tc>
          <w:tcPr>
            <w:tcW w:w="0" w:type="dxa"/>
            <w:vAlign w:val="bottom"/>
          </w:tcPr>
          <w:p>
            <w:pPr>
              <w:spacing w:after="0"/>
              <w:rPr>
                <w:sz w:val="1"/>
                <w:szCs w:val="1"/>
                <w:color w:val="auto"/>
              </w:rPr>
            </w:pPr>
          </w:p>
        </w:tc>
      </w:tr>
      <w:tr>
        <w:trPr>
          <w:trHeight w:val="217"/>
        </w:trPr>
        <w:tc>
          <w:tcPr>
            <w:tcW w:w="5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6"/>
              </w:rPr>
              <w:t>June 30,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30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0"/>
              <w:spacing w:after="0" w:line="182" w:lineRule="exact"/>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2020</w:t>
            </w: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2021</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83"/>
        </w:trPr>
        <w:tc>
          <w:tcPr>
            <w:tcW w:w="5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 (loss)</w:t>
            </w: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5,494</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(760)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4"/>
            <w:shd w:val="clear" w:color="auto" w:fill="CCEEFF"/>
          </w:tcPr>
          <w:p>
            <w:pPr>
              <w:jc w:val="right"/>
              <w:spacing w:after="0" w:line="182" w:lineRule="exact"/>
              <w:rPr>
                <w:sz w:val="20"/>
                <w:szCs w:val="20"/>
                <w:color w:val="auto"/>
              </w:rPr>
            </w:pPr>
            <w:r>
              <w:rPr>
                <w:rFonts w:ascii="Arial" w:cs="Arial" w:eastAsia="Arial" w:hAnsi="Arial"/>
                <w:sz w:val="18"/>
                <w:szCs w:val="18"/>
                <w:color w:val="auto"/>
              </w:rPr>
              <w:t>10,791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189"/>
        </w:trPr>
        <w:tc>
          <w:tcPr>
            <w:tcW w:w="5300" w:type="dxa"/>
            <w:vAlign w:val="bottom"/>
          </w:tcPr>
          <w:p>
            <w:pPr>
              <w:spacing w:after="0" w:line="189" w:lineRule="exact"/>
              <w:rPr>
                <w:sz w:val="20"/>
                <w:szCs w:val="20"/>
                <w:color w:val="auto"/>
              </w:rPr>
            </w:pPr>
            <w:r>
              <w:rPr>
                <w:rFonts w:ascii="Arial" w:cs="Arial" w:eastAsia="Arial" w:hAnsi="Arial"/>
                <w:sz w:val="18"/>
                <w:szCs w:val="18"/>
                <w:color w:val="auto"/>
              </w:rPr>
              <w:t>Weighted average shares outstanding - basic</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50,259,945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spacing w:after="0" w:line="189" w:lineRule="exact"/>
              <w:rPr>
                <w:sz w:val="20"/>
                <w:szCs w:val="20"/>
                <w:color w:val="auto"/>
              </w:rPr>
            </w:pPr>
            <w:r>
              <w:rPr>
                <w:rFonts w:ascii="Arial" w:cs="Arial" w:eastAsia="Arial" w:hAnsi="Arial"/>
                <w:sz w:val="18"/>
                <w:szCs w:val="18"/>
                <w:color w:val="auto"/>
                <w:w w:val="95"/>
              </w:rPr>
              <w:t>49,926,267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jc w:val="right"/>
              <w:spacing w:after="0" w:line="189" w:lineRule="exact"/>
              <w:rPr>
                <w:sz w:val="20"/>
                <w:szCs w:val="20"/>
                <w:color w:val="auto"/>
              </w:rPr>
            </w:pPr>
            <w:r>
              <w:rPr>
                <w:rFonts w:ascii="Arial" w:cs="Arial" w:eastAsia="Arial" w:hAnsi="Arial"/>
                <w:sz w:val="18"/>
                <w:szCs w:val="18"/>
                <w:color w:val="auto"/>
              </w:rPr>
              <w:t>50,183,310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w w:val="90"/>
              </w:rPr>
              <w:t>49,884,169</w:t>
            </w: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Effect of dilutive securities attributable to stock based awards</w:t>
            </w:r>
          </w:p>
        </w:tc>
        <w:tc>
          <w:tcPr>
            <w:tcW w:w="6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1,074,004</w:t>
            </w:r>
          </w:p>
        </w:tc>
        <w:tc>
          <w:tcPr>
            <w:tcW w:w="1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auto"/>
              </w:rPr>
              <w:t>999,949</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168,821</w:t>
            </w:r>
          </w:p>
        </w:tc>
        <w:tc>
          <w:tcPr>
            <w:tcW w:w="0" w:type="dxa"/>
            <w:vAlign w:val="bottom"/>
          </w:tcPr>
          <w:p>
            <w:pPr>
              <w:spacing w:after="0"/>
              <w:rPr>
                <w:sz w:val="1"/>
                <w:szCs w:val="1"/>
                <w:color w:val="auto"/>
              </w:rPr>
            </w:pPr>
          </w:p>
        </w:tc>
      </w:tr>
      <w:tr>
        <w:trPr>
          <w:trHeight w:val="183"/>
        </w:trPr>
        <w:tc>
          <w:tcPr>
            <w:tcW w:w="53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Weighted average shares outstanding - diluted</w:t>
            </w:r>
          </w:p>
        </w:tc>
        <w:tc>
          <w:tcPr>
            <w:tcW w:w="6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51,333,949</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w w:val="95"/>
              </w:rPr>
              <w:t>49,926,267</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spacing w:after="0" w:line="182" w:lineRule="exact"/>
              <w:rPr>
                <w:sz w:val="20"/>
                <w:szCs w:val="20"/>
                <w:color w:val="auto"/>
              </w:rPr>
            </w:pPr>
            <w:r>
              <w:rPr>
                <w:rFonts w:ascii="Arial" w:cs="Arial" w:eastAsia="Arial" w:hAnsi="Arial"/>
                <w:sz w:val="18"/>
                <w:szCs w:val="18"/>
                <w:color w:val="auto"/>
              </w:rPr>
              <w:t>51,183,259</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0"/>
              </w:rPr>
              <w:t>50,052,990</w:t>
            </w:r>
          </w:p>
        </w:tc>
        <w:tc>
          <w:tcPr>
            <w:tcW w:w="0" w:type="dxa"/>
            <w:vAlign w:val="bottom"/>
          </w:tcPr>
          <w:p>
            <w:pPr>
              <w:spacing w:after="0"/>
              <w:rPr>
                <w:sz w:val="1"/>
                <w:szCs w:val="1"/>
                <w:color w:val="auto"/>
              </w:rPr>
            </w:pPr>
          </w:p>
        </w:tc>
      </w:tr>
      <w:tr>
        <w:trPr>
          <w:trHeight w:val="183"/>
        </w:trPr>
        <w:tc>
          <w:tcPr>
            <w:tcW w:w="5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(loss) per common share:</w:t>
            </w: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00" w:type="dxa"/>
            <w:vAlign w:val="bottom"/>
          </w:tcPr>
          <w:p>
            <w:pPr>
              <w:ind w:left="220"/>
              <w:spacing w:after="0" w:line="189" w:lineRule="exact"/>
              <w:rPr>
                <w:sz w:val="20"/>
                <w:szCs w:val="20"/>
                <w:color w:val="auto"/>
              </w:rPr>
            </w:pPr>
            <w:r>
              <w:rPr>
                <w:rFonts w:ascii="Arial" w:cs="Arial" w:eastAsia="Arial" w:hAnsi="Arial"/>
                <w:sz w:val="18"/>
                <w:szCs w:val="18"/>
                <w:color w:val="auto"/>
              </w:rPr>
              <w:t>Basic</w:t>
            </w:r>
          </w:p>
        </w:tc>
        <w:tc>
          <w:tcPr>
            <w:tcW w:w="88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0.11</w:t>
            </w:r>
          </w:p>
        </w:tc>
        <w:tc>
          <w:tcPr>
            <w:tcW w:w="140" w:type="dxa"/>
            <w:vAlign w:val="bottom"/>
          </w:tcPr>
          <w:p>
            <w:pPr>
              <w:spacing w:after="0"/>
              <w:rPr>
                <w:sz w:val="16"/>
                <w:szCs w:val="16"/>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60"/>
              <w:spacing w:after="0" w:line="189" w:lineRule="exact"/>
              <w:rPr>
                <w:sz w:val="20"/>
                <w:szCs w:val="20"/>
                <w:color w:val="auto"/>
              </w:rPr>
            </w:pPr>
            <w:r>
              <w:rPr>
                <w:rFonts w:ascii="Arial" w:cs="Arial" w:eastAsia="Arial" w:hAnsi="Arial"/>
                <w:sz w:val="18"/>
                <w:szCs w:val="18"/>
                <w:color w:val="auto"/>
              </w:rPr>
              <w:t>(0.02)</w:t>
            </w:r>
          </w:p>
        </w:tc>
        <w:tc>
          <w:tcPr>
            <w:tcW w:w="180" w:type="dxa"/>
            <w:vAlign w:val="bottom"/>
            <w:gridSpan w:val="2"/>
          </w:tcPr>
          <w:p>
            <w:pPr>
              <w:ind w:left="80"/>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spacing w:after="0" w:line="189" w:lineRule="exact"/>
              <w:rPr>
                <w:sz w:val="20"/>
                <w:szCs w:val="20"/>
                <w:color w:val="auto"/>
              </w:rPr>
            </w:pPr>
            <w:r>
              <w:rPr>
                <w:rFonts w:ascii="Arial" w:cs="Arial" w:eastAsia="Arial" w:hAnsi="Arial"/>
                <w:sz w:val="18"/>
                <w:szCs w:val="18"/>
                <w:color w:val="auto"/>
              </w:rPr>
              <w:t>0.22</w:t>
            </w:r>
          </w:p>
        </w:tc>
        <w:tc>
          <w:tcPr>
            <w:tcW w:w="60" w:type="dxa"/>
            <w:vAlign w:val="bottom"/>
          </w:tcPr>
          <w:p>
            <w:pPr>
              <w:spacing w:after="0"/>
              <w:rPr>
                <w:sz w:val="16"/>
                <w:szCs w:val="16"/>
                <w:color w:val="auto"/>
              </w:rPr>
            </w:pPr>
          </w:p>
        </w:tc>
        <w:tc>
          <w:tcPr>
            <w:tcW w:w="340" w:type="dxa"/>
            <w:vAlign w:val="bottom"/>
            <w:gridSpan w:val="2"/>
          </w:tcPr>
          <w:p>
            <w:pPr>
              <w:ind w:left="60"/>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88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(0.02)</w:t>
            </w:r>
          </w:p>
        </w:tc>
        <w:tc>
          <w:tcPr>
            <w:tcW w:w="18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8"/>
                <w:szCs w:val="18"/>
                <w:color w:val="auto"/>
              </w:rPr>
              <w:t>0.21</w:t>
            </w:r>
          </w:p>
        </w:tc>
        <w:tc>
          <w:tcPr>
            <w:tcW w:w="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w w:val="98"/>
              </w:rPr>
              <w:t>Anti-dilutive securities excluded from earnings per share calculation</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945,695</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2,585,401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976,607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1,903,737</w:t>
            </w:r>
          </w:p>
        </w:tc>
        <w:tc>
          <w:tcPr>
            <w:tcW w:w="0" w:type="dxa"/>
            <w:vAlign w:val="bottom"/>
          </w:tcPr>
          <w:p>
            <w:pPr>
              <w:spacing w:after="0"/>
              <w:rPr>
                <w:sz w:val="1"/>
                <w:szCs w:val="1"/>
                <w:color w:val="auto"/>
              </w:rPr>
            </w:pPr>
          </w:p>
        </w:tc>
      </w:tr>
      <w:tr>
        <w:trPr>
          <w:trHeight w:val="350"/>
        </w:trPr>
        <w:tc>
          <w:tcPr>
            <w:tcW w:w="5300" w:type="dxa"/>
            <w:vAlign w:val="bottom"/>
          </w:tcPr>
          <w:p>
            <w:pPr>
              <w:spacing w:after="0"/>
              <w:rPr>
                <w:sz w:val="20"/>
                <w:szCs w:val="20"/>
                <w:color w:val="auto"/>
              </w:rPr>
            </w:pPr>
            <w:r>
              <w:rPr>
                <w:rFonts w:ascii="Arial" w:cs="Arial" w:eastAsia="Arial" w:hAnsi="Arial"/>
                <w:sz w:val="18"/>
                <w:szCs w:val="18"/>
                <w:b w:val="1"/>
                <w:bCs w:val="1"/>
                <w:color w:val="auto"/>
              </w:rPr>
              <w:t>Note 6: Other Accrued Liabilities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00" w:type="dxa"/>
            <w:vAlign w:val="bottom"/>
          </w:tcPr>
          <w:p>
            <w:pPr>
              <w:spacing w:after="0"/>
              <w:rPr>
                <w:sz w:val="20"/>
                <w:szCs w:val="20"/>
                <w:color w:val="auto"/>
              </w:rPr>
            </w:pPr>
            <w:r>
              <w:rPr>
                <w:rFonts w:ascii="Arial" w:cs="Arial" w:eastAsia="Arial" w:hAnsi="Arial"/>
                <w:sz w:val="18"/>
                <w:szCs w:val="18"/>
                <w:color w:val="auto"/>
              </w:rPr>
              <w:t>Other accrued liabilities consisted of the following:</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7"/>
          </w:tcPr>
          <w:p>
            <w:pPr>
              <w:ind w:left="460"/>
              <w:spacing w:after="0"/>
              <w:rPr>
                <w:sz w:val="20"/>
                <w:szCs w:val="20"/>
                <w:color w:val="auto"/>
              </w:rPr>
            </w:pPr>
            <w:r>
              <w:rPr>
                <w:rFonts w:ascii="Arial" w:cs="Arial" w:eastAsia="Arial" w:hAnsi="Arial"/>
                <w:sz w:val="18"/>
                <w:szCs w:val="18"/>
                <w:color w:val="auto"/>
                <w:w w:val="91"/>
              </w:rPr>
              <w:t>(in thousands)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spacing w:after="0" w:line="189" w:lineRule="exact"/>
              <w:rPr>
                <w:sz w:val="20"/>
                <w:szCs w:val="20"/>
                <w:color w:val="auto"/>
              </w:rPr>
            </w:pPr>
            <w:r>
              <w:rPr>
                <w:rFonts w:ascii="Arial" w:cs="Arial" w:eastAsia="Arial" w:hAnsi="Arial"/>
                <w:sz w:val="18"/>
                <w:szCs w:val="18"/>
                <w:color w:val="auto"/>
              </w:rPr>
              <w:t>June 30,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3"/>
          </w:tcPr>
          <w:p>
            <w:pPr>
              <w:ind w:left="40"/>
              <w:spacing w:after="0" w:line="189" w:lineRule="exact"/>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17"/>
        </w:trPr>
        <w:tc>
          <w:tcPr>
            <w:tcW w:w="53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2021</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2020</w:t>
            </w:r>
          </w:p>
        </w:tc>
        <w:tc>
          <w:tcPr>
            <w:tcW w:w="0" w:type="dxa"/>
            <w:vAlign w:val="bottom"/>
          </w:tcPr>
          <w:p>
            <w:pPr>
              <w:spacing w:after="0"/>
              <w:rPr>
                <w:sz w:val="1"/>
                <w:szCs w:val="1"/>
                <w:color w:val="auto"/>
              </w:rPr>
            </w:pPr>
          </w:p>
        </w:tc>
      </w:tr>
      <w:tr>
        <w:trPr>
          <w:trHeight w:val="183"/>
        </w:trPr>
        <w:tc>
          <w:tcPr>
            <w:tcW w:w="5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Customer deposits</w:t>
            </w: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16,497</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12,225</w:t>
            </w:r>
          </w:p>
        </w:tc>
        <w:tc>
          <w:tcPr>
            <w:tcW w:w="0" w:type="dxa"/>
            <w:vAlign w:val="bottom"/>
          </w:tcPr>
          <w:p>
            <w:pPr>
              <w:spacing w:after="0"/>
              <w:rPr>
                <w:sz w:val="1"/>
                <w:szCs w:val="1"/>
                <w:color w:val="auto"/>
              </w:rPr>
            </w:pPr>
          </w:p>
        </w:tc>
      </w:tr>
      <w:tr>
        <w:trPr>
          <w:trHeight w:val="189"/>
        </w:trPr>
        <w:tc>
          <w:tcPr>
            <w:tcW w:w="5300" w:type="dxa"/>
            <w:vAlign w:val="bottom"/>
          </w:tcPr>
          <w:p>
            <w:pPr>
              <w:spacing w:after="0" w:line="189" w:lineRule="exact"/>
              <w:rPr>
                <w:sz w:val="20"/>
                <w:szCs w:val="20"/>
                <w:color w:val="auto"/>
              </w:rPr>
            </w:pPr>
            <w:r>
              <w:rPr>
                <w:rFonts w:ascii="Arial" w:cs="Arial" w:eastAsia="Arial" w:hAnsi="Arial"/>
                <w:sz w:val="18"/>
                <w:szCs w:val="18"/>
                <w:color w:val="auto"/>
              </w:rPr>
              <w:t>Sales returns reserve</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5,709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Accrued wages and salaries</w:t>
            </w: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8,294</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189"/>
        </w:trPr>
        <w:tc>
          <w:tcPr>
            <w:tcW w:w="5300" w:type="dxa"/>
            <w:vAlign w:val="bottom"/>
          </w:tcPr>
          <w:p>
            <w:pPr>
              <w:spacing w:after="0" w:line="189" w:lineRule="exact"/>
              <w:rPr>
                <w:sz w:val="20"/>
                <w:szCs w:val="20"/>
                <w:color w:val="auto"/>
              </w:rPr>
            </w:pPr>
            <w:r>
              <w:rPr>
                <w:rFonts w:ascii="Arial" w:cs="Arial" w:eastAsia="Arial" w:hAnsi="Arial"/>
                <w:sz w:val="18"/>
                <w:szCs w:val="18"/>
                <w:color w:val="auto"/>
              </w:rPr>
              <w:t>Payroll and sales taxes</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5,152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4,958</w:t>
            </w: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current liabilities</w:t>
            </w: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7,056</w:t>
            </w:r>
          </w:p>
        </w:tc>
        <w:tc>
          <w:tcPr>
            <w:tcW w:w="4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183"/>
        </w:trPr>
        <w:tc>
          <w:tcPr>
            <w:tcW w:w="5300" w:type="dxa"/>
            <w:vAlign w:val="bottom"/>
          </w:tcPr>
          <w:p>
            <w:pPr>
              <w:ind w:left="220"/>
              <w:spacing w:after="0" w:line="182" w:lineRule="exact"/>
              <w:rPr>
                <w:sz w:val="20"/>
                <w:szCs w:val="20"/>
                <w:color w:val="auto"/>
              </w:rPr>
            </w:pPr>
            <w:r>
              <w:rPr>
                <w:rFonts w:ascii="Arial" w:cs="Arial" w:eastAsia="Arial" w:hAnsi="Arial"/>
                <w:sz w:val="18"/>
                <w:szCs w:val="18"/>
                <w:color w:val="auto"/>
              </w:rPr>
              <w:t>Total other accrued liabilities</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42,708</w:t>
            </w: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gridSpan w:val="2"/>
          </w:tcPr>
          <w:p>
            <w:pPr>
              <w:jc w:val="right"/>
              <w:ind w:right="40"/>
              <w:spacing w:after="0" w:line="182" w:lineRule="exact"/>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34,106</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680" w:type="dxa"/>
            <w:vAlign w:val="bottom"/>
            <w:vMerge w:val="restart"/>
          </w:tcPr>
          <w:p>
            <w:pPr>
              <w:jc w:val="right"/>
              <w:ind w:right="17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30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17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 September 18, 2018, Holdings and its operating subsidiary, The Tile Shop, LLC, entered into a Credit Agreement with Bank of America, N.A., Fifth Third Bank and Citizens Bank (the “Credit Agreement”). The Credit Agreement provides the Company with a senior credit facility consisting of a $100.0 million revolving line of credit through September 18, 2023. Borrowings pursuant to the Credit Agreement initially bear interest at a LIBOR or base rate. The LIBOR-based rate ranges from LIBOR plus 1.50% to 2.25% depending on the Company’s rent adjusted leverage ratio. The base rate is equal to the greatest of (a) the Federal funds rate plus 0.50%, (b) the Bank of America “prime rate,” and (c) the Eurodollar rate plus 1.00%, in each case plus 0.50% to 1.25% depending on the Company’s rent adjusted leverage ratio. At June 30, 2021, the base interest rate was 4.00% and the LIBOR-based interest rate was</w:t>
      </w:r>
    </w:p>
    <w:p>
      <w:pPr>
        <w:ind w:right="220"/>
        <w:spacing w:after="0" w:line="226" w:lineRule="auto"/>
        <w:rPr>
          <w:sz w:val="20"/>
          <w:szCs w:val="20"/>
          <w:color w:val="auto"/>
        </w:rPr>
      </w:pPr>
      <w:r>
        <w:rPr>
          <w:rFonts w:ascii="Arial" w:cs="Arial" w:eastAsia="Arial" w:hAnsi="Arial"/>
          <w:sz w:val="18"/>
          <w:szCs w:val="18"/>
          <w:color w:val="auto"/>
        </w:rPr>
        <w:t>1.84%. The Company had no borrowings outstanding on its revolving line of credit as of June 30, 2021. In addition, the Company has standby letters of credit outstanding related to its workers’ compensation and medical insurance policies. Standby letters of credit totaled $2.4 million as of both June 30, 2021 and December 31, 2020. There was $97.6 million available for borrowing on the revolving line of credit as of June 30, 2021, which may be used to support the Company’s growth and for working capital purposes.</w:t>
      </w:r>
    </w:p>
    <w:p>
      <w:pPr>
        <w:spacing w:after="0" w:line="149"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The Credit Agreement is secured by virtually all of the assets of the Company, including but not limited to, inventory, receivables, equipment and real property. The Credit Agreement contains customary events of default, conditions to borrowings, and restrictive covenants, including restrictions on the Company’s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The Company was in compliance with the covenants as of June 30,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75"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The Company leases its retail stores, certain distribution space, and office space. Leases generally have a term of ten 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Leasehold improvements are amortized using the straight-line method over the shorter of the original lease term, the renewal term if the lease renewal is reasonably certain or the useful life of the improvement.</w:t>
      </w:r>
    </w:p>
    <w:p>
      <w:pPr>
        <w:spacing w:after="0" w:line="151"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color w:val="auto"/>
        </w:rPr>
        <w:t>Following the onset of COVID-19 in 2020, the Company worked with its landlords to defer rent payments for many of its retail locations throughout the second quarter of 2020. As of December 31, 2020, the deferred rent balance was $2.1 million. During the six months ended June 30, 2021, the Company repaid $1.6 million of the deferred rent balance to its landlords. As of June 30, 2021, the deferred rent balance was $0.5 million. The deferred rent balance is recorded as a liability within the current portion of lease liability balance.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620" w:type="dxa"/>
            <w:vAlign w:val="bottom"/>
          </w:tcPr>
          <w:p>
            <w:pPr>
              <w:spacing w:after="0"/>
              <w:rPr>
                <w:sz w:val="20"/>
                <w:szCs w:val="20"/>
                <w:color w:val="auto"/>
              </w:rPr>
            </w:pPr>
            <w:r>
              <w:rPr>
                <w:rFonts w:ascii="Arial" w:cs="Arial" w:eastAsia="Arial" w:hAnsi="Arial"/>
                <w:sz w:val="18"/>
                <w:szCs w:val="18"/>
                <w:color w:val="auto"/>
              </w:rPr>
              <w:t>Leases (in thousands)</w:t>
            </w:r>
          </w:p>
        </w:tc>
        <w:tc>
          <w:tcPr>
            <w:tcW w:w="2820" w:type="dxa"/>
            <w:vAlign w:val="bottom"/>
          </w:tcPr>
          <w:p>
            <w:pPr>
              <w:ind w:left="400"/>
              <w:spacing w:after="0"/>
              <w:rPr>
                <w:sz w:val="20"/>
                <w:szCs w:val="20"/>
                <w:color w:val="auto"/>
              </w:rPr>
            </w:pPr>
            <w:r>
              <w:rPr>
                <w:rFonts w:ascii="Arial" w:cs="Arial" w:eastAsia="Arial" w:hAnsi="Arial"/>
                <w:sz w:val="18"/>
                <w:szCs w:val="18"/>
                <w:color w:val="auto"/>
              </w:rPr>
              <w:t>Classification</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June 30, 2021</w:t>
            </w:r>
          </w:p>
        </w:tc>
        <w:tc>
          <w:tcPr>
            <w:tcW w:w="320" w:type="dxa"/>
            <w:vAlign w:val="bottom"/>
          </w:tcPr>
          <w:p>
            <w:pPr>
              <w:spacing w:after="0"/>
              <w:rPr>
                <w:sz w:val="18"/>
                <w:szCs w:val="18"/>
                <w:color w:val="auto"/>
              </w:rPr>
            </w:pPr>
          </w:p>
        </w:tc>
        <w:tc>
          <w:tcPr>
            <w:tcW w:w="2060" w:type="dxa"/>
            <w:vAlign w:val="bottom"/>
          </w:tcPr>
          <w:p>
            <w:pPr>
              <w:jc w:val="right"/>
              <w:ind w:right="330"/>
              <w:spacing w:after="0"/>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r>
        <w:trPr>
          <w:trHeight w:val="182"/>
        </w:trPr>
        <w:tc>
          <w:tcPr>
            <w:tcW w:w="26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28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line="189" w:lineRule="exact"/>
              <w:rPr>
                <w:sz w:val="20"/>
                <w:szCs w:val="20"/>
                <w:color w:val="auto"/>
              </w:rPr>
            </w:pPr>
            <w:r>
              <w:rPr>
                <w:rFonts w:ascii="Arial" w:cs="Arial" w:eastAsia="Arial" w:hAnsi="Arial"/>
                <w:sz w:val="18"/>
                <w:szCs w:val="18"/>
                <w:color w:val="auto"/>
              </w:rPr>
              <w:t>Operating lease assets</w:t>
            </w:r>
          </w:p>
        </w:tc>
        <w:tc>
          <w:tcPr>
            <w:tcW w:w="2820" w:type="dxa"/>
            <w:vAlign w:val="bottom"/>
          </w:tcPr>
          <w:p>
            <w:pPr>
              <w:ind w:left="400"/>
              <w:spacing w:after="0" w:line="189" w:lineRule="exact"/>
              <w:rPr>
                <w:sz w:val="20"/>
                <w:szCs w:val="20"/>
                <w:color w:val="auto"/>
              </w:rPr>
            </w:pPr>
            <w:r>
              <w:rPr>
                <w:rFonts w:ascii="Arial" w:cs="Arial" w:eastAsia="Arial" w:hAnsi="Arial"/>
                <w:sz w:val="18"/>
                <w:szCs w:val="18"/>
                <w:color w:val="auto"/>
              </w:rPr>
              <w:t>Right of use asset</w:t>
            </w:r>
          </w:p>
        </w:tc>
        <w:tc>
          <w:tcPr>
            <w:tcW w:w="1320" w:type="dxa"/>
            <w:vAlign w:val="bottom"/>
            <w:gridSpan w:val="3"/>
          </w:tcPr>
          <w:p>
            <w:pPr>
              <w:jc w:val="right"/>
              <w:ind w:right="250"/>
              <w:spacing w:after="0" w:line="189" w:lineRule="exact"/>
              <w:rPr>
                <w:sz w:val="20"/>
                <w:szCs w:val="20"/>
                <w:color w:val="auto"/>
              </w:rPr>
            </w:pPr>
            <w:r>
              <w:rPr>
                <w:rFonts w:ascii="Arial" w:cs="Arial" w:eastAsia="Arial" w:hAnsi="Arial"/>
                <w:sz w:val="18"/>
                <w:szCs w:val="18"/>
                <w:color w:val="auto"/>
              </w:rPr>
              <w:t>$</w:t>
            </w:r>
          </w:p>
        </w:tc>
        <w:tc>
          <w:tcPr>
            <w:tcW w:w="2020" w:type="dxa"/>
            <w:vAlign w:val="bottom"/>
          </w:tcPr>
          <w:p>
            <w:pPr>
              <w:jc w:val="right"/>
              <w:spacing w:after="0" w:line="189" w:lineRule="exact"/>
              <w:rPr>
                <w:sz w:val="20"/>
                <w:szCs w:val="20"/>
                <w:color w:val="auto"/>
              </w:rPr>
            </w:pPr>
            <w:r>
              <w:rPr>
                <w:rFonts w:ascii="Arial" w:cs="Arial" w:eastAsia="Arial" w:hAnsi="Arial"/>
                <w:sz w:val="18"/>
                <w:szCs w:val="18"/>
                <w:color w:val="auto"/>
              </w:rPr>
              <w:t>124,771</w:t>
            </w:r>
          </w:p>
        </w:tc>
        <w:tc>
          <w:tcPr>
            <w:tcW w:w="80" w:type="dxa"/>
            <w:vAlign w:val="bottom"/>
          </w:tcPr>
          <w:p>
            <w:pPr>
              <w:spacing w:after="0"/>
              <w:rPr>
                <w:sz w:val="16"/>
                <w:szCs w:val="16"/>
                <w:color w:val="auto"/>
              </w:rPr>
            </w:pPr>
          </w:p>
        </w:tc>
        <w:tc>
          <w:tcPr>
            <w:tcW w:w="320" w:type="dxa"/>
            <w:vAlign w:val="bottom"/>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2060" w:type="dxa"/>
            <w:vAlign w:val="bottom"/>
          </w:tcPr>
          <w:p>
            <w:pPr>
              <w:jc w:val="right"/>
              <w:spacing w:after="0" w:line="189" w:lineRule="exact"/>
              <w:rPr>
                <w:sz w:val="20"/>
                <w:szCs w:val="20"/>
                <w:color w:val="auto"/>
              </w:rPr>
            </w:pPr>
            <w:r>
              <w:rPr>
                <w:rFonts w:ascii="Arial" w:cs="Arial" w:eastAsia="Arial" w:hAnsi="Arial"/>
                <w:sz w:val="18"/>
                <w:szCs w:val="18"/>
                <w:color w:val="auto"/>
              </w:rPr>
              <w:t>132,374</w:t>
            </w:r>
          </w:p>
        </w:tc>
        <w:tc>
          <w:tcPr>
            <w:tcW w:w="0" w:type="dxa"/>
            <w:vAlign w:val="bottom"/>
          </w:tcPr>
          <w:p>
            <w:pPr>
              <w:spacing w:after="0"/>
              <w:rPr>
                <w:sz w:val="1"/>
                <w:szCs w:val="1"/>
                <w:color w:val="auto"/>
              </w:rPr>
            </w:pPr>
          </w:p>
        </w:tc>
      </w:tr>
      <w:tr>
        <w:trPr>
          <w:trHeight w:val="183"/>
        </w:trPr>
        <w:tc>
          <w:tcPr>
            <w:tcW w:w="26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leased assets</w:t>
            </w:r>
          </w:p>
        </w:tc>
        <w:tc>
          <w:tcPr>
            <w:tcW w:w="282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124,771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132,374</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6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Liabilities</w:t>
            </w:r>
          </w:p>
        </w:tc>
        <w:tc>
          <w:tcPr>
            <w:tcW w:w="2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line="189" w:lineRule="exact"/>
              <w:rPr>
                <w:sz w:val="20"/>
                <w:szCs w:val="20"/>
                <w:color w:val="auto"/>
              </w:rPr>
            </w:pPr>
            <w:r>
              <w:rPr>
                <w:rFonts w:ascii="Arial" w:cs="Arial" w:eastAsia="Arial" w:hAnsi="Arial"/>
                <w:sz w:val="18"/>
                <w:szCs w:val="18"/>
                <w:color w:val="auto"/>
              </w:rPr>
              <w:t>Current</w:t>
            </w:r>
          </w:p>
        </w:tc>
        <w:tc>
          <w:tcPr>
            <w:tcW w:w="2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w:t>
            </w:r>
          </w:p>
        </w:tc>
        <w:tc>
          <w:tcPr>
            <w:tcW w:w="2820" w:type="dxa"/>
            <w:vAlign w:val="bottom"/>
            <w:shd w:val="clear" w:color="auto" w:fill="CCEEFF"/>
          </w:tcPr>
          <w:p>
            <w:pPr>
              <w:ind w:left="400"/>
              <w:spacing w:after="0" w:line="189" w:lineRule="exact"/>
              <w:rPr>
                <w:sz w:val="20"/>
                <w:szCs w:val="20"/>
                <w:color w:val="auto"/>
              </w:rPr>
            </w:pPr>
            <w:r>
              <w:rPr>
                <w:rFonts w:ascii="Arial" w:cs="Arial" w:eastAsia="Arial" w:hAnsi="Arial"/>
                <w:sz w:val="18"/>
                <w:szCs w:val="18"/>
                <w:color w:val="auto"/>
                <w:w w:val="97"/>
              </w:rPr>
              <w:t>Current portion of lease liability</w:t>
            </w:r>
          </w:p>
        </w:tc>
        <w:tc>
          <w:tcPr>
            <w:tcW w:w="1320" w:type="dxa"/>
            <w:vAlign w:val="bottom"/>
            <w:gridSpan w:val="3"/>
            <w:shd w:val="clear" w:color="auto" w:fill="CCEEFF"/>
          </w:tcPr>
          <w:p>
            <w:pPr>
              <w:jc w:val="right"/>
              <w:ind w:right="250"/>
              <w:spacing w:after="0" w:line="189" w:lineRule="exact"/>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28,640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27,223</w:t>
            </w:r>
          </w:p>
        </w:tc>
        <w:tc>
          <w:tcPr>
            <w:tcW w:w="0" w:type="dxa"/>
            <w:vAlign w:val="bottom"/>
          </w:tcPr>
          <w:p>
            <w:pPr>
              <w:spacing w:after="0"/>
              <w:rPr>
                <w:sz w:val="1"/>
                <w:szCs w:val="1"/>
                <w:color w:val="auto"/>
              </w:rPr>
            </w:pPr>
          </w:p>
        </w:tc>
      </w:tr>
      <w:tr>
        <w:trPr>
          <w:trHeight w:val="189"/>
        </w:trPr>
        <w:tc>
          <w:tcPr>
            <w:tcW w:w="2620" w:type="dxa"/>
            <w:vAlign w:val="bottom"/>
          </w:tcPr>
          <w:p>
            <w:pPr>
              <w:spacing w:after="0" w:line="189" w:lineRule="exact"/>
              <w:rPr>
                <w:sz w:val="20"/>
                <w:szCs w:val="20"/>
                <w:color w:val="auto"/>
              </w:rPr>
            </w:pPr>
            <w:r>
              <w:rPr>
                <w:rFonts w:ascii="Arial" w:cs="Arial" w:eastAsia="Arial" w:hAnsi="Arial"/>
                <w:sz w:val="18"/>
                <w:szCs w:val="18"/>
                <w:color w:val="auto"/>
              </w:rPr>
              <w:t>Noncurrent</w:t>
            </w:r>
          </w:p>
        </w:tc>
        <w:tc>
          <w:tcPr>
            <w:tcW w:w="2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w:t>
            </w:r>
          </w:p>
        </w:tc>
        <w:tc>
          <w:tcPr>
            <w:tcW w:w="2820" w:type="dxa"/>
            <w:vAlign w:val="bottom"/>
            <w:shd w:val="clear" w:color="auto" w:fill="CCEEFF"/>
          </w:tcPr>
          <w:p>
            <w:pPr>
              <w:ind w:left="400"/>
              <w:spacing w:after="0" w:line="189" w:lineRule="exact"/>
              <w:rPr>
                <w:sz w:val="20"/>
                <w:szCs w:val="20"/>
                <w:color w:val="auto"/>
              </w:rPr>
            </w:pPr>
            <w:r>
              <w:rPr>
                <w:rFonts w:ascii="Arial" w:cs="Arial" w:eastAsia="Arial" w:hAnsi="Arial"/>
                <w:sz w:val="18"/>
                <w:szCs w:val="18"/>
                <w:color w:val="auto"/>
              </w:rPr>
              <w:t>Long-term lease liability, net</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2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113,234</w:t>
            </w:r>
          </w:p>
        </w:tc>
        <w:tc>
          <w:tcPr>
            <w:tcW w:w="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122,678</w:t>
            </w:r>
          </w:p>
        </w:tc>
        <w:tc>
          <w:tcPr>
            <w:tcW w:w="0" w:type="dxa"/>
            <w:vAlign w:val="bottom"/>
          </w:tcPr>
          <w:p>
            <w:pPr>
              <w:spacing w:after="0"/>
              <w:rPr>
                <w:sz w:val="1"/>
                <w:szCs w:val="1"/>
                <w:color w:val="auto"/>
              </w:rPr>
            </w:pPr>
          </w:p>
        </w:tc>
      </w:tr>
      <w:tr>
        <w:trPr>
          <w:trHeight w:val="183"/>
        </w:trPr>
        <w:tc>
          <w:tcPr>
            <w:tcW w:w="2620" w:type="dxa"/>
            <w:vAlign w:val="bottom"/>
          </w:tcPr>
          <w:p>
            <w:pPr>
              <w:spacing w:after="0" w:line="182" w:lineRule="exact"/>
              <w:rPr>
                <w:sz w:val="20"/>
                <w:szCs w:val="20"/>
                <w:color w:val="auto"/>
              </w:rPr>
            </w:pPr>
            <w:r>
              <w:rPr>
                <w:rFonts w:ascii="Arial" w:cs="Arial" w:eastAsia="Arial" w:hAnsi="Arial"/>
                <w:sz w:val="18"/>
                <w:szCs w:val="18"/>
                <w:color w:val="auto"/>
              </w:rPr>
              <w:t>Total lease liabilities</w:t>
            </w:r>
          </w:p>
        </w:tc>
        <w:tc>
          <w:tcPr>
            <w:tcW w:w="2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141,874</w:t>
            </w: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149,901</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6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80" w:type="dxa"/>
            <w:vAlign w:val="bottom"/>
            <w:gridSpan w:val="4"/>
          </w:tcPr>
          <w:p>
            <w:pPr>
              <w:jc w:val="right"/>
              <w:ind w:right="163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7"/>
        </w:trPr>
        <w:tc>
          <w:tcPr>
            <w:tcW w:w="2620" w:type="dxa"/>
            <w:vAlign w:val="bottom"/>
          </w:tcPr>
          <w:p>
            <w:pPr>
              <w:spacing w:after="0"/>
              <w:rPr>
                <w:sz w:val="20"/>
                <w:szCs w:val="20"/>
                <w:color w:val="auto"/>
              </w:rPr>
            </w:pPr>
            <w:r>
              <w:rPr>
                <w:rFonts w:ascii="Arial" w:cs="Arial" w:eastAsia="Arial" w:hAnsi="Arial"/>
                <w:sz w:val="18"/>
                <w:szCs w:val="18"/>
                <w:color w:val="auto"/>
              </w:rPr>
              <w:t>Lease cost (in thousands)</w:t>
            </w:r>
          </w:p>
        </w:tc>
        <w:tc>
          <w:tcPr>
            <w:tcW w:w="2820" w:type="dxa"/>
            <w:vAlign w:val="bottom"/>
          </w:tcPr>
          <w:p>
            <w:pPr>
              <w:ind w:left="400"/>
              <w:spacing w:after="0"/>
              <w:rPr>
                <w:sz w:val="20"/>
                <w:szCs w:val="20"/>
                <w:color w:val="auto"/>
              </w:rPr>
            </w:pPr>
            <w:r>
              <w:rPr>
                <w:rFonts w:ascii="Arial" w:cs="Arial" w:eastAsia="Arial" w:hAnsi="Arial"/>
                <w:sz w:val="18"/>
                <w:szCs w:val="18"/>
                <w:color w:val="auto"/>
              </w:rPr>
              <w:t>Classification</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June 30, 2021</w:t>
            </w:r>
          </w:p>
        </w:tc>
        <w:tc>
          <w:tcPr>
            <w:tcW w:w="320" w:type="dxa"/>
            <w:vAlign w:val="bottom"/>
          </w:tcPr>
          <w:p>
            <w:pPr>
              <w:spacing w:after="0"/>
              <w:rPr>
                <w:sz w:val="18"/>
                <w:szCs w:val="18"/>
                <w:color w:val="auto"/>
              </w:rPr>
            </w:pPr>
          </w:p>
        </w:tc>
        <w:tc>
          <w:tcPr>
            <w:tcW w:w="2060" w:type="dxa"/>
            <w:vAlign w:val="bottom"/>
          </w:tcPr>
          <w:p>
            <w:pPr>
              <w:jc w:val="right"/>
              <w:ind w:right="530"/>
              <w:spacing w:after="0"/>
              <w:rPr>
                <w:sz w:val="20"/>
                <w:szCs w:val="20"/>
                <w:color w:val="auto"/>
              </w:rPr>
            </w:pPr>
            <w:r>
              <w:rPr>
                <w:rFonts w:ascii="Arial" w:cs="Arial" w:eastAsia="Arial" w:hAnsi="Arial"/>
                <w:sz w:val="18"/>
                <w:szCs w:val="18"/>
                <w:color w:val="auto"/>
              </w:rPr>
              <w:t>June 30, 2020</w:t>
            </w:r>
          </w:p>
        </w:tc>
        <w:tc>
          <w:tcPr>
            <w:tcW w:w="0" w:type="dxa"/>
            <w:vAlign w:val="bottom"/>
          </w:tcPr>
          <w:p>
            <w:pPr>
              <w:spacing w:after="0"/>
              <w:rPr>
                <w:sz w:val="1"/>
                <w:szCs w:val="1"/>
                <w:color w:val="auto"/>
              </w:rPr>
            </w:pPr>
          </w:p>
        </w:tc>
      </w:tr>
      <w:tr>
        <w:trPr>
          <w:trHeight w:val="183"/>
        </w:trPr>
        <w:tc>
          <w:tcPr>
            <w:tcW w:w="26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2820" w:type="dxa"/>
            <w:vAlign w:val="bottom"/>
            <w:tcBorders>
              <w:top w:val="single" w:sz="8" w:color="auto"/>
            </w:tcBorders>
            <w:shd w:val="clear" w:color="auto" w:fill="CCEEFF"/>
          </w:tcPr>
          <w:p>
            <w:pPr>
              <w:ind w:left="400"/>
              <w:spacing w:after="0" w:line="182" w:lineRule="exact"/>
              <w:rPr>
                <w:sz w:val="20"/>
                <w:szCs w:val="20"/>
                <w:color w:val="auto"/>
              </w:rPr>
            </w:pPr>
            <w:r>
              <w:rPr>
                <w:rFonts w:ascii="Arial" w:cs="Arial" w:eastAsia="Arial" w:hAnsi="Arial"/>
                <w:sz w:val="18"/>
                <w:szCs w:val="18"/>
                <w:color w:val="auto"/>
              </w:rPr>
              <w:t>SG&amp;A expenses</w:t>
            </w: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8,533</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8,236</w:t>
            </w:r>
          </w:p>
        </w:tc>
        <w:tc>
          <w:tcPr>
            <w:tcW w:w="0" w:type="dxa"/>
            <w:vAlign w:val="bottom"/>
          </w:tcPr>
          <w:p>
            <w:pPr>
              <w:spacing w:after="0"/>
              <w:rPr>
                <w:sz w:val="1"/>
                <w:szCs w:val="1"/>
                <w:color w:val="auto"/>
              </w:rPr>
            </w:pPr>
          </w:p>
        </w:tc>
      </w:tr>
      <w:tr>
        <w:trPr>
          <w:trHeight w:val="189"/>
        </w:trPr>
        <w:tc>
          <w:tcPr>
            <w:tcW w:w="2620" w:type="dxa"/>
            <w:vAlign w:val="bottom"/>
          </w:tcPr>
          <w:p>
            <w:pPr>
              <w:spacing w:after="0" w:line="189" w:lineRule="exact"/>
              <w:rPr>
                <w:sz w:val="20"/>
                <w:szCs w:val="20"/>
                <w:color w:val="auto"/>
              </w:rPr>
            </w:pPr>
            <w:r>
              <w:rPr>
                <w:rFonts w:ascii="Arial" w:cs="Arial" w:eastAsia="Arial" w:hAnsi="Arial"/>
                <w:sz w:val="18"/>
                <w:szCs w:val="18"/>
                <w:color w:val="auto"/>
              </w:rPr>
              <w:t>Financing lease cost</w:t>
            </w:r>
          </w:p>
        </w:tc>
        <w:tc>
          <w:tcPr>
            <w:tcW w:w="2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leased assets</w:t>
            </w:r>
          </w:p>
        </w:tc>
        <w:tc>
          <w:tcPr>
            <w:tcW w:w="2820" w:type="dxa"/>
            <w:vAlign w:val="bottom"/>
            <w:shd w:val="clear" w:color="auto" w:fill="CCEEFF"/>
          </w:tcPr>
          <w:p>
            <w:pPr>
              <w:ind w:left="400"/>
              <w:spacing w:after="0" w:line="189" w:lineRule="exact"/>
              <w:rPr>
                <w:sz w:val="20"/>
                <w:szCs w:val="20"/>
                <w:color w:val="auto"/>
              </w:rPr>
            </w:pPr>
            <w:r>
              <w:rPr>
                <w:rFonts w:ascii="Arial" w:cs="Arial" w:eastAsia="Arial" w:hAnsi="Arial"/>
                <w:sz w:val="18"/>
                <w:szCs w:val="18"/>
                <w:color w:val="auto"/>
              </w:rPr>
              <w:t>SG&amp;A expenses</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9"/>
        </w:trPr>
        <w:tc>
          <w:tcPr>
            <w:tcW w:w="2620" w:type="dxa"/>
            <w:vAlign w:val="bottom"/>
          </w:tcPr>
          <w:p>
            <w:pPr>
              <w:ind w:left="120"/>
              <w:spacing w:after="0" w:line="189" w:lineRule="exact"/>
              <w:rPr>
                <w:sz w:val="20"/>
                <w:szCs w:val="20"/>
                <w:color w:val="auto"/>
              </w:rPr>
            </w:pPr>
            <w:r>
              <w:rPr>
                <w:rFonts w:ascii="Arial" w:cs="Arial" w:eastAsia="Arial" w:hAnsi="Arial"/>
                <w:sz w:val="18"/>
                <w:szCs w:val="18"/>
                <w:color w:val="auto"/>
              </w:rPr>
              <w:t>Interest on lease liabilities</w:t>
            </w:r>
          </w:p>
        </w:tc>
        <w:tc>
          <w:tcPr>
            <w:tcW w:w="2820" w:type="dxa"/>
            <w:vAlign w:val="bottom"/>
          </w:tcPr>
          <w:p>
            <w:pPr>
              <w:ind w:left="400"/>
              <w:spacing w:after="0" w:line="189" w:lineRule="exact"/>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tcPr>
          <w:p>
            <w:pPr>
              <w:jc w:val="right"/>
              <w:spacing w:after="0" w:line="189"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6"/>
        </w:trPr>
        <w:tc>
          <w:tcPr>
            <w:tcW w:w="2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9"/>
                <w:szCs w:val="29"/>
                <w:color w:val="auto"/>
                <w:vertAlign w:val="superscript"/>
              </w:rPr>
              <w:t>(1)</w:t>
            </w:r>
          </w:p>
        </w:tc>
        <w:tc>
          <w:tcPr>
            <w:tcW w:w="2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SG&amp;A expenses</w:t>
            </w: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189"/>
        </w:trPr>
        <w:tc>
          <w:tcPr>
            <w:tcW w:w="26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Short term lease cost</w:t>
            </w:r>
          </w:p>
        </w:tc>
        <w:tc>
          <w:tcPr>
            <w:tcW w:w="2820" w:type="dxa"/>
            <w:vAlign w:val="bottom"/>
            <w:tcBorders>
              <w:bottom w:val="single" w:sz="8" w:color="CCEEFF"/>
            </w:tcBorders>
          </w:tcPr>
          <w:p>
            <w:pPr>
              <w:ind w:left="400"/>
              <w:spacing w:after="0" w:line="189" w:lineRule="exact"/>
              <w:rPr>
                <w:sz w:val="20"/>
                <w:szCs w:val="20"/>
                <w:color w:val="auto"/>
              </w:rPr>
            </w:pPr>
            <w:r>
              <w:rPr>
                <w:rFonts w:ascii="Arial" w:cs="Arial" w:eastAsia="Arial" w:hAnsi="Arial"/>
                <w:sz w:val="18"/>
                <w:szCs w:val="18"/>
                <w:color w:val="auto"/>
              </w:rPr>
              <w:t>SG&amp;A expenses</w:t>
            </w:r>
          </w:p>
        </w:tc>
        <w:tc>
          <w:tcPr>
            <w:tcW w:w="8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127</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83"/>
        </w:trPr>
        <w:tc>
          <w:tcPr>
            <w:tcW w:w="26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lease cost</w:t>
            </w:r>
          </w:p>
        </w:tc>
        <w:tc>
          <w:tcPr>
            <w:tcW w:w="28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11,960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11,922</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vMerge w:val="restart"/>
          </w:tcPr>
          <w:p>
            <w:pPr>
              <w:jc w:val="right"/>
              <w:ind w:right="43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6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6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760" w:type="dxa"/>
            <w:vAlign w:val="bottom"/>
            <w:gridSpan w:val="3"/>
          </w:tcPr>
          <w:p>
            <w:pPr>
              <w:jc w:val="right"/>
              <w:spacing w:after="0"/>
              <w:rPr>
                <w:sz w:val="20"/>
                <w:szCs w:val="20"/>
                <w:color w:val="auto"/>
              </w:rPr>
            </w:pPr>
            <w:r>
              <w:rPr>
                <w:rFonts w:ascii="Arial" w:cs="Arial" w:eastAsia="Arial" w:hAnsi="Arial"/>
                <w:sz w:val="18"/>
                <w:szCs w:val="18"/>
                <w:color w:val="auto"/>
              </w:rPr>
              <w:t>Six Months Ended</w:t>
            </w:r>
          </w:p>
        </w:tc>
        <w:tc>
          <w:tcPr>
            <w:tcW w:w="1720" w:type="dxa"/>
            <w:vAlign w:val="bottom"/>
          </w:tcPr>
          <w:p>
            <w:pPr>
              <w:spacing w:after="0"/>
              <w:rPr>
                <w:sz w:val="17"/>
                <w:szCs w:val="17"/>
                <w:color w:val="auto"/>
              </w:rPr>
            </w:pPr>
          </w:p>
        </w:tc>
      </w:tr>
      <w:tr>
        <w:trPr>
          <w:trHeight w:val="217"/>
        </w:trPr>
        <w:tc>
          <w:tcPr>
            <w:tcW w:w="2620" w:type="dxa"/>
            <w:vAlign w:val="bottom"/>
          </w:tcPr>
          <w:p>
            <w:pPr>
              <w:spacing w:after="0"/>
              <w:rPr>
                <w:sz w:val="20"/>
                <w:szCs w:val="20"/>
                <w:color w:val="auto"/>
              </w:rPr>
            </w:pPr>
            <w:r>
              <w:rPr>
                <w:rFonts w:ascii="Arial" w:cs="Arial" w:eastAsia="Arial" w:hAnsi="Arial"/>
                <w:sz w:val="18"/>
                <w:szCs w:val="18"/>
                <w:color w:val="auto"/>
              </w:rPr>
              <w:t>Lease cost (in thousands)</w:t>
            </w:r>
          </w:p>
        </w:tc>
        <w:tc>
          <w:tcPr>
            <w:tcW w:w="3700" w:type="dxa"/>
            <w:vAlign w:val="bottom"/>
            <w:gridSpan w:val="2"/>
          </w:tcPr>
          <w:p>
            <w:pPr>
              <w:ind w:left="400"/>
              <w:spacing w:after="0"/>
              <w:rPr>
                <w:sz w:val="20"/>
                <w:szCs w:val="20"/>
                <w:color w:val="auto"/>
              </w:rPr>
            </w:pPr>
            <w:r>
              <w:rPr>
                <w:rFonts w:ascii="Arial" w:cs="Arial" w:eastAsia="Arial" w:hAnsi="Arial"/>
                <w:sz w:val="18"/>
                <w:szCs w:val="18"/>
                <w:color w:val="auto"/>
              </w:rPr>
              <w:t>Classification</w:t>
            </w:r>
          </w:p>
        </w:tc>
        <w:tc>
          <w:tcPr>
            <w:tcW w:w="440" w:type="dxa"/>
            <w:vAlign w:val="bottom"/>
          </w:tcPr>
          <w:p>
            <w:pPr>
              <w:spacing w:after="0"/>
              <w:rPr>
                <w:sz w:val="18"/>
                <w:szCs w:val="18"/>
                <w:color w:val="auto"/>
              </w:rPr>
            </w:pPr>
          </w:p>
        </w:tc>
        <w:tc>
          <w:tcPr>
            <w:tcW w:w="2100" w:type="dxa"/>
            <w:vAlign w:val="bottom"/>
            <w:gridSpan w:val="2"/>
          </w:tcPr>
          <w:p>
            <w:pPr>
              <w:ind w:left="360"/>
              <w:spacing w:after="0"/>
              <w:rPr>
                <w:sz w:val="20"/>
                <w:szCs w:val="20"/>
                <w:color w:val="auto"/>
              </w:rPr>
            </w:pPr>
            <w:r>
              <w:rPr>
                <w:rFonts w:ascii="Arial" w:cs="Arial" w:eastAsia="Arial" w:hAnsi="Arial"/>
                <w:sz w:val="18"/>
                <w:szCs w:val="18"/>
                <w:color w:val="auto"/>
              </w:rPr>
              <w:t>June 30, 2021</w:t>
            </w:r>
          </w:p>
        </w:tc>
        <w:tc>
          <w:tcPr>
            <w:tcW w:w="660" w:type="dxa"/>
            <w:vAlign w:val="bottom"/>
          </w:tcPr>
          <w:p>
            <w:pPr>
              <w:spacing w:after="0"/>
              <w:rPr>
                <w:sz w:val="18"/>
                <w:szCs w:val="18"/>
                <w:color w:val="auto"/>
              </w:rPr>
            </w:pPr>
          </w:p>
        </w:tc>
        <w:tc>
          <w:tcPr>
            <w:tcW w:w="1720" w:type="dxa"/>
            <w:vAlign w:val="bottom"/>
          </w:tcPr>
          <w:p>
            <w:pPr>
              <w:jc w:val="right"/>
              <w:ind w:right="530"/>
              <w:spacing w:after="0"/>
              <w:rPr>
                <w:sz w:val="20"/>
                <w:szCs w:val="20"/>
                <w:color w:val="auto"/>
              </w:rPr>
            </w:pPr>
            <w:r>
              <w:rPr>
                <w:rFonts w:ascii="Arial" w:cs="Arial" w:eastAsia="Arial" w:hAnsi="Arial"/>
                <w:sz w:val="18"/>
                <w:szCs w:val="18"/>
                <w:color w:val="auto"/>
                <w:w w:val="94"/>
              </w:rPr>
              <w:t>June 30, 2020</w:t>
            </w:r>
          </w:p>
        </w:tc>
      </w:tr>
      <w:tr>
        <w:trPr>
          <w:trHeight w:val="183"/>
        </w:trPr>
        <w:tc>
          <w:tcPr>
            <w:tcW w:w="26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3620" w:type="dxa"/>
            <w:vAlign w:val="bottom"/>
            <w:tcBorders>
              <w:top w:val="single" w:sz="8" w:color="auto"/>
            </w:tcBorders>
            <w:shd w:val="clear" w:color="auto" w:fill="CCEEFF"/>
          </w:tcPr>
          <w:p>
            <w:pPr>
              <w:ind w:left="400"/>
              <w:spacing w:after="0" w:line="182" w:lineRule="exact"/>
              <w:rPr>
                <w:sz w:val="20"/>
                <w:szCs w:val="20"/>
                <w:color w:val="auto"/>
              </w:rPr>
            </w:pPr>
            <w:r>
              <w:rPr>
                <w:rFonts w:ascii="Arial" w:cs="Arial" w:eastAsia="Arial" w:hAnsi="Arial"/>
                <w:sz w:val="18"/>
                <w:szCs w:val="18"/>
                <w:color w:val="auto"/>
              </w:rPr>
              <w:t>SG&amp;A expenses</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17,011</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470"/>
              <w:spacing w:after="0" w:line="182"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16,457</w:t>
            </w:r>
          </w:p>
        </w:tc>
      </w:tr>
      <w:tr>
        <w:trPr>
          <w:trHeight w:val="189"/>
        </w:trPr>
        <w:tc>
          <w:tcPr>
            <w:tcW w:w="2620" w:type="dxa"/>
            <w:vAlign w:val="bottom"/>
          </w:tcPr>
          <w:p>
            <w:pPr>
              <w:spacing w:after="0" w:line="189" w:lineRule="exact"/>
              <w:rPr>
                <w:sz w:val="20"/>
                <w:szCs w:val="20"/>
                <w:color w:val="auto"/>
              </w:rPr>
            </w:pPr>
            <w:r>
              <w:rPr>
                <w:rFonts w:ascii="Arial" w:cs="Arial" w:eastAsia="Arial" w:hAnsi="Arial"/>
                <w:sz w:val="18"/>
                <w:szCs w:val="18"/>
                <w:color w:val="auto"/>
              </w:rPr>
              <w:t>Financing lease cost</w:t>
            </w:r>
          </w:p>
        </w:tc>
        <w:tc>
          <w:tcPr>
            <w:tcW w:w="3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9"/>
        </w:trPr>
        <w:tc>
          <w:tcPr>
            <w:tcW w:w="26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leased assets</w:t>
            </w:r>
          </w:p>
        </w:tc>
        <w:tc>
          <w:tcPr>
            <w:tcW w:w="3700" w:type="dxa"/>
            <w:vAlign w:val="bottom"/>
            <w:gridSpan w:val="2"/>
            <w:shd w:val="clear" w:color="auto" w:fill="CCEEFF"/>
          </w:tcPr>
          <w:p>
            <w:pPr>
              <w:ind w:left="400"/>
              <w:spacing w:after="0" w:line="189" w:lineRule="exact"/>
              <w:rPr>
                <w:sz w:val="20"/>
                <w:szCs w:val="20"/>
                <w:color w:val="auto"/>
              </w:rPr>
            </w:pPr>
            <w:r>
              <w:rPr>
                <w:rFonts w:ascii="Arial" w:cs="Arial" w:eastAsia="Arial" w:hAnsi="Arial"/>
                <w:sz w:val="18"/>
                <w:szCs w:val="18"/>
                <w:color w:val="auto"/>
              </w:rPr>
              <w:t>SG&amp;A expenses</w:t>
            </w:r>
          </w:p>
        </w:tc>
        <w:tc>
          <w:tcPr>
            <w:tcW w:w="440" w:type="dxa"/>
            <w:vAlign w:val="bottom"/>
            <w:shd w:val="clear" w:color="auto" w:fill="CCEEFF"/>
          </w:tcPr>
          <w:p>
            <w:pPr>
              <w:spacing w:after="0"/>
              <w:rPr>
                <w:sz w:val="16"/>
                <w:szCs w:val="16"/>
                <w:color w:val="auto"/>
              </w:rPr>
            </w:pPr>
          </w:p>
        </w:tc>
        <w:tc>
          <w:tcPr>
            <w:tcW w:w="2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w:t>
            </w:r>
          </w:p>
        </w:tc>
      </w:tr>
      <w:tr>
        <w:trPr>
          <w:trHeight w:val="189"/>
        </w:trPr>
        <w:tc>
          <w:tcPr>
            <w:tcW w:w="2620" w:type="dxa"/>
            <w:vAlign w:val="bottom"/>
          </w:tcPr>
          <w:p>
            <w:pPr>
              <w:ind w:left="120"/>
              <w:spacing w:after="0" w:line="189" w:lineRule="exact"/>
              <w:rPr>
                <w:sz w:val="20"/>
                <w:szCs w:val="20"/>
                <w:color w:val="auto"/>
              </w:rPr>
            </w:pPr>
            <w:r>
              <w:rPr>
                <w:rFonts w:ascii="Arial" w:cs="Arial" w:eastAsia="Arial" w:hAnsi="Arial"/>
                <w:sz w:val="18"/>
                <w:szCs w:val="18"/>
                <w:color w:val="auto"/>
              </w:rPr>
              <w:t>Interest on lease liabilities</w:t>
            </w:r>
          </w:p>
        </w:tc>
        <w:tc>
          <w:tcPr>
            <w:tcW w:w="3700" w:type="dxa"/>
            <w:vAlign w:val="bottom"/>
            <w:gridSpan w:val="2"/>
          </w:tcPr>
          <w:p>
            <w:pPr>
              <w:ind w:left="400"/>
              <w:spacing w:after="0" w:line="189" w:lineRule="exact"/>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6"/>
                <w:szCs w:val="16"/>
                <w:color w:val="auto"/>
              </w:rPr>
            </w:pPr>
          </w:p>
        </w:tc>
        <w:tc>
          <w:tcPr>
            <w:tcW w:w="20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20" w:type="dxa"/>
            <w:vAlign w:val="bottom"/>
          </w:tcPr>
          <w:p>
            <w:pPr>
              <w:jc w:val="right"/>
              <w:spacing w:after="0" w:line="189" w:lineRule="exact"/>
              <w:rPr>
                <w:sz w:val="20"/>
                <w:szCs w:val="20"/>
                <w:color w:val="auto"/>
              </w:rPr>
            </w:pPr>
            <w:r>
              <w:rPr>
                <w:rFonts w:ascii="Arial" w:cs="Arial" w:eastAsia="Arial" w:hAnsi="Arial"/>
                <w:sz w:val="18"/>
                <w:szCs w:val="18"/>
                <w:color w:val="auto"/>
              </w:rPr>
              <w:t>30</w:t>
            </w:r>
          </w:p>
        </w:tc>
      </w:tr>
      <w:tr>
        <w:trPr>
          <w:trHeight w:val="256"/>
        </w:trPr>
        <w:tc>
          <w:tcPr>
            <w:tcW w:w="2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9"/>
                <w:szCs w:val="29"/>
                <w:color w:val="auto"/>
                <w:vertAlign w:val="superscript"/>
              </w:rPr>
              <w:t>(1)</w:t>
            </w:r>
          </w:p>
        </w:tc>
        <w:tc>
          <w:tcPr>
            <w:tcW w:w="37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SG&amp;A expenses</w:t>
            </w:r>
          </w:p>
        </w:tc>
        <w:tc>
          <w:tcPr>
            <w:tcW w:w="440" w:type="dxa"/>
            <w:vAlign w:val="bottom"/>
            <w:shd w:val="clear" w:color="auto" w:fill="CCEEFF"/>
          </w:tcPr>
          <w:p>
            <w:pPr>
              <w:spacing w:after="0"/>
              <w:rPr>
                <w:sz w:val="22"/>
                <w:szCs w:val="22"/>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w:t>
            </w:r>
          </w:p>
        </w:tc>
      </w:tr>
      <w:tr>
        <w:trPr>
          <w:trHeight w:val="189"/>
        </w:trPr>
        <w:tc>
          <w:tcPr>
            <w:tcW w:w="26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Short term lease cost</w:t>
            </w:r>
          </w:p>
        </w:tc>
        <w:tc>
          <w:tcPr>
            <w:tcW w:w="3700" w:type="dxa"/>
            <w:vAlign w:val="bottom"/>
            <w:tcBorders>
              <w:bottom w:val="single" w:sz="8" w:color="CCEEFF"/>
            </w:tcBorders>
            <w:gridSpan w:val="2"/>
          </w:tcPr>
          <w:p>
            <w:pPr>
              <w:ind w:left="400"/>
              <w:spacing w:after="0" w:line="189" w:lineRule="exact"/>
              <w:rPr>
                <w:sz w:val="20"/>
                <w:szCs w:val="20"/>
                <w:color w:val="auto"/>
              </w:rPr>
            </w:pPr>
            <w:r>
              <w:rPr>
                <w:rFonts w:ascii="Arial" w:cs="Arial" w:eastAsia="Arial" w:hAnsi="Arial"/>
                <w:sz w:val="18"/>
                <w:szCs w:val="18"/>
                <w:color w:val="auto"/>
              </w:rPr>
              <w:t>SG&amp;A expenses</w:t>
            </w:r>
          </w:p>
        </w:tc>
        <w:tc>
          <w:tcPr>
            <w:tcW w:w="4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250</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401</w:t>
            </w:r>
          </w:p>
        </w:tc>
      </w:tr>
      <w:tr>
        <w:trPr>
          <w:trHeight w:val="183"/>
        </w:trPr>
        <w:tc>
          <w:tcPr>
            <w:tcW w:w="26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lease cost</w:t>
            </w:r>
          </w:p>
        </w:tc>
        <w:tc>
          <w:tcPr>
            <w:tcW w:w="3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24,269</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470"/>
              <w:spacing w:after="0" w:line="182" w:lineRule="exact"/>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23,817</w:t>
            </w:r>
          </w:p>
        </w:tc>
      </w:tr>
      <w:tr>
        <w:trPr>
          <w:trHeight w:val="20"/>
        </w:trPr>
        <w:tc>
          <w:tcPr>
            <w:tcW w:w="2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60" w:hanging="215"/>
        <w:spacing w:after="0"/>
        <w:tabs>
          <w:tab w:leader="none" w:pos="26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Variable lease costs consist primarily of taxes, insurance, and common area or other maintenance costs for the Company’s leased facilities.</w:t>
      </w:r>
    </w:p>
    <w:tbl>
      <w:tblPr>
        <w:tblLayout w:type="fixed"/>
        <w:tblInd w:w="0" w:type="dxa"/>
        <w:tblCellMar>
          <w:top w:w="0" w:type="dxa"/>
          <w:left w:w="0" w:type="dxa"/>
          <w:bottom w:w="0" w:type="dxa"/>
          <w:right w:w="0" w:type="dxa"/>
        </w:tblCellMar>
      </w:tblPr>
      <w:tr>
        <w:trPr>
          <w:trHeight w:val="175"/>
        </w:trPr>
        <w:tc>
          <w:tcPr>
            <w:tcW w:w="7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60" w:type="dxa"/>
            <w:vAlign w:val="bottom"/>
            <w:gridSpan w:val="4"/>
          </w:tcPr>
          <w:p>
            <w:pPr>
              <w:jc w:val="right"/>
              <w:ind w:right="1250"/>
              <w:spacing w:after="0" w:line="175" w:lineRule="exact"/>
              <w:rPr>
                <w:sz w:val="20"/>
                <w:szCs w:val="20"/>
                <w:color w:val="auto"/>
              </w:rPr>
            </w:pPr>
            <w:r>
              <w:rPr>
                <w:rFonts w:ascii="Arial" w:cs="Arial" w:eastAsia="Arial" w:hAnsi="Arial"/>
                <w:sz w:val="18"/>
                <w:szCs w:val="18"/>
                <w:color w:val="auto"/>
              </w:rPr>
              <w:t>Six Months Ended</w:t>
            </w:r>
          </w:p>
        </w:tc>
      </w:tr>
      <w:tr>
        <w:trPr>
          <w:trHeight w:val="217"/>
        </w:trPr>
        <w:tc>
          <w:tcPr>
            <w:tcW w:w="7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Information (in thousands)</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June 30, 2021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June 30, 2020</w:t>
            </w:r>
          </w:p>
        </w:tc>
      </w:tr>
      <w:tr>
        <w:trPr>
          <w:trHeight w:val="183"/>
        </w:trPr>
        <w:tc>
          <w:tcPr>
            <w:tcW w:w="71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89"/>
        </w:trPr>
        <w:tc>
          <w:tcPr>
            <w:tcW w:w="7160" w:type="dxa"/>
            <w:vAlign w:val="bottom"/>
          </w:tcPr>
          <w:p>
            <w:pPr>
              <w:ind w:left="1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4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560" w:type="dxa"/>
            <w:vAlign w:val="bottom"/>
          </w:tcPr>
          <w:p>
            <w:pPr>
              <w:jc w:val="right"/>
              <w:spacing w:after="0" w:line="189" w:lineRule="exact"/>
              <w:rPr>
                <w:sz w:val="20"/>
                <w:szCs w:val="20"/>
                <w:color w:val="auto"/>
              </w:rPr>
            </w:pPr>
            <w:r>
              <w:rPr>
                <w:rFonts w:ascii="Arial" w:cs="Arial" w:eastAsia="Arial" w:hAnsi="Arial"/>
                <w:sz w:val="18"/>
                <w:szCs w:val="18"/>
                <w:color w:val="auto"/>
              </w:rPr>
              <w:t>18,283</w:t>
            </w:r>
          </w:p>
        </w:tc>
        <w:tc>
          <w:tcPr>
            <w:tcW w:w="4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189" w:lineRule="exact"/>
              <w:rPr>
                <w:sz w:val="20"/>
                <w:szCs w:val="20"/>
                <w:color w:val="auto"/>
              </w:rPr>
            </w:pPr>
            <w:r>
              <w:rPr>
                <w:rFonts w:ascii="Arial" w:cs="Arial" w:eastAsia="Arial" w:hAnsi="Arial"/>
                <w:sz w:val="18"/>
                <w:szCs w:val="18"/>
                <w:color w:val="auto"/>
              </w:rPr>
              <w:t>13,205</w:t>
            </w:r>
          </w:p>
        </w:tc>
      </w:tr>
      <w:tr>
        <w:trPr>
          <w:trHeight w:val="189"/>
        </w:trPr>
        <w:tc>
          <w:tcPr>
            <w:tcW w:w="71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cash flows from financing leases</w:t>
            </w:r>
          </w:p>
        </w:tc>
        <w:tc>
          <w:tcPr>
            <w:tcW w:w="4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w:t>
            </w:r>
          </w:p>
        </w:tc>
      </w:tr>
      <w:tr>
        <w:trPr>
          <w:trHeight w:val="230"/>
        </w:trPr>
        <w:tc>
          <w:tcPr>
            <w:tcW w:w="7160" w:type="dxa"/>
            <w:vAlign w:val="bottom"/>
          </w:tcPr>
          <w:p>
            <w:pPr>
              <w:ind w:left="120"/>
              <w:spacing w:after="0"/>
              <w:rPr>
                <w:sz w:val="20"/>
                <w:szCs w:val="20"/>
                <w:color w:val="auto"/>
              </w:rPr>
            </w:pPr>
            <w:r>
              <w:rPr>
                <w:rFonts w:ascii="Arial" w:cs="Arial" w:eastAsia="Arial" w:hAnsi="Arial"/>
                <w:sz w:val="18"/>
                <w:szCs w:val="18"/>
                <w:color w:val="auto"/>
              </w:rPr>
              <w:t>Financing cash flows from financing leases</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122</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of Financial Instruments</w:t>
      </w:r>
    </w:p>
    <w:p>
      <w:pPr>
        <w:spacing w:after="0" w:line="175"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that are available in active markets for the identical assets or liabilities at the measurement date.</w:t>
      </w:r>
    </w:p>
    <w:p>
      <w:pPr>
        <w:spacing w:after="0" w:line="171" w:lineRule="exact"/>
        <w:rPr>
          <w:sz w:val="20"/>
          <w:szCs w:val="20"/>
          <w:color w:val="auto"/>
        </w:rPr>
      </w:pPr>
    </w:p>
    <w:p>
      <w:pPr>
        <w:ind w:left="660" w:right="320"/>
        <w:spacing w:after="0" w:line="246"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Quoted prices for similar assets or liabilities in active markets;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Quoted prices for identical or similar assets or liabilities in non-active markets;</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Inputs other than quoted prices that are observable for the asset or liability; and</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Inputs that are derived principally from or corroborated by other observable market data.</w:t>
      </w:r>
    </w:p>
    <w:p>
      <w:pPr>
        <w:spacing w:after="0" w:line="171" w:lineRule="exact"/>
        <w:rPr>
          <w:sz w:val="20"/>
          <w:szCs w:val="20"/>
          <w:color w:val="auto"/>
        </w:rPr>
      </w:pPr>
    </w:p>
    <w:p>
      <w:pPr>
        <w:ind w:left="660" w:right="300"/>
        <w:spacing w:after="0" w:line="246"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143"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at June 30, 2021 and December 31, 2020 according to the valuation techniques the Company uses to determine their fair values. There have been no transfers of assets among the fair value hierarchies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Pricing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gridSpan w:val="3"/>
          </w:tcPr>
          <w:p>
            <w:pPr>
              <w:jc w:val="right"/>
              <w:ind w:right="1150"/>
              <w:spacing w:after="0"/>
              <w:rPr>
                <w:sz w:val="20"/>
                <w:szCs w:val="20"/>
                <w:color w:val="auto"/>
              </w:rPr>
            </w:pPr>
            <w:r>
              <w:rPr>
                <w:rFonts w:ascii="Arial" w:cs="Arial" w:eastAsia="Arial" w:hAnsi="Arial"/>
                <w:sz w:val="18"/>
                <w:szCs w:val="18"/>
                <w:color w:val="auto"/>
              </w:rPr>
              <w:t>Fair Value at</w:t>
            </w:r>
          </w:p>
        </w:tc>
        <w:tc>
          <w:tcPr>
            <w:tcW w:w="0" w:type="dxa"/>
            <w:vAlign w:val="bottom"/>
          </w:tcPr>
          <w:p>
            <w:pPr>
              <w:spacing w:after="0"/>
              <w:rPr>
                <w:sz w:val="1"/>
                <w:szCs w:val="1"/>
                <w:color w:val="auto"/>
              </w:rPr>
            </w:pPr>
          </w:p>
        </w:tc>
      </w:tr>
      <w:tr>
        <w:trPr>
          <w:trHeight w:val="217"/>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Category</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6"/>
              </w:rPr>
              <w:t>June 30, 2021</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December 31, 2020</w:t>
            </w:r>
          </w:p>
        </w:tc>
        <w:tc>
          <w:tcPr>
            <w:tcW w:w="0" w:type="dxa"/>
            <w:vAlign w:val="bottom"/>
          </w:tcPr>
          <w:p>
            <w:pPr>
              <w:spacing w:after="0"/>
              <w:rPr>
                <w:sz w:val="1"/>
                <w:szCs w:val="1"/>
                <w:color w:val="auto"/>
              </w:rPr>
            </w:pPr>
          </w:p>
        </w:tc>
      </w:tr>
      <w:tr>
        <w:trPr>
          <w:trHeight w:val="183"/>
        </w:trPr>
        <w:tc>
          <w:tcPr>
            <w:tcW w:w="654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gridSpan w:val="3"/>
          </w:tcPr>
          <w:p>
            <w:pPr>
              <w:jc w:val="right"/>
              <w:ind w:right="1110"/>
              <w:spacing w:after="0" w:line="182" w:lineRule="exact"/>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112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Level 1</w:t>
            </w:r>
          </w:p>
        </w:tc>
        <w:tc>
          <w:tcPr>
            <w:tcW w:w="3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44,750</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Restricted cash</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43" w:lineRule="exact"/>
        <w:rPr>
          <w:sz w:val="20"/>
          <w:szCs w:val="20"/>
          <w:color w:val="auto"/>
        </w:rPr>
      </w:pPr>
    </w:p>
    <w:p>
      <w:pPr>
        <w:ind w:left="980" w:right="560"/>
        <w:spacing w:after="0" w:line="246"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and bank deposits. The value was measured using quoted market prices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The carrying amount approximates fair value.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3" w:lineRule="exact"/>
        <w:rPr>
          <w:sz w:val="20"/>
          <w:szCs w:val="20"/>
          <w:color w:val="auto"/>
        </w:rPr>
      </w:pPr>
    </w:p>
    <w:p>
      <w:pPr>
        <w:ind w:left="980" w:right="100"/>
        <w:spacing w:after="0" w:line="235"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held in bank deposit accounts restricted as to withdrawal or that are under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use for current operations. The value was measured using quoted market prices in active markets. The carrying amount approximates fair value.</w:t>
      </w:r>
    </w:p>
    <w:p>
      <w:pPr>
        <w:spacing w:after="0" w:line="148"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No impairment charges were recorded during the six months ended June 30, 2021. During the six months ended June 30, 2020, the Company recognized a $2.2 million charge in selling, general and administrative expenses to write-down property, plant, and equipment and right of use assets to their estimated fair values. The Company measured the fair value of these assets based on projected cash flows, an estimated risk-adjusted rate of return, and market rental rates for comparable properties. Projected cash flows are considered Level 3 inputs. Market rental rates for comparable properties are considered Level 2 inputs.</w:t>
      </w:r>
    </w:p>
    <w:p>
      <w:pPr>
        <w:spacing w:after="0" w:line="154"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During the three and six months ended June 30, 2021, the Company recorded a $1.1 million adjustment to reflect an increase in the fair value to restore leased property to its original condition at the end of the lease. The change in the estimated value of the Company’s asset retirement obligation resulted in a $1.1 million increase in property, plant and equipment, a $0.1 million increase in other current liabilities, and a $1.0 million increase in other long-term liabilities. The Company measured the fair value of its asset retirement obligation based on the estimated amounts and timing of settlements, an estimated risk adjusted rate of return, and expected inflation rates, which are considered Level 2 inputs.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 Incentive Plans</w:t>
      </w:r>
    </w:p>
    <w:p>
      <w:pPr>
        <w:spacing w:after="0" w:line="175"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At the Annual Meeting of Stockholders held on July 20, 2021 (the “Annual Meeting”), the Company’s stockholders approved the 2021 Omnibus Equity Compensation Plan (the “2021 Plan”). The 2021 Plan replaced 2012 Omnibus Award Plan (the “Prior Plan”). No new awards will be granted under the Prior Plan after the date of the Annual Meeting. However, the Company granted equity awards under the Prior Plan to the Company’s non-employee directors on the date of the Annual Meeting, and all awards granted under the Prior Plan that were outstanding on the date of stockholder approval of the 2021 Plan will remain outstanding in accordance with their terms. The maximum number of shares that may be delivered with respect to awards under the 2021 Plan is 3,500,000 shares, subject to adjustment in certain circumstances. Shares tendered or withheld to pay the exercise price of a stock option or to cover tax withholding will not be added back to the number of shares available under the 2021 Plan. To the extent that any award under the 2021 Plan, or any award granted under the Prior Plan prior to stockholder approval of the 2021 Plan, is forfeited, canceled, surrendered or otherwise terminated without the issuance of shares or an award is settled only in cash, the shares subject to such awards granted but not delivered will be added to the number of shares available for awards under the 2021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The Company measures and recognizes compensation expense for all stock based awards at fair value. The financial statements for the three and six months ended June 30, 2021 and 2020 include compensation expense for the portion of outstanding awards that vested during those periods. The Company recognizes stock based compensation expenses on a straight-line basis over the requisite service period of the award, which is generally the option vesting term. Total stock based compensation expense related to stock options was $0.1 million for both the three months ended June 30, 2021 and 2020. Total stock based compensation expense related to stock options was $0.2 million for both the six months ended June 30, 2021 and 2020. Stock based compensation expense pertaining to stock options is included in selling, general and administrative expenses in the accompanying Consolidated Statements of Operations.</w:t>
      </w:r>
    </w:p>
    <w:p>
      <w:pPr>
        <w:spacing w:after="0" w:line="15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As of June 30, 2021, the Company had outstanding stock options to purchase 1,001,695 shares of common stock at a weighted average exercise price of $10.96.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75"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$0.6 million and $0.4 million for the three months ended June 30, 2021 and 2020 respectively. Total stock based compensation expense related to restricted stock was $1.1 million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ind w:right="-99"/>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9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$0.9 million for the six months ended June 30, 2021 and 2020, respectively. Stock based compensation expense pertaining to restricted stock awards is included in selling, general and administrative expenses in the accompanying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Company had 1,640,563 outstanding restricted common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New Markets Tax Credit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Markets Tax Credit</w:t>
      </w:r>
    </w:p>
    <w:p>
      <w:pPr>
        <w:spacing w:after="0" w:line="171"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54"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this transaction, Tile Shop Lending loaned $6.7 million to the Investment Fund at an interest rate of 1.37% per year and with a maturity date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148"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In December 2016, U.S. Bank contributed $3.2 million to the Investment Fund and, by virtue of such contribution, is entitled to substantially all of the tax benefits derived from the NMTC,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53"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The Company has determined that the financing arrangement with the Investment Fund and CDEs constitutes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underlying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Bank’s contributions of $3.2 million, net of syndication fees, were included in cash, restricted cash, other accrued liabilities and other long-term liabilities in the consolidated balance sheet. The Company incurred $1.3 million of syndication fees in connection with this transaction, which were classified as other current assets and other non-current assets in the consolidated balance sheet. The Company is recognizing the benefit of this net $1.9 million contribution over the seven-year compliance period as it is being earned through the on-going compliance with the conditions of the NMTC program. As of June 30, 2021, the balance of the contribution liability for this arrangement was $1.1 million, of which $0.5 million was classified as other accrued liabilities on the Consolidated Balance Sheet and $0.6 million was classified as other long-term liabilities on the Consolidated Balance Sheet.</w:t>
      </w:r>
    </w:p>
    <w:p>
      <w:pPr>
        <w:spacing w:after="0" w:line="158"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color w:val="auto"/>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As of June 30, 2021, the remaining balance in the Investment Fund available for reimbursement to the Company was $0.7 million.</w:t>
      </w:r>
    </w:p>
    <w:p>
      <w:pPr>
        <w:spacing w:after="0" w:line="2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ind w:right="-19"/>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1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On July 9, 2018, Fumitake Nishi, a former Company employee and the brother-in-law of Robert A. Rucker, the Company’s former Interim Chief Executive Officer and President, former member of the Company’s Board of Directors, and former holder of more than 5% of the Company’s common stock as of June 30, 2021, informed the Company he had reacquired a majority of the equity of one of its key vendors, Nanyang Helin Stone Co. Ltd (“Nanyang”). Mr. Nishi also has an ownership interest in Tilestyling Co. Ltd (“Tile Style”), a vendor from which the Company started acquiring product in 2020. Nanyang and Tile Style supply the Company with natural stone products, including hand-crafted mosaics, listellos and other accessories. The Company paid $7.6 million to Nanyang in connection with purchases made during the year ended December 31, 2020. During the three and six months ended June 30, 2021, the Company purchased $1.4 million and $3.3 million of products from Nanyang, respectively. As of June 30, 2021, there were no accounts payable due to Nanyang. The Company paid $0.7 million to Tile Style in connection with purchases made during the year ended December 31, 2020. During the three and six months ended June 30, 2021, the Company purchased $0.5 million and $1.0 million of products from Tile Style, respectively. As of June 30, 2021, there were no accounts payable due to Tile Style. Mr. Nishi’s employment with the Company was terminated on January 1, 2014 as a result of several violations of the Company’s code of business conduct and ethics policy. Certain of those violations involved his undisclosed ownership of Nanyang at that time.</w:t>
      </w:r>
    </w:p>
    <w:p>
      <w:pPr>
        <w:spacing w:after="0" w:line="143"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Management and the Audit Committee have evaluated these relationships and determined that it would be in the Company’s best interests to continue purchasing products from Nanyang and to begin purchasing products from Tile Style. The Company believes Nanyang and Tile Style each provide an important combination of quality, product availability and pricing, and relying solely on other vendors to supply similar product to the Company would not be in the Company’s best interests. The Company and the Audit Committee will continue to review future purchases from Nanyang and Tile Style and compare the pricing for products purchased from each of Nanyang and Tile Style to the pricing of same or similar products purchased from unrelated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6"/>
          <w:szCs w:val="16"/>
          <w:i w:val="1"/>
          <w:iCs w:val="1"/>
          <w:color w:val="auto"/>
        </w:rPr>
        <w:t>The following discussion and analysis of Tile Shop Holdings, Inc.’s (“Holdings,” and together with its wholly owned subsidiaries, the “Company,” “we,” “us,” or “our”) financial condition and results of operations should be read in conjunction with our Annual Report on Form 10-K for the year ended December 31, 2020 and our consolidated financial statements and related notes appearing elsewhere in this Quarterly Report on Form 10-Q.</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48"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Quarterly Report on Form 10-Q are based on current expectations and assumptions that are subject to risks and uncertainties that may cause our actual results, performance, or achievements to differ materially from any expected future results, performance, or achievements expressed or implied by such forward-looking statements. These risks and uncertainties, many of which have been, and may further be, exacerbated by the COVID-19 pandemic, include, but are not limited to, our anticipated new store openings, remodeling plans, and growth opportunities; our business strengths, marketing strategies, competitive advantages and role in our industry and markets; our expectations regarding the potential impacts on our business of the COVID-19 pandemic, including its effect on general economic conditions and credit markets and on customer traffic to our stores, as well as the potential duration of the COVID-19 pandemic and the length and adequacy of measures we have taken to attempt to mitigate the impact of the COVID-19 pandemic on our business;</w:t>
      </w:r>
    </w:p>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16"/>
          <w:szCs w:val="16"/>
          <w:i w:val="1"/>
          <w:iCs w:val="1"/>
          <w:color w:val="auto"/>
        </w:rPr>
        <w:t>our ability to successfully implement our strategic plan and the anticipated benefits of our strategic plan; the effectiveness of our marketing strategy; potential fluctuations in our comparable store sales; our expectations regarding our and our customers’ financing arrangements and our ability to obtain additional capital, including potential difficulties of obtaining refinancing due to market conditions resulting from the COVID-19 pandemic; supply costs and expectations, including the continued availability of sufficient products from our suppliers and the potential impact of the COVID-19 pandemic on, among other things, product availability and timing and cost of deliveries; our expectations with respect to ongoing compliance with the terms of the Credit Agreement (as defined below), including the possibility that the impact of the COVID-19 pandemic on our business may result in our inability to maintain such compliance, as well as the potential impact of the phase out of LIBOR; our ability to provide timely delivery to our customers; the effect of regulations on us and our industry, and our suppliers’ compliance with such regulations; our expectations regarding the effects of employee recruiting, training, mentoring, and retention; the potential impact of cybersecurity breaches or disruptions to our management information systems; our ability to successfully implement our information technology initiatives, including our enterprise resource planning (“ERP”) system; our ability to effectively manage our online sales; our ability to remediate material weaknesses in our internal control over financial reporting; costs and adequacy of insurance; the potential impact of natural disasters and other catastrophic events; risks inherent in operating as a holding company; fluctuations in material and energy costs; the potential outcome of any legal proceedings; risks related to ownership of our common stock; and those factors set forth in the section captioned “Risk Factors” in our Annual Report on Form 10-K for the year ended December 31, 2020.</w:t>
      </w:r>
    </w:p>
    <w:p>
      <w:pPr>
        <w:spacing w:after="0" w:line="147"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 by law, we undertake no obligation to update any forward-looking statements to reflect events or circumstances after the date of such statements.</w:t>
      </w:r>
    </w:p>
    <w:p>
      <w:pPr>
        <w:spacing w:after="0" w:line="151" w:lineRule="exact"/>
        <w:rPr>
          <w:sz w:val="20"/>
          <w:szCs w:val="20"/>
          <w:color w:val="auto"/>
        </w:rPr>
      </w:pPr>
    </w:p>
    <w:p>
      <w:pPr>
        <w:ind w:right="300"/>
        <w:spacing w:after="0" w:line="231" w:lineRule="auto"/>
        <w:rPr>
          <w:sz w:val="20"/>
          <w:szCs w:val="20"/>
          <w:color w:val="auto"/>
        </w:rPr>
      </w:pPr>
      <w:r>
        <w:rPr>
          <w:rFonts w:ascii="Arial" w:cs="Arial" w:eastAsia="Arial" w:hAnsi="Arial"/>
          <w:sz w:val="18"/>
          <w:szCs w:val="18"/>
          <w:i w:val="1"/>
          <w:iCs w:val="1"/>
          <w:color w:val="auto"/>
        </w:rPr>
        <w:t>We intend to use our website, investors.tileshop.com, as a means of disclosing material non-public information and for complying with our disclosure obligations under Regulation FD of the Securities and Exchange Commission (“SEC”). Such disclosures will be included on our website under the heading News and Events. Accordingly, investors should monitor such portions of our website, in addition to following our press releases, SEC filings and public conference calls and webcasts.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Trends</w:t>
      </w:r>
    </w:p>
    <w:p>
      <w:pPr>
        <w:spacing w:after="0" w:line="17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are a specialty retailer of natural stone and man-made tiles, setting and maintenance materials, and related accessories in the United States. We offer a wide selection of products, attractive prices, and exceptional customer service in an extensive showroom setting. As of June 30, 2021, we operated 143 stores in 31 states and the District of Columbia, with an average size of approximately 20,000 square feet.</w:t>
      </w: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accessories, and related materials in the United States.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In March 2020, the World Health Organization declared the COVID-19 outbreak a global pandemic. COVID-19 has negatively impacted public health and the global economy, disrupted global supply chains, and created volatility in financial markets. The continuing implications of COVID-19 on us remain uncertain and will depend on certain future developments, including the duration, scope and severity of the pandemic and the effects of new variants of COVID-19, some of which may be more virulent or transmissible than the initial strain; its impact on our employees, customers and suppliers; the range and timing of government mandated restrictions and other measures, including the reimplementation of previously lifted measures or imposition of new measures; and the success of the deployment and widespread adoption of approved COVID-19 vaccines and their effectiveness against new variants of COVID-19. This uncertainty could have a material impact on the accounting estimates and assumptions utilized to prepare our consolidated financial statements in future reporting periods, which could result in a material adverse impact on our financial position, results of operations and cash flows.</w:t>
      </w:r>
    </w:p>
    <w:p>
      <w:pPr>
        <w:spacing w:after="0" w:line="137"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The COVID-19 pandemic had a significant impact on our operations during 2020. For instance, we experienced a sharp decline in traffic toward the end of the first quarter of 2020 following the onset of COVID-19 in the United States. In response, we took steps to reduce selling, general and administrative (sometimes referred to as “SG&amp;A”) expenses by eliminating a portion of our workforce, reducing store hours, curtailing advertising spending, reducing the number of replenishment trucks sent from our distribution centers to our stores and limiting other SG&amp;A spending when possible. As state and local governments started lifting restrictions toward the end of the second quarter of 2020, we saw an improvement in traffic and sales trends. Throughout the remainder of 2020, we took a cautious approach to investing in activities that would increase our SG&amp;A expenses, which included operating our stores at a reduced hours schedule compared to the prior year. We also started experiencing elevated levels of product outages during second half of 2020 due to vendor production delays and other disruptions in our supply chain related to COVID-19.</w:t>
      </w:r>
    </w:p>
    <w:p>
      <w:pPr>
        <w:spacing w:after="0" w:line="150"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We continued to experience elevated levels of product outages during the second quarter of fiscal 2021, which were partially due to vendor production delays and global shipping capacity constraints resulting, in part, from the impact of COVID-19. We continue to actively work with our vendors to secure delivery of backordered product.</w:t>
      </w:r>
    </w:p>
    <w:p>
      <w:pPr>
        <w:spacing w:after="0" w:line="148"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While we are cautiously optimistic with the current business trend and the progress made distributing COVID-19 vaccinations in recent months, the continued sporadic outbreaks of COVID-19 cases occurring globally, as well as the ongoing spread of new COVID-19 variants, could have a negative impact on us. Specifically, we could be adversely impacted by limitations on our employees to perform their work due to illness caused by the pandemic or local, state or federal orders requiring stores to close or employees to remain home; limitations of carriers to deliver our products to customers; product shortages; limitations on the ability of our customers to conduct their business and purchase our products and services; and limitations on the ability of our customers to pay us in a timely manner. These events could have a material adverse effect on our results of operations, cash flows and liquidity. In addition, even after the COVID-19 pandemic has subsided, we may continue to experience adverse impacts to our business as a result of the economic impact of the pandemic.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2021 Quarter Financial Overview</w:t>
      </w:r>
    </w:p>
    <w:p>
      <w:pPr>
        <w:spacing w:after="0" w:line="175" w:lineRule="exact"/>
        <w:rPr>
          <w:sz w:val="20"/>
          <w:szCs w:val="20"/>
          <w:color w:val="auto"/>
        </w:rPr>
      </w:pPr>
    </w:p>
    <w:p>
      <w:pPr>
        <w:ind w:right="80"/>
        <w:spacing w:after="0"/>
        <w:rPr>
          <w:sz w:val="20"/>
          <w:szCs w:val="20"/>
          <w:color w:val="auto"/>
        </w:rPr>
      </w:pPr>
      <w:r>
        <w:rPr>
          <w:rFonts w:ascii="Arial" w:cs="Arial" w:eastAsia="Arial" w:hAnsi="Arial"/>
          <w:sz w:val="17"/>
          <w:szCs w:val="17"/>
          <w:color w:val="auto"/>
        </w:rPr>
        <w:t>For the three months ended June 30, 2021 and 2020, we reported net sales of $96.2 million and $67.7 million, respectively. The sales results during the three months ended June 30, 2020 were adversely impacted by the onset of COVID-19 in the United States and the shelter in place restrictions implemented by many state and local governments in response to the pandemic. This resulted in store closures, reduced store hours, lower levels of traffic and an overall decrease in sales during the three months ended June 30, 2020. Over the last 12 months, we have seen restrictions ease, the rollout of vaccinations in the United States, and strong demand trends for home improvement products. These factors, combined with the execution of the Company’s strategy, have helped drive improvements in traffic, average ticket and overall sales.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9" w:name="page20"/>
    <w:bookmarkEnd w:id="1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about our comparable store sales (decline) growth for the three and six months ended June 30, 2021 and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500" w:type="dxa"/>
            <w:vAlign w:val="bottom"/>
            <w:gridSpan w:val="5"/>
          </w:tcPr>
          <w:p>
            <w:pPr>
              <w:jc w:val="center"/>
              <w:ind w:right="120"/>
              <w:spacing w:after="0"/>
              <w:rPr>
                <w:sz w:val="20"/>
                <w:szCs w:val="20"/>
                <w:color w:val="auto"/>
              </w:rPr>
            </w:pPr>
            <w:r>
              <w:rPr>
                <w:rFonts w:ascii="Arial" w:cs="Arial" w:eastAsia="Arial" w:hAnsi="Arial"/>
                <w:sz w:val="18"/>
                <w:szCs w:val="18"/>
                <w:color w:val="auto"/>
                <w:w w:val="89"/>
              </w:rPr>
              <w:t>For the three months ended</w:t>
            </w:r>
          </w:p>
        </w:tc>
        <w:tc>
          <w:tcPr>
            <w:tcW w:w="2260" w:type="dxa"/>
            <w:vAlign w:val="bottom"/>
            <w:gridSpan w:val="4"/>
          </w:tcPr>
          <w:p>
            <w:pPr>
              <w:jc w:val="center"/>
              <w:spacing w:after="0"/>
              <w:rPr>
                <w:sz w:val="20"/>
                <w:szCs w:val="20"/>
                <w:color w:val="auto"/>
              </w:rPr>
            </w:pPr>
            <w:r>
              <w:rPr>
                <w:rFonts w:ascii="Arial" w:cs="Arial" w:eastAsia="Arial" w:hAnsi="Arial"/>
                <w:sz w:val="18"/>
                <w:szCs w:val="18"/>
                <w:color w:val="auto"/>
                <w:w w:val="89"/>
              </w:rPr>
              <w:t>For the six months ended</w:t>
            </w:r>
          </w:p>
        </w:tc>
      </w:tr>
      <w:tr>
        <w:trPr>
          <w:trHeight w:val="217"/>
        </w:trPr>
        <w:tc>
          <w:tcPr>
            <w:tcW w:w="6480" w:type="dxa"/>
            <w:vAlign w:val="bottom"/>
          </w:tcPr>
          <w:p>
            <w:pPr>
              <w:spacing w:after="0"/>
              <w:rPr>
                <w:sz w:val="18"/>
                <w:szCs w:val="18"/>
                <w:color w:val="auto"/>
              </w:rPr>
            </w:pPr>
          </w:p>
        </w:tc>
        <w:tc>
          <w:tcPr>
            <w:tcW w:w="15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color w:val="auto"/>
                <w:w w:val="86"/>
              </w:rPr>
              <w:t>June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18"/>
                <w:szCs w:val="18"/>
                <w:color w:val="auto"/>
              </w:rPr>
            </w:pPr>
          </w:p>
        </w:tc>
      </w:tr>
      <w:tr>
        <w:trPr>
          <w:trHeight w:val="183"/>
        </w:trPr>
        <w:tc>
          <w:tcPr>
            <w:tcW w:w="64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w w:val="99"/>
              </w:rPr>
              <w:t>2020</w:t>
            </w:r>
          </w:p>
        </w:tc>
      </w:tr>
      <w:tr>
        <w:trPr>
          <w:trHeight w:val="183"/>
        </w:trPr>
        <w:tc>
          <w:tcPr>
            <w:tcW w:w="64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Comparable store sales growth (decline)</w:t>
            </w: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41.6 %</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16.0 %</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(9.2)%</w:t>
            </w:r>
          </w:p>
        </w:tc>
      </w:tr>
    </w:tbl>
    <w:p>
      <w:pPr>
        <w:spacing w:after="0" w:line="161"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For the three months ended June 30, 2021 and 2020, we reported gross profit of $66.4 million and $45.4 million, respectively. The increase in gross profit was primarily due to an increase in sales. The gross margin rate was 69.1% and 67.1% for the three months ended June 30, 2021 and 2020, respectively. The increase in gross margin rate was primarily driven by better pricing and an improvement in customer delivery collection rates, partially offset by a higher mix of freight delivery services, during the three months ended June 30, 2021 compared to the three months ended June 30, 2020.</w:t>
      </w:r>
    </w:p>
    <w:p>
      <w:pPr>
        <w:spacing w:after="0" w:line="129" w:lineRule="exact"/>
        <w:rPr>
          <w:sz w:val="20"/>
          <w:szCs w:val="20"/>
          <w:color w:val="auto"/>
        </w:rPr>
      </w:pPr>
    </w:p>
    <w:p>
      <w:pPr>
        <w:ind w:right="180"/>
        <w:spacing w:after="0" w:line="253" w:lineRule="auto"/>
        <w:rPr>
          <w:sz w:val="20"/>
          <w:szCs w:val="20"/>
          <w:color w:val="auto"/>
        </w:rPr>
      </w:pPr>
      <w:r>
        <w:rPr>
          <w:rFonts w:ascii="Arial" w:cs="Arial" w:eastAsia="Arial" w:hAnsi="Arial"/>
          <w:sz w:val="17"/>
          <w:szCs w:val="17"/>
          <w:color w:val="auto"/>
        </w:rPr>
        <w:t>For the three months ended June 30, 2021 and 2020, we reported income (loss) from operations of $7.6 million and $(1.8) million, respectively. The increase in income from operations was primarily due to the improvement in sales and gross margin rates. These factors were partially offset by an $11.6 million increase in selling, general and administrative expenses, which was primarily due to an increase in variable selling costs.</w:t>
      </w:r>
    </w:p>
    <w:p>
      <w:pPr>
        <w:spacing w:after="0" w:line="138" w:lineRule="exact"/>
        <w:rPr>
          <w:sz w:val="20"/>
          <w:szCs w:val="20"/>
          <w:color w:val="auto"/>
        </w:rPr>
      </w:pPr>
    </w:p>
    <w:p>
      <w:pPr>
        <w:ind w:right="1040"/>
        <w:spacing w:after="0" w:line="438" w:lineRule="auto"/>
        <w:rPr>
          <w:sz w:val="20"/>
          <w:szCs w:val="20"/>
          <w:color w:val="auto"/>
        </w:rPr>
      </w:pPr>
      <w:r>
        <w:rPr>
          <w:rFonts w:ascii="Arial" w:cs="Arial" w:eastAsia="Arial" w:hAnsi="Arial"/>
          <w:sz w:val="18"/>
          <w:szCs w:val="18"/>
          <w:color w:val="auto"/>
        </w:rPr>
        <w:t xml:space="preserve">Net cash provided by operating activities was $42.0 million and $41.0 million for the six months ended June 30, 2021 and 2020, respectively. </w:t>
      </w:r>
      <w:r>
        <w:rPr>
          <w:rFonts w:ascii="Arial" w:cs="Arial" w:eastAsia="Arial" w:hAnsi="Arial"/>
          <w:sz w:val="18"/>
          <w:szCs w:val="18"/>
          <w:b w:val="1"/>
          <w:bCs w:val="1"/>
          <w:color w:val="auto"/>
        </w:rPr>
        <w:t>Key Components of our Consolidated Statements of Operations</w:t>
      </w:r>
    </w:p>
    <w:p>
      <w:pPr>
        <w:spacing w:after="0" w:line="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 Net sales represents total charges to customers, net of returns, and includes freight charged to customers. We recognize sales at the time that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2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comparable store sales operating metric is the percentage change in sales of comparable stores period-over-period. A store is considered comparable on the first day of the 13th full month of operation. When a store is relocated, it is excluded from the comparable store sales calculation. Comparable store sales includes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operating metric provides useful information to both management and investors to evaluate the Company’s performance, the effectiveness of its strategy and its competitive position.</w:t>
      </w:r>
    </w:p>
    <w:p>
      <w:pPr>
        <w:spacing w:after="0" w:line="14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 Cost of sales consists primarily of material costs, freight, customs and duties fees, and storage and delivery of product to the customers,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physical inventory losses and costs associated with manufacturing of setting and maintenance materials.</w:t>
      </w:r>
    </w:p>
    <w:p>
      <w:pPr>
        <w:spacing w:after="0" w:line="143" w:lineRule="exact"/>
        <w:rPr>
          <w:sz w:val="20"/>
          <w:szCs w:val="20"/>
          <w:color w:val="auto"/>
        </w:rPr>
      </w:pPr>
    </w:p>
    <w:p>
      <w:pPr>
        <w:ind w:right="1780"/>
        <w:spacing w:after="0" w:line="24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 Gross profit is net sales less cost of sales. Gross margin rate is the percentage determined by dividing gross profit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w:t>
      </w:r>
    </w:p>
    <w:p>
      <w:pPr>
        <w:spacing w:after="0" w:line="143" w:lineRule="exact"/>
        <w:rPr>
          <w:sz w:val="20"/>
          <w:szCs w:val="20"/>
          <w:color w:val="auto"/>
        </w:rPr>
      </w:pPr>
    </w:p>
    <w:p>
      <w:pPr>
        <w:jc w:val="both"/>
        <w:ind w:right="480"/>
        <w:spacing w:after="0" w:line="235"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 Selling, general, and administrative expenses consist primarily of compensation costs, occupancy,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utilities, maintenance costs, advertising costs, shipping and transportation expenses to move inventory from our distribution centers to our stores, and depreciation and amortization.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We are subject to income tax in the United States as well as other tax jurisdictions in which we conduct business.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Comparison of the three months ended June 30, 2021 to the three months ended June 30,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54"/>
        </w:trPr>
        <w:tc>
          <w:tcPr>
            <w:tcW w:w="5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2"/>
                <w:szCs w:val="22"/>
                <w:color w:val="auto"/>
              </w:rPr>
            </w:pPr>
          </w:p>
        </w:tc>
        <w:tc>
          <w:tcPr>
            <w:tcW w:w="1500" w:type="dxa"/>
            <w:vAlign w:val="bottom"/>
            <w:gridSpan w:val="3"/>
          </w:tcPr>
          <w:p>
            <w:pPr>
              <w:ind w:left="200"/>
              <w:spacing w:after="0" w:line="253" w:lineRule="exact"/>
              <w:rPr>
                <w:sz w:val="20"/>
                <w:szCs w:val="20"/>
                <w:color w:val="auto"/>
              </w:rPr>
            </w:pPr>
            <w:r>
              <w:rPr>
                <w:rFonts w:ascii="Arial" w:cs="Arial" w:eastAsia="Arial" w:hAnsi="Arial"/>
                <w:sz w:val="18"/>
                <w:szCs w:val="18"/>
                <w:color w:val="auto"/>
              </w:rPr>
              <w:t>% of sales</w:t>
            </w:r>
            <w:r>
              <w:rPr>
                <w:rFonts w:ascii="Arial" w:cs="Arial" w:eastAsia="Arial" w:hAnsi="Arial"/>
                <w:sz w:val="29"/>
                <w:szCs w:val="29"/>
                <w:color w:val="auto"/>
                <w:vertAlign w:val="superscript"/>
              </w:rPr>
              <w:t>(1)</w:t>
            </w:r>
          </w:p>
        </w:tc>
        <w:tc>
          <w:tcPr>
            <w:tcW w:w="440" w:type="dxa"/>
            <w:vAlign w:val="bottom"/>
          </w:tcPr>
          <w:p>
            <w:pPr>
              <w:spacing w:after="0"/>
              <w:rPr>
                <w:sz w:val="22"/>
                <w:szCs w:val="22"/>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color w:val="auto"/>
                <w:w w:val="99"/>
              </w:rPr>
              <w:t>2020</w:t>
            </w:r>
          </w:p>
        </w:tc>
        <w:tc>
          <w:tcPr>
            <w:tcW w:w="160" w:type="dxa"/>
            <w:vAlign w:val="bottom"/>
          </w:tcPr>
          <w:p>
            <w:pPr>
              <w:spacing w:after="0"/>
              <w:rPr>
                <w:sz w:val="22"/>
                <w:szCs w:val="22"/>
                <w:color w:val="auto"/>
              </w:rPr>
            </w:pPr>
          </w:p>
        </w:tc>
        <w:tc>
          <w:tcPr>
            <w:tcW w:w="1280" w:type="dxa"/>
            <w:vAlign w:val="bottom"/>
            <w:gridSpan w:val="2"/>
          </w:tcPr>
          <w:p>
            <w:pPr>
              <w:jc w:val="right"/>
              <w:ind w:right="90"/>
              <w:spacing w:after="0" w:line="253" w:lineRule="exact"/>
              <w:rPr>
                <w:sz w:val="20"/>
                <w:szCs w:val="20"/>
                <w:color w:val="auto"/>
              </w:rPr>
            </w:pPr>
            <w:r>
              <w:rPr>
                <w:rFonts w:ascii="Arial" w:cs="Arial" w:eastAsia="Arial" w:hAnsi="Arial"/>
                <w:sz w:val="18"/>
                <w:szCs w:val="18"/>
                <w:color w:val="auto"/>
              </w:rPr>
              <w:t>% of sales</w:t>
            </w:r>
            <w:r>
              <w:rPr>
                <w:rFonts w:ascii="Arial" w:cs="Arial" w:eastAsia="Arial" w:hAnsi="Arial"/>
                <w:sz w:val="29"/>
                <w:szCs w:val="29"/>
                <w:color w:val="auto"/>
                <w:vertAlign w:val="superscript"/>
              </w:rPr>
              <w:t>(1)</w:t>
            </w:r>
          </w:p>
        </w:tc>
      </w:tr>
      <w:tr>
        <w:trPr>
          <w:trHeight w:val="183"/>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96,193</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4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67,730</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29,768</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30.9</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22,316</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32.9</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66,425</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69.1</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45,414</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67.1</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58,811</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61.1</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47,208</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69.7</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7,614</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7.9</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(1,794)</w:t>
            </w:r>
          </w:p>
        </w:tc>
        <w:tc>
          <w:tcPr>
            <w:tcW w:w="1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(2.6)%</w:t>
            </w: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(145)</w:t>
            </w:r>
          </w:p>
        </w:tc>
        <w:tc>
          <w:tcPr>
            <w:tcW w:w="13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(0.2)%</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(559)</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(0.8)%</w:t>
            </w:r>
          </w:p>
        </w:tc>
      </w:tr>
      <w:tr>
        <w:trPr>
          <w:trHeight w:val="183"/>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7,469</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7.8</w:t>
            </w:r>
          </w:p>
        </w:tc>
        <w:tc>
          <w:tcPr>
            <w:tcW w:w="34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(2,353)</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gridSpan w:val="2"/>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(3.5)%</w:t>
            </w: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30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(1,975)</w:t>
            </w:r>
          </w:p>
        </w:tc>
        <w:tc>
          <w:tcPr>
            <w:tcW w:w="13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(2.1)%</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1,593</w:t>
            </w:r>
          </w:p>
        </w:tc>
        <w:tc>
          <w:tcPr>
            <w:tcW w:w="1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2.4</w:t>
            </w:r>
          </w:p>
        </w:tc>
        <w:tc>
          <w:tcPr>
            <w:tcW w:w="320" w:type="dxa"/>
            <w:vAlign w:val="bottom"/>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5,494</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5.7</w:t>
            </w:r>
          </w:p>
        </w:tc>
        <w:tc>
          <w:tcPr>
            <w:tcW w:w="34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(760)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gridSpan w:val="2"/>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(1.1)%</w:t>
            </w:r>
          </w:p>
        </w:tc>
      </w:tr>
      <w:tr>
        <w:trPr>
          <w:trHeight w:val="20"/>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4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Amounts do not foot due to rounding.</w:t>
      </w:r>
    </w:p>
    <w:p>
      <w:pPr>
        <w:spacing w:after="0" w:line="81" w:lineRule="exact"/>
        <w:rPr>
          <w:sz w:val="20"/>
          <w:szCs w:val="20"/>
          <w:color w:val="auto"/>
        </w:rPr>
      </w:pPr>
    </w:p>
    <w:p>
      <w:pPr>
        <w:spacing w:after="0" w:line="258"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for the second quarter of 2021 increased $28.5 million, or 42.0%, compared with the second quarter of 2020. The sales results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June 30, 2020 were adversely impacted by the onset of COVID-19 in the United States and the shelter in place restrictions implemented by many state and local governments in response to the pandemic. This resulted in store closures, reduced store hours, lower levels of traffic and an overall decrease in sales during the three months ended June 30, 2020. Over the last 12 months, we have seen restrictions ease, the rollout of vaccinations in the United States, and strong demand trends for home improvement products. These factors, combined with the execution of the Company’s strategy, have helped drive improvements in traffic, average ticket and overall sales, resulting in a 41.6% increase in sales at comparable stores.</w:t>
      </w:r>
    </w:p>
    <w:p>
      <w:pPr>
        <w:spacing w:after="0" w:line="136"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for the second quarter of 2021 increased $21.0 million, or 46.3%, compared with the second quarter of 2020, primarily due to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in sales. The gross margin rate was 69.1% and 67.1% for the three months ended June 30, 2021 and 2020, respectively. The increase in gross margin rate was primarily driven by better pricing and an improvement in customer delivery collection rates, partially offset by a higher mix of freight delivery services during the three months ended June 30, 2021 compared to the three months ended June 30, 2020.</w:t>
      </w:r>
    </w:p>
    <w:p>
      <w:pPr>
        <w:spacing w:after="0" w:line="144" w:lineRule="exact"/>
        <w:rPr>
          <w:sz w:val="20"/>
          <w:szCs w:val="20"/>
          <w:color w:val="auto"/>
        </w:rPr>
      </w:pPr>
    </w:p>
    <w:p>
      <w:pPr>
        <w:spacing w:after="0" w:line="246"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expenses for the second quarter of 2021 increased $11.6 million,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24.6%, compared with the second quarter of 2020. The increase in selling, general and administrative expenses was largely due to a $6.2 million increase in variable selling expenses, a $1.5 million increase in transportation costs, a $1.5 million increase in wages largely due to an increase in headcount, a $0.9 million increase in consulting and temporary labor costs, and a $0.5 million increase in marketing expenses.</w:t>
      </w:r>
    </w:p>
    <w:p>
      <w:pPr>
        <w:spacing w:after="0" w:line="14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$0.1 million and $0.6 million for the second quarter of 2021 and 2020, respectively. The decrease was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outstanding debt during the second quarter of 2021 as compared to the second quarter of 2020.</w:t>
      </w:r>
    </w:p>
    <w:p>
      <w:pPr>
        <w:spacing w:after="0" w:line="143" w:lineRule="exact"/>
        <w:rPr>
          <w:sz w:val="20"/>
          <w:szCs w:val="20"/>
          <w:color w:val="auto"/>
        </w:rPr>
      </w:pPr>
    </w:p>
    <w:p>
      <w:pPr>
        <w:ind w:right="220"/>
        <w:spacing w:after="0" w:line="242"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Provision for income taxes increased $3.6 million for the second quarter of 2021 compared with the second quarter of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increase in the provision for income tax was largely due to the increase in income before taxes. Our effective tax rate for the three months ended June 30, 2021 and 2020 was 26.4% and 67.7%, respectively. The Company’s effective tax rate during the three months ended June 30, 2020 included adjustments resulting from the enactment of the Coronavirus Aid, Relief, and Economic Security Act (the “CARES Act”), which gave the Company the ability to carry back federal net operating losses to years with a federal statutory rate of 35%.</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5380" w:type="dxa"/>
            <w:vAlign w:val="bottom"/>
            <w:gridSpan w:val="3"/>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507"/>
        </w:trPr>
        <w:tc>
          <w:tcPr>
            <w:tcW w:w="1360" w:type="dxa"/>
            <w:vAlign w:val="bottom"/>
            <w:tcBorders>
              <w:top w:val="single" w:sz="8" w:color="0563C1"/>
            </w:tcBorders>
          </w:tcPr>
          <w:p>
            <w:pPr>
              <w:spacing w:after="0"/>
              <w:rPr>
                <w:sz w:val="24"/>
                <w:szCs w:val="24"/>
                <w:color w:val="auto"/>
              </w:rPr>
            </w:pPr>
          </w:p>
        </w:tc>
        <w:tc>
          <w:tcPr>
            <w:tcW w:w="840" w:type="dxa"/>
            <w:vAlign w:val="bottom"/>
          </w:tcPr>
          <w:p>
            <w:pPr>
              <w:spacing w:after="0"/>
              <w:rPr>
                <w:sz w:val="24"/>
                <w:szCs w:val="24"/>
                <w:color w:val="auto"/>
              </w:rPr>
            </w:pPr>
          </w:p>
        </w:tc>
        <w:tc>
          <w:tcPr>
            <w:tcW w:w="7760" w:type="dxa"/>
            <w:vAlign w:val="bottom"/>
            <w:gridSpan w:val="11"/>
          </w:tcPr>
          <w:p>
            <w:pPr>
              <w:spacing w:after="0"/>
              <w:rPr>
                <w:sz w:val="20"/>
                <w:szCs w:val="20"/>
                <w:color w:val="auto"/>
              </w:rPr>
            </w:pPr>
            <w:r>
              <w:rPr>
                <w:rFonts w:ascii="Arial" w:cs="Arial" w:eastAsia="Arial" w:hAnsi="Arial"/>
                <w:sz w:val="18"/>
                <w:szCs w:val="18"/>
                <w:b w:val="1"/>
                <w:bCs w:val="1"/>
                <w:color w:val="auto"/>
              </w:rPr>
              <w:t>Comparison of the six months ended June 30, 2021 to the six months ended June 30, 2020</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11"/>
        </w:trPr>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16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7"/>
        </w:trPr>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1500" w:type="dxa"/>
            <w:vAlign w:val="bottom"/>
            <w:gridSpan w:val="3"/>
          </w:tcPr>
          <w:p>
            <w:pPr>
              <w:ind w:left="300"/>
              <w:spacing w:after="0"/>
              <w:rPr>
                <w:sz w:val="20"/>
                <w:szCs w:val="20"/>
                <w:color w:val="auto"/>
              </w:rPr>
            </w:pPr>
            <w:r>
              <w:rPr>
                <w:rFonts w:ascii="Arial" w:cs="Arial" w:eastAsia="Arial" w:hAnsi="Arial"/>
                <w:sz w:val="18"/>
                <w:szCs w:val="18"/>
                <w:color w:val="auto"/>
              </w:rPr>
              <w:t>% of sales</w:t>
            </w:r>
          </w:p>
        </w:tc>
        <w:tc>
          <w:tcPr>
            <w:tcW w:w="44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2020</w:t>
            </w:r>
          </w:p>
        </w:tc>
        <w:tc>
          <w:tcPr>
            <w:tcW w:w="16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 of sales</w:t>
            </w:r>
          </w:p>
        </w:tc>
      </w:tr>
      <w:tr>
        <w:trPr>
          <w:trHeight w:val="183"/>
        </w:trPr>
        <w:tc>
          <w:tcPr>
            <w:tcW w:w="538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188,277</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4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162,009</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Borders>
              <w:bottom w:val="single" w:sz="8" w:color="CCEEFF"/>
            </w:tcBorders>
            <w:gridSpan w:val="3"/>
          </w:tcPr>
          <w:p>
            <w:pPr>
              <w:spacing w:after="0" w:line="189" w:lineRule="exact"/>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57,666</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30.6</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line="189" w:lineRule="exact"/>
              <w:rPr>
                <w:sz w:val="20"/>
                <w:szCs w:val="20"/>
                <w:color w:val="auto"/>
              </w:rPr>
            </w:pPr>
            <w:r>
              <w:rPr>
                <w:rFonts w:ascii="Arial" w:cs="Arial" w:eastAsia="Arial" w:hAnsi="Arial"/>
                <w:sz w:val="18"/>
                <w:szCs w:val="18"/>
                <w:color w:val="auto"/>
              </w:rPr>
              <w:t>51,640</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31.9</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130,611</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69.4</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110,369</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68.1</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Borders>
              <w:bottom w:val="single" w:sz="8" w:color="CCEEFF"/>
            </w:tcBorders>
            <w:gridSpan w:val="3"/>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116,089</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61.7</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line="189" w:lineRule="exact"/>
              <w:rPr>
                <w:sz w:val="20"/>
                <w:szCs w:val="20"/>
                <w:color w:val="auto"/>
              </w:rPr>
            </w:pPr>
            <w:r>
              <w:rPr>
                <w:rFonts w:ascii="Arial" w:cs="Arial" w:eastAsia="Arial" w:hAnsi="Arial"/>
                <w:sz w:val="18"/>
                <w:szCs w:val="18"/>
                <w:color w:val="auto"/>
              </w:rPr>
              <w:t>109,569</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67.6</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14,522</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7.7</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gridSpan w:val="3"/>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(313)</w:t>
            </w:r>
          </w:p>
        </w:tc>
        <w:tc>
          <w:tcPr>
            <w:tcW w:w="13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(0.2)%</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3"/>
          </w:tcPr>
          <w:p>
            <w:pPr>
              <w:jc w:val="right"/>
              <w:ind w:right="160"/>
              <w:spacing w:after="0" w:line="189" w:lineRule="exact"/>
              <w:rPr>
                <w:sz w:val="20"/>
                <w:szCs w:val="20"/>
                <w:color w:val="auto"/>
              </w:rPr>
            </w:pPr>
            <w:r>
              <w:rPr>
                <w:rFonts w:ascii="Arial" w:cs="Arial" w:eastAsia="Arial" w:hAnsi="Arial"/>
                <w:sz w:val="18"/>
                <w:szCs w:val="18"/>
                <w:color w:val="auto"/>
              </w:rPr>
              <w:t>(1,407)</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(0.9)%</w:t>
            </w:r>
          </w:p>
        </w:tc>
      </w:tr>
      <w:tr>
        <w:trPr>
          <w:trHeight w:val="183"/>
        </w:trPr>
        <w:tc>
          <w:tcPr>
            <w:tcW w:w="538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14,209</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7.5</w:t>
            </w:r>
          </w:p>
        </w:tc>
        <w:tc>
          <w:tcPr>
            <w:tcW w:w="34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(607)</w:t>
            </w:r>
          </w:p>
        </w:tc>
        <w:tc>
          <w:tcPr>
            <w:tcW w:w="16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gridSpan w:val="2"/>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(0.4)%</w:t>
            </w:r>
          </w:p>
        </w:tc>
      </w:tr>
      <w:tr>
        <w:trPr>
          <w:trHeight w:val="189"/>
        </w:trPr>
        <w:tc>
          <w:tcPr>
            <w:tcW w:w="5380" w:type="dxa"/>
            <w:vAlign w:val="bottom"/>
            <w:gridSpan w:val="3"/>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30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(3,418)</w:t>
            </w:r>
          </w:p>
        </w:tc>
        <w:tc>
          <w:tcPr>
            <w:tcW w:w="13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(1.8)%</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3,349</w:t>
            </w:r>
          </w:p>
        </w:tc>
        <w:tc>
          <w:tcPr>
            <w:tcW w:w="1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2.1</w:t>
            </w:r>
          </w:p>
        </w:tc>
        <w:tc>
          <w:tcPr>
            <w:tcW w:w="320" w:type="dxa"/>
            <w:vAlign w:val="bottom"/>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tcBorders>
              <w:top w:val="single" w:sz="8" w:color="CCEEFF"/>
              <w:bottom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10,791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gridSpan w:val="2"/>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5.7 %</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2,742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gridSpan w:val="2"/>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1.7 %</w:t>
            </w:r>
          </w:p>
        </w:tc>
      </w:tr>
      <w:tr>
        <w:trPr>
          <w:trHeight w:val="20"/>
        </w:trPr>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for the six months ended June 30, 2021 increased $26.3 million, or 16.2%, compared with the six months ended June 30, 2020.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results during the six months ended June 30, 2020 were adversely impacted by the onset of COVID-19 in the United States and the shelter in place restrictions implemented by many state and local governments in response to the pandemic. This resulted in store closures, reduced store hours, lower levels of traffic and an overall decrease in sales during the six months ended June 30, 2020. Over the last 12 months, we have seen restrictions ease, the rollout of vaccinations in the United States, and strong demand trends for home improvement products. These factors, combined with the execution of the Company’s strategy, have helped drive improvements in traffic and average ticket, resulting in a 16.0% increase in sales at comparable stores.</w:t>
      </w:r>
    </w:p>
    <w:p>
      <w:pPr>
        <w:spacing w:after="0" w:line="109"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six months ended June 30, 2021 increased $20.2 million, or 18.3%, compared with the six months ended June 30,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gross margin rate was 69.4% and 68.1% for the six months ended June 30, 2021 and 2020, respectively. The increase in gross margin rate was primarily driven by better pricing and an improvement in customer delivery collection rates during the six months ended June 30, 2021 when compared to the six months ended June 30, 2020.</w:t>
      </w:r>
    </w:p>
    <w:p>
      <w:pPr>
        <w:spacing w:after="0" w:line="175" w:lineRule="exact"/>
        <w:rPr>
          <w:sz w:val="20"/>
          <w:szCs w:val="20"/>
          <w:color w:val="auto"/>
        </w:rPr>
      </w:pPr>
    </w:p>
    <w:p>
      <w:pPr>
        <w:ind w:right="180"/>
        <w:spacing w:after="0" w:line="27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SG&amp;A expenses for the six months ended June 30, 2021 increased $6.5 million, or 6.0%, compared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June 30, 2020. The increase in SG&amp;A expenses was primarily due to a $5.8 million increase in variable selling costs, a $1.6 million increase in transportation costs and a $1.0 million increase in advertising expenses. During the six months ended June 30, 2020, the Company recorded $2.2 million of asset impairment charges and $1.4 million of legal costs incurred in connection with shareholder litigation in SG&amp;A expenses. The Company did not record any asset impairment charges or incur any legal costs in connection with shareholder litigation during the six months ended June 30, 2021.</w:t>
      </w:r>
    </w:p>
    <w:p>
      <w:pPr>
        <w:spacing w:after="0" w:line="13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$0.3 million and $1.4 million for the six months ended June 30, 2021 and 2020, respectively. The decrease was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decrease in outstanding debt during the six months ended June 30, 2021.</w:t>
      </w:r>
    </w:p>
    <w:p>
      <w:pPr>
        <w:spacing w:after="0" w:line="143"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Provision for income taxes increased $6.8 million for the six months ended June 30, 2021 compared with the six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2020. Our effective tax rate for the six months ended June 30, 2021 and 2020 was 24.1% and 551.7%, respectively. The tax benefit recognized during the six months ended June 30, 2020 and the change in the effective tax rate was primarily due the enactment of the CARES Act, which gave the Company the ability to carry back federal net operating losses to years with a federal statutory tax rate of 35%. The Company’s effective tax rate during the six months ended June 30, 2021 included a $0.3 million tax benefit associated with restricted stock award vestings.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We calculate pretax return on capital employed by taking income (loss) from operations divided by capital employed. Capital employed equals total assets less accounts payable, income taxes payable, other accrued liabilities, lease liability and other long-term liabilities. Other companies may calculate both Adjusted EBITDA and pretax return on capital employed differently, limiting the usefulness of these measures for comparative purposes.</w:t>
      </w:r>
    </w:p>
    <w:p>
      <w:pPr>
        <w:spacing w:after="0" w:line="148"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54"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Adjusted EBITDA to net income for the three and six months ended June 30, 2021 and 2020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89"/>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60" w:type="dxa"/>
            <w:vAlign w:val="bottom"/>
            <w:gridSpan w:val="6"/>
          </w:tcPr>
          <w:p>
            <w:pPr>
              <w:jc w:val="center"/>
              <w:ind w:right="40"/>
              <w:spacing w:after="0" w:line="189" w:lineRule="exact"/>
              <w:rPr>
                <w:sz w:val="20"/>
                <w:szCs w:val="20"/>
                <w:color w:val="auto"/>
              </w:rPr>
            </w:pPr>
            <w:r>
              <w:rPr>
                <w:rFonts w:ascii="Arial" w:cs="Arial" w:eastAsia="Arial" w:hAnsi="Arial"/>
                <w:sz w:val="18"/>
                <w:szCs w:val="18"/>
                <w:color w:val="auto"/>
                <w:w w:val="90"/>
              </w:rPr>
              <w:t>Three Months Ended</w:t>
            </w: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7"/>
        </w:trPr>
        <w:tc>
          <w:tcPr>
            <w:tcW w:w="5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67"/>
              <w:spacing w:after="0"/>
              <w:rPr>
                <w:sz w:val="20"/>
                <w:szCs w:val="20"/>
                <w:color w:val="auto"/>
              </w:rPr>
            </w:pPr>
            <w:r>
              <w:rPr>
                <w:rFonts w:ascii="Arial" w:cs="Arial" w:eastAsia="Arial" w:hAnsi="Arial"/>
                <w:sz w:val="18"/>
                <w:szCs w:val="18"/>
                <w:color w:val="auto"/>
                <w:w w:val="86"/>
              </w:rPr>
              <w:t>June 30,</w:t>
            </w: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50"/>
        </w:trPr>
        <w:tc>
          <w:tcPr>
            <w:tcW w:w="57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4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of sales</w:t>
            </w:r>
          </w:p>
        </w:tc>
        <w:tc>
          <w:tcPr>
            <w:tcW w:w="26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2020</w:t>
            </w:r>
          </w:p>
        </w:tc>
        <w:tc>
          <w:tcPr>
            <w:tcW w:w="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tcPr>
          <w:p>
            <w:pPr>
              <w:jc w:val="right"/>
              <w:ind w:right="130"/>
              <w:spacing w:after="0" w:line="250" w:lineRule="exact"/>
              <w:rPr>
                <w:sz w:val="20"/>
                <w:szCs w:val="20"/>
                <w:color w:val="auto"/>
              </w:rPr>
            </w:pPr>
            <w:r>
              <w:rPr>
                <w:rFonts w:ascii="Arial" w:cs="Arial" w:eastAsia="Arial" w:hAnsi="Arial"/>
                <w:sz w:val="17"/>
                <w:szCs w:val="17"/>
                <w:color w:val="auto"/>
              </w:rPr>
              <w:t>% of sales</w:t>
            </w:r>
            <w:r>
              <w:rPr>
                <w:rFonts w:ascii="Arial" w:cs="Arial" w:eastAsia="Arial" w:hAnsi="Arial"/>
                <w:sz w:val="28"/>
                <w:szCs w:val="28"/>
                <w:color w:val="auto"/>
                <w:vertAlign w:val="superscript"/>
              </w:rPr>
              <w:t>(1)</w:t>
            </w:r>
          </w:p>
        </w:tc>
      </w:tr>
      <w:tr>
        <w:trPr>
          <w:trHeight w:val="183"/>
        </w:trPr>
        <w:tc>
          <w:tcPr>
            <w:tcW w:w="5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5,494</w:t>
            </w:r>
          </w:p>
        </w:tc>
        <w:tc>
          <w:tcPr>
            <w:tcW w:w="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(760)</w:t>
            </w:r>
          </w:p>
        </w:tc>
        <w:tc>
          <w:tcPr>
            <w:tcW w:w="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(1.1) %</w:t>
            </w: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145</w:t>
            </w:r>
          </w:p>
        </w:tc>
        <w:tc>
          <w:tcPr>
            <w:tcW w:w="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0.2</w:t>
            </w:r>
          </w:p>
        </w:tc>
        <w:tc>
          <w:tcPr>
            <w:tcW w:w="26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559</w:t>
            </w:r>
          </w:p>
        </w:tc>
        <w:tc>
          <w:tcPr>
            <w:tcW w:w="2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0.8</w:t>
            </w:r>
          </w:p>
        </w:tc>
        <w:tc>
          <w:tcPr>
            <w:tcW w:w="280" w:type="dxa"/>
            <w:vAlign w:val="bottom"/>
          </w:tcPr>
          <w:p>
            <w:pPr>
              <w:jc w:val="right"/>
              <w:ind w:right="10"/>
              <w:spacing w:after="0" w:line="189" w:lineRule="exact"/>
              <w:rPr>
                <w:sz w:val="20"/>
                <w:szCs w:val="20"/>
                <w:color w:val="auto"/>
              </w:rPr>
            </w:pPr>
            <w:r>
              <w:rPr>
                <w:rFonts w:ascii="Arial" w:cs="Arial" w:eastAsia="Arial" w:hAnsi="Arial"/>
                <w:sz w:val="18"/>
                <w:szCs w:val="18"/>
                <w:color w:val="auto"/>
                <w:w w:val="99"/>
              </w:rPr>
              <w:t>%</w:t>
            </w: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1,975</w:t>
            </w: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(1,593)</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99"/>
              </w:rPr>
              <w:t>%</w:t>
            </w: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7,065</w:t>
            </w:r>
          </w:p>
        </w:tc>
        <w:tc>
          <w:tcPr>
            <w:tcW w:w="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7.3</w:t>
            </w:r>
          </w:p>
        </w:tc>
        <w:tc>
          <w:tcPr>
            <w:tcW w:w="26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7,867</w:t>
            </w:r>
          </w:p>
        </w:tc>
        <w:tc>
          <w:tcPr>
            <w:tcW w:w="2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11.6</w:t>
            </w:r>
          </w:p>
        </w:tc>
        <w:tc>
          <w:tcPr>
            <w:tcW w:w="280" w:type="dxa"/>
            <w:vAlign w:val="bottom"/>
          </w:tcPr>
          <w:p>
            <w:pPr>
              <w:jc w:val="right"/>
              <w:ind w:right="10"/>
              <w:spacing w:after="0" w:line="189" w:lineRule="exact"/>
              <w:rPr>
                <w:sz w:val="20"/>
                <w:szCs w:val="20"/>
                <w:color w:val="auto"/>
              </w:rPr>
            </w:pPr>
            <w:r>
              <w:rPr>
                <w:rFonts w:ascii="Arial" w:cs="Arial" w:eastAsia="Arial" w:hAnsi="Arial"/>
                <w:sz w:val="18"/>
                <w:szCs w:val="18"/>
                <w:color w:val="auto"/>
                <w:w w:val="99"/>
              </w:rPr>
              <w:t>%</w:t>
            </w: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706</w:t>
            </w:r>
          </w:p>
        </w:tc>
        <w:tc>
          <w:tcPr>
            <w:tcW w:w="4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0.7</w:t>
            </w:r>
          </w:p>
        </w:tc>
        <w:tc>
          <w:tcPr>
            <w:tcW w:w="26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538</w:t>
            </w:r>
          </w:p>
        </w:tc>
        <w:tc>
          <w:tcPr>
            <w:tcW w:w="2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0.8</w:t>
            </w:r>
          </w:p>
        </w:tc>
        <w:tc>
          <w:tcPr>
            <w:tcW w:w="28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70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15,385</w:t>
            </w:r>
          </w:p>
        </w:tc>
        <w:tc>
          <w:tcPr>
            <w:tcW w:w="40" w:type="dxa"/>
            <w:vAlign w:val="bottom"/>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16.0</w:t>
            </w:r>
          </w:p>
        </w:tc>
        <w:tc>
          <w:tcPr>
            <w:tcW w:w="2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5"/>
                <w:szCs w:val="15"/>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6,611</w:t>
            </w:r>
          </w:p>
        </w:tc>
        <w:tc>
          <w:tcPr>
            <w:tcW w:w="20" w:type="dxa"/>
            <w:vAlign w:val="bottom"/>
          </w:tcPr>
          <w:p>
            <w:pPr>
              <w:spacing w:after="0"/>
              <w:rPr>
                <w:sz w:val="15"/>
                <w:szCs w:val="15"/>
                <w:color w:val="auto"/>
              </w:rPr>
            </w:pPr>
          </w:p>
        </w:tc>
        <w:tc>
          <w:tcPr>
            <w:tcW w:w="108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9.8</w:t>
            </w:r>
          </w:p>
        </w:tc>
        <w:tc>
          <w:tcPr>
            <w:tcW w:w="28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99"/>
              </w:rPr>
              <w:t>%</w:t>
            </w: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358"/>
        </w:trPr>
        <w:tc>
          <w:tcPr>
            <w:tcW w:w="5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9"/>
        </w:trPr>
        <w:tc>
          <w:tcPr>
            <w:tcW w:w="5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60" w:type="dxa"/>
            <w:vAlign w:val="bottom"/>
            <w:gridSpan w:val="6"/>
          </w:tcPr>
          <w:p>
            <w:pPr>
              <w:jc w:val="center"/>
              <w:ind w:right="60"/>
              <w:spacing w:after="0" w:line="189" w:lineRule="exact"/>
              <w:rPr>
                <w:sz w:val="20"/>
                <w:szCs w:val="20"/>
                <w:color w:val="auto"/>
              </w:rPr>
            </w:pPr>
            <w:r>
              <w:rPr>
                <w:rFonts w:ascii="Arial" w:cs="Arial" w:eastAsia="Arial" w:hAnsi="Arial"/>
                <w:sz w:val="18"/>
                <w:szCs w:val="18"/>
                <w:color w:val="auto"/>
                <w:w w:val="91"/>
              </w:rPr>
              <w:t>Six Months Ended</w:t>
            </w: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7"/>
        </w:trPr>
        <w:tc>
          <w:tcPr>
            <w:tcW w:w="5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center"/>
              <w:ind w:right="67"/>
              <w:spacing w:after="0"/>
              <w:rPr>
                <w:sz w:val="20"/>
                <w:szCs w:val="20"/>
                <w:color w:val="auto"/>
              </w:rPr>
            </w:pPr>
            <w:r>
              <w:rPr>
                <w:rFonts w:ascii="Arial" w:cs="Arial" w:eastAsia="Arial" w:hAnsi="Arial"/>
                <w:sz w:val="18"/>
                <w:szCs w:val="18"/>
                <w:color w:val="auto"/>
                <w:w w:val="86"/>
              </w:rPr>
              <w:t>June 30,</w:t>
            </w:r>
          </w:p>
        </w:tc>
        <w:tc>
          <w:tcPr>
            <w:tcW w:w="9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183"/>
        </w:trPr>
        <w:tc>
          <w:tcPr>
            <w:tcW w:w="57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2021</w:t>
            </w:r>
          </w:p>
        </w:tc>
        <w:tc>
          <w:tcPr>
            <w:tcW w:w="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 of sales</w:t>
            </w: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0"/>
              <w:spacing w:after="0" w:line="182" w:lineRule="exact"/>
              <w:rPr>
                <w:sz w:val="20"/>
                <w:szCs w:val="20"/>
                <w:color w:val="auto"/>
              </w:rPr>
            </w:pPr>
            <w:r>
              <w:rPr>
                <w:rFonts w:ascii="Arial" w:cs="Arial" w:eastAsia="Arial" w:hAnsi="Arial"/>
                <w:sz w:val="18"/>
                <w:szCs w:val="18"/>
                <w:color w:val="auto"/>
                <w:w w:val="89"/>
              </w:rPr>
              <w:t>2020</w:t>
            </w:r>
          </w:p>
        </w:tc>
        <w:tc>
          <w:tcPr>
            <w:tcW w:w="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 of sales</w:t>
            </w:r>
          </w:p>
        </w:tc>
        <w:tc>
          <w:tcPr>
            <w:tcW w:w="280" w:type="dxa"/>
            <w:vAlign w:val="bottom"/>
            <w:tcBorders>
              <w:bottom w:val="single" w:sz="8" w:color="auto"/>
            </w:tcBorders>
          </w:tcPr>
          <w:p>
            <w:pPr>
              <w:spacing w:after="0"/>
              <w:rPr>
                <w:sz w:val="15"/>
                <w:szCs w:val="15"/>
                <w:color w:val="auto"/>
              </w:rPr>
            </w:pPr>
          </w:p>
        </w:tc>
      </w:tr>
      <w:tr>
        <w:trPr>
          <w:trHeight w:val="183"/>
        </w:trPr>
        <w:tc>
          <w:tcPr>
            <w:tcW w:w="5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10,791</w:t>
            </w:r>
          </w:p>
        </w:tc>
        <w:tc>
          <w:tcPr>
            <w:tcW w:w="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5.7</w:t>
            </w:r>
          </w:p>
        </w:tc>
        <w:tc>
          <w:tcPr>
            <w:tcW w:w="26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2,742</w:t>
            </w:r>
          </w:p>
        </w:tc>
        <w:tc>
          <w:tcPr>
            <w:tcW w:w="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313</w:t>
            </w:r>
          </w:p>
        </w:tc>
        <w:tc>
          <w:tcPr>
            <w:tcW w:w="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0.2</w:t>
            </w:r>
          </w:p>
        </w:tc>
        <w:tc>
          <w:tcPr>
            <w:tcW w:w="26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1,407</w:t>
            </w:r>
          </w:p>
        </w:tc>
        <w:tc>
          <w:tcPr>
            <w:tcW w:w="2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0.9</w:t>
            </w:r>
          </w:p>
        </w:tc>
        <w:tc>
          <w:tcPr>
            <w:tcW w:w="280" w:type="dxa"/>
            <w:vAlign w:val="bottom"/>
          </w:tcPr>
          <w:p>
            <w:pPr>
              <w:jc w:val="right"/>
              <w:ind w:right="10"/>
              <w:spacing w:after="0" w:line="189" w:lineRule="exact"/>
              <w:rPr>
                <w:sz w:val="20"/>
                <w:szCs w:val="20"/>
                <w:color w:val="auto"/>
              </w:rPr>
            </w:pPr>
            <w:r>
              <w:rPr>
                <w:rFonts w:ascii="Arial" w:cs="Arial" w:eastAsia="Arial" w:hAnsi="Arial"/>
                <w:sz w:val="18"/>
                <w:szCs w:val="18"/>
                <w:color w:val="auto"/>
                <w:w w:val="99"/>
              </w:rPr>
              <w:t>%</w:t>
            </w: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(benefit) for income taxes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3,418</w:t>
            </w:r>
          </w:p>
        </w:tc>
        <w:tc>
          <w:tcPr>
            <w:tcW w:w="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(3,349)</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99"/>
              </w:rPr>
              <w:t>%</w:t>
            </w: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14,259</w:t>
            </w:r>
          </w:p>
        </w:tc>
        <w:tc>
          <w:tcPr>
            <w:tcW w:w="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7.6</w:t>
            </w:r>
          </w:p>
        </w:tc>
        <w:tc>
          <w:tcPr>
            <w:tcW w:w="26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16,082</w:t>
            </w:r>
          </w:p>
        </w:tc>
        <w:tc>
          <w:tcPr>
            <w:tcW w:w="20" w:type="dxa"/>
            <w:vAlign w:val="bottom"/>
          </w:tcPr>
          <w:p>
            <w:pPr>
              <w:spacing w:after="0"/>
              <w:rPr>
                <w:sz w:val="16"/>
                <w:szCs w:val="16"/>
                <w:color w:val="auto"/>
              </w:rPr>
            </w:pPr>
          </w:p>
        </w:tc>
        <w:tc>
          <w:tcPr>
            <w:tcW w:w="1080" w:type="dxa"/>
            <w:vAlign w:val="bottom"/>
          </w:tcPr>
          <w:p>
            <w:pPr>
              <w:jc w:val="right"/>
              <w:ind w:right="30"/>
              <w:spacing w:after="0" w:line="189" w:lineRule="exact"/>
              <w:rPr>
                <w:sz w:val="20"/>
                <w:szCs w:val="20"/>
                <w:color w:val="auto"/>
              </w:rPr>
            </w:pPr>
            <w:r>
              <w:rPr>
                <w:rFonts w:ascii="Arial" w:cs="Arial" w:eastAsia="Arial" w:hAnsi="Arial"/>
                <w:sz w:val="18"/>
                <w:szCs w:val="18"/>
                <w:color w:val="auto"/>
              </w:rPr>
              <w:t>9.9</w:t>
            </w:r>
          </w:p>
        </w:tc>
        <w:tc>
          <w:tcPr>
            <w:tcW w:w="280" w:type="dxa"/>
            <w:vAlign w:val="bottom"/>
          </w:tcPr>
          <w:p>
            <w:pPr>
              <w:jc w:val="right"/>
              <w:ind w:right="10"/>
              <w:spacing w:after="0" w:line="189" w:lineRule="exact"/>
              <w:rPr>
                <w:sz w:val="20"/>
                <w:szCs w:val="20"/>
                <w:color w:val="auto"/>
              </w:rPr>
            </w:pPr>
            <w:r>
              <w:rPr>
                <w:rFonts w:ascii="Arial" w:cs="Arial" w:eastAsia="Arial" w:hAnsi="Arial"/>
                <w:sz w:val="18"/>
                <w:szCs w:val="18"/>
                <w:color w:val="auto"/>
                <w:w w:val="99"/>
              </w:rPr>
              <w:t>%</w:t>
            </w: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1,299</w:t>
            </w:r>
          </w:p>
        </w:tc>
        <w:tc>
          <w:tcPr>
            <w:tcW w:w="4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0.7</w:t>
            </w:r>
          </w:p>
        </w:tc>
        <w:tc>
          <w:tcPr>
            <w:tcW w:w="26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1,104</w:t>
            </w:r>
          </w:p>
        </w:tc>
        <w:tc>
          <w:tcPr>
            <w:tcW w:w="20" w:type="dxa"/>
            <w:vAlign w:val="bottom"/>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0.7</w:t>
            </w:r>
          </w:p>
        </w:tc>
        <w:tc>
          <w:tcPr>
            <w:tcW w:w="28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70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30,080</w:t>
            </w:r>
          </w:p>
        </w:tc>
        <w:tc>
          <w:tcPr>
            <w:tcW w:w="40" w:type="dxa"/>
            <w:vAlign w:val="bottom"/>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16.0</w:t>
            </w:r>
          </w:p>
        </w:tc>
        <w:tc>
          <w:tcPr>
            <w:tcW w:w="2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5"/>
                <w:szCs w:val="15"/>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17,986</w:t>
            </w:r>
          </w:p>
        </w:tc>
        <w:tc>
          <w:tcPr>
            <w:tcW w:w="20" w:type="dxa"/>
            <w:vAlign w:val="bottom"/>
          </w:tcPr>
          <w:p>
            <w:pPr>
              <w:spacing w:after="0"/>
              <w:rPr>
                <w:sz w:val="15"/>
                <w:szCs w:val="15"/>
                <w:color w:val="auto"/>
              </w:rPr>
            </w:pPr>
          </w:p>
        </w:tc>
        <w:tc>
          <w:tcPr>
            <w:tcW w:w="108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11.1</w:t>
            </w:r>
          </w:p>
        </w:tc>
        <w:tc>
          <w:tcPr>
            <w:tcW w:w="28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99"/>
              </w:rPr>
              <w:t>%</w:t>
            </w: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20" w:hanging="212"/>
        <w:spacing w:after="0"/>
        <w:tabs>
          <w:tab w:leader="none" w:pos="22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Amounts do not foot due to rounding.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8060" w:type="dxa"/>
            <w:vAlign w:val="bottom"/>
            <w:gridSpan w:val="2"/>
          </w:tcPr>
          <w:p>
            <w:pPr>
              <w:spacing w:after="0"/>
              <w:rPr>
                <w:rFonts w:ascii="Arial" w:cs="Arial" w:eastAsia="Arial" w:hAnsi="Arial"/>
                <w:sz w:val="18"/>
                <w:szCs w:val="18"/>
                <w:b w:val="1"/>
                <w:bCs w:val="1"/>
                <w:color w:val="0563C1"/>
              </w:rPr>
            </w:pPr>
            <w:hyperlink w:anchor="page2">
              <w:r>
                <w:rPr>
                  <w:rFonts w:ascii="Arial" w:cs="Arial" w:eastAsia="Arial" w:hAnsi="Arial"/>
                  <w:sz w:val="18"/>
                  <w:szCs w:val="18"/>
                  <w:b w:val="1"/>
                  <w:bCs w:val="1"/>
                  <w:color w:val="0563C1"/>
                </w:rPr>
                <w:t>Table of Contents</w:t>
              </w:r>
            </w:hyperlink>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1360" w:type="dxa"/>
            <w:vAlign w:val="bottom"/>
            <w:shd w:val="clear" w:color="auto" w:fill="0563C1"/>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547"/>
        </w:trPr>
        <w:tc>
          <w:tcPr>
            <w:tcW w:w="8060" w:type="dxa"/>
            <w:vAlign w:val="bottom"/>
            <w:gridSpan w:val="2"/>
          </w:tcPr>
          <w:p>
            <w:pPr>
              <w:spacing w:after="0"/>
              <w:rPr>
                <w:sz w:val="20"/>
                <w:szCs w:val="20"/>
                <w:color w:val="auto"/>
              </w:rPr>
            </w:pPr>
            <w:r>
              <w:rPr>
                <w:rFonts w:ascii="Arial" w:cs="Arial" w:eastAsia="Arial" w:hAnsi="Arial"/>
                <w:sz w:val="18"/>
                <w:szCs w:val="18"/>
                <w:color w:val="auto"/>
              </w:rPr>
              <w:t>The calculation of pretax return on capital employed is as follows: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64"/>
        </w:trPr>
        <w:tc>
          <w:tcPr>
            <w:tcW w:w="13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60" w:type="dxa"/>
            <w:vAlign w:val="bottom"/>
            <w:gridSpan w:val="5"/>
          </w:tcPr>
          <w:p>
            <w:pPr>
              <w:jc w:val="right"/>
              <w:ind w:right="1280"/>
              <w:spacing w:after="0"/>
              <w:rPr>
                <w:sz w:val="20"/>
                <w:szCs w:val="20"/>
                <w:color w:val="auto"/>
              </w:rPr>
            </w:pPr>
            <w:r>
              <w:rPr>
                <w:rFonts w:ascii="Arial" w:cs="Arial" w:eastAsia="Arial" w:hAnsi="Arial"/>
                <w:sz w:val="18"/>
                <w:szCs w:val="18"/>
                <w:color w:val="auto"/>
              </w:rPr>
              <w:t>(in thousands)</w:t>
            </w:r>
          </w:p>
        </w:tc>
      </w:tr>
      <w:tr>
        <w:trPr>
          <w:trHeight w:val="217"/>
        </w:trPr>
        <w:tc>
          <w:tcPr>
            <w:tcW w:w="13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r>
      <w:tr>
        <w:trPr>
          <w:trHeight w:val="250"/>
        </w:trPr>
        <w:tc>
          <w:tcPr>
            <w:tcW w:w="1360" w:type="dxa"/>
            <w:vAlign w:val="bottom"/>
            <w:tcBorders>
              <w:bottom w:val="single" w:sz="8" w:color="CCEEFF"/>
            </w:tcBorders>
          </w:tcPr>
          <w:p>
            <w:pPr>
              <w:spacing w:after="0"/>
              <w:rPr>
                <w:sz w:val="21"/>
                <w:szCs w:val="21"/>
                <w:color w:val="auto"/>
              </w:rPr>
            </w:pPr>
          </w:p>
        </w:tc>
        <w:tc>
          <w:tcPr>
            <w:tcW w:w="67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90"/>
              <w:spacing w:after="0" w:line="250" w:lineRule="exact"/>
              <w:rPr>
                <w:sz w:val="20"/>
                <w:szCs w:val="20"/>
                <w:color w:val="auto"/>
              </w:rPr>
            </w:pPr>
            <w:r>
              <w:rPr>
                <w:rFonts w:ascii="Arial" w:cs="Arial" w:eastAsia="Arial" w:hAnsi="Arial"/>
                <w:sz w:val="17"/>
                <w:szCs w:val="17"/>
                <w:color w:val="auto"/>
              </w:rPr>
              <w:t>2021</w:t>
            </w:r>
            <w:r>
              <w:rPr>
                <w:rFonts w:ascii="Arial" w:cs="Arial" w:eastAsia="Arial" w:hAnsi="Arial"/>
                <w:sz w:val="28"/>
                <w:szCs w:val="28"/>
                <w:color w:val="auto"/>
                <w:vertAlign w:val="superscript"/>
              </w:rPr>
              <w:t>(1)</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line="250" w:lineRule="exact"/>
              <w:rPr>
                <w:sz w:val="20"/>
                <w:szCs w:val="20"/>
                <w:color w:val="auto"/>
              </w:rPr>
            </w:pPr>
            <w:r>
              <w:rPr>
                <w:rFonts w:ascii="Arial" w:cs="Arial" w:eastAsia="Arial" w:hAnsi="Arial"/>
                <w:sz w:val="17"/>
                <w:szCs w:val="17"/>
                <w:color w:val="auto"/>
                <w:w w:val="98"/>
              </w:rPr>
              <w:t>2020</w:t>
            </w:r>
            <w:r>
              <w:rPr>
                <w:rFonts w:ascii="Arial" w:cs="Arial" w:eastAsia="Arial" w:hAnsi="Arial"/>
                <w:sz w:val="28"/>
                <w:szCs w:val="28"/>
                <w:color w:val="auto"/>
                <w:w w:val="98"/>
                <w:vertAlign w:val="superscript"/>
              </w:rPr>
              <w:t>(1)</w:t>
            </w:r>
          </w:p>
        </w:tc>
        <w:tc>
          <w:tcPr>
            <w:tcW w:w="400" w:type="dxa"/>
            <w:vAlign w:val="bottom"/>
            <w:tcBorders>
              <w:bottom w:val="single" w:sz="8" w:color="CCEEFF"/>
            </w:tcBorders>
          </w:tcPr>
          <w:p>
            <w:pPr>
              <w:spacing w:after="0"/>
              <w:rPr>
                <w:sz w:val="21"/>
                <w:szCs w:val="21"/>
                <w:color w:val="auto"/>
              </w:rPr>
            </w:pPr>
          </w:p>
        </w:tc>
      </w:tr>
      <w:tr>
        <w:trPr>
          <w:trHeight w:val="183"/>
        </w:trPr>
        <w:tc>
          <w:tcPr>
            <w:tcW w:w="80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(loss) from Operations (trailing twelve months)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20,099</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(4,249)</w:t>
            </w:r>
          </w:p>
        </w:tc>
        <w:tc>
          <w:tcPr>
            <w:tcW w:w="400" w:type="dxa"/>
            <w:vAlign w:val="bottom"/>
            <w:shd w:val="clear" w:color="auto" w:fill="CCEEFF"/>
          </w:tcPr>
          <w:p>
            <w:pPr>
              <w:spacing w:after="0"/>
              <w:rPr>
                <w:sz w:val="15"/>
                <w:szCs w:val="15"/>
                <w:color w:val="auto"/>
              </w:rPr>
            </w:pPr>
          </w:p>
        </w:tc>
      </w:tr>
      <w:tr>
        <w:trPr>
          <w:trHeight w:val="189"/>
        </w:trPr>
        <w:tc>
          <w:tcPr>
            <w:tcW w:w="136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354,776</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389,968</w:t>
            </w:r>
          </w:p>
        </w:tc>
        <w:tc>
          <w:tcPr>
            <w:tcW w:w="400" w:type="dxa"/>
            <w:vAlign w:val="bottom"/>
            <w:shd w:val="clear" w:color="auto" w:fill="CCEEFF"/>
          </w:tcPr>
          <w:p>
            <w:pPr>
              <w:spacing w:after="0"/>
              <w:rPr>
                <w:sz w:val="16"/>
                <w:szCs w:val="16"/>
                <w:color w:val="auto"/>
              </w:rPr>
            </w:pPr>
          </w:p>
        </w:tc>
      </w:tr>
      <w:tr>
        <w:trPr>
          <w:trHeight w:val="189"/>
        </w:trPr>
        <w:tc>
          <w:tcPr>
            <w:tcW w:w="80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Less: Accounts payable</w:t>
            </w:r>
          </w:p>
        </w:tc>
        <w:tc>
          <w:tcPr>
            <w:tcW w:w="220" w:type="dxa"/>
            <w:vAlign w:val="bottom"/>
          </w:tcPr>
          <w:p>
            <w:pPr>
              <w:spacing w:after="0"/>
              <w:rPr>
                <w:sz w:val="16"/>
                <w:szCs w:val="16"/>
                <w:color w:val="auto"/>
              </w:rPr>
            </w:pPr>
          </w:p>
        </w:tc>
        <w:tc>
          <w:tcPr>
            <w:tcW w:w="126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(15,946)</w:t>
            </w:r>
          </w:p>
        </w:tc>
        <w:tc>
          <w:tcPr>
            <w:tcW w:w="300" w:type="dxa"/>
            <w:vAlign w:val="bottom"/>
          </w:tcPr>
          <w:p>
            <w:pPr>
              <w:spacing w:after="0"/>
              <w:rPr>
                <w:sz w:val="16"/>
                <w:szCs w:val="16"/>
                <w:color w:val="auto"/>
              </w:rPr>
            </w:pPr>
          </w:p>
        </w:tc>
        <w:tc>
          <w:tcPr>
            <w:tcW w:w="140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(16,670)</w:t>
            </w:r>
          </w:p>
        </w:tc>
      </w:tr>
      <w:tr>
        <w:trPr>
          <w:trHeight w:val="189"/>
        </w:trPr>
        <w:tc>
          <w:tcPr>
            <w:tcW w:w="80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Less: Income tax payable</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(125)</w:t>
            </w:r>
          </w:p>
        </w:tc>
        <w:tc>
          <w:tcPr>
            <w:tcW w:w="3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(85)</w:t>
            </w:r>
          </w:p>
        </w:tc>
      </w:tr>
      <w:tr>
        <w:trPr>
          <w:trHeight w:val="189"/>
        </w:trPr>
        <w:tc>
          <w:tcPr>
            <w:tcW w:w="80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Less: Other accrued liabilities</w:t>
            </w:r>
          </w:p>
        </w:tc>
        <w:tc>
          <w:tcPr>
            <w:tcW w:w="220" w:type="dxa"/>
            <w:vAlign w:val="bottom"/>
          </w:tcPr>
          <w:p>
            <w:pPr>
              <w:spacing w:after="0"/>
              <w:rPr>
                <w:sz w:val="16"/>
                <w:szCs w:val="16"/>
                <w:color w:val="auto"/>
              </w:rPr>
            </w:pPr>
          </w:p>
        </w:tc>
        <w:tc>
          <w:tcPr>
            <w:tcW w:w="126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(42,338)</w:t>
            </w:r>
          </w:p>
        </w:tc>
        <w:tc>
          <w:tcPr>
            <w:tcW w:w="300" w:type="dxa"/>
            <w:vAlign w:val="bottom"/>
          </w:tcPr>
          <w:p>
            <w:pPr>
              <w:spacing w:after="0"/>
              <w:rPr>
                <w:sz w:val="16"/>
                <w:szCs w:val="16"/>
                <w:color w:val="auto"/>
              </w:rPr>
            </w:pPr>
          </w:p>
        </w:tc>
        <w:tc>
          <w:tcPr>
            <w:tcW w:w="140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(30,136)</w:t>
            </w:r>
          </w:p>
        </w:tc>
      </w:tr>
      <w:tr>
        <w:trPr>
          <w:trHeight w:val="189"/>
        </w:trPr>
        <w:tc>
          <w:tcPr>
            <w:tcW w:w="80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Less: Lease liability</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(147,622)</w:t>
            </w:r>
          </w:p>
        </w:tc>
        <w:tc>
          <w:tcPr>
            <w:tcW w:w="3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(158,018)</w:t>
            </w:r>
          </w:p>
        </w:tc>
      </w:tr>
      <w:tr>
        <w:trPr>
          <w:trHeight w:val="189"/>
        </w:trPr>
        <w:tc>
          <w:tcPr>
            <w:tcW w:w="80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Less: Other long-term liabilities</w:t>
            </w:r>
          </w:p>
        </w:tc>
        <w:tc>
          <w:tcPr>
            <w:tcW w:w="220" w:type="dxa"/>
            <w:vAlign w:val="bottom"/>
          </w:tcPr>
          <w:p>
            <w:pPr>
              <w:spacing w:after="0"/>
              <w:rPr>
                <w:sz w:val="16"/>
                <w:szCs w:val="16"/>
                <w:color w:val="auto"/>
              </w:rPr>
            </w:pPr>
          </w:p>
        </w:tc>
        <w:tc>
          <w:tcPr>
            <w:tcW w:w="126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(4,244)</w:t>
            </w:r>
          </w:p>
        </w:tc>
        <w:tc>
          <w:tcPr>
            <w:tcW w:w="300" w:type="dxa"/>
            <w:vAlign w:val="bottom"/>
          </w:tcPr>
          <w:p>
            <w:pPr>
              <w:spacing w:after="0"/>
              <w:rPr>
                <w:sz w:val="16"/>
                <w:szCs w:val="16"/>
                <w:color w:val="auto"/>
              </w:rPr>
            </w:pPr>
          </w:p>
        </w:tc>
        <w:tc>
          <w:tcPr>
            <w:tcW w:w="140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(4,061)</w:t>
            </w:r>
          </w:p>
        </w:tc>
      </w:tr>
      <w:tr>
        <w:trPr>
          <w:trHeight w:val="182"/>
        </w:trPr>
        <w:tc>
          <w:tcPr>
            <w:tcW w:w="806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Capital Employed</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144,501</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180,998</w:t>
            </w: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0"/>
        </w:trPr>
        <w:tc>
          <w:tcPr>
            <w:tcW w:w="136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Pretax Return on Capital Employed</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w:t>
            </w:r>
          </w:p>
        </w:tc>
        <w:tc>
          <w:tcPr>
            <w:tcW w:w="3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(2.3)%</w:t>
            </w:r>
          </w:p>
        </w:tc>
      </w:tr>
    </w:tbl>
    <w:p>
      <w:pPr>
        <w:spacing w:after="0" w:line="229" w:lineRule="exact"/>
        <w:rPr>
          <w:sz w:val="20"/>
          <w:szCs w:val="20"/>
          <w:color w:val="auto"/>
        </w:rPr>
      </w:pPr>
    </w:p>
    <w:p>
      <w:pPr>
        <w:ind w:firstLine="59"/>
        <w:spacing w:after="0" w:line="194" w:lineRule="auto"/>
        <w:tabs>
          <w:tab w:leader="none" w:pos="288"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principal liquidity requirements have been for working capital and capital expenditures. Our principal sources of liquidity are $44.8 million of cash and cash equivalents at June 30, 2021, our cash flow from operations, and borrowings available under our Credit Agreement. We expect to use this liquidity for purchasing additional merchandise inventory, maintaining our existing stores, and general corporate purposes.</w:t>
      </w:r>
    </w:p>
    <w:p>
      <w:pPr>
        <w:spacing w:after="0" w:line="148" w:lineRule="exact"/>
        <w:rPr>
          <w:sz w:val="20"/>
          <w:szCs w:val="20"/>
          <w:color w:val="auto"/>
        </w:rPr>
      </w:pPr>
    </w:p>
    <w:p>
      <w:pPr>
        <w:ind w:right="140"/>
        <w:spacing w:after="0" w:line="237" w:lineRule="auto"/>
        <w:rPr>
          <w:sz w:val="20"/>
          <w:szCs w:val="20"/>
          <w:color w:val="auto"/>
        </w:rPr>
      </w:pPr>
      <w:r>
        <w:rPr>
          <w:rFonts w:ascii="Arial" w:cs="Arial" w:eastAsia="Arial" w:hAnsi="Arial"/>
          <w:sz w:val="17"/>
          <w:szCs w:val="17"/>
          <w:color w:val="auto"/>
        </w:rPr>
        <w:t>On September 18, 2018, Holdings and its operating subsidiary, The Tile Shop, LLC, entered into a Credit Agreement with Bank of America, N.A., Fifth Third Bank and Citizens Bank (the “Credit Agreement”). The Credit Agreement provides us with a senior credit facility consisting of a $100.0 million revolving line of credit through September 18, 2023. Borrowings pursuant to the Credit Agreement initially bear interest at a LIBOR or base rate. The LIBOR-based rate ranges from LIBOR plus 1.50% to 2.25% depending on our rent adjusted leverage ratio. The base rate is equal to the greatest of (a) the Federal funds rate plus 0.50%, (b) the Bank of America “prime rate,” and (c) the Eurodollar rate plus 1.00%, in each case plus 0.50% to 1.25% depending on our rent adjusted leverage ratio. At June 30, 2021, the base interest rate was 4.00% and the LIBOR-based interest rate was 1.84%. We did not have any borrowings outstanding on our revolving line of credit as of June 30, 2021. In addition, we have standby letters of credit outstanding related to our workers’ compensation and medical insurance policies. Standby letters of credit totaled $2.4 million as of both June 30, 2021 and December 31, 2020. There was $97.6 million available for borrowing on the revolving line of credit as of June 30, 2021, which may be used to support our growth and for working capital purposes.</w:t>
      </w:r>
    </w:p>
    <w:p>
      <w:pPr>
        <w:spacing w:after="0" w:line="149"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The Credit Agreement is secured by virtually all of our assets, including but not limited to, inventory, receivables, equipment and real property. The Credit Agreement contains customary events of default, conditions to borrowings, and restrictive covenants, including restrictions on our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We were in compliance with the covenants as of June 30, 2021.</w:t>
      </w:r>
    </w:p>
    <w:p>
      <w:pPr>
        <w:spacing w:after="0" w:line="151"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We believe that our cash flow from operations, together with our existing cash and cash equivalents and borrowings available under our Credit Agreement, will be sufficient to fund our operations and anticipated capital expenditures over at least the next twelve months. However, the worldwide economic disruptions caused by the COVID-19 pandemic could materially affect our future access to our sources of liquidity. In the event of a sustained market deterioration and declines in net sales, profit and operating cash flow, we may need additional liquidity, which would require us to evaluate available alternatives and take appropriate actions.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ind w:right="420"/>
        <w:spacing w:after="0" w:line="307" w:lineRule="auto"/>
        <w:rPr>
          <w:sz w:val="20"/>
          <w:szCs w:val="20"/>
          <w:color w:val="auto"/>
        </w:rPr>
      </w:pPr>
      <w:r>
        <w:rPr>
          <w:rFonts w:ascii="Arial" w:cs="Arial" w:eastAsia="Arial" w:hAnsi="Arial"/>
          <w:sz w:val="16"/>
          <w:szCs w:val="16"/>
          <w:color w:val="auto"/>
        </w:rPr>
        <w:t>Capital expenditures were $6.2 million and $0.9 million for the six months ended June 30, 2021 and 2020, respectively. The increase in capital expenditures in 2021 was due to investments in one new store, one store relocation, store remodels, merchandising and information technology assets.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six months ended June 30, 2021 and 2020.</w:t>
      </w:r>
    </w:p>
    <w:p>
      <w:pPr>
        <w:spacing w:after="0" w:line="21" w:lineRule="exact"/>
        <w:rPr>
          <w:sz w:val="20"/>
          <w:szCs w:val="20"/>
          <w:color w:val="auto"/>
        </w:rPr>
      </w:pPr>
    </w:p>
    <w:p>
      <w:pPr>
        <w:jc w:val="center"/>
        <w:ind w:left="8320"/>
        <w:spacing w:after="0"/>
        <w:rPr>
          <w:sz w:val="20"/>
          <w:szCs w:val="20"/>
          <w:color w:val="auto"/>
        </w:rPr>
      </w:pPr>
      <w:r>
        <w:rPr>
          <w:rFonts w:ascii="Arial" w:cs="Arial" w:eastAsia="Arial" w:hAnsi="Arial"/>
          <w:sz w:val="18"/>
          <w:szCs w:val="18"/>
          <w:color w:val="auto"/>
        </w:rPr>
        <w:t>(in thousands)</w:t>
      </w:r>
    </w:p>
    <w:p>
      <w:pPr>
        <w:jc w:val="center"/>
        <w:ind w:left="8320"/>
        <w:spacing w:after="0" w:line="219" w:lineRule="auto"/>
        <w:rPr>
          <w:sz w:val="20"/>
          <w:szCs w:val="20"/>
          <w:color w:val="auto"/>
        </w:rPr>
      </w:pPr>
      <w:r>
        <w:rPr>
          <w:rFonts w:ascii="Arial" w:cs="Arial" w:eastAsia="Arial" w:hAnsi="Arial"/>
          <w:sz w:val="18"/>
          <w:szCs w:val="18"/>
          <w:color w:val="auto"/>
        </w:rPr>
        <w:t>Six Months Ended</w:t>
      </w:r>
    </w:p>
    <w:p>
      <w:pPr>
        <w:jc w:val="center"/>
        <w:ind w:left="8320"/>
        <w:spacing w:after="0" w:line="233" w:lineRule="auto"/>
        <w:rPr>
          <w:sz w:val="20"/>
          <w:szCs w:val="20"/>
          <w:color w:val="auto"/>
        </w:rPr>
      </w:pPr>
      <w:r>
        <w:rPr>
          <w:rFonts w:ascii="Arial" w:cs="Arial" w:eastAsia="Arial" w:hAnsi="Arial"/>
          <w:sz w:val="18"/>
          <w:szCs w:val="18"/>
          <w:color w:val="auto"/>
        </w:rPr>
        <w:t>June 30,</w:t>
      </w:r>
    </w:p>
    <w:tbl>
      <w:tblPr>
        <w:tblLayout w:type="fixed"/>
        <w:tblInd w:w="0" w:type="dxa"/>
        <w:tblCellMar>
          <w:top w:w="0" w:type="dxa"/>
          <w:left w:w="0" w:type="dxa"/>
          <w:bottom w:w="0" w:type="dxa"/>
          <w:right w:w="0" w:type="dxa"/>
        </w:tblCellMar>
      </w:tblPr>
      <w:tr>
        <w:trPr>
          <w:trHeight w:val="183"/>
        </w:trPr>
        <w:tc>
          <w:tcPr>
            <w:tcW w:w="83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2021</w:t>
            </w:r>
          </w:p>
        </w:tc>
        <w:tc>
          <w:tcPr>
            <w:tcW w:w="16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2020</w:t>
            </w:r>
          </w:p>
        </w:tc>
      </w:tr>
      <w:tr>
        <w:trPr>
          <w:trHeight w:val="183"/>
        </w:trPr>
        <w:tc>
          <w:tcPr>
            <w:tcW w:w="8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41,985</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40,988</w:t>
            </w:r>
          </w:p>
        </w:tc>
      </w:tr>
      <w:tr>
        <w:trPr>
          <w:trHeight w:val="189"/>
        </w:trPr>
        <w:tc>
          <w:tcPr>
            <w:tcW w:w="8340" w:type="dxa"/>
            <w:vAlign w:val="bottom"/>
          </w:tcPr>
          <w:p>
            <w:pPr>
              <w:spacing w:after="0" w:line="189" w:lineRule="exact"/>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(6,157)</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(929)</w:t>
            </w:r>
          </w:p>
        </w:tc>
      </w:tr>
      <w:tr>
        <w:trPr>
          <w:trHeight w:val="189"/>
        </w:trPr>
        <w:tc>
          <w:tcPr>
            <w:tcW w:w="8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(706)</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(41,217)</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Net cash provided by operating activities during the six months ended June 30, 2021 was $42.0 million compared with $41.0 million during the six months ended June 30, 2020. The increase was primarily attributable to an increase in net income that was partially offset by a decrease in cash provided by the change in inventory.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Net cash used in investing activities totaled $6.2 million for the six months ended June 30, 2021 compared with $0.9 million for the six months ended June 30, 2020. The increase in cash used in investing activities was due to an increase in capital expenditures during 2021 to invest in one new store, one store relocation, store remodels, merchandising and information technology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540"/>
        <w:spacing w:after="0" w:line="307" w:lineRule="auto"/>
        <w:rPr>
          <w:sz w:val="20"/>
          <w:szCs w:val="20"/>
          <w:color w:val="auto"/>
        </w:rPr>
      </w:pPr>
      <w:r>
        <w:rPr>
          <w:rFonts w:ascii="Arial" w:cs="Arial" w:eastAsia="Arial" w:hAnsi="Arial"/>
          <w:sz w:val="16"/>
          <w:szCs w:val="16"/>
          <w:color w:val="auto"/>
        </w:rPr>
        <w:t>Net cash used in financing activities was $0.7 million for the six months ended June 30, 2021 compared with $41.2 million for the six months ended June 30, 2020. The decrease in cash used in financing activities during the second quarter of 2021 was due to a decrease in debt payments.</w:t>
      </w:r>
    </w:p>
    <w:p>
      <w:pPr>
        <w:spacing w:after="0" w:line="96" w:lineRule="exact"/>
        <w:rPr>
          <w:sz w:val="20"/>
          <w:szCs w:val="20"/>
          <w:color w:val="auto"/>
        </w:rPr>
      </w:pPr>
    </w:p>
    <w:p>
      <w:pPr>
        <w:jc w:val="both"/>
        <w:ind w:right="100"/>
        <w:spacing w:after="0" w:line="235" w:lineRule="auto"/>
        <w:rPr>
          <w:sz w:val="20"/>
          <w:szCs w:val="20"/>
          <w:color w:val="auto"/>
        </w:rPr>
      </w:pPr>
      <w:r>
        <w:rPr>
          <w:rFonts w:ascii="Arial" w:cs="Arial" w:eastAsia="Arial" w:hAnsi="Arial"/>
          <w:sz w:val="18"/>
          <w:szCs w:val="18"/>
          <w:color w:val="auto"/>
        </w:rPr>
        <w:t>Cash and cash equivalents totaled $44.8 million at June 30, 2021 compared with $9.6 million at December 31, 2020. Working capital was $46.1 million at June 30, 2021 compared with $27.9 million at December 31, 2020. The increase in working capital during the second quarter of 2021 was primarily due to an increase in cash and cash equivalents.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and December 31, 2020, we did not have any “off-balance sheet arrangements” (as such term is defined in Item 303 of Regulation S-</w:t>
      </w:r>
    </w:p>
    <w:p>
      <w:pPr>
        <w:spacing w:after="0" w:line="21" w:lineRule="exact"/>
        <w:rPr>
          <w:sz w:val="20"/>
          <w:szCs w:val="20"/>
          <w:color w:val="auto"/>
        </w:rPr>
      </w:pPr>
    </w:p>
    <w:p>
      <w:pPr>
        <w:ind w:right="60" w:firstLine="8"/>
        <w:spacing w:after="0" w:line="233" w:lineRule="auto"/>
        <w:tabs>
          <w:tab w:leader="none" w:pos="2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could have a current or future effect on our financial condition, changes in financial condition, net sales or expenses, results of operations, liquidity, capital expenditures or capital resources.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In the first quarter of fiscal 2021, we adopted new accounting requirements related to the measurement of credit losses on financial instruments, including trade receivables. The new standard and subsequent amendments replaced the incurred loss impairment model with a forward-looking expected credit loss model, which will generally result in earlier recognition of credit losses. Our allowance for doubtful accounts represents an estimate of expected credit losses related to our trade receivables. To estimate our allowance for doubtful accounts, we leverage information on historical losses, current conditions, and reasonable and supportable forecasts of future conditions. Account balances are written off against the allowance when we deem the amount is uncollectible. The adoption of this standard did not have a material impact on our consolidated financial statements.</w:t>
      </w:r>
    </w:p>
    <w:p>
      <w:pPr>
        <w:spacing w:after="0" w:line="136" w:lineRule="exact"/>
        <w:rPr>
          <w:sz w:val="20"/>
          <w:szCs w:val="20"/>
          <w:color w:val="auto"/>
        </w:rPr>
      </w:pPr>
    </w:p>
    <w:p>
      <w:pPr>
        <w:ind w:right="380"/>
        <w:spacing w:after="0" w:line="276" w:lineRule="auto"/>
        <w:rPr>
          <w:sz w:val="20"/>
          <w:szCs w:val="20"/>
          <w:color w:val="auto"/>
        </w:rPr>
      </w:pPr>
      <w:r>
        <w:rPr>
          <w:rFonts w:ascii="Arial" w:cs="Arial" w:eastAsia="Arial" w:hAnsi="Arial"/>
          <w:sz w:val="16"/>
          <w:szCs w:val="16"/>
          <w:color w:val="auto"/>
        </w:rPr>
        <w:t>In the first quarter of fiscal 2021, we adopted a new accounting standard that simplifies accounting for income taxes. Specifically, the new standard simplifies aspects of accounting for franchise taxes and enacted changes in tax laws or rates and clarifies the accounting for transactions that result in a step-up in the tax basis of goodwill. The adoption of this standard did not have a material impact on our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71"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March 2020, the Financial Accounting Standards Board (FASB) issued guidance providing optional expedients and exceptions to account for the effects of reference rate reform to contracts, hedging relationships and other transactions that reference LIBOR or another reference rate expected to be discontinued. The optional guidance is effective as of the beginning of the reporting period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5"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when the election is made through December 31, 2022. We are currently evaluating the impact this guidance will have on our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There have been no material changes in our primary risk exposures or management of market risks from those disclosed in our Annual Report on Form 10-K for the fiscal year ended December 31,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evaluated the effectiveness of our disclosure controls and procedures as of June 30, 2021 and concluded that our disclosure controls and procedures were not effective as of June 30, 2021 due to material weaknesses in our internal control over financial reporting as described below.</w:t>
      </w:r>
    </w:p>
    <w:p>
      <w:pPr>
        <w:spacing w:after="0" w:line="136"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On January 1, 2019, we implemented an ERP system on a company-wide basis. As previously disclosed, during the year ended December 31, 2019, we identified two material weaknesses in internal control over financial reporting that arose from the new ERP system implementation. The two material weaknesses are:</w:t>
      </w:r>
    </w:p>
    <w:p>
      <w:pPr>
        <w:spacing w:after="0" w:line="148" w:lineRule="exact"/>
        <w:rPr>
          <w:sz w:val="20"/>
          <w:szCs w:val="20"/>
          <w:color w:val="auto"/>
        </w:rPr>
      </w:pPr>
    </w:p>
    <w:p>
      <w:pPr>
        <w:ind w:left="660" w:right="180"/>
        <w:spacing w:after="0" w:line="231" w:lineRule="auto"/>
        <w:rPr>
          <w:sz w:val="20"/>
          <w:szCs w:val="20"/>
          <w:color w:val="auto"/>
        </w:rPr>
      </w:pPr>
      <w:r>
        <w:rPr>
          <w:rFonts w:ascii="Arial" w:cs="Arial" w:eastAsia="Arial" w:hAnsi="Arial"/>
          <w:sz w:val="18"/>
          <w:szCs w:val="18"/>
          <w:color w:val="auto"/>
        </w:rPr>
        <w:t>The ineffective design and implementation of effective controls with respect to the ERP system conversion. Specifically, we did not exercise sufficient corporate governance and oversight, design effective controls over the ERP implementation to ensure appropriate data conversion and data integrity, or provide sufficient end-user training to our employees to ensure that our employees could effectively operate the system and carry out their responsibilities.</w:t>
      </w:r>
    </w:p>
    <w:p>
      <w:pPr>
        <w:spacing w:after="0" w:line="148" w:lineRule="exact"/>
        <w:rPr>
          <w:sz w:val="20"/>
          <w:szCs w:val="20"/>
          <w:color w:val="auto"/>
        </w:rPr>
      </w:pPr>
    </w:p>
    <w:p>
      <w:pPr>
        <w:ind w:left="660" w:right="200"/>
        <w:spacing w:after="0" w:line="261" w:lineRule="auto"/>
        <w:rPr>
          <w:sz w:val="20"/>
          <w:szCs w:val="20"/>
          <w:color w:val="auto"/>
        </w:rPr>
      </w:pPr>
      <w:r>
        <w:rPr>
          <w:rFonts w:ascii="Arial" w:cs="Arial" w:eastAsia="Arial" w:hAnsi="Arial"/>
          <w:sz w:val="16"/>
          <w:szCs w:val="16"/>
          <w:color w:val="auto"/>
        </w:rPr>
        <w:t>The ineffective design and implementation of IT general controls (“ITGCs”) for the ERP system that are relevant to the preparation of our financial statements. Specifically, we did not (i) maintain adequate control over user access to the ERP system to ensure appropriate segregation of duties and to restrict access to financial applications and data; and (ii) maintain adequate documentation practices surrounding management and control of IT changes affecting financial IT applications. Our business process controls (automated and manual) are dependent on the affected ITGCs and, therefore, are also deemed ineffective because they are adversely impacted by the ineffective ITGCs.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Planned Remediation of Material Weaknesses</w:t>
      </w:r>
    </w:p>
    <w:p>
      <w:pPr>
        <w:spacing w:after="0" w:line="17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have adjusted, and intend to consider further adjustments to, our previously disclosed plans relating to addressing these material weaknesses. We have taken steps to strengthen our change management procedures and performed a project to segregate responsibilities from users with access to our ERP system. The identified material weaknesses in internal control over financial reporting will not be considered remediated until controls have been designed and are in operation for a sufficient period of time for our management to conclude that the material weaknesses have been remediated. We will continue to assess the effectiveness of our remediation efforts in connection with our evaluations of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There were no changes in internal control over financial reporting (as defined by Rule 13a-15(f) under the Exchange Act) during the quarter ended June 30, 2021 that have materially affected, or are reasonably likely to materially affect, our internal control over financial reporting, except as set forth above under “Planned Remediation of Material Weaknesses”.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We are, from time to time, party to lawsuits, threatened lawsuits, disputes and other claims arising in the normal course of business.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In the opinion of management, while the outcome of such claims and disputes cannot be predicted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5"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with certainty, our ultimate liability in connection with these matters is not expected to have a material adverse effect on our results of operations, financial position or cash flows, and the amounts accrued for any individual matter are not material. However, legal proceedings are inherently uncertain. As a result, the outcome of a particular matter or a combination of matters may be material to our results of operations for a particular period, depending upon the size of the loss or our income for that particular period.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There have been no material changes from the risk factors previously disclosed in our Annual Report on Form 10-K for the year ended December 31, 2020. Disclosures of risks should not be interpreted to imply that the risks have not already materialized. The COVID-19 pandemic continues to present a risk to our business, and the impacts from COVID-19, including supply chain disruptions, could exacerbate other risks discussed in Part I Item 1A. Risk Factors of our Annual Report on Form 10-K for the year ended December 31, 2020, any of which could have a material adverse effect on us. This situation is continuously evolving, and additional impacts may arise of which we are not currently aware.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Total Number of</w:t>
            </w:r>
          </w:p>
        </w:tc>
        <w:tc>
          <w:tcPr>
            <w:tcW w:w="1480" w:type="dxa"/>
            <w:vAlign w:val="bottom"/>
          </w:tcPr>
          <w:p>
            <w:pPr>
              <w:jc w:val="right"/>
              <w:spacing w:after="0"/>
              <w:rPr>
                <w:sz w:val="20"/>
                <w:szCs w:val="20"/>
                <w:color w:val="auto"/>
              </w:rPr>
            </w:pPr>
            <w:r>
              <w:rPr>
                <w:rFonts w:ascii="Arial" w:cs="Arial" w:eastAsia="Arial" w:hAnsi="Arial"/>
                <w:sz w:val="18"/>
                <w:szCs w:val="18"/>
                <w:color w:val="auto"/>
                <w:w w:val="95"/>
              </w:rPr>
              <w:t>Maximum Number</w:t>
            </w:r>
          </w:p>
        </w:tc>
      </w:tr>
      <w:tr>
        <w:trPr>
          <w:trHeight w:val="189"/>
        </w:trPr>
        <w:tc>
          <w:tcPr>
            <w:tcW w:w="4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160"/>
              <w:spacing w:after="0" w:line="189" w:lineRule="exact"/>
              <w:rPr>
                <w:sz w:val="20"/>
                <w:szCs w:val="20"/>
                <w:color w:val="auto"/>
              </w:rPr>
            </w:pPr>
            <w:r>
              <w:rPr>
                <w:rFonts w:ascii="Arial" w:cs="Arial" w:eastAsia="Arial" w:hAnsi="Arial"/>
                <w:sz w:val="18"/>
                <w:szCs w:val="18"/>
                <w:color w:val="auto"/>
                <w:w w:val="84"/>
              </w:rPr>
              <w:t>Shares Purchased as</w:t>
            </w:r>
          </w:p>
        </w:tc>
        <w:tc>
          <w:tcPr>
            <w:tcW w:w="1480" w:type="dxa"/>
            <w:vAlign w:val="bottom"/>
          </w:tcPr>
          <w:p>
            <w:pPr>
              <w:jc w:val="right"/>
              <w:spacing w:after="0" w:line="189" w:lineRule="exact"/>
              <w:rPr>
                <w:sz w:val="20"/>
                <w:szCs w:val="20"/>
                <w:color w:val="auto"/>
              </w:rPr>
            </w:pPr>
            <w:r>
              <w:rPr>
                <w:rFonts w:ascii="Arial" w:cs="Arial" w:eastAsia="Arial" w:hAnsi="Arial"/>
                <w:sz w:val="18"/>
                <w:szCs w:val="18"/>
                <w:color w:val="auto"/>
                <w:w w:val="91"/>
              </w:rPr>
              <w:t>of Shares that May</w:t>
            </w:r>
          </w:p>
        </w:tc>
      </w:tr>
      <w:tr>
        <w:trPr>
          <w:trHeight w:val="189"/>
        </w:trPr>
        <w:tc>
          <w:tcPr>
            <w:tcW w:w="4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180"/>
              <w:spacing w:after="0" w:line="189" w:lineRule="exact"/>
              <w:rPr>
                <w:sz w:val="20"/>
                <w:szCs w:val="20"/>
                <w:color w:val="auto"/>
              </w:rPr>
            </w:pPr>
            <w:r>
              <w:rPr>
                <w:rFonts w:ascii="Arial" w:cs="Arial" w:eastAsia="Arial" w:hAnsi="Arial"/>
                <w:sz w:val="18"/>
                <w:szCs w:val="18"/>
                <w:color w:val="auto"/>
                <w:w w:val="93"/>
              </w:rPr>
              <w:t>Part of Publicly</w:t>
            </w:r>
          </w:p>
        </w:tc>
        <w:tc>
          <w:tcPr>
            <w:tcW w:w="1480" w:type="dxa"/>
            <w:vAlign w:val="bottom"/>
          </w:tcPr>
          <w:p>
            <w:pPr>
              <w:jc w:val="right"/>
              <w:ind w:right="50"/>
              <w:spacing w:after="0" w:line="189" w:lineRule="exact"/>
              <w:rPr>
                <w:sz w:val="20"/>
                <w:szCs w:val="20"/>
                <w:color w:val="auto"/>
              </w:rPr>
            </w:pPr>
            <w:r>
              <w:rPr>
                <w:rFonts w:ascii="Arial" w:cs="Arial" w:eastAsia="Arial" w:hAnsi="Arial"/>
                <w:sz w:val="18"/>
                <w:szCs w:val="18"/>
                <w:color w:val="auto"/>
                <w:w w:val="92"/>
              </w:rPr>
              <w:t>Yet be Purchased</w:t>
            </w:r>
          </w:p>
        </w:tc>
      </w:tr>
      <w:tr>
        <w:trPr>
          <w:trHeight w:val="189"/>
        </w:trPr>
        <w:tc>
          <w:tcPr>
            <w:tcW w:w="4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Total Number of</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spacing w:after="0" w:line="189" w:lineRule="exact"/>
              <w:rPr>
                <w:sz w:val="20"/>
                <w:szCs w:val="20"/>
                <w:color w:val="auto"/>
              </w:rPr>
            </w:pPr>
            <w:r>
              <w:rPr>
                <w:rFonts w:ascii="Arial" w:cs="Arial" w:eastAsia="Arial" w:hAnsi="Arial"/>
                <w:sz w:val="18"/>
                <w:szCs w:val="18"/>
                <w:color w:val="auto"/>
              </w:rPr>
              <w:t>Average Price</w:t>
            </w:r>
          </w:p>
        </w:tc>
        <w:tc>
          <w:tcPr>
            <w:tcW w:w="1620" w:type="dxa"/>
            <w:vAlign w:val="bottom"/>
            <w:gridSpan w:val="2"/>
          </w:tcPr>
          <w:p>
            <w:pPr>
              <w:jc w:val="center"/>
              <w:ind w:right="160"/>
              <w:spacing w:after="0" w:line="189" w:lineRule="exact"/>
              <w:rPr>
                <w:sz w:val="20"/>
                <w:szCs w:val="20"/>
                <w:color w:val="auto"/>
              </w:rPr>
            </w:pPr>
            <w:r>
              <w:rPr>
                <w:rFonts w:ascii="Arial" w:cs="Arial" w:eastAsia="Arial" w:hAnsi="Arial"/>
                <w:sz w:val="18"/>
                <w:szCs w:val="18"/>
                <w:color w:val="auto"/>
                <w:w w:val="90"/>
              </w:rPr>
              <w:t>Announced Plans or</w:t>
            </w:r>
          </w:p>
        </w:tc>
        <w:tc>
          <w:tcPr>
            <w:tcW w:w="1480" w:type="dxa"/>
            <w:vAlign w:val="bottom"/>
          </w:tcPr>
          <w:p>
            <w:pPr>
              <w:jc w:val="right"/>
              <w:spacing w:after="0" w:line="189" w:lineRule="exact"/>
              <w:rPr>
                <w:sz w:val="20"/>
                <w:szCs w:val="20"/>
                <w:color w:val="auto"/>
              </w:rPr>
            </w:pPr>
            <w:r>
              <w:rPr>
                <w:rFonts w:ascii="Arial" w:cs="Arial" w:eastAsia="Arial" w:hAnsi="Arial"/>
                <w:sz w:val="18"/>
                <w:szCs w:val="18"/>
                <w:color w:val="auto"/>
                <w:w w:val="91"/>
              </w:rPr>
              <w:t>Under the Plans or</w:t>
            </w:r>
          </w:p>
        </w:tc>
      </w:tr>
      <w:tr>
        <w:trPr>
          <w:trHeight w:val="190"/>
        </w:trPr>
        <w:tc>
          <w:tcPr>
            <w:tcW w:w="4860" w:type="dxa"/>
            <w:vAlign w:val="bottom"/>
            <w:gridSpan w:val="2"/>
          </w:tcPr>
          <w:p>
            <w:pPr>
              <w:spacing w:after="0" w:line="190" w:lineRule="exact"/>
              <w:rPr>
                <w:sz w:val="20"/>
                <w:szCs w:val="20"/>
                <w:color w:val="auto"/>
              </w:rPr>
            </w:pPr>
            <w:r>
              <w:rPr>
                <w:rFonts w:ascii="Arial" w:cs="Arial" w:eastAsia="Arial" w:hAnsi="Arial"/>
                <w:sz w:val="18"/>
                <w:szCs w:val="18"/>
                <w:color w:val="auto"/>
              </w:rPr>
              <w:t>Period</w:t>
            </w:r>
          </w:p>
        </w:tc>
        <w:tc>
          <w:tcPr>
            <w:tcW w:w="1480" w:type="dxa"/>
            <w:vAlign w:val="bottom"/>
          </w:tcPr>
          <w:p>
            <w:pPr>
              <w:jc w:val="right"/>
              <w:ind w:right="10"/>
              <w:spacing w:after="0" w:line="190" w:lineRule="exact"/>
              <w:rPr>
                <w:sz w:val="20"/>
                <w:szCs w:val="20"/>
                <w:color w:val="auto"/>
              </w:rPr>
            </w:pPr>
            <w:r>
              <w:rPr>
                <w:rFonts w:ascii="Arial" w:cs="Arial" w:eastAsia="Arial" w:hAnsi="Arial"/>
                <w:sz w:val="18"/>
                <w:szCs w:val="18"/>
                <w:color w:val="auto"/>
                <w:w w:val="91"/>
              </w:rPr>
              <w:t>Shares Purchased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Paid per Share</w:t>
            </w:r>
          </w:p>
        </w:tc>
        <w:tc>
          <w:tcPr>
            <w:tcW w:w="1620" w:type="dxa"/>
            <w:vAlign w:val="bottom"/>
            <w:gridSpan w:val="2"/>
          </w:tcPr>
          <w:p>
            <w:pPr>
              <w:jc w:val="center"/>
              <w:ind w:right="160"/>
              <w:spacing w:after="0" w:line="190" w:lineRule="exact"/>
              <w:rPr>
                <w:sz w:val="20"/>
                <w:szCs w:val="20"/>
                <w:color w:val="auto"/>
              </w:rPr>
            </w:pPr>
            <w:r>
              <w:rPr>
                <w:rFonts w:ascii="Arial" w:cs="Arial" w:eastAsia="Arial" w:hAnsi="Arial"/>
                <w:sz w:val="18"/>
                <w:szCs w:val="18"/>
                <w:color w:val="auto"/>
                <w:w w:val="89"/>
              </w:rPr>
              <w:t>Program</w:t>
            </w:r>
          </w:p>
        </w:tc>
        <w:tc>
          <w:tcPr>
            <w:tcW w:w="1480" w:type="dxa"/>
            <w:vAlign w:val="bottom"/>
          </w:tcPr>
          <w:p>
            <w:pPr>
              <w:jc w:val="right"/>
              <w:ind w:right="310"/>
              <w:spacing w:after="0" w:line="190" w:lineRule="exact"/>
              <w:rPr>
                <w:sz w:val="20"/>
                <w:szCs w:val="20"/>
                <w:color w:val="auto"/>
              </w:rPr>
            </w:pPr>
            <w:r>
              <w:rPr>
                <w:rFonts w:ascii="Arial" w:cs="Arial" w:eastAsia="Arial" w:hAnsi="Arial"/>
                <w:sz w:val="18"/>
                <w:szCs w:val="18"/>
                <w:color w:val="auto"/>
              </w:rPr>
              <w:t>Programs</w:t>
            </w:r>
          </w:p>
        </w:tc>
      </w:tr>
      <w:tr>
        <w:trPr>
          <w:trHeight w:val="20"/>
        </w:trPr>
        <w:tc>
          <w:tcPr>
            <w:tcW w:w="48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48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April 1, 2021 - April 30, 2021</w:t>
            </w: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9,715</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87"/>
              </w:rPr>
              <w:t>(1)</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5.27</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May 1, 2021 - May 31, 2021</w:t>
            </w:r>
          </w:p>
        </w:tc>
        <w:tc>
          <w:tcPr>
            <w:tcW w:w="1480" w:type="dxa"/>
            <w:vAlign w:val="bottom"/>
          </w:tcPr>
          <w:p>
            <w:pPr>
              <w:jc w:val="right"/>
              <w:spacing w:after="0"/>
              <w:rPr>
                <w:sz w:val="20"/>
                <w:szCs w:val="20"/>
                <w:color w:val="auto"/>
              </w:rPr>
            </w:pPr>
            <w:r>
              <w:rPr>
                <w:rFonts w:ascii="Arial" w:cs="Arial" w:eastAsia="Arial" w:hAnsi="Arial"/>
                <w:sz w:val="18"/>
                <w:szCs w:val="18"/>
                <w:color w:val="auto"/>
              </w:rPr>
              <w:t>8,027</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w w:val="97"/>
              </w:rPr>
              <w:t>(2)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6.55</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2021 - June 30,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7"/>
              </w:rPr>
              <w:t>(3)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3"/>
        </w:trPr>
        <w:tc>
          <w:tcPr>
            <w:tcW w:w="4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20,015</w:t>
            </w:r>
          </w:p>
        </w:tc>
        <w:tc>
          <w:tcPr>
            <w:tcW w:w="2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5.19</w:t>
            </w:r>
          </w:p>
        </w:tc>
        <w:tc>
          <w:tcPr>
            <w:tcW w:w="26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r>
      <w:tr>
        <w:trPr>
          <w:trHeight w:val="20"/>
        </w:trPr>
        <w:tc>
          <w:tcPr>
            <w:tcW w:w="4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right="160" w:hanging="332"/>
        <w:spacing w:after="0" w:line="237"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We withheld a total of 7,442 shares to satisfy tax withholding obligations due upon the vesting of restricted stock grants, as allowed by the 2012 Omnibus Award Plan. We did not pay cash to repurchase these shares, nor were these repurchases part of a publicly announced plan or program. We repurchased an additional 2,273 shares pursuant to the terms of the underlying restricted stock agreements, as allowed by the 2012 Omnibus Award Plan. We paid $0.0001 per share, the par value, to repurchase these shares. These repurchases were not part of a publicly announced plan or program.</w:t>
      </w:r>
    </w:p>
    <w:p>
      <w:pPr>
        <w:spacing w:after="0" w:line="28" w:lineRule="exact"/>
        <w:rPr>
          <w:rFonts w:ascii="Arial" w:cs="Arial" w:eastAsia="Arial" w:hAnsi="Arial"/>
          <w:sz w:val="25"/>
          <w:szCs w:val="25"/>
          <w:color w:val="auto"/>
          <w:vertAlign w:val="superscript"/>
        </w:rPr>
      </w:pPr>
    </w:p>
    <w:p>
      <w:pPr>
        <w:ind w:left="340" w:right="20" w:hanging="332"/>
        <w:spacing w:after="0" w:line="221" w:lineRule="auto"/>
        <w:tabs>
          <w:tab w:leader="none" w:pos="340" w:val="left"/>
        </w:tabs>
        <w:numPr>
          <w:ilvl w:val="0"/>
          <w:numId w:val="7"/>
        </w:numPr>
        <w:rPr>
          <w:rFonts w:ascii="Arial" w:cs="Arial" w:eastAsia="Arial" w:hAnsi="Arial"/>
          <w:sz w:val="27"/>
          <w:szCs w:val="27"/>
          <w:color w:val="auto"/>
          <w:vertAlign w:val="superscript"/>
        </w:rPr>
      </w:pPr>
      <w:r>
        <w:rPr>
          <w:rFonts w:ascii="Arial" w:cs="Arial" w:eastAsia="Arial" w:hAnsi="Arial"/>
          <w:sz w:val="16"/>
          <w:szCs w:val="16"/>
          <w:color w:val="auto"/>
        </w:rPr>
        <w:t>We withheld a total of 7,228 shares to satisfy tax withholding obligations due upon the vesting of restricted stock grants, as allowed by the 2012 Omnibus Award Plan. We did not pay cash to repurchase these shares, nor were these repurchases part of a publicly announced plan or program. We repurchased an additional 799 shares pursuant to the terms of the underlying restricted stock agreements, as allowed by the 2012 Omnibus Award Plan. We paid $0.0001 per share, the par value, to repurchase these shares. These repurchases were not part of a publicly announced plan or program.</w:t>
      </w:r>
    </w:p>
    <w:p>
      <w:pPr>
        <w:spacing w:after="0" w:line="29" w:lineRule="exact"/>
        <w:rPr>
          <w:rFonts w:ascii="Arial" w:cs="Arial" w:eastAsia="Arial" w:hAnsi="Arial"/>
          <w:sz w:val="27"/>
          <w:szCs w:val="27"/>
          <w:color w:val="auto"/>
          <w:vertAlign w:val="superscript"/>
        </w:rPr>
      </w:pPr>
    </w:p>
    <w:p>
      <w:pPr>
        <w:ind w:left="340" w:right="300" w:hanging="332"/>
        <w:spacing w:after="0" w:line="203" w:lineRule="auto"/>
        <w:tabs>
          <w:tab w:leader="none" w:pos="340" w:val="left"/>
        </w:tabs>
        <w:numPr>
          <w:ilvl w:val="0"/>
          <w:numId w:val="7"/>
        </w:numPr>
        <w:rPr>
          <w:rFonts w:ascii="Arial" w:cs="Arial" w:eastAsia="Arial" w:hAnsi="Arial"/>
          <w:sz w:val="27"/>
          <w:szCs w:val="27"/>
          <w:color w:val="auto"/>
          <w:vertAlign w:val="superscript"/>
        </w:rPr>
      </w:pPr>
      <w:r>
        <w:rPr>
          <w:rFonts w:ascii="Arial" w:cs="Arial" w:eastAsia="Arial" w:hAnsi="Arial"/>
          <w:sz w:val="16"/>
          <w:szCs w:val="16"/>
          <w:color w:val="auto"/>
        </w:rPr>
        <w:t>We repurchased 2,273 shares pursuant to the terms of the underlying restricted stock agreements, as allowed by the 2012 Omnibus Award Plan. We paid $0.0001 per share, the par value, to repurchase these shares. These repurchases were not part of a publicly announced plan or program.</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sets forth, as of August 2, 2021, information regarding beneficial ownership of our common stock by each person, or group of affiliated persons, known by us to beneficially own more than 5% of our common stock.</w:t>
      </w:r>
    </w:p>
    <w:p>
      <w:pPr>
        <w:spacing w:after="0" w:line="143"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she, or it possesses sole or shared voting or investment power of that security.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color w:val="auto"/>
        </w:rPr>
        <w:t>We have based our calculation of the percentage of beneficial ownership on 51,968,043 shares of our common stock outstanding on August 2, 2021.</w:t>
      </w:r>
    </w:p>
    <w:p>
      <w:pPr>
        <w:spacing w:after="0" w:line="183"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Unless otherwise noted below, the address for each of the shareholders in the table below is c/o Tile Shop Holdings, Inc., 14000 Carlson Parkway, Plymouth, Minnesota 55441.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Number of Shares</w:t>
            </w:r>
          </w:p>
        </w:tc>
        <w:tc>
          <w:tcPr>
            <w:tcW w:w="10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480" w:type="dxa"/>
            <w:vAlign w:val="bottom"/>
            <w:gridSpan w:val="2"/>
            <w:vMerge w:val="continue"/>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Beneficially Owned</w:t>
            </w: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3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5% Stockholders:</w:t>
            </w:r>
          </w:p>
        </w:tc>
        <w:tc>
          <w:tcPr>
            <w:tcW w:w="16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Peter J. Jacullo III, Director</w:t>
            </w:r>
            <w:r>
              <w:rPr>
                <w:rFonts w:ascii="Arial" w:cs="Arial" w:eastAsia="Arial" w:hAnsi="Arial"/>
                <w:sz w:val="29"/>
                <w:szCs w:val="29"/>
                <w:color w:val="auto"/>
                <w:vertAlign w:val="superscript"/>
              </w:rPr>
              <w:t>(1)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8,591,379</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480" w:type="dxa"/>
            <w:vAlign w:val="bottom"/>
            <w:gridSpan w:val="2"/>
          </w:tcPr>
          <w:p>
            <w:pPr>
              <w:spacing w:after="0" w:line="256" w:lineRule="exact"/>
              <w:rPr>
                <w:sz w:val="20"/>
                <w:szCs w:val="20"/>
                <w:color w:val="auto"/>
              </w:rPr>
            </w:pPr>
            <w:r>
              <w:rPr>
                <w:rFonts w:ascii="Arial" w:cs="Arial" w:eastAsia="Arial" w:hAnsi="Arial"/>
                <w:sz w:val="18"/>
                <w:szCs w:val="18"/>
                <w:color w:val="auto"/>
              </w:rPr>
              <w:t>Peter H. Kamin, Chairman of the Board</w:t>
            </w:r>
            <w:r>
              <w:rPr>
                <w:rFonts w:ascii="Arial" w:cs="Arial" w:eastAsia="Arial" w:hAnsi="Arial"/>
                <w:sz w:val="29"/>
                <w:szCs w:val="29"/>
                <w:color w:val="auto"/>
                <w:vertAlign w:val="superscript"/>
              </w:rPr>
              <w:t>(2)</w:t>
            </w:r>
          </w:p>
        </w:tc>
        <w:tc>
          <w:tcPr>
            <w:tcW w:w="1300" w:type="dxa"/>
            <w:vAlign w:val="bottom"/>
          </w:tcPr>
          <w:p>
            <w:pPr>
              <w:jc w:val="right"/>
              <w:spacing w:after="0"/>
              <w:rPr>
                <w:sz w:val="20"/>
                <w:szCs w:val="20"/>
                <w:color w:val="auto"/>
              </w:rPr>
            </w:pPr>
            <w:r>
              <w:rPr>
                <w:rFonts w:ascii="Arial" w:cs="Arial" w:eastAsia="Arial" w:hAnsi="Arial"/>
                <w:sz w:val="18"/>
                <w:szCs w:val="18"/>
                <w:color w:val="auto"/>
              </w:rPr>
              <w:t>6,872,802</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8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B. Riley Financial, Inc. and affiliates</w:t>
            </w:r>
            <w:r>
              <w:rPr>
                <w:rFonts w:ascii="Arial" w:cs="Arial" w:eastAsia="Arial" w:hAnsi="Arial"/>
                <w:sz w:val="29"/>
                <w:szCs w:val="29"/>
                <w:color w:val="auto"/>
                <w:vertAlign w:val="superscript"/>
              </w:rPr>
              <w:t>(3)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4,410,145</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480" w:type="dxa"/>
            <w:vAlign w:val="bottom"/>
            <w:gridSpan w:val="2"/>
          </w:tcPr>
          <w:p>
            <w:pPr>
              <w:spacing w:after="0" w:line="256" w:lineRule="exact"/>
              <w:rPr>
                <w:sz w:val="20"/>
                <w:szCs w:val="20"/>
                <w:color w:val="auto"/>
              </w:rPr>
            </w:pPr>
            <w:r>
              <w:rPr>
                <w:rFonts w:ascii="Arial" w:cs="Arial" w:eastAsia="Arial" w:hAnsi="Arial"/>
                <w:sz w:val="18"/>
                <w:szCs w:val="18"/>
                <w:color w:val="auto"/>
              </w:rPr>
              <w:t>Cannell Capital LLC</w:t>
            </w:r>
            <w:r>
              <w:rPr>
                <w:rFonts w:ascii="Arial" w:cs="Arial" w:eastAsia="Arial" w:hAnsi="Arial"/>
                <w:sz w:val="29"/>
                <w:szCs w:val="29"/>
                <w:color w:val="auto"/>
                <w:vertAlign w:val="superscript"/>
              </w:rPr>
              <w:t>(4)</w:t>
            </w:r>
          </w:p>
        </w:tc>
        <w:tc>
          <w:tcPr>
            <w:tcW w:w="1300" w:type="dxa"/>
            <w:vAlign w:val="bottom"/>
          </w:tcPr>
          <w:p>
            <w:pPr>
              <w:jc w:val="right"/>
              <w:spacing w:after="0"/>
              <w:rPr>
                <w:sz w:val="20"/>
                <w:szCs w:val="20"/>
                <w:color w:val="auto"/>
              </w:rPr>
            </w:pPr>
            <w:r>
              <w:rPr>
                <w:rFonts w:ascii="Arial" w:cs="Arial" w:eastAsia="Arial" w:hAnsi="Arial"/>
                <w:sz w:val="18"/>
                <w:szCs w:val="18"/>
                <w:color w:val="auto"/>
              </w:rPr>
              <w:t>3,147,164</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Savitr Capital LLC</w:t>
            </w:r>
            <w:r>
              <w:rPr>
                <w:rFonts w:ascii="Arial" w:cs="Arial" w:eastAsia="Arial" w:hAnsi="Arial"/>
                <w:sz w:val="29"/>
                <w:szCs w:val="29"/>
                <w:color w:val="auto"/>
                <w:vertAlign w:val="superscript"/>
              </w:rPr>
              <w:t>(5)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2,770,535</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93"/>
        </w:trPr>
        <w:tc>
          <w:tcPr>
            <w:tcW w:w="8480" w:type="dxa"/>
            <w:vAlign w:val="bottom"/>
            <w:gridSpan w:val="2"/>
          </w:tcPr>
          <w:p>
            <w:pPr>
              <w:spacing w:after="0"/>
              <w:rPr>
                <w:sz w:val="20"/>
                <w:szCs w:val="20"/>
                <w:color w:val="auto"/>
              </w:rPr>
            </w:pPr>
            <w:r>
              <w:rPr>
                <w:rFonts w:ascii="Arial" w:cs="Arial" w:eastAsia="Arial" w:hAnsi="Arial"/>
                <w:sz w:val="18"/>
                <w:szCs w:val="18"/>
                <w:color w:val="auto"/>
              </w:rPr>
              <w:t>Philotimo Fund, LP and affiliates</w:t>
            </w:r>
            <w:r>
              <w:rPr>
                <w:rFonts w:ascii="Arial" w:cs="Arial" w:eastAsia="Arial" w:hAnsi="Arial"/>
                <w:sz w:val="29"/>
                <w:szCs w:val="29"/>
                <w:color w:val="auto"/>
                <w:vertAlign w:val="superscript"/>
              </w:rPr>
              <w:t>(6)</w:t>
            </w:r>
          </w:p>
        </w:tc>
        <w:tc>
          <w:tcPr>
            <w:tcW w:w="1300" w:type="dxa"/>
            <w:vAlign w:val="bottom"/>
          </w:tcPr>
          <w:p>
            <w:pPr>
              <w:jc w:val="right"/>
              <w:spacing w:after="0"/>
              <w:rPr>
                <w:sz w:val="20"/>
                <w:szCs w:val="20"/>
                <w:color w:val="auto"/>
              </w:rPr>
            </w:pPr>
            <w:r>
              <w:rPr>
                <w:rFonts w:ascii="Arial" w:cs="Arial" w:eastAsia="Arial" w:hAnsi="Arial"/>
                <w:sz w:val="18"/>
                <w:szCs w:val="18"/>
                <w:color w:val="auto"/>
              </w:rPr>
              <w:t>2,597,857</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660" w:right="200" w:hanging="652"/>
        <w:spacing w:after="0" w:line="237"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a Schedule 13D/A filed with the SEC on January 16, 2020 by JWTS, Inc. (“JWTS”), Peter J. Jacullo III, and the Katherine D. Jacullo Children’s 1993 Irrevocable Trust (the “Jacullo Trust”) and a Form 4 filed by Mr. Jacullo with the SEC on July 21, 2021. JWTS directly holds 4,441,180 shares of common stock and has sole voting and dispositive power with respect to such shares. Mr. Jacullo is the President and sole member of the board of directors of JWTS, holds sole voting and dispositive power over the securities held by JWTS, and may be deemed to beneficially own the securities held by JWTS. The Jacullo Trust directly holds 3,676,989 shares of common stock and has sole voting and dispositive power with respect to such shares. Mr. Jacullo is a co-trustee of the Jacullo Trust, holds shared voting and dispositive power over the securities held by the Jacullo Trust, and may be deemed to beneficially own the securities held by the Jacullo Trust. Mr. Jacullo disclaims beneficial ownership of the shares of common stock held by the Jacullo Trust, except to the extent of his pecuniary interest therein. Mr. Jacullo directly holds 473,210 shares of common stock over which he has sole voting and dispositive power, including 14,477 shares of unvested restricted common stock.</w:t>
      </w:r>
    </w:p>
    <w:p>
      <w:pPr>
        <w:spacing w:after="0" w:line="148" w:lineRule="exact"/>
        <w:rPr>
          <w:rFonts w:ascii="Arial" w:cs="Arial" w:eastAsia="Arial" w:hAnsi="Arial"/>
          <w:sz w:val="17"/>
          <w:szCs w:val="17"/>
          <w:color w:val="auto"/>
        </w:rPr>
      </w:pPr>
    </w:p>
    <w:p>
      <w:pPr>
        <w:ind w:left="660" w:right="20" w:hanging="652"/>
        <w:spacing w:after="0" w:line="256"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a Schedule 13D/A filed with the SEC on January 14, 2020 by Peter H. Kamin and a Form 4 filed by Mr. Kamin with the SEC on July 21, 2021. Includes (i) 1,694,608 shares of common stock held by the Peter H. Kamin Revocable Trust dated February 2003, of which Peter H. Kamin is the trustee; (ii) 1,033,562 shares of common stock held by the Peter H. Kamin Childrens Trust dated March 1997, of which Mr. Kamin is the trustee; (iii) 97,453 shares of common stock held by the Peter H. Kamin Family Foundation, of which Mr. Kamin is the trustee; (iv) 328,711 shares of common stock held by the Peter H. Kamin GST Trust, of which Mr. Kamin is the trustee; (v) 333,307 shares of common stock held by 3K Limited Partnership, of which Mr. Kamin is the general partner; and (vi) 3,385,161 shares of common stock directly held by Mr. Kamin, including 23,918 shares of unvested restricted common stock. Mr. Kamin has sole voting and dispositive power over all such shares.</w:t>
      </w:r>
    </w:p>
    <w:p>
      <w:pPr>
        <w:spacing w:after="0" w:line="138" w:lineRule="exact"/>
        <w:rPr>
          <w:rFonts w:ascii="Arial" w:cs="Arial" w:eastAsia="Arial" w:hAnsi="Arial"/>
          <w:sz w:val="16"/>
          <w:szCs w:val="16"/>
          <w:color w:val="auto"/>
        </w:rPr>
      </w:pPr>
    </w:p>
    <w:p>
      <w:pPr>
        <w:ind w:left="660" w:right="60" w:hanging="652"/>
        <w:spacing w:after="0" w:line="23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 Schedule 13D/A filed with the SEC on March 4, 2021 by B. Riley Financial, Inc. (“BRF”), B. Riley Capital Management, LLC (“BRCM”), BRC Partners Management GP, LLC (“BRPGP”), BRC Partners Opportunity Fund, LP (“BRPLP”), B. Riley Securities, Inc. (“BRS”) and Bryant R. Riley (collectively, the “B. Riley Parties”), and 272 Capital LP (“272 Capital”) and Wes Cummins (together with 272 Capital, the “272 Parties”).</w:t>
      </w:r>
    </w:p>
    <w:p>
      <w:pPr>
        <w:spacing w:after="0" w:line="148" w:lineRule="exact"/>
        <w:rPr>
          <w:rFonts w:ascii="Arial" w:cs="Arial" w:eastAsia="Arial" w:hAnsi="Arial"/>
          <w:sz w:val="18"/>
          <w:szCs w:val="18"/>
          <w:color w:val="auto"/>
        </w:rPr>
      </w:pPr>
    </w:p>
    <w:p>
      <w:pPr>
        <w:ind w:left="660" w:right="80"/>
        <w:spacing w:after="0" w:line="252" w:lineRule="auto"/>
        <w:rPr>
          <w:rFonts w:ascii="Arial" w:cs="Arial" w:eastAsia="Arial" w:hAnsi="Arial"/>
          <w:sz w:val="18"/>
          <w:szCs w:val="18"/>
          <w:color w:val="auto"/>
        </w:rPr>
      </w:pPr>
      <w:r>
        <w:rPr>
          <w:rFonts w:ascii="Arial" w:cs="Arial" w:eastAsia="Arial" w:hAnsi="Arial"/>
          <w:sz w:val="16"/>
          <w:szCs w:val="16"/>
          <w:color w:val="auto"/>
        </w:rPr>
        <w:t>As reported by the Schedule 13D/A, BRPLP directly holds 2,038,645 shares of common stock, and BRS directly holds 2,328,900 shares of common stock. BRPGP is a subsidiary of BRCM, a registered investment advisor, and is the general partner of BRPLP. BRF is the parent company of BRCM. As a result, BRPGP, BRCM and BRF may be deemed to indirectly beneficially own the shares of common stock held by BRPLP. BRF is the parent company of BRS. As a result, BRF may be deemed to indirectly beneficially own the shares of common stock held by BRS. Mr. Riley may beneficially own 42,600 shares of common stock held as sole trustee of the Robert Antin Children Irrevocable Trust. Mr. Riley disclaims beneficial ownership of the shares held by the Robert Antin Children Irrevocable Trust except to the extent of his pecuniary interest therein. BRF and Mr. Riley, the Co-Chief Executive Officer and Chairman of the Board of Directors of BRF, may be deemed to indirectly beneficially own the shares of common stock held directly by BRPLP or BRS. BRF and Mr. Riley disclaim beneficial ownership of the shares held by BRPLP and BRS except to the extent of its or his pecuniary interest therein. Each of BRPLP, BRPGP, BRCM, BRF and Mr. Riley may be deemed to have shared voting and dispositive power over the shares of common stock directly held by BRPLP. Each of BRS, BRF and Mr. Riley may be deemed to have shared voting and dispositive power over the shares of common stock directly held by BRS. Mr. Riley may be deemed to have sole voting and dispositive power over the shares of common stock held by the Robert Antin Children Irrevocable Trust.</w:t>
      </w:r>
    </w:p>
    <w:p>
      <w:pPr>
        <w:spacing w:after="0" w:line="139" w:lineRule="exact"/>
        <w:rPr>
          <w:sz w:val="20"/>
          <w:szCs w:val="20"/>
          <w:color w:val="auto"/>
        </w:rPr>
      </w:pPr>
    </w:p>
    <w:p>
      <w:pPr>
        <w:ind w:left="660" w:right="160"/>
        <w:spacing w:after="0" w:line="246" w:lineRule="auto"/>
        <w:rPr>
          <w:sz w:val="20"/>
          <w:szCs w:val="20"/>
          <w:color w:val="auto"/>
        </w:rPr>
      </w:pPr>
      <w:r>
        <w:rPr>
          <w:rFonts w:ascii="Arial" w:cs="Arial" w:eastAsia="Arial" w:hAnsi="Arial"/>
          <w:sz w:val="18"/>
          <w:szCs w:val="18"/>
          <w:color w:val="auto"/>
        </w:rPr>
        <w:t>As reported by the Schedule 13D/A, 272 Capital beneficially owned 941,244 shares of common stock by virtue of being the investment manager of the 272 Capital Master Fund Ltd (the “272 Master Fund”), which directly holds such shares. Mr.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5" w:lineRule="exact"/>
        <w:rPr>
          <w:sz w:val="20"/>
          <w:szCs w:val="20"/>
          <w:color w:val="auto"/>
        </w:rPr>
      </w:pPr>
    </w:p>
    <w:p>
      <w:pPr>
        <w:ind w:left="660"/>
        <w:spacing w:after="0" w:line="231" w:lineRule="auto"/>
        <w:rPr>
          <w:sz w:val="20"/>
          <w:szCs w:val="20"/>
          <w:color w:val="auto"/>
        </w:rPr>
      </w:pPr>
      <w:r>
        <w:rPr>
          <w:rFonts w:ascii="Arial" w:cs="Arial" w:eastAsia="Arial" w:hAnsi="Arial"/>
          <w:sz w:val="18"/>
          <w:szCs w:val="18"/>
          <w:color w:val="auto"/>
        </w:rPr>
        <w:t>Cummins is the managing member of 272 Capital GP LLC, the general partner of 272 Capital, and the Chief Executive Officer of 272 Capital. Mr. Cummins may beneficially own the shares of common stock directly held by the 272 Master Fund by virtue of being the managing member of 272 Capital GP LLC. 272 Capital and Mr. Cummins may be deemed to have shared voting and dispositive power over the shares of common stock directly held by the 272 Master Fund.</w:t>
      </w:r>
    </w:p>
    <w:p>
      <w:pPr>
        <w:spacing w:after="0" w:line="148" w:lineRule="exact"/>
        <w:rPr>
          <w:sz w:val="20"/>
          <w:szCs w:val="20"/>
          <w:color w:val="auto"/>
        </w:rPr>
      </w:pPr>
    </w:p>
    <w:p>
      <w:pPr>
        <w:ind w:left="660"/>
        <w:spacing w:after="0" w:line="225" w:lineRule="auto"/>
        <w:rPr>
          <w:sz w:val="20"/>
          <w:szCs w:val="20"/>
          <w:color w:val="auto"/>
        </w:rPr>
      </w:pPr>
      <w:r>
        <w:rPr>
          <w:rFonts w:ascii="Arial" w:cs="Arial" w:eastAsia="Arial" w:hAnsi="Arial"/>
          <w:sz w:val="18"/>
          <w:szCs w:val="18"/>
          <w:color w:val="auto"/>
        </w:rPr>
        <w:t>The B. Riley Parties and the 272 Parties reported that, as of March 2, 2021, BRF and 272 Capital mutually agreed, in writing, to terminate their previous group agreement. By virtue of the termination of the group agreement, the B. Riley Parties and the 272 Parties are no longer deemed to have formed a “group” within the meaning of Section 13(d)(3) of the Exchange Act. Each of the B. Riley Parties expressly disclaims beneficial ownership of the shares of common stock beneficially owned by each of the 272 Parties, and each of the 272 Parties expressly disclaims beneficial ownership of the shares of common stock beneficially owned by each of the B. Riley Parties. The Schedule 13D/A acted as an “exit” filing for the 272 Parties. Accordingly, the shares held by the 272 Parties are not included in the aggregate shares held by the B. Riley Parties reported in this table.</w:t>
      </w:r>
    </w:p>
    <w:p>
      <w:pPr>
        <w:spacing w:after="0" w:line="154" w:lineRule="exact"/>
        <w:rPr>
          <w:sz w:val="20"/>
          <w:szCs w:val="20"/>
          <w:color w:val="auto"/>
        </w:rPr>
      </w:pPr>
    </w:p>
    <w:p>
      <w:pPr>
        <w:ind w:left="660" w:right="120"/>
        <w:spacing w:after="0" w:line="246" w:lineRule="auto"/>
        <w:rPr>
          <w:sz w:val="20"/>
          <w:szCs w:val="20"/>
          <w:color w:val="auto"/>
        </w:rPr>
      </w:pPr>
      <w:r>
        <w:rPr>
          <w:rFonts w:ascii="Arial" w:cs="Arial" w:eastAsia="Arial" w:hAnsi="Arial"/>
          <w:sz w:val="18"/>
          <w:szCs w:val="18"/>
          <w:color w:val="auto"/>
        </w:rPr>
        <w:t>The business address of the B. Riley Parties is 11100 Santa Monica Blvd., Suite 800, Los Angeles, California 90025. The business address of the 272 Capital Parties is 3811 Turtle Creek Blvd., Suite 2125, Dallas, Texas 75219.</w:t>
      </w:r>
    </w:p>
    <w:p>
      <w:pPr>
        <w:spacing w:after="0" w:line="143" w:lineRule="exact"/>
        <w:rPr>
          <w:sz w:val="20"/>
          <w:szCs w:val="20"/>
          <w:color w:val="auto"/>
        </w:rPr>
      </w:pPr>
    </w:p>
    <w:p>
      <w:pPr>
        <w:ind w:left="660" w:right="80" w:hanging="652"/>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a Schedule 13D filed with the SEC on February 3, 2021 by Cannell Capital LLC and J. Carlo Cannell. Cannell Capital LLC acts as the investment adviser to Tonga Partners, L.P., Tristan Partners, L.P. and Tristan Offshore Fund, Ltd. (the “Funds”) and as investment advisor to various separately-managed accounts (collectively with the Funds, the “Investment Vehicles”). Mr. Cannell is the sole managing member of Cannell Capital LLC and investment adviser to the Investment Vehicles. As such, Cannell Capital LLC and Mr. Cannell may be deemed to beneficially own the 3,147,164 shares of common stock held directly by the Investment Vehicles and have sole voting and dispositive power over such shares. The business address of the reporting persons is 245 Meriwether Circle, Alta, Wyoming 83414.</w:t>
      </w:r>
    </w:p>
    <w:p>
      <w:pPr>
        <w:spacing w:after="0" w:line="150" w:lineRule="exact"/>
        <w:rPr>
          <w:rFonts w:ascii="Arial" w:cs="Arial" w:eastAsia="Arial" w:hAnsi="Arial"/>
          <w:sz w:val="17"/>
          <w:szCs w:val="17"/>
          <w:color w:val="auto"/>
        </w:rPr>
      </w:pPr>
    </w:p>
    <w:p>
      <w:pPr>
        <w:ind w:left="660" w:right="220" w:hanging="652"/>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a Schedule 13G filed with the SEC on January 28, 2020 by Savitr Capital LLC (“Savitr”), Savitr holds shared voting and dispositive power over 2,770,535 shares of common stock. The business address of Savitr is 600 Montgomery Street, 47th Floor, San Francisco, California 94111.</w:t>
      </w:r>
    </w:p>
    <w:p>
      <w:pPr>
        <w:spacing w:after="0" w:line="147" w:lineRule="exact"/>
        <w:rPr>
          <w:rFonts w:ascii="Arial" w:cs="Arial" w:eastAsia="Arial" w:hAnsi="Arial"/>
          <w:sz w:val="18"/>
          <w:szCs w:val="18"/>
          <w:color w:val="auto"/>
        </w:rPr>
      </w:pPr>
    </w:p>
    <w:p>
      <w:pPr>
        <w:ind w:left="660" w:hanging="652"/>
        <w:spacing w:after="0" w:line="23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a Schedule 13G filed with the SEC on February 4, 2021 by Philotimo Fund, LP (“Philotimo”), Kanen Wealth Management, LLC (“KWM”), and David L. Kanen, reporting holdings as of January 22, 2021. KWM is the general partner of Philotimo. Mr. Kanen is the managing member of KWM. By virtue of these relationships, KWM may be deemed to beneficially own the shares of common stock owned by Philotimo, and Mr. Kanen may be deemed to beneficially own the shares of common stock owned by each of Philotimo and KWM. Philotimo reported beneficial ownership of, and shared voting and dispositive power over, 1,524,524 shares. KWM reported beneficial ownership of, and shared voting and dispositive power over, 2,512,155 shares. Mr. Kanen reported beneficial ownership of 2,597,857 shares, including 85,702 shares over which he has sole voting and dispositive power and 2,512,155 shares over which he has shared voting and dispositive power. The business address of the reporting persons is 5850 Coral Ridge Drive, Suite 309, Coral Springs, Florida 33076.</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9" w:name="page30"/>
    <w:bookmarkEnd w:id="2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6"/>
          </w:tcPr>
          <w:p>
            <w:pPr>
              <w:spacing w:after="0"/>
              <w:rPr>
                <w:sz w:val="20"/>
                <w:szCs w:val="20"/>
                <w:color w:val="auto"/>
              </w:rPr>
            </w:pPr>
            <w:r>
              <w:rPr>
                <w:rFonts w:ascii="Arial" w:cs="Arial" w:eastAsia="Arial" w:hAnsi="Arial"/>
                <w:sz w:val="18"/>
                <w:szCs w:val="18"/>
                <w:color w:val="auto"/>
              </w:rPr>
              <w:t>Exhibit No.</w:t>
            </w:r>
          </w:p>
        </w:tc>
        <w:tc>
          <w:tcPr>
            <w:tcW w:w="10020" w:type="dxa"/>
            <w:vAlign w:val="bottom"/>
            <w:gridSpan w:val="17"/>
          </w:tcPr>
          <w:p>
            <w:pPr>
              <w:spacing w:after="0"/>
              <w:rPr>
                <w:sz w:val="20"/>
                <w:szCs w:val="20"/>
                <w:color w:val="auto"/>
              </w:rPr>
            </w:pPr>
            <w:r>
              <w:rPr>
                <w:rFonts w:ascii="Arial" w:cs="Arial" w:eastAsia="Arial" w:hAnsi="Arial"/>
                <w:sz w:val="18"/>
                <w:szCs w:val="18"/>
                <w:color w:val="auto"/>
              </w:rPr>
              <w:t>Description</w:t>
            </w:r>
          </w:p>
        </w:tc>
      </w:tr>
      <w:tr>
        <w:trPr>
          <w:trHeight w:val="27"/>
        </w:trPr>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62"/>
        </w:trPr>
        <w:tc>
          <w:tcPr>
            <w:tcW w:w="420" w:type="dxa"/>
            <w:vAlign w:val="bottom"/>
            <w:gridSpan w:val="2"/>
            <w:shd w:val="clear" w:color="auto" w:fill="CCEEFF"/>
          </w:tcPr>
          <w:p>
            <w:pPr>
              <w:spacing w:after="0" w:line="162" w:lineRule="exact"/>
              <w:rPr>
                <w:rFonts w:ascii="Arial" w:cs="Arial" w:eastAsia="Arial" w:hAnsi="Arial"/>
                <w:sz w:val="18"/>
                <w:szCs w:val="18"/>
                <w:color w:val="0563C1"/>
              </w:rPr>
            </w:pPr>
            <w:hyperlink r:id="rId43">
              <w:r>
                <w:rPr>
                  <w:rFonts w:ascii="Arial" w:cs="Arial" w:eastAsia="Arial" w:hAnsi="Arial"/>
                  <w:sz w:val="18"/>
                  <w:szCs w:val="18"/>
                  <w:color w:val="0563C1"/>
                </w:rPr>
                <w:t>3.</w:t>
              </w:r>
              <w:r>
                <w:rPr>
                  <w:rFonts w:ascii="Arial" w:cs="Arial" w:eastAsia="Arial" w:hAnsi="Arial"/>
                  <w:sz w:val="18"/>
                  <w:szCs w:val="18"/>
                  <w:u w:val="single" w:color="auto"/>
                  <w:color w:val="0563C1"/>
                </w:rPr>
                <w:t>1</w:t>
              </w:r>
            </w:hyperlink>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7"/>
            <w:shd w:val="clear" w:color="auto" w:fill="CCEEFF"/>
          </w:tcPr>
          <w:p>
            <w:pPr>
              <w:spacing w:after="0" w:line="162" w:lineRule="exact"/>
              <w:rPr>
                <w:rFonts w:ascii="Arial" w:cs="Arial" w:eastAsia="Arial" w:hAnsi="Arial"/>
                <w:sz w:val="18"/>
                <w:szCs w:val="18"/>
                <w:color w:val="0563C1"/>
                <w:w w:val="92"/>
              </w:rPr>
            </w:pPr>
            <w:hyperlink r:id="rId43">
              <w:r>
                <w:rPr>
                  <w:rFonts w:ascii="Arial" w:cs="Arial" w:eastAsia="Arial" w:hAnsi="Arial"/>
                  <w:sz w:val="18"/>
                  <w:szCs w:val="18"/>
                  <w:color w:val="0563C1"/>
                  <w:w w:val="92"/>
                </w:rPr>
                <w:t>Certificate of Incorporation of Tile Shop Holdings, Inc. (incorporated by reference to Exhibit 3.1 to the Company’s Registration Statement</w:t>
              </w:r>
            </w:hyperlink>
          </w:p>
        </w:tc>
      </w:tr>
      <w:tr>
        <w:trPr>
          <w:trHeight w:val="169"/>
        </w:trPr>
        <w:tc>
          <w:tcPr>
            <w:tcW w:w="240" w:type="dxa"/>
            <w:vAlign w:val="bottom"/>
            <w:tcBorders>
              <w:top w:val="single" w:sz="8" w:color="0563C1"/>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020" w:type="dxa"/>
            <w:vAlign w:val="bottom"/>
            <w:tcBorders>
              <w:top w:val="single" w:sz="8" w:color="0563C1"/>
            </w:tcBorders>
            <w:gridSpan w:val="17"/>
            <w:shd w:val="clear" w:color="auto" w:fill="CCEEFF"/>
          </w:tcPr>
          <w:p>
            <w:pPr>
              <w:spacing w:after="0" w:line="169" w:lineRule="exact"/>
              <w:rPr>
                <w:rFonts w:ascii="Arial" w:cs="Arial" w:eastAsia="Arial" w:hAnsi="Arial"/>
                <w:sz w:val="18"/>
                <w:szCs w:val="18"/>
                <w:color w:val="0563C1"/>
              </w:rPr>
            </w:pPr>
            <w:hyperlink r:id="rId43">
              <w:r>
                <w:rPr>
                  <w:rFonts w:ascii="Arial" w:cs="Arial" w:eastAsia="Arial" w:hAnsi="Arial"/>
                  <w:sz w:val="18"/>
                  <w:szCs w:val="18"/>
                  <w:color w:val="0563C1"/>
                </w:rPr>
                <w:t>on Form S-4 (Reg. No. 333-182482) filed with the Securities and Exchange Commission on July 2, 2012).</w:t>
              </w:r>
            </w:hyperlink>
          </w:p>
        </w:tc>
      </w:tr>
      <w:tr>
        <w:trPr>
          <w:trHeight w:val="27"/>
        </w:trPr>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1420" w:type="dxa"/>
            <w:vAlign w:val="bottom"/>
            <w:shd w:val="clear" w:color="auto" w:fill="0563C1"/>
          </w:tcPr>
          <w:p>
            <w:pPr>
              <w:spacing w:after="0"/>
              <w:rPr>
                <w:sz w:val="2"/>
                <w:szCs w:val="2"/>
                <w:color w:val="auto"/>
              </w:rPr>
            </w:pPr>
          </w:p>
        </w:tc>
        <w:tc>
          <w:tcPr>
            <w:tcW w:w="4340" w:type="dxa"/>
            <w:vAlign w:val="bottom"/>
            <w:shd w:val="clear" w:color="auto" w:fill="0563C1"/>
          </w:tcPr>
          <w:p>
            <w:pPr>
              <w:spacing w:after="0"/>
              <w:rPr>
                <w:sz w:val="2"/>
                <w:szCs w:val="2"/>
                <w:color w:val="auto"/>
              </w:rPr>
            </w:pPr>
          </w:p>
        </w:tc>
        <w:tc>
          <w:tcPr>
            <w:tcW w:w="120" w:type="dxa"/>
            <w:vAlign w:val="bottom"/>
            <w:shd w:val="clear" w:color="auto" w:fill="0563C1"/>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120" w:type="dxa"/>
            <w:vAlign w:val="bottom"/>
            <w:tcBorders>
              <w:left w:val="single" w:sz="8" w:color="0563C1"/>
            </w:tcBorders>
            <w:shd w:val="clear" w:color="auto" w:fill="0563C1"/>
          </w:tcPr>
          <w:p>
            <w:pPr>
              <w:spacing w:after="0"/>
              <w:rPr>
                <w:sz w:val="2"/>
                <w:szCs w:val="2"/>
                <w:color w:val="auto"/>
              </w:rPr>
            </w:pPr>
          </w:p>
        </w:tc>
        <w:tc>
          <w:tcPr>
            <w:tcW w:w="360" w:type="dxa"/>
            <w:vAlign w:val="bottom"/>
            <w:shd w:val="clear" w:color="auto" w:fill="0563C1"/>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62"/>
        </w:trPr>
        <w:tc>
          <w:tcPr>
            <w:tcW w:w="420" w:type="dxa"/>
            <w:vAlign w:val="bottom"/>
            <w:gridSpan w:val="2"/>
          </w:tcPr>
          <w:p>
            <w:pPr>
              <w:spacing w:after="0" w:line="162" w:lineRule="exact"/>
              <w:rPr>
                <w:rFonts w:ascii="Arial" w:cs="Arial" w:eastAsia="Arial" w:hAnsi="Arial"/>
                <w:sz w:val="18"/>
                <w:szCs w:val="18"/>
                <w:color w:val="0563C1"/>
              </w:rPr>
            </w:pPr>
            <w:hyperlink r:id="rId44">
              <w:r>
                <w:rPr>
                  <w:rFonts w:ascii="Arial" w:cs="Arial" w:eastAsia="Arial" w:hAnsi="Arial"/>
                  <w:sz w:val="18"/>
                  <w:szCs w:val="18"/>
                  <w:color w:val="0563C1"/>
                </w:rPr>
                <w:t>3.</w:t>
              </w:r>
              <w:r>
                <w:rPr>
                  <w:rFonts w:ascii="Arial" w:cs="Arial" w:eastAsia="Arial" w:hAnsi="Arial"/>
                  <w:sz w:val="18"/>
                  <w:szCs w:val="18"/>
                  <w:u w:val="single" w:color="auto"/>
                  <w:color w:val="0563C1"/>
                </w:rPr>
                <w:t>2</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7"/>
          </w:tcPr>
          <w:p>
            <w:pPr>
              <w:spacing w:after="0" w:line="162" w:lineRule="exact"/>
              <w:rPr>
                <w:rFonts w:ascii="Arial" w:cs="Arial" w:eastAsia="Arial" w:hAnsi="Arial"/>
                <w:sz w:val="18"/>
                <w:szCs w:val="18"/>
                <w:color w:val="0563C1"/>
                <w:w w:val="94"/>
              </w:rPr>
            </w:pPr>
            <w:hyperlink r:id="rId44">
              <w:r>
                <w:rPr>
                  <w:rFonts w:ascii="Arial" w:cs="Arial" w:eastAsia="Arial" w:hAnsi="Arial"/>
                  <w:sz w:val="18"/>
                  <w:szCs w:val="18"/>
                  <w:color w:val="0563C1"/>
                  <w:w w:val="94"/>
                </w:rPr>
                <w:t>Certificate of Amendment to the Certificate of Incorporation of Tile Shop Holdings, Inc. (incorporated by reference to Exhibit 3.2 to the</w:t>
              </w:r>
            </w:hyperlink>
          </w:p>
        </w:tc>
      </w:tr>
      <w:tr>
        <w:trPr>
          <w:trHeight w:val="176"/>
        </w:trPr>
        <w:tc>
          <w:tcPr>
            <w:tcW w:w="240" w:type="dxa"/>
            <w:vAlign w:val="bottom"/>
            <w:tcBorders>
              <w:top w:val="single" w:sz="8" w:color="0563C1"/>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60" w:type="dxa"/>
            <w:vAlign w:val="bottom"/>
            <w:tcBorders>
              <w:top w:val="single" w:sz="8" w:color="0563C1"/>
              <w:bottom w:val="single" w:sz="8" w:color="0563C1"/>
            </w:tcBorders>
            <w:gridSpan w:val="9"/>
          </w:tcPr>
          <w:p>
            <w:pPr>
              <w:spacing w:after="0" w:line="169" w:lineRule="exact"/>
              <w:rPr>
                <w:rFonts w:ascii="Arial" w:cs="Arial" w:eastAsia="Arial" w:hAnsi="Arial"/>
                <w:sz w:val="18"/>
                <w:szCs w:val="18"/>
                <w:color w:val="0563C1"/>
                <w:w w:val="91"/>
              </w:rPr>
            </w:pPr>
            <w:hyperlink r:id="rId44">
              <w:r>
                <w:rPr>
                  <w:rFonts w:ascii="Arial" w:cs="Arial" w:eastAsia="Arial" w:hAnsi="Arial"/>
                  <w:sz w:val="18"/>
                  <w:szCs w:val="18"/>
                  <w:color w:val="0563C1"/>
                  <w:w w:val="91"/>
                </w:rPr>
                <w:t>Company’s Current Report on Form 8-K filed with the Securities and Exchange Commission on July 21, 2021).</w:t>
              </w:r>
            </w:hyperlink>
          </w:p>
        </w:tc>
        <w:tc>
          <w:tcPr>
            <w:tcW w:w="1800" w:type="dxa"/>
            <w:vAlign w:val="bottom"/>
            <w:tcBorders>
              <w:top w:val="single" w:sz="8" w:color="0563C1"/>
            </w:tcBorders>
            <w:gridSpan w:val="6"/>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420" w:type="dxa"/>
            <w:vAlign w:val="bottom"/>
            <w:gridSpan w:val="2"/>
            <w:shd w:val="clear" w:color="auto" w:fill="CCEEFF"/>
          </w:tcPr>
          <w:p>
            <w:pPr>
              <w:spacing w:after="0" w:line="162" w:lineRule="exact"/>
              <w:rPr>
                <w:rFonts w:ascii="Arial" w:cs="Arial" w:eastAsia="Arial" w:hAnsi="Arial"/>
                <w:sz w:val="18"/>
                <w:szCs w:val="18"/>
                <w:color w:val="0563C1"/>
              </w:rPr>
            </w:pPr>
            <w:hyperlink r:id="rId45">
              <w:r>
                <w:rPr>
                  <w:rFonts w:ascii="Arial" w:cs="Arial" w:eastAsia="Arial" w:hAnsi="Arial"/>
                  <w:sz w:val="18"/>
                  <w:szCs w:val="18"/>
                  <w:color w:val="0563C1"/>
                </w:rPr>
                <w:t>3.</w:t>
              </w:r>
              <w:r>
                <w:rPr>
                  <w:rFonts w:ascii="Arial" w:cs="Arial" w:eastAsia="Arial" w:hAnsi="Arial"/>
                  <w:sz w:val="18"/>
                  <w:szCs w:val="18"/>
                  <w:u w:val="single" w:color="auto"/>
                  <w:color w:val="0563C1"/>
                </w:rPr>
                <w:t>3</w:t>
              </w:r>
            </w:hyperlink>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7"/>
            <w:shd w:val="clear" w:color="auto" w:fill="CCEEFF"/>
          </w:tcPr>
          <w:p>
            <w:pPr>
              <w:spacing w:after="0" w:line="162" w:lineRule="exact"/>
              <w:rPr>
                <w:rFonts w:ascii="Arial" w:cs="Arial" w:eastAsia="Arial" w:hAnsi="Arial"/>
                <w:sz w:val="18"/>
                <w:szCs w:val="18"/>
                <w:color w:val="0563C1"/>
                <w:w w:val="95"/>
              </w:rPr>
            </w:pPr>
            <w:hyperlink r:id="rId45">
              <w:r>
                <w:rPr>
                  <w:rFonts w:ascii="Arial" w:cs="Arial" w:eastAsia="Arial" w:hAnsi="Arial"/>
                  <w:sz w:val="18"/>
                  <w:szCs w:val="18"/>
                  <w:color w:val="0563C1"/>
                  <w:w w:val="95"/>
                </w:rPr>
                <w:t>By-Laws of Tile Shop Holdings, Inc. (incorporated by reference to Exhibit 3.2 to the Company’s Registration Statement on Form S-4</w:t>
              </w:r>
            </w:hyperlink>
          </w:p>
        </w:tc>
      </w:tr>
      <w:tr>
        <w:trPr>
          <w:trHeight w:val="176"/>
        </w:trPr>
        <w:tc>
          <w:tcPr>
            <w:tcW w:w="240" w:type="dxa"/>
            <w:vAlign w:val="bottom"/>
            <w:tcBorders>
              <w:top w:val="single" w:sz="8" w:color="0563C1"/>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6720" w:type="dxa"/>
            <w:vAlign w:val="bottom"/>
            <w:tcBorders>
              <w:top w:val="single" w:sz="8" w:color="0563C1"/>
              <w:bottom w:val="single" w:sz="8" w:color="0563C1"/>
            </w:tcBorders>
            <w:gridSpan w:val="5"/>
            <w:shd w:val="clear" w:color="auto" w:fill="CCEEFF"/>
          </w:tcPr>
          <w:p>
            <w:pPr>
              <w:spacing w:after="0" w:line="169" w:lineRule="exact"/>
              <w:rPr>
                <w:rFonts w:ascii="Arial" w:cs="Arial" w:eastAsia="Arial" w:hAnsi="Arial"/>
                <w:sz w:val="18"/>
                <w:szCs w:val="18"/>
                <w:color w:val="0563C1"/>
                <w:w w:val="91"/>
              </w:rPr>
            </w:pPr>
            <w:hyperlink r:id="rId45">
              <w:r>
                <w:rPr>
                  <w:rFonts w:ascii="Arial" w:cs="Arial" w:eastAsia="Arial" w:hAnsi="Arial"/>
                  <w:sz w:val="18"/>
                  <w:szCs w:val="18"/>
                  <w:color w:val="0563C1"/>
                  <w:w w:val="91"/>
                </w:rPr>
                <w:t>(Reg. No. 333-182482) filed with the Securities and Exchange Commission on July 2, 2012).</w:t>
              </w:r>
            </w:hyperlink>
          </w:p>
        </w:tc>
        <w:tc>
          <w:tcPr>
            <w:tcW w:w="2940" w:type="dxa"/>
            <w:vAlign w:val="bottom"/>
            <w:tcBorders>
              <w:top w:val="single" w:sz="8" w:color="0563C1"/>
              <w:bottom w:val="single" w:sz="8" w:color="CCEEFF"/>
            </w:tcBorders>
            <w:gridSpan w:val="8"/>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62"/>
        </w:trPr>
        <w:tc>
          <w:tcPr>
            <w:tcW w:w="500" w:type="dxa"/>
            <w:vAlign w:val="bottom"/>
            <w:gridSpan w:val="3"/>
          </w:tcPr>
          <w:p>
            <w:pPr>
              <w:spacing w:after="0" w:line="162" w:lineRule="exact"/>
              <w:rPr>
                <w:rFonts w:ascii="Arial" w:cs="Arial" w:eastAsia="Arial" w:hAnsi="Arial"/>
                <w:sz w:val="18"/>
                <w:szCs w:val="18"/>
                <w:color w:val="0563C1"/>
              </w:rPr>
            </w:pPr>
            <w:hyperlink r:id="rId46">
              <w:r>
                <w:rPr>
                  <w:rFonts w:ascii="Arial" w:cs="Arial" w:eastAsia="Arial" w:hAnsi="Arial"/>
                  <w:sz w:val="18"/>
                  <w:szCs w:val="18"/>
                  <w:color w:val="0563C1"/>
                </w:rPr>
                <w:t>10.</w:t>
              </w:r>
              <w:r>
                <w:rPr>
                  <w:rFonts w:ascii="Arial" w:cs="Arial" w:eastAsia="Arial" w:hAnsi="Arial"/>
                  <w:sz w:val="18"/>
                  <w:szCs w:val="18"/>
                  <w:u w:val="single" w:color="auto"/>
                  <w:color w:val="0563C1"/>
                </w:rPr>
                <w:t>1*</w:t>
              </w:r>
            </w:hyperlink>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7"/>
          </w:tcPr>
          <w:p>
            <w:pPr>
              <w:spacing w:after="0" w:line="162" w:lineRule="exact"/>
              <w:rPr>
                <w:rFonts w:ascii="Arial" w:cs="Arial" w:eastAsia="Arial" w:hAnsi="Arial"/>
                <w:sz w:val="18"/>
                <w:szCs w:val="18"/>
                <w:color w:val="0563C1"/>
                <w:w w:val="93"/>
              </w:rPr>
            </w:pPr>
            <w:hyperlink r:id="rId46">
              <w:r>
                <w:rPr>
                  <w:rFonts w:ascii="Arial" w:cs="Arial" w:eastAsia="Arial" w:hAnsi="Arial"/>
                  <w:sz w:val="18"/>
                  <w:szCs w:val="18"/>
                  <w:color w:val="0563C1"/>
                  <w:w w:val="93"/>
                </w:rPr>
                <w:t>Tile Shop Holdings, Inc. 2021 Omnibus Equity Compensation Plan (incorporated by reference to Exhibit 10.1 to the Company’s Current</w:t>
              </w:r>
            </w:hyperlink>
          </w:p>
        </w:tc>
      </w:tr>
      <w:tr>
        <w:trPr>
          <w:trHeight w:val="176"/>
        </w:trPr>
        <w:tc>
          <w:tcPr>
            <w:tcW w:w="240" w:type="dxa"/>
            <w:vAlign w:val="bottom"/>
            <w:tcBorders>
              <w:top w:val="single" w:sz="8" w:color="0563C1"/>
            </w:tcBorders>
          </w:tcPr>
          <w:p>
            <w:pPr>
              <w:spacing w:after="0"/>
              <w:rPr>
                <w:sz w:val="15"/>
                <w:szCs w:val="15"/>
                <w:color w:val="auto"/>
              </w:rPr>
            </w:pPr>
          </w:p>
        </w:tc>
        <w:tc>
          <w:tcPr>
            <w:tcW w:w="180" w:type="dxa"/>
            <w:vAlign w:val="bottom"/>
            <w:tcBorders>
              <w:top w:val="single" w:sz="8" w:color="0563C1"/>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0" w:type="dxa"/>
            <w:vAlign w:val="bottom"/>
            <w:tcBorders>
              <w:top w:val="single" w:sz="8" w:color="0563C1"/>
              <w:bottom w:val="single" w:sz="8" w:color="0563C1"/>
            </w:tcBorders>
            <w:gridSpan w:val="4"/>
          </w:tcPr>
          <w:p>
            <w:pPr>
              <w:spacing w:after="0" w:line="169" w:lineRule="exact"/>
              <w:rPr>
                <w:rFonts w:ascii="Arial" w:cs="Arial" w:eastAsia="Arial" w:hAnsi="Arial"/>
                <w:sz w:val="18"/>
                <w:szCs w:val="18"/>
                <w:color w:val="0563C1"/>
                <w:w w:val="91"/>
              </w:rPr>
            </w:pPr>
            <w:hyperlink r:id="rId46">
              <w:r>
                <w:rPr>
                  <w:rFonts w:ascii="Arial" w:cs="Arial" w:eastAsia="Arial" w:hAnsi="Arial"/>
                  <w:sz w:val="18"/>
                  <w:szCs w:val="18"/>
                  <w:color w:val="0563C1"/>
                  <w:w w:val="91"/>
                </w:rPr>
                <w:t>Report on Form 8-K filed with the Securities and Exchange Commission on July 21, 2021).</w:t>
              </w:r>
            </w:hyperlink>
          </w:p>
        </w:tc>
        <w:tc>
          <w:tcPr>
            <w:tcW w:w="3280" w:type="dxa"/>
            <w:vAlign w:val="bottom"/>
            <w:tcBorders>
              <w:top w:val="single" w:sz="8" w:color="0563C1"/>
            </w:tcBorders>
            <w:gridSpan w:val="12"/>
          </w:tcPr>
          <w:p>
            <w:pPr>
              <w:spacing w:after="0"/>
              <w:rPr>
                <w:sz w:val="15"/>
                <w:szCs w:val="15"/>
                <w:color w:val="auto"/>
              </w:rPr>
            </w:pPr>
          </w:p>
        </w:tc>
        <w:tc>
          <w:tcPr>
            <w:tcW w:w="140" w:type="dxa"/>
            <w:vAlign w:val="bottom"/>
          </w:tcPr>
          <w:p>
            <w:pPr>
              <w:spacing w:after="0"/>
              <w:rPr>
                <w:sz w:val="15"/>
                <w:szCs w:val="15"/>
                <w:color w:val="auto"/>
              </w:rPr>
            </w:pPr>
          </w:p>
        </w:tc>
      </w:tr>
      <w:tr>
        <w:trPr>
          <w:trHeight w:val="162"/>
        </w:trPr>
        <w:tc>
          <w:tcPr>
            <w:tcW w:w="420" w:type="dxa"/>
            <w:vAlign w:val="bottom"/>
            <w:tcBorders>
              <w:bottom w:val="single" w:sz="8" w:color="0563C1"/>
            </w:tcBorders>
            <w:gridSpan w:val="2"/>
            <w:shd w:val="clear" w:color="auto" w:fill="CCEEFF"/>
          </w:tcPr>
          <w:p>
            <w:pPr>
              <w:spacing w:after="0" w:line="162" w:lineRule="exact"/>
              <w:rPr>
                <w:rFonts w:ascii="Arial" w:cs="Arial" w:eastAsia="Arial" w:hAnsi="Arial"/>
                <w:sz w:val="18"/>
                <w:szCs w:val="18"/>
                <w:color w:val="0563C1"/>
                <w:w w:val="95"/>
              </w:rPr>
            </w:pPr>
            <w:hyperlink r:id="rId47">
              <w:r>
                <w:rPr>
                  <w:rFonts w:ascii="Arial" w:cs="Arial" w:eastAsia="Arial" w:hAnsi="Arial"/>
                  <w:sz w:val="18"/>
                  <w:szCs w:val="18"/>
                  <w:color w:val="0563C1"/>
                  <w:w w:val="95"/>
                </w:rPr>
                <w:t>10.</w:t>
              </w:r>
              <w:r>
                <w:rPr>
                  <w:rFonts w:ascii="Arial" w:cs="Arial" w:eastAsia="Arial" w:hAnsi="Arial"/>
                  <w:sz w:val="18"/>
                  <w:szCs w:val="18"/>
                  <w:u w:val="single" w:color="auto"/>
                  <w:color w:val="0563C1"/>
                  <w:w w:val="95"/>
                </w:rPr>
                <w:t>2*</w:t>
              </w:r>
            </w:hyperlink>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9080" w:type="dxa"/>
            <w:vAlign w:val="bottom"/>
            <w:tcBorders>
              <w:bottom w:val="single" w:sz="8" w:color="0563C1"/>
            </w:tcBorders>
            <w:gridSpan w:val="10"/>
            <w:shd w:val="clear" w:color="auto" w:fill="CCEEFF"/>
          </w:tcPr>
          <w:p>
            <w:pPr>
              <w:spacing w:after="0" w:line="162" w:lineRule="exact"/>
              <w:rPr>
                <w:rFonts w:ascii="Arial" w:cs="Arial" w:eastAsia="Arial" w:hAnsi="Arial"/>
                <w:sz w:val="18"/>
                <w:szCs w:val="18"/>
                <w:color w:val="0563C1"/>
                <w:w w:val="92"/>
              </w:rPr>
            </w:pPr>
            <w:hyperlink r:id="rId47">
              <w:r>
                <w:rPr>
                  <w:rFonts w:ascii="Arial" w:cs="Arial" w:eastAsia="Arial" w:hAnsi="Arial"/>
                  <w:sz w:val="18"/>
                  <w:szCs w:val="18"/>
                  <w:color w:val="0563C1"/>
                  <w:w w:val="92"/>
                </w:rPr>
                <w:t>Form of Nonqualified Stock Option Agreement under the Tile Shop Holdings, Inc. 2021 Omnibus Equity Compensation Plan</w:t>
              </w:r>
            </w:hyperlink>
          </w:p>
        </w:tc>
        <w:tc>
          <w:tcPr>
            <w:tcW w:w="940" w:type="dxa"/>
            <w:vAlign w:val="bottom"/>
            <w:tcBorders>
              <w:bottom w:val="single" w:sz="8" w:color="CCEEFF"/>
            </w:tcBorders>
            <w:gridSpan w:val="7"/>
            <w:shd w:val="clear" w:color="auto" w:fill="CCEEFF"/>
          </w:tcPr>
          <w:p>
            <w:pPr>
              <w:spacing w:after="0"/>
              <w:rPr>
                <w:sz w:val="14"/>
                <w:szCs w:val="14"/>
                <w:color w:val="auto"/>
              </w:rPr>
            </w:pPr>
          </w:p>
        </w:tc>
      </w:tr>
      <w:tr>
        <w:trPr>
          <w:trHeight w:val="169"/>
        </w:trPr>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7"/>
            <w:shd w:val="clear" w:color="auto" w:fill="CCEEFF"/>
          </w:tcPr>
          <w:p>
            <w:pPr>
              <w:spacing w:after="0" w:line="169" w:lineRule="exact"/>
              <w:rPr>
                <w:rFonts w:ascii="Arial" w:cs="Arial" w:eastAsia="Arial" w:hAnsi="Arial"/>
                <w:sz w:val="18"/>
                <w:szCs w:val="18"/>
                <w:color w:val="0563C1"/>
                <w:w w:val="98"/>
              </w:rPr>
            </w:pPr>
            <w:hyperlink r:id="rId47">
              <w:r>
                <w:rPr>
                  <w:rFonts w:ascii="Arial" w:cs="Arial" w:eastAsia="Arial" w:hAnsi="Arial"/>
                  <w:sz w:val="18"/>
                  <w:szCs w:val="18"/>
                  <w:color w:val="0563C1"/>
                  <w:w w:val="98"/>
                </w:rPr>
                <w:t>(incorporated by reference to Exhibit 10.2 to the Company’s Current Report on Form 8-K filed with the Securities and Exchange</w:t>
              </w:r>
            </w:hyperlink>
          </w:p>
        </w:tc>
      </w:tr>
      <w:tr>
        <w:trPr>
          <w:trHeight w:val="169"/>
        </w:trPr>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9320" w:type="dxa"/>
            <w:vAlign w:val="bottom"/>
            <w:tcBorders>
              <w:top w:val="single" w:sz="8" w:color="0563C1"/>
            </w:tcBorders>
            <w:gridSpan w:val="11"/>
            <w:shd w:val="clear" w:color="auto" w:fill="CCEEFF"/>
          </w:tcPr>
          <w:p>
            <w:pPr>
              <w:spacing w:after="0" w:line="169" w:lineRule="exact"/>
              <w:rPr>
                <w:rFonts w:ascii="Arial" w:cs="Arial" w:eastAsia="Arial" w:hAnsi="Arial"/>
                <w:sz w:val="18"/>
                <w:szCs w:val="18"/>
                <w:color w:val="0563C1"/>
              </w:rPr>
            </w:pPr>
            <w:hyperlink r:id="rId47">
              <w:r>
                <w:rPr>
                  <w:rFonts w:ascii="Arial" w:cs="Arial" w:eastAsia="Arial" w:hAnsi="Arial"/>
                  <w:sz w:val="18"/>
                  <w:szCs w:val="18"/>
                  <w:color w:val="0563C1"/>
                </w:rPr>
                <w:t>Commission on July 21, 2021).</w:t>
              </w:r>
            </w:hyperlink>
          </w:p>
        </w:tc>
        <w:tc>
          <w:tcPr>
            <w:tcW w:w="3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r>
      <w:tr>
        <w:trPr>
          <w:trHeight w:val="27"/>
        </w:trPr>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1420" w:type="dxa"/>
            <w:vAlign w:val="bottom"/>
            <w:shd w:val="clear" w:color="auto" w:fill="0563C1"/>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62"/>
        </w:trPr>
        <w:tc>
          <w:tcPr>
            <w:tcW w:w="500" w:type="dxa"/>
            <w:vAlign w:val="bottom"/>
            <w:gridSpan w:val="3"/>
          </w:tcPr>
          <w:p>
            <w:pPr>
              <w:spacing w:after="0" w:line="162" w:lineRule="exact"/>
              <w:rPr>
                <w:rFonts w:ascii="Arial" w:cs="Arial" w:eastAsia="Arial" w:hAnsi="Arial"/>
                <w:sz w:val="18"/>
                <w:szCs w:val="18"/>
                <w:color w:val="0563C1"/>
              </w:rPr>
            </w:pPr>
            <w:hyperlink r:id="rId48">
              <w:r>
                <w:rPr>
                  <w:rFonts w:ascii="Arial" w:cs="Arial" w:eastAsia="Arial" w:hAnsi="Arial"/>
                  <w:sz w:val="18"/>
                  <w:szCs w:val="18"/>
                  <w:color w:val="0563C1"/>
                </w:rPr>
                <w:t>10.</w:t>
              </w:r>
              <w:r>
                <w:rPr>
                  <w:rFonts w:ascii="Arial" w:cs="Arial" w:eastAsia="Arial" w:hAnsi="Arial"/>
                  <w:sz w:val="18"/>
                  <w:szCs w:val="18"/>
                  <w:u w:val="single" w:color="auto"/>
                  <w:color w:val="0563C1"/>
                </w:rPr>
                <w:t>3*</w:t>
              </w:r>
            </w:hyperlink>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7"/>
          </w:tcPr>
          <w:p>
            <w:pPr>
              <w:spacing w:after="0" w:line="162" w:lineRule="exact"/>
              <w:rPr>
                <w:rFonts w:ascii="Arial" w:cs="Arial" w:eastAsia="Arial" w:hAnsi="Arial"/>
                <w:sz w:val="18"/>
                <w:szCs w:val="18"/>
                <w:color w:val="0563C1"/>
                <w:w w:val="91"/>
              </w:rPr>
            </w:pPr>
            <w:hyperlink r:id="rId48">
              <w:r>
                <w:rPr>
                  <w:rFonts w:ascii="Arial" w:cs="Arial" w:eastAsia="Arial" w:hAnsi="Arial"/>
                  <w:sz w:val="18"/>
                  <w:szCs w:val="18"/>
                  <w:color w:val="0563C1"/>
                  <w:w w:val="91"/>
                </w:rPr>
                <w:t>Form of Incentive Stock Option Agreement under the Tile Shop Holdings, Inc. 2021 Omnibus Equity Compensation Plan (incorporated by</w:t>
              </w:r>
            </w:hyperlink>
          </w:p>
        </w:tc>
      </w:tr>
      <w:tr>
        <w:trPr>
          <w:trHeight w:val="169"/>
        </w:trPr>
        <w:tc>
          <w:tcPr>
            <w:tcW w:w="240" w:type="dxa"/>
            <w:vAlign w:val="bottom"/>
            <w:tcBorders>
              <w:top w:val="single" w:sz="8" w:color="0563C1"/>
            </w:tcBorders>
          </w:tcPr>
          <w:p>
            <w:pPr>
              <w:spacing w:after="0"/>
              <w:rPr>
                <w:sz w:val="14"/>
                <w:szCs w:val="14"/>
                <w:color w:val="auto"/>
              </w:rPr>
            </w:pPr>
          </w:p>
        </w:tc>
        <w:tc>
          <w:tcPr>
            <w:tcW w:w="180" w:type="dxa"/>
            <w:vAlign w:val="bottom"/>
            <w:tcBorders>
              <w:top w:val="single" w:sz="8" w:color="0563C1"/>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tcBorders>
              <w:top w:val="single" w:sz="8" w:color="0563C1"/>
            </w:tcBorders>
            <w:gridSpan w:val="17"/>
          </w:tcPr>
          <w:p>
            <w:pPr>
              <w:spacing w:after="0" w:line="169" w:lineRule="exact"/>
              <w:rPr>
                <w:rFonts w:ascii="Arial" w:cs="Arial" w:eastAsia="Arial" w:hAnsi="Arial"/>
                <w:sz w:val="18"/>
                <w:szCs w:val="18"/>
                <w:color w:val="0563C1"/>
                <w:w w:val="93"/>
              </w:rPr>
            </w:pPr>
            <w:hyperlink r:id="rId48">
              <w:r>
                <w:rPr>
                  <w:rFonts w:ascii="Arial" w:cs="Arial" w:eastAsia="Arial" w:hAnsi="Arial"/>
                  <w:sz w:val="18"/>
                  <w:szCs w:val="18"/>
                  <w:color w:val="0563C1"/>
                  <w:w w:val="93"/>
                </w:rPr>
                <w:t>reference to Exhibit 10.3 to the Company’s Current Report on Form 8-K filed with the Securities and Exchange Commission on July 21,</w:t>
              </w:r>
            </w:hyperlink>
          </w:p>
        </w:tc>
      </w:tr>
      <w:tr>
        <w:trPr>
          <w:trHeight w:val="169"/>
        </w:trPr>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Borders>
              <w:top w:val="single" w:sz="8" w:color="0563C1"/>
            </w:tcBorders>
            <w:gridSpan w:val="2"/>
          </w:tcPr>
          <w:p>
            <w:pPr>
              <w:spacing w:after="0" w:line="169" w:lineRule="exact"/>
              <w:rPr>
                <w:rFonts w:ascii="Arial" w:cs="Arial" w:eastAsia="Arial" w:hAnsi="Arial"/>
                <w:sz w:val="18"/>
                <w:szCs w:val="18"/>
                <w:color w:val="0563C1"/>
              </w:rPr>
            </w:pPr>
            <w:hyperlink r:id="rId48">
              <w:r>
                <w:rPr>
                  <w:rFonts w:ascii="Arial" w:cs="Arial" w:eastAsia="Arial" w:hAnsi="Arial"/>
                  <w:sz w:val="18"/>
                  <w:szCs w:val="18"/>
                  <w:color w:val="0563C1"/>
                </w:rPr>
                <w:t>2021).</w:t>
              </w:r>
            </w:hyperlink>
          </w:p>
        </w:tc>
        <w:tc>
          <w:tcPr>
            <w:tcW w:w="1420" w:type="dxa"/>
            <w:vAlign w:val="bottom"/>
            <w:tcBorders>
              <w:top w:val="single" w:sz="8" w:color="0563C1"/>
            </w:tcBorders>
          </w:tcPr>
          <w:p>
            <w:pPr>
              <w:spacing w:after="0"/>
              <w:rPr>
                <w:sz w:val="14"/>
                <w:szCs w:val="14"/>
                <w:color w:val="auto"/>
              </w:rPr>
            </w:pPr>
          </w:p>
        </w:tc>
        <w:tc>
          <w:tcPr>
            <w:tcW w:w="4340" w:type="dxa"/>
            <w:vAlign w:val="bottom"/>
            <w:tcBorders>
              <w:top w:val="single" w:sz="8" w:color="0563C1"/>
            </w:tcBorders>
          </w:tcPr>
          <w:p>
            <w:pPr>
              <w:spacing w:after="0"/>
              <w:rPr>
                <w:sz w:val="14"/>
                <w:szCs w:val="14"/>
                <w:color w:val="auto"/>
              </w:rPr>
            </w:pPr>
          </w:p>
        </w:tc>
        <w:tc>
          <w:tcPr>
            <w:tcW w:w="120" w:type="dxa"/>
            <w:vAlign w:val="bottom"/>
            <w:tcBorders>
              <w:top w:val="single" w:sz="8" w:color="0563C1"/>
            </w:tcBorders>
          </w:tcPr>
          <w:p>
            <w:pPr>
              <w:spacing w:after="0"/>
              <w:rPr>
                <w:sz w:val="14"/>
                <w:szCs w:val="14"/>
                <w:color w:val="auto"/>
              </w:rPr>
            </w:pPr>
          </w:p>
        </w:tc>
        <w:tc>
          <w:tcPr>
            <w:tcW w:w="460" w:type="dxa"/>
            <w:vAlign w:val="bottom"/>
            <w:tcBorders>
              <w:top w:val="single" w:sz="8" w:color="0563C1"/>
            </w:tcBorders>
          </w:tcPr>
          <w:p>
            <w:pPr>
              <w:spacing w:after="0"/>
              <w:rPr>
                <w:sz w:val="14"/>
                <w:szCs w:val="14"/>
                <w:color w:val="auto"/>
              </w:rPr>
            </w:pPr>
          </w:p>
        </w:tc>
        <w:tc>
          <w:tcPr>
            <w:tcW w:w="120" w:type="dxa"/>
            <w:vAlign w:val="bottom"/>
            <w:tcBorders>
              <w:top w:val="single" w:sz="8" w:color="0563C1"/>
            </w:tcBorders>
          </w:tcPr>
          <w:p>
            <w:pPr>
              <w:spacing w:after="0"/>
              <w:rPr>
                <w:sz w:val="14"/>
                <w:szCs w:val="14"/>
                <w:color w:val="auto"/>
              </w:rPr>
            </w:pPr>
          </w:p>
        </w:tc>
        <w:tc>
          <w:tcPr>
            <w:tcW w:w="360" w:type="dxa"/>
            <w:vAlign w:val="bottom"/>
            <w:tcBorders>
              <w:top w:val="single" w:sz="8" w:color="0563C1"/>
            </w:tcBorders>
          </w:tcPr>
          <w:p>
            <w:pPr>
              <w:spacing w:after="0"/>
              <w:rPr>
                <w:sz w:val="14"/>
                <w:szCs w:val="14"/>
                <w:color w:val="auto"/>
              </w:rPr>
            </w:pPr>
          </w:p>
        </w:tc>
        <w:tc>
          <w:tcPr>
            <w:tcW w:w="400" w:type="dxa"/>
            <w:vAlign w:val="bottom"/>
            <w:tcBorders>
              <w:top w:val="single" w:sz="8" w:color="0563C1"/>
            </w:tcBorders>
          </w:tcPr>
          <w:p>
            <w:pPr>
              <w:spacing w:after="0"/>
              <w:rPr>
                <w:sz w:val="14"/>
                <w:szCs w:val="14"/>
                <w:color w:val="auto"/>
              </w:rPr>
            </w:pPr>
          </w:p>
        </w:tc>
        <w:tc>
          <w:tcPr>
            <w:tcW w:w="1020" w:type="dxa"/>
            <w:vAlign w:val="bottom"/>
            <w:tcBorders>
              <w:top w:val="single" w:sz="8" w:color="0563C1"/>
            </w:tcBorders>
          </w:tcPr>
          <w:p>
            <w:pPr>
              <w:spacing w:after="0"/>
              <w:rPr>
                <w:sz w:val="14"/>
                <w:szCs w:val="14"/>
                <w:color w:val="auto"/>
              </w:rPr>
            </w:pPr>
          </w:p>
        </w:tc>
        <w:tc>
          <w:tcPr>
            <w:tcW w:w="240" w:type="dxa"/>
            <w:vAlign w:val="bottom"/>
            <w:tcBorders>
              <w:top w:val="single" w:sz="8" w:color="0563C1"/>
            </w:tcBorders>
          </w:tcPr>
          <w:p>
            <w:pPr>
              <w:spacing w:after="0"/>
              <w:rPr>
                <w:sz w:val="14"/>
                <w:szCs w:val="14"/>
                <w:color w:val="auto"/>
              </w:rPr>
            </w:pPr>
          </w:p>
        </w:tc>
        <w:tc>
          <w:tcPr>
            <w:tcW w:w="300" w:type="dxa"/>
            <w:vAlign w:val="bottom"/>
            <w:tcBorders>
              <w:top w:val="single" w:sz="8" w:color="0563C1"/>
            </w:tcBorders>
          </w:tcPr>
          <w:p>
            <w:pPr>
              <w:spacing w:after="0"/>
              <w:rPr>
                <w:sz w:val="14"/>
                <w:szCs w:val="14"/>
                <w:color w:val="auto"/>
              </w:rPr>
            </w:pPr>
          </w:p>
        </w:tc>
        <w:tc>
          <w:tcPr>
            <w:tcW w:w="40" w:type="dxa"/>
            <w:vAlign w:val="bottom"/>
            <w:tcBorders>
              <w:top w:val="single" w:sz="8" w:color="0563C1"/>
            </w:tcBorders>
          </w:tcPr>
          <w:p>
            <w:pPr>
              <w:spacing w:after="0"/>
              <w:rPr>
                <w:sz w:val="14"/>
                <w:szCs w:val="14"/>
                <w:color w:val="auto"/>
              </w:rPr>
            </w:pPr>
          </w:p>
        </w:tc>
        <w:tc>
          <w:tcPr>
            <w:tcW w:w="180" w:type="dxa"/>
            <w:vAlign w:val="bottom"/>
            <w:tcBorders>
              <w:top w:val="single" w:sz="8" w:color="0563C1"/>
            </w:tcBorders>
          </w:tcPr>
          <w:p>
            <w:pPr>
              <w:spacing w:after="0"/>
              <w:rPr>
                <w:sz w:val="14"/>
                <w:szCs w:val="14"/>
                <w:color w:val="auto"/>
              </w:rPr>
            </w:pPr>
          </w:p>
        </w:tc>
        <w:tc>
          <w:tcPr>
            <w:tcW w:w="20" w:type="dxa"/>
            <w:vAlign w:val="bottom"/>
            <w:tcBorders>
              <w:top w:val="single" w:sz="8" w:color="0563C1"/>
            </w:tcBorders>
          </w:tcPr>
          <w:p>
            <w:pPr>
              <w:spacing w:after="0"/>
              <w:rPr>
                <w:sz w:val="14"/>
                <w:szCs w:val="14"/>
                <w:color w:val="auto"/>
              </w:rPr>
            </w:pPr>
          </w:p>
        </w:tc>
        <w:tc>
          <w:tcPr>
            <w:tcW w:w="20" w:type="dxa"/>
            <w:vAlign w:val="bottom"/>
            <w:tcBorders>
              <w:top w:val="single" w:sz="8" w:color="0563C1"/>
            </w:tcBorders>
          </w:tcPr>
          <w:p>
            <w:pPr>
              <w:spacing w:after="0"/>
              <w:rPr>
                <w:sz w:val="14"/>
                <w:szCs w:val="14"/>
                <w:color w:val="auto"/>
              </w:rPr>
            </w:pPr>
          </w:p>
        </w:tc>
        <w:tc>
          <w:tcPr>
            <w:tcW w:w="140" w:type="dxa"/>
            <w:vAlign w:val="bottom"/>
          </w:tcPr>
          <w:p>
            <w:pPr>
              <w:spacing w:after="0"/>
              <w:rPr>
                <w:sz w:val="14"/>
                <w:szCs w:val="14"/>
                <w:color w:val="auto"/>
              </w:rPr>
            </w:pPr>
          </w:p>
        </w:tc>
      </w:tr>
      <w:tr>
        <w:trPr>
          <w:trHeight w:val="27"/>
        </w:trPr>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62"/>
        </w:trPr>
        <w:tc>
          <w:tcPr>
            <w:tcW w:w="500" w:type="dxa"/>
            <w:vAlign w:val="bottom"/>
            <w:gridSpan w:val="3"/>
            <w:shd w:val="clear" w:color="auto" w:fill="CCEEFF"/>
          </w:tcPr>
          <w:p>
            <w:pPr>
              <w:spacing w:after="0" w:line="162" w:lineRule="exact"/>
              <w:rPr>
                <w:rFonts w:ascii="Arial" w:cs="Arial" w:eastAsia="Arial" w:hAnsi="Arial"/>
                <w:sz w:val="18"/>
                <w:szCs w:val="18"/>
                <w:color w:val="0563C1"/>
              </w:rPr>
            </w:pPr>
            <w:hyperlink r:id="rId49">
              <w:r>
                <w:rPr>
                  <w:rFonts w:ascii="Arial" w:cs="Arial" w:eastAsia="Arial" w:hAnsi="Arial"/>
                  <w:sz w:val="18"/>
                  <w:szCs w:val="18"/>
                  <w:color w:val="0563C1"/>
                </w:rPr>
                <w:t>10.</w:t>
              </w:r>
              <w:r>
                <w:rPr>
                  <w:rFonts w:ascii="Arial" w:cs="Arial" w:eastAsia="Arial" w:hAnsi="Arial"/>
                  <w:sz w:val="18"/>
                  <w:szCs w:val="18"/>
                  <w:u w:val="single" w:color="auto"/>
                  <w:color w:val="0563C1"/>
                </w:rPr>
                <w:t>4*</w:t>
              </w:r>
            </w:hyperlink>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7"/>
            <w:shd w:val="clear" w:color="auto" w:fill="CCEEFF"/>
          </w:tcPr>
          <w:p>
            <w:pPr>
              <w:spacing w:after="0" w:line="162" w:lineRule="exact"/>
              <w:rPr>
                <w:rFonts w:ascii="Arial" w:cs="Arial" w:eastAsia="Arial" w:hAnsi="Arial"/>
                <w:sz w:val="18"/>
                <w:szCs w:val="18"/>
                <w:color w:val="0563C1"/>
                <w:w w:val="95"/>
              </w:rPr>
            </w:pPr>
            <w:hyperlink r:id="rId49">
              <w:r>
                <w:rPr>
                  <w:rFonts w:ascii="Arial" w:cs="Arial" w:eastAsia="Arial" w:hAnsi="Arial"/>
                  <w:sz w:val="18"/>
                  <w:szCs w:val="18"/>
                  <w:color w:val="0563C1"/>
                  <w:w w:val="95"/>
                </w:rPr>
                <w:t>Form of Stock Restriction Agreement under the Tile Shop Holdings, Inc. 2021 Omnibus Equity Compensation Plan (incorporated by</w:t>
              </w:r>
            </w:hyperlink>
          </w:p>
        </w:tc>
      </w:tr>
      <w:tr>
        <w:trPr>
          <w:trHeight w:val="169"/>
        </w:trPr>
        <w:tc>
          <w:tcPr>
            <w:tcW w:w="240" w:type="dxa"/>
            <w:vAlign w:val="bottom"/>
            <w:tcBorders>
              <w:top w:val="single" w:sz="8" w:color="0563C1"/>
            </w:tcBorders>
            <w:shd w:val="clear" w:color="auto" w:fill="CCEEFF"/>
          </w:tcPr>
          <w:p>
            <w:pPr>
              <w:spacing w:after="0"/>
              <w:rPr>
                <w:sz w:val="14"/>
                <w:szCs w:val="14"/>
                <w:color w:val="auto"/>
              </w:rPr>
            </w:pPr>
          </w:p>
        </w:tc>
        <w:tc>
          <w:tcPr>
            <w:tcW w:w="180" w:type="dxa"/>
            <w:vAlign w:val="bottom"/>
            <w:tcBorders>
              <w:top w:val="single" w:sz="8" w:color="0563C1"/>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9620" w:type="dxa"/>
            <w:vAlign w:val="bottom"/>
            <w:tcBorders>
              <w:top w:val="single" w:sz="8" w:color="0563C1"/>
            </w:tcBorders>
            <w:gridSpan w:val="12"/>
            <w:shd w:val="clear" w:color="auto" w:fill="CCEEFF"/>
          </w:tcPr>
          <w:p>
            <w:pPr>
              <w:spacing w:after="0" w:line="169" w:lineRule="exact"/>
              <w:rPr>
                <w:rFonts w:ascii="Arial" w:cs="Arial" w:eastAsia="Arial" w:hAnsi="Arial"/>
                <w:sz w:val="18"/>
                <w:szCs w:val="18"/>
                <w:color w:val="0563C1"/>
                <w:w w:val="91"/>
              </w:rPr>
            </w:pPr>
            <w:hyperlink r:id="rId49">
              <w:r>
                <w:rPr>
                  <w:rFonts w:ascii="Arial" w:cs="Arial" w:eastAsia="Arial" w:hAnsi="Arial"/>
                  <w:sz w:val="18"/>
                  <w:szCs w:val="18"/>
                  <w:color w:val="0563C1"/>
                  <w:w w:val="91"/>
                </w:rPr>
                <w:t>reference to Exhibit 10.4 to the Company’s Current Report on Form 8-K filed with the Securities and Exchange Commission on July</w:t>
              </w:r>
            </w:hyperlink>
          </w:p>
        </w:tc>
        <w:tc>
          <w:tcPr>
            <w:tcW w:w="220" w:type="dxa"/>
            <w:vAlign w:val="bottom"/>
            <w:tcBorders>
              <w:top w:val="single" w:sz="8" w:color="CCEEFF"/>
            </w:tcBorders>
            <w:gridSpan w:val="2"/>
            <w:shd w:val="clear" w:color="auto" w:fill="CCEEFF"/>
          </w:tcPr>
          <w:p>
            <w:pPr>
              <w:jc w:val="right"/>
              <w:spacing w:after="0" w:line="169" w:lineRule="exact"/>
              <w:rPr>
                <w:rFonts w:ascii="Arial" w:cs="Arial" w:eastAsia="Arial" w:hAnsi="Arial"/>
                <w:sz w:val="18"/>
                <w:szCs w:val="18"/>
                <w:color w:val="0563C1"/>
                <w:w w:val="79"/>
              </w:rPr>
            </w:pPr>
            <w:hyperlink r:id="rId49">
              <w:r>
                <w:rPr>
                  <w:rFonts w:ascii="Arial" w:cs="Arial" w:eastAsia="Arial" w:hAnsi="Arial"/>
                  <w:sz w:val="18"/>
                  <w:szCs w:val="18"/>
                  <w:color w:val="0563C1"/>
                  <w:w w:val="79"/>
                </w:rPr>
                <w:t>21,</w:t>
              </w:r>
            </w:hyperlink>
          </w:p>
        </w:tc>
        <w:tc>
          <w:tcPr>
            <w:tcW w:w="180" w:type="dxa"/>
            <w:vAlign w:val="bottom"/>
            <w:tcBorders>
              <w:top w:val="single" w:sz="8" w:color="CCEEFF"/>
            </w:tcBorders>
            <w:gridSpan w:val="3"/>
            <w:shd w:val="clear" w:color="auto" w:fill="CCEEFF"/>
          </w:tcPr>
          <w:p>
            <w:pPr>
              <w:spacing w:after="0"/>
              <w:rPr>
                <w:sz w:val="14"/>
                <w:szCs w:val="14"/>
                <w:color w:val="auto"/>
              </w:rPr>
            </w:pPr>
          </w:p>
        </w:tc>
      </w:tr>
      <w:tr>
        <w:trPr>
          <w:trHeight w:val="169"/>
        </w:trPr>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0563C1"/>
            </w:tcBorders>
            <w:gridSpan w:val="2"/>
            <w:shd w:val="clear" w:color="auto" w:fill="CCEEFF"/>
          </w:tcPr>
          <w:p>
            <w:pPr>
              <w:spacing w:after="0" w:line="169" w:lineRule="exact"/>
              <w:rPr>
                <w:rFonts w:ascii="Arial" w:cs="Arial" w:eastAsia="Arial" w:hAnsi="Arial"/>
                <w:sz w:val="18"/>
                <w:szCs w:val="18"/>
                <w:color w:val="0563C1"/>
              </w:rPr>
            </w:pPr>
            <w:hyperlink r:id="rId49">
              <w:r>
                <w:rPr>
                  <w:rFonts w:ascii="Arial" w:cs="Arial" w:eastAsia="Arial" w:hAnsi="Arial"/>
                  <w:sz w:val="18"/>
                  <w:szCs w:val="18"/>
                  <w:color w:val="0563C1"/>
                </w:rPr>
                <w:t>2021).</w:t>
              </w:r>
            </w:hyperlink>
          </w:p>
        </w:tc>
        <w:tc>
          <w:tcPr>
            <w:tcW w:w="1420" w:type="dxa"/>
            <w:vAlign w:val="bottom"/>
            <w:tcBorders>
              <w:top w:val="single" w:sz="8" w:color="0563C1"/>
            </w:tcBorders>
            <w:shd w:val="clear" w:color="auto" w:fill="CCEEFF"/>
          </w:tcPr>
          <w:p>
            <w:pPr>
              <w:spacing w:after="0"/>
              <w:rPr>
                <w:sz w:val="14"/>
                <w:szCs w:val="14"/>
                <w:color w:val="auto"/>
              </w:rPr>
            </w:pPr>
          </w:p>
        </w:tc>
        <w:tc>
          <w:tcPr>
            <w:tcW w:w="4340" w:type="dxa"/>
            <w:vAlign w:val="bottom"/>
            <w:tcBorders>
              <w:top w:val="single" w:sz="8" w:color="0563C1"/>
            </w:tcBorders>
            <w:shd w:val="clear" w:color="auto" w:fill="CCEEFF"/>
          </w:tcPr>
          <w:p>
            <w:pPr>
              <w:spacing w:after="0"/>
              <w:rPr>
                <w:sz w:val="14"/>
                <w:szCs w:val="14"/>
                <w:color w:val="auto"/>
              </w:rPr>
            </w:pPr>
          </w:p>
        </w:tc>
        <w:tc>
          <w:tcPr>
            <w:tcW w:w="120" w:type="dxa"/>
            <w:vAlign w:val="bottom"/>
            <w:tcBorders>
              <w:top w:val="single" w:sz="8" w:color="0563C1"/>
            </w:tcBorders>
            <w:shd w:val="clear" w:color="auto" w:fill="CCEEFF"/>
          </w:tcPr>
          <w:p>
            <w:pPr>
              <w:spacing w:after="0"/>
              <w:rPr>
                <w:sz w:val="14"/>
                <w:szCs w:val="14"/>
                <w:color w:val="auto"/>
              </w:rPr>
            </w:pPr>
          </w:p>
        </w:tc>
        <w:tc>
          <w:tcPr>
            <w:tcW w:w="460" w:type="dxa"/>
            <w:vAlign w:val="bottom"/>
            <w:tcBorders>
              <w:top w:val="single" w:sz="8" w:color="0563C1"/>
            </w:tcBorders>
            <w:shd w:val="clear" w:color="auto" w:fill="CCEEFF"/>
          </w:tcPr>
          <w:p>
            <w:pPr>
              <w:spacing w:after="0"/>
              <w:rPr>
                <w:sz w:val="14"/>
                <w:szCs w:val="14"/>
                <w:color w:val="auto"/>
              </w:rPr>
            </w:pPr>
          </w:p>
        </w:tc>
        <w:tc>
          <w:tcPr>
            <w:tcW w:w="120" w:type="dxa"/>
            <w:vAlign w:val="bottom"/>
            <w:tcBorders>
              <w:top w:val="single" w:sz="8" w:color="0563C1"/>
              <w:left w:val="single" w:sz="8" w:color="CCEEFF"/>
            </w:tcBorders>
            <w:shd w:val="clear" w:color="auto" w:fill="CCEEFF"/>
          </w:tcPr>
          <w:p>
            <w:pPr>
              <w:spacing w:after="0"/>
              <w:rPr>
                <w:sz w:val="14"/>
                <w:szCs w:val="14"/>
                <w:color w:val="auto"/>
              </w:rPr>
            </w:pPr>
          </w:p>
        </w:tc>
        <w:tc>
          <w:tcPr>
            <w:tcW w:w="360" w:type="dxa"/>
            <w:vAlign w:val="bottom"/>
            <w:tcBorders>
              <w:top w:val="single" w:sz="8" w:color="0563C1"/>
            </w:tcBorders>
            <w:shd w:val="clear" w:color="auto" w:fill="CCEEFF"/>
          </w:tcPr>
          <w:p>
            <w:pPr>
              <w:spacing w:after="0"/>
              <w:rPr>
                <w:sz w:val="14"/>
                <w:szCs w:val="14"/>
                <w:color w:val="auto"/>
              </w:rPr>
            </w:pPr>
          </w:p>
        </w:tc>
        <w:tc>
          <w:tcPr>
            <w:tcW w:w="400" w:type="dxa"/>
            <w:vAlign w:val="bottom"/>
            <w:tcBorders>
              <w:top w:val="single" w:sz="8" w:color="0563C1"/>
            </w:tcBorders>
            <w:shd w:val="clear" w:color="auto" w:fill="CCEEFF"/>
          </w:tcPr>
          <w:p>
            <w:pPr>
              <w:spacing w:after="0"/>
              <w:rPr>
                <w:sz w:val="14"/>
                <w:szCs w:val="14"/>
                <w:color w:val="auto"/>
              </w:rPr>
            </w:pPr>
          </w:p>
        </w:tc>
        <w:tc>
          <w:tcPr>
            <w:tcW w:w="1020" w:type="dxa"/>
            <w:vAlign w:val="bottom"/>
            <w:tcBorders>
              <w:top w:val="single" w:sz="8" w:color="0563C1"/>
            </w:tcBorders>
            <w:shd w:val="clear" w:color="auto" w:fill="CCEEFF"/>
          </w:tcPr>
          <w:p>
            <w:pPr>
              <w:spacing w:after="0"/>
              <w:rPr>
                <w:sz w:val="14"/>
                <w:szCs w:val="14"/>
                <w:color w:val="auto"/>
              </w:rPr>
            </w:pPr>
          </w:p>
        </w:tc>
        <w:tc>
          <w:tcPr>
            <w:tcW w:w="240" w:type="dxa"/>
            <w:vAlign w:val="bottom"/>
            <w:tcBorders>
              <w:top w:val="single" w:sz="8" w:color="0563C1"/>
            </w:tcBorders>
            <w:shd w:val="clear" w:color="auto" w:fill="CCEEFF"/>
          </w:tcPr>
          <w:p>
            <w:pPr>
              <w:spacing w:after="0"/>
              <w:rPr>
                <w:sz w:val="14"/>
                <w:szCs w:val="14"/>
                <w:color w:val="auto"/>
              </w:rPr>
            </w:pPr>
          </w:p>
        </w:tc>
        <w:tc>
          <w:tcPr>
            <w:tcW w:w="300" w:type="dxa"/>
            <w:vAlign w:val="bottom"/>
            <w:tcBorders>
              <w:top w:val="single" w:sz="8" w:color="0563C1"/>
            </w:tcBorders>
            <w:shd w:val="clear" w:color="auto" w:fill="CCEEFF"/>
          </w:tcPr>
          <w:p>
            <w:pPr>
              <w:spacing w:after="0"/>
              <w:rPr>
                <w:sz w:val="14"/>
                <w:szCs w:val="14"/>
                <w:color w:val="auto"/>
              </w:rPr>
            </w:pPr>
          </w:p>
        </w:tc>
        <w:tc>
          <w:tcPr>
            <w:tcW w:w="40" w:type="dxa"/>
            <w:vAlign w:val="bottom"/>
            <w:tcBorders>
              <w:top w:val="single" w:sz="8" w:color="0563C1"/>
            </w:tcBorders>
            <w:shd w:val="clear" w:color="auto" w:fill="CCEEFF"/>
          </w:tcPr>
          <w:p>
            <w:pPr>
              <w:spacing w:after="0"/>
              <w:rPr>
                <w:sz w:val="14"/>
                <w:szCs w:val="14"/>
                <w:color w:val="auto"/>
              </w:rPr>
            </w:pPr>
          </w:p>
        </w:tc>
        <w:tc>
          <w:tcPr>
            <w:tcW w:w="180" w:type="dxa"/>
            <w:vAlign w:val="bottom"/>
            <w:tcBorders>
              <w:top w:val="single" w:sz="8" w:color="0563C1"/>
            </w:tcBorders>
            <w:shd w:val="clear" w:color="auto" w:fill="CCEEFF"/>
          </w:tcPr>
          <w:p>
            <w:pPr>
              <w:spacing w:after="0"/>
              <w:rPr>
                <w:sz w:val="14"/>
                <w:szCs w:val="14"/>
                <w:color w:val="auto"/>
              </w:rPr>
            </w:pPr>
          </w:p>
        </w:tc>
        <w:tc>
          <w:tcPr>
            <w:tcW w:w="20" w:type="dxa"/>
            <w:vAlign w:val="bottom"/>
            <w:tcBorders>
              <w:top w:val="single" w:sz="8" w:color="0563C1"/>
            </w:tcBorders>
            <w:shd w:val="clear" w:color="auto" w:fill="CCEEFF"/>
          </w:tcPr>
          <w:p>
            <w:pPr>
              <w:spacing w:after="0"/>
              <w:rPr>
                <w:sz w:val="14"/>
                <w:szCs w:val="14"/>
                <w:color w:val="auto"/>
              </w:rPr>
            </w:pPr>
          </w:p>
        </w:tc>
        <w:tc>
          <w:tcPr>
            <w:tcW w:w="20" w:type="dxa"/>
            <w:vAlign w:val="bottom"/>
            <w:tcBorders>
              <w:top w:val="single" w:sz="8" w:color="0563C1"/>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r>
      <w:tr>
        <w:trPr>
          <w:trHeight w:val="27"/>
        </w:trPr>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62"/>
        </w:trPr>
        <w:tc>
          <w:tcPr>
            <w:tcW w:w="500" w:type="dxa"/>
            <w:vAlign w:val="bottom"/>
            <w:gridSpan w:val="3"/>
          </w:tcPr>
          <w:p>
            <w:pPr>
              <w:spacing w:after="0" w:line="162" w:lineRule="exact"/>
              <w:rPr>
                <w:rFonts w:ascii="Arial" w:cs="Arial" w:eastAsia="Arial" w:hAnsi="Arial"/>
                <w:sz w:val="18"/>
                <w:szCs w:val="18"/>
                <w:color w:val="0563C1"/>
              </w:rPr>
            </w:pPr>
            <w:hyperlink r:id="rId50">
              <w:r>
                <w:rPr>
                  <w:rFonts w:ascii="Arial" w:cs="Arial" w:eastAsia="Arial" w:hAnsi="Arial"/>
                  <w:sz w:val="18"/>
                  <w:szCs w:val="18"/>
                  <w:color w:val="0563C1"/>
                </w:rPr>
                <w:t>10.</w:t>
              </w:r>
              <w:r>
                <w:rPr>
                  <w:rFonts w:ascii="Arial" w:cs="Arial" w:eastAsia="Arial" w:hAnsi="Arial"/>
                  <w:sz w:val="18"/>
                  <w:szCs w:val="18"/>
                  <w:u w:val="single" w:color="auto"/>
                  <w:color w:val="0563C1"/>
                </w:rPr>
                <w:t>5*</w:t>
              </w:r>
            </w:hyperlink>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7"/>
          </w:tcPr>
          <w:p>
            <w:pPr>
              <w:spacing w:after="0" w:line="162" w:lineRule="exact"/>
              <w:rPr>
                <w:rFonts w:ascii="Arial" w:cs="Arial" w:eastAsia="Arial" w:hAnsi="Arial"/>
                <w:sz w:val="18"/>
                <w:szCs w:val="18"/>
                <w:color w:val="0563C1"/>
                <w:w w:val="92"/>
              </w:rPr>
            </w:pPr>
            <w:hyperlink r:id="rId50">
              <w:r>
                <w:rPr>
                  <w:rFonts w:ascii="Arial" w:cs="Arial" w:eastAsia="Arial" w:hAnsi="Arial"/>
                  <w:sz w:val="18"/>
                  <w:szCs w:val="18"/>
                  <w:color w:val="0563C1"/>
                  <w:w w:val="92"/>
                </w:rPr>
                <w:t>Form of Performance-Based Stock Restriction Agreement under the Tile Shop Holdings, Inc. 2021 Omnibus Equity Compensation Plan</w:t>
              </w:r>
            </w:hyperlink>
          </w:p>
        </w:tc>
      </w:tr>
      <w:tr>
        <w:trPr>
          <w:trHeight w:val="169"/>
        </w:trPr>
        <w:tc>
          <w:tcPr>
            <w:tcW w:w="240" w:type="dxa"/>
            <w:vAlign w:val="bottom"/>
            <w:tcBorders>
              <w:top w:val="single" w:sz="8" w:color="0563C1"/>
            </w:tcBorders>
          </w:tcPr>
          <w:p>
            <w:pPr>
              <w:spacing w:after="0"/>
              <w:rPr>
                <w:sz w:val="14"/>
                <w:szCs w:val="14"/>
                <w:color w:val="auto"/>
              </w:rPr>
            </w:pPr>
          </w:p>
        </w:tc>
        <w:tc>
          <w:tcPr>
            <w:tcW w:w="180" w:type="dxa"/>
            <w:vAlign w:val="bottom"/>
            <w:tcBorders>
              <w:top w:val="single" w:sz="8" w:color="0563C1"/>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40" w:type="dxa"/>
            <w:vAlign w:val="bottom"/>
            <w:tcBorders>
              <w:top w:val="single" w:sz="8" w:color="0563C1"/>
            </w:tcBorders>
            <w:gridSpan w:val="14"/>
          </w:tcPr>
          <w:p>
            <w:pPr>
              <w:spacing w:after="0" w:line="169" w:lineRule="exact"/>
              <w:rPr>
                <w:rFonts w:ascii="Arial" w:cs="Arial" w:eastAsia="Arial" w:hAnsi="Arial"/>
                <w:sz w:val="18"/>
                <w:szCs w:val="18"/>
                <w:color w:val="0563C1"/>
                <w:w w:val="96"/>
              </w:rPr>
            </w:pPr>
            <w:hyperlink r:id="rId50">
              <w:r>
                <w:rPr>
                  <w:rFonts w:ascii="Arial" w:cs="Arial" w:eastAsia="Arial" w:hAnsi="Arial"/>
                  <w:sz w:val="18"/>
                  <w:szCs w:val="18"/>
                  <w:color w:val="0563C1"/>
                  <w:w w:val="96"/>
                </w:rPr>
                <w:t>(incorporated by reference to Exhibit 10.5 to the Company’s Current Report on Form 8-K filed with the Securities and Exchange</w:t>
              </w:r>
            </w:hyperlink>
          </w:p>
        </w:tc>
        <w:tc>
          <w:tcPr>
            <w:tcW w:w="180" w:type="dxa"/>
            <w:vAlign w:val="bottom"/>
            <w:gridSpan w:val="3"/>
          </w:tcPr>
          <w:p>
            <w:pPr>
              <w:spacing w:after="0"/>
              <w:rPr>
                <w:sz w:val="14"/>
                <w:szCs w:val="14"/>
                <w:color w:val="auto"/>
              </w:rPr>
            </w:pPr>
          </w:p>
        </w:tc>
      </w:tr>
      <w:tr>
        <w:trPr>
          <w:trHeight w:val="169"/>
        </w:trPr>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320" w:type="dxa"/>
            <w:vAlign w:val="bottom"/>
            <w:tcBorders>
              <w:top w:val="single" w:sz="8" w:color="0563C1"/>
            </w:tcBorders>
            <w:gridSpan w:val="11"/>
          </w:tcPr>
          <w:p>
            <w:pPr>
              <w:spacing w:after="0" w:line="169" w:lineRule="exact"/>
              <w:rPr>
                <w:rFonts w:ascii="Arial" w:cs="Arial" w:eastAsia="Arial" w:hAnsi="Arial"/>
                <w:sz w:val="18"/>
                <w:szCs w:val="18"/>
                <w:color w:val="0563C1"/>
              </w:rPr>
            </w:pPr>
            <w:hyperlink r:id="rId50">
              <w:r>
                <w:rPr>
                  <w:rFonts w:ascii="Arial" w:cs="Arial" w:eastAsia="Arial" w:hAnsi="Arial"/>
                  <w:sz w:val="18"/>
                  <w:szCs w:val="18"/>
                  <w:color w:val="0563C1"/>
                </w:rPr>
                <w:t>Commission on July 21, 2021).</w:t>
              </w:r>
            </w:hyperlink>
          </w:p>
        </w:tc>
        <w:tc>
          <w:tcPr>
            <w:tcW w:w="700" w:type="dxa"/>
            <w:vAlign w:val="bottom"/>
            <w:gridSpan w:val="6"/>
          </w:tcPr>
          <w:p>
            <w:pPr>
              <w:spacing w:after="0"/>
              <w:rPr>
                <w:sz w:val="14"/>
                <w:szCs w:val="14"/>
                <w:color w:val="auto"/>
              </w:rPr>
            </w:pPr>
          </w:p>
        </w:tc>
      </w:tr>
      <w:tr>
        <w:trPr>
          <w:trHeight w:val="27"/>
        </w:trPr>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1420" w:type="dxa"/>
            <w:vAlign w:val="bottom"/>
            <w:shd w:val="clear" w:color="auto" w:fill="0563C1"/>
          </w:tcPr>
          <w:p>
            <w:pPr>
              <w:spacing w:after="0"/>
              <w:rPr>
                <w:sz w:val="2"/>
                <w:szCs w:val="2"/>
                <w:color w:val="auto"/>
              </w:rPr>
            </w:pPr>
          </w:p>
        </w:tc>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62"/>
        </w:trPr>
        <w:tc>
          <w:tcPr>
            <w:tcW w:w="600" w:type="dxa"/>
            <w:vAlign w:val="bottom"/>
            <w:gridSpan w:val="4"/>
            <w:shd w:val="clear" w:color="auto" w:fill="CCEEFF"/>
          </w:tcPr>
          <w:p>
            <w:pPr>
              <w:spacing w:after="0" w:line="162" w:lineRule="exact"/>
              <w:rPr>
                <w:rFonts w:ascii="Arial" w:cs="Arial" w:eastAsia="Arial" w:hAnsi="Arial"/>
                <w:sz w:val="18"/>
                <w:szCs w:val="18"/>
                <w:color w:val="0563C1"/>
              </w:rPr>
            </w:pPr>
            <w:hyperlink w:anchor="page32">
              <w:r>
                <w:rPr>
                  <w:rFonts w:ascii="Arial" w:cs="Arial" w:eastAsia="Arial" w:hAnsi="Arial"/>
                  <w:sz w:val="18"/>
                  <w:szCs w:val="18"/>
                  <w:color w:val="0563C1"/>
                </w:rPr>
                <w:t>31.</w:t>
              </w:r>
              <w:r>
                <w:rPr>
                  <w:rFonts w:ascii="Arial" w:cs="Arial" w:eastAsia="Arial" w:hAnsi="Arial"/>
                  <w:sz w:val="18"/>
                  <w:szCs w:val="18"/>
                  <w:u w:val="single" w:color="auto"/>
                  <w:color w:val="0563C1"/>
                </w:rPr>
                <w:t>1**</w:t>
              </w:r>
            </w:hyperlink>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7"/>
            <w:shd w:val="clear" w:color="auto" w:fill="CCEEFF"/>
          </w:tcPr>
          <w:p>
            <w:pPr>
              <w:spacing w:after="0" w:line="162" w:lineRule="exact"/>
              <w:rPr>
                <w:rFonts w:ascii="Arial" w:cs="Arial" w:eastAsia="Arial" w:hAnsi="Arial"/>
                <w:sz w:val="18"/>
                <w:szCs w:val="18"/>
                <w:color w:val="0563C1"/>
              </w:rPr>
            </w:pPr>
            <w:hyperlink w:anchor="page32">
              <w:r>
                <w:rPr>
                  <w:rFonts w:ascii="Arial" w:cs="Arial" w:eastAsia="Arial" w:hAnsi="Arial"/>
                  <w:sz w:val="18"/>
                  <w:szCs w:val="18"/>
                  <w:color w:val="0563C1"/>
                </w:rPr>
                <w:t>Certification of Chief Executive Officer Pursuant to Section 302 of the Sarbanes Oxley Act of 2002.</w:t>
              </w:r>
            </w:hyperlink>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1420" w:type="dxa"/>
            <w:vAlign w:val="bottom"/>
            <w:shd w:val="clear" w:color="auto" w:fill="0563C1"/>
          </w:tcPr>
          <w:p>
            <w:pPr>
              <w:spacing w:after="0"/>
              <w:rPr>
                <w:sz w:val="2"/>
                <w:szCs w:val="2"/>
                <w:color w:val="auto"/>
              </w:rPr>
            </w:pPr>
          </w:p>
        </w:tc>
        <w:tc>
          <w:tcPr>
            <w:tcW w:w="4340" w:type="dxa"/>
            <w:vAlign w:val="bottom"/>
            <w:shd w:val="clear" w:color="auto" w:fill="0563C1"/>
          </w:tcPr>
          <w:p>
            <w:pPr>
              <w:spacing w:after="0"/>
              <w:rPr>
                <w:sz w:val="2"/>
                <w:szCs w:val="2"/>
                <w:color w:val="auto"/>
              </w:rPr>
            </w:pPr>
          </w:p>
        </w:tc>
        <w:tc>
          <w:tcPr>
            <w:tcW w:w="120" w:type="dxa"/>
            <w:vAlign w:val="bottom"/>
            <w:shd w:val="clear" w:color="auto" w:fill="0563C1"/>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62"/>
        </w:trPr>
        <w:tc>
          <w:tcPr>
            <w:tcW w:w="600" w:type="dxa"/>
            <w:vAlign w:val="bottom"/>
            <w:gridSpan w:val="4"/>
          </w:tcPr>
          <w:p>
            <w:pPr>
              <w:spacing w:after="0" w:line="162" w:lineRule="exact"/>
              <w:rPr>
                <w:rFonts w:ascii="Arial" w:cs="Arial" w:eastAsia="Arial" w:hAnsi="Arial"/>
                <w:sz w:val="18"/>
                <w:szCs w:val="18"/>
                <w:color w:val="0563C1"/>
              </w:rPr>
            </w:pPr>
            <w:hyperlink w:anchor="page33">
              <w:r>
                <w:rPr>
                  <w:rFonts w:ascii="Arial" w:cs="Arial" w:eastAsia="Arial" w:hAnsi="Arial"/>
                  <w:sz w:val="18"/>
                  <w:szCs w:val="18"/>
                  <w:color w:val="0563C1"/>
                </w:rPr>
                <w:t>31.</w:t>
              </w:r>
              <w:r>
                <w:rPr>
                  <w:rFonts w:ascii="Arial" w:cs="Arial" w:eastAsia="Arial" w:hAnsi="Arial"/>
                  <w:sz w:val="18"/>
                  <w:szCs w:val="18"/>
                  <w:u w:val="single" w:color="auto"/>
                  <w:color w:val="0563C1"/>
                </w:rPr>
                <w:t>2**</w:t>
              </w:r>
            </w:hyperlink>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7"/>
          </w:tcPr>
          <w:p>
            <w:pPr>
              <w:spacing w:after="0" w:line="162" w:lineRule="exact"/>
              <w:rPr>
                <w:rFonts w:ascii="Arial" w:cs="Arial" w:eastAsia="Arial" w:hAnsi="Arial"/>
                <w:sz w:val="18"/>
                <w:szCs w:val="18"/>
                <w:color w:val="0563C1"/>
              </w:rPr>
            </w:pPr>
            <w:hyperlink w:anchor="page33">
              <w:r>
                <w:rPr>
                  <w:rFonts w:ascii="Arial" w:cs="Arial" w:eastAsia="Arial" w:hAnsi="Arial"/>
                  <w:sz w:val="18"/>
                  <w:szCs w:val="18"/>
                  <w:color w:val="0563C1"/>
                </w:rPr>
                <w:t>Certification of Chief Financial Officer Pursuant to Section 302 of the Sarbanes Oxley Act of 2002.</w:t>
              </w:r>
            </w:hyperlink>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1420" w:type="dxa"/>
            <w:vAlign w:val="bottom"/>
            <w:shd w:val="clear" w:color="auto" w:fill="0563C1"/>
          </w:tcPr>
          <w:p>
            <w:pPr>
              <w:spacing w:after="0"/>
              <w:rPr>
                <w:sz w:val="2"/>
                <w:szCs w:val="2"/>
                <w:color w:val="auto"/>
              </w:rPr>
            </w:pPr>
          </w:p>
        </w:tc>
        <w:tc>
          <w:tcPr>
            <w:tcW w:w="4340" w:type="dxa"/>
            <w:vAlign w:val="bottom"/>
            <w:shd w:val="clear" w:color="auto" w:fill="0563C1"/>
          </w:tcPr>
          <w:p>
            <w:pPr>
              <w:spacing w:after="0"/>
              <w:rPr>
                <w:sz w:val="2"/>
                <w:szCs w:val="2"/>
                <w:color w:val="auto"/>
              </w:rPr>
            </w:pPr>
          </w:p>
        </w:tc>
        <w:tc>
          <w:tcPr>
            <w:tcW w:w="120" w:type="dxa"/>
            <w:vAlign w:val="bottom"/>
            <w:shd w:val="clear" w:color="auto" w:fill="0563C1"/>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69"/>
        </w:trPr>
        <w:tc>
          <w:tcPr>
            <w:tcW w:w="600" w:type="dxa"/>
            <w:vAlign w:val="bottom"/>
            <w:tcBorders>
              <w:bottom w:val="single" w:sz="8" w:color="0563C1"/>
            </w:tcBorders>
            <w:gridSpan w:val="4"/>
            <w:shd w:val="clear" w:color="auto" w:fill="CCEEFF"/>
          </w:tcPr>
          <w:p>
            <w:pPr>
              <w:spacing w:after="0" w:line="162" w:lineRule="exact"/>
              <w:rPr>
                <w:rFonts w:ascii="Arial" w:cs="Arial" w:eastAsia="Arial" w:hAnsi="Arial"/>
                <w:sz w:val="18"/>
                <w:szCs w:val="18"/>
                <w:color w:val="0563C1"/>
              </w:rPr>
            </w:pPr>
            <w:hyperlink w:anchor="page34">
              <w:r>
                <w:rPr>
                  <w:rFonts w:ascii="Arial" w:cs="Arial" w:eastAsia="Arial" w:hAnsi="Arial"/>
                  <w:sz w:val="18"/>
                  <w:szCs w:val="18"/>
                  <w:color w:val="0563C1"/>
                </w:rPr>
                <w:t>32.</w:t>
              </w:r>
              <w:r>
                <w:rPr>
                  <w:rFonts w:ascii="Arial" w:cs="Arial" w:eastAsia="Arial" w:hAnsi="Arial"/>
                  <w:sz w:val="18"/>
                  <w:szCs w:val="18"/>
                  <w:u w:val="single" w:color="auto"/>
                  <w:color w:val="0563C1"/>
                </w:rPr>
                <w:t>1***</w:t>
              </w:r>
            </w:hyperlink>
          </w:p>
        </w:tc>
        <w:tc>
          <w:tcPr>
            <w:tcW w:w="2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300" w:type="dxa"/>
            <w:vAlign w:val="bottom"/>
            <w:tcBorders>
              <w:bottom w:val="single" w:sz="8" w:color="0563C1"/>
            </w:tcBorders>
            <w:gridSpan w:val="7"/>
            <w:shd w:val="clear" w:color="auto" w:fill="CCEEFF"/>
          </w:tcPr>
          <w:p>
            <w:pPr>
              <w:spacing w:after="0" w:line="162" w:lineRule="exact"/>
              <w:rPr>
                <w:rFonts w:ascii="Arial" w:cs="Arial" w:eastAsia="Arial" w:hAnsi="Arial"/>
                <w:sz w:val="18"/>
                <w:szCs w:val="18"/>
                <w:color w:val="0563C1"/>
                <w:w w:val="91"/>
              </w:rPr>
            </w:pPr>
            <w:hyperlink w:anchor="page34">
              <w:r>
                <w:rPr>
                  <w:rFonts w:ascii="Arial" w:cs="Arial" w:eastAsia="Arial" w:hAnsi="Arial"/>
                  <w:sz w:val="18"/>
                  <w:szCs w:val="18"/>
                  <w:color w:val="0563C1"/>
                  <w:w w:val="91"/>
                </w:rPr>
                <w:t>Certifications of Chief Executive Officer Pursuant to Section 906 of the Sarbanes Oxley Act of 2002.</w:t>
              </w:r>
            </w:hyperlink>
          </w:p>
        </w:tc>
        <w:tc>
          <w:tcPr>
            <w:tcW w:w="2720" w:type="dxa"/>
            <w:vAlign w:val="bottom"/>
            <w:tcBorders>
              <w:bottom w:val="single" w:sz="8" w:color="CCEEFF"/>
            </w:tcBorders>
            <w:gridSpan w:val="10"/>
            <w:shd w:val="clear" w:color="auto" w:fill="CCEEFF"/>
          </w:tcPr>
          <w:p>
            <w:pPr>
              <w:spacing w:after="0"/>
              <w:rPr>
                <w:sz w:val="14"/>
                <w:szCs w:val="14"/>
                <w:color w:val="auto"/>
              </w:rPr>
            </w:pPr>
          </w:p>
        </w:tc>
      </w:tr>
      <w:tr>
        <w:trPr>
          <w:trHeight w:val="162"/>
        </w:trPr>
        <w:tc>
          <w:tcPr>
            <w:tcW w:w="600" w:type="dxa"/>
            <w:vAlign w:val="bottom"/>
            <w:gridSpan w:val="4"/>
          </w:tcPr>
          <w:p>
            <w:pPr>
              <w:spacing w:after="0" w:line="162" w:lineRule="exact"/>
              <w:rPr>
                <w:rFonts w:ascii="Arial" w:cs="Arial" w:eastAsia="Arial" w:hAnsi="Arial"/>
                <w:sz w:val="18"/>
                <w:szCs w:val="18"/>
                <w:color w:val="0563C1"/>
              </w:rPr>
            </w:pPr>
            <w:hyperlink w:anchor="page35">
              <w:r>
                <w:rPr>
                  <w:rFonts w:ascii="Arial" w:cs="Arial" w:eastAsia="Arial" w:hAnsi="Arial"/>
                  <w:sz w:val="18"/>
                  <w:szCs w:val="18"/>
                  <w:color w:val="0563C1"/>
                </w:rPr>
                <w:t>32.</w:t>
              </w:r>
              <w:r>
                <w:rPr>
                  <w:rFonts w:ascii="Arial" w:cs="Arial" w:eastAsia="Arial" w:hAnsi="Arial"/>
                  <w:sz w:val="18"/>
                  <w:szCs w:val="18"/>
                  <w:u w:val="single" w:color="auto"/>
                  <w:color w:val="0563C1"/>
                </w:rPr>
                <w:t>2***</w:t>
              </w:r>
            </w:hyperlink>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7"/>
          </w:tcPr>
          <w:p>
            <w:pPr>
              <w:spacing w:after="0" w:line="162" w:lineRule="exact"/>
              <w:rPr>
                <w:rFonts w:ascii="Arial" w:cs="Arial" w:eastAsia="Arial" w:hAnsi="Arial"/>
                <w:sz w:val="18"/>
                <w:szCs w:val="18"/>
                <w:color w:val="0563C1"/>
              </w:rPr>
            </w:pPr>
            <w:hyperlink w:anchor="page35">
              <w:r>
                <w:rPr>
                  <w:rFonts w:ascii="Arial" w:cs="Arial" w:eastAsia="Arial" w:hAnsi="Arial"/>
                  <w:sz w:val="18"/>
                  <w:szCs w:val="18"/>
                  <w:color w:val="0563C1"/>
                </w:rPr>
                <w:t>Certifications of Chief Financial Officer Pursuant to Section 906 of the Sarbanes Oxley Act of 2002.</w:t>
              </w:r>
            </w:hyperlink>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100" w:type="dxa"/>
            <w:vAlign w:val="bottom"/>
            <w:shd w:val="clear" w:color="auto" w:fill="0563C1"/>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1420" w:type="dxa"/>
            <w:vAlign w:val="bottom"/>
            <w:shd w:val="clear" w:color="auto" w:fill="0563C1"/>
          </w:tcPr>
          <w:p>
            <w:pPr>
              <w:spacing w:after="0"/>
              <w:rPr>
                <w:sz w:val="2"/>
                <w:szCs w:val="2"/>
                <w:color w:val="auto"/>
              </w:rPr>
            </w:pPr>
          </w:p>
        </w:tc>
        <w:tc>
          <w:tcPr>
            <w:tcW w:w="4340" w:type="dxa"/>
            <w:vAlign w:val="bottom"/>
            <w:shd w:val="clear" w:color="auto" w:fill="0563C1"/>
          </w:tcPr>
          <w:p>
            <w:pPr>
              <w:spacing w:after="0"/>
              <w:rPr>
                <w:sz w:val="2"/>
                <w:szCs w:val="2"/>
                <w:color w:val="auto"/>
              </w:rPr>
            </w:pPr>
          </w:p>
        </w:tc>
        <w:tc>
          <w:tcPr>
            <w:tcW w:w="120" w:type="dxa"/>
            <w:vAlign w:val="bottom"/>
            <w:shd w:val="clear" w:color="auto" w:fill="0563C1"/>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120" w:type="dxa"/>
            <w:vAlign w:val="bottom"/>
            <w:tcBorders>
              <w:left w:val="single" w:sz="8" w:color="0563C1"/>
            </w:tcBorders>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61"/>
        </w:trPr>
        <w:tc>
          <w:tcPr>
            <w:tcW w:w="500" w:type="dxa"/>
            <w:vAlign w:val="bottom"/>
            <w:gridSpan w:val="3"/>
            <w:shd w:val="clear" w:color="auto" w:fill="CCEEFF"/>
          </w:tcPr>
          <w:p>
            <w:pPr>
              <w:spacing w:after="0" w:line="161" w:lineRule="exact"/>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7"/>
            <w:shd w:val="clear" w:color="auto" w:fill="CCEEFF"/>
          </w:tcPr>
          <w:p>
            <w:pPr>
              <w:spacing w:after="0" w:line="161" w:lineRule="exact"/>
              <w:rPr>
                <w:sz w:val="20"/>
                <w:szCs w:val="20"/>
                <w:color w:val="auto"/>
              </w:rPr>
            </w:pPr>
            <w:r>
              <w:rPr>
                <w:rFonts w:ascii="Arial" w:cs="Arial" w:eastAsia="Arial" w:hAnsi="Arial"/>
                <w:sz w:val="18"/>
                <w:szCs w:val="18"/>
                <w:color w:val="auto"/>
                <w:w w:val="92"/>
              </w:rPr>
              <w:t>The following financial statements from the Quarterly Report on Form 10-Q for the quarter ended June 30, 2021 are formatted in iXBRL</w:t>
            </w:r>
          </w:p>
        </w:tc>
      </w:tr>
      <w:tr>
        <w:trPr>
          <w:trHeight w:val="189"/>
        </w:trPr>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2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auto"/>
                <w:w w:val="96"/>
              </w:rPr>
              <w:t>(Inline eXtensible Business Reporting Language): (i) Consolidated Balance Sheets, (ii) Consolidated Statements of Operations, (iii)</w:t>
            </w:r>
          </w:p>
        </w:tc>
      </w:tr>
      <w:tr>
        <w:trPr>
          <w:trHeight w:val="189"/>
        </w:trPr>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20" w:type="dxa"/>
            <w:vAlign w:val="bottom"/>
            <w:gridSpan w:val="17"/>
            <w:shd w:val="clear" w:color="auto" w:fill="CCEEFF"/>
          </w:tcPr>
          <w:p>
            <w:pPr>
              <w:spacing w:after="0" w:line="189" w:lineRule="exact"/>
              <w:rPr>
                <w:sz w:val="20"/>
                <w:szCs w:val="20"/>
                <w:color w:val="auto"/>
              </w:rPr>
            </w:pPr>
            <w:r>
              <w:rPr>
                <w:rFonts w:ascii="Arial" w:cs="Arial" w:eastAsia="Arial" w:hAnsi="Arial"/>
                <w:sz w:val="18"/>
                <w:szCs w:val="18"/>
                <w:color w:val="auto"/>
                <w:w w:val="96"/>
              </w:rPr>
              <w:t>Consolidated Statements of Comprehensive Income (Loss), (iv) Consolidated Statements of Stockholders’ Equity, (v) Consolidated</w:t>
            </w:r>
          </w:p>
        </w:tc>
      </w:tr>
      <w:tr>
        <w:trPr>
          <w:trHeight w:val="217"/>
        </w:trPr>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2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Statements of Cash Flows, and (vi) the Notes to Consolidated Financial Statements.</w:t>
            </w: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20" w:type="dxa"/>
            <w:vAlign w:val="bottom"/>
            <w:gridSpan w:val="1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20" w:lineRule="exact"/>
        <w:rPr>
          <w:sz w:val="20"/>
          <w:szCs w:val="20"/>
          <w:color w:val="auto"/>
        </w:rPr>
      </w:pPr>
    </w:p>
    <w:p>
      <w:pPr>
        <w:ind w:right="7560" w:firstLine="8"/>
        <w:spacing w:after="0" w:line="228" w:lineRule="auto"/>
        <w:tabs>
          <w:tab w:leader="none" w:pos="1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compensatory plan or arrangement. ** Filed herewith</w:t>
      </w: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6300" w:type="dxa"/>
            <w:vAlign w:val="bottom"/>
            <w:gridSpan w:val="2"/>
          </w:tcPr>
          <w:p>
            <w:pPr>
              <w:ind w:left="2060"/>
              <w:spacing w:after="0"/>
              <w:rPr>
                <w:sz w:val="20"/>
                <w:szCs w:val="20"/>
                <w:color w:val="auto"/>
              </w:rPr>
            </w:pPr>
            <w:r>
              <w:rPr>
                <w:rFonts w:ascii="Arial" w:cs="Arial" w:eastAsia="Arial" w:hAnsi="Arial"/>
                <w:sz w:val="18"/>
                <w:szCs w:val="18"/>
                <w:b w:val="1"/>
                <w:bCs w:val="1"/>
                <w:color w:val="auto"/>
              </w:rPr>
              <w:t>TILE SHOP HOLDINGS, INC.</w:t>
            </w:r>
          </w:p>
        </w:tc>
      </w:tr>
      <w:tr>
        <w:trPr>
          <w:trHeight w:val="364"/>
        </w:trPr>
        <w:tc>
          <w:tcPr>
            <w:tcW w:w="3580" w:type="dxa"/>
            <w:vAlign w:val="bottom"/>
          </w:tcPr>
          <w:p>
            <w:pPr>
              <w:spacing w:after="0"/>
              <w:rPr>
                <w:sz w:val="20"/>
                <w:szCs w:val="20"/>
                <w:color w:val="auto"/>
              </w:rPr>
            </w:pPr>
            <w:r>
              <w:rPr>
                <w:rFonts w:ascii="Arial" w:cs="Arial" w:eastAsia="Arial" w:hAnsi="Arial"/>
                <w:sz w:val="18"/>
                <w:szCs w:val="18"/>
                <w:color w:val="auto"/>
              </w:rPr>
              <w:t>Dated: August 5, 2021</w:t>
            </w:r>
          </w:p>
        </w:tc>
        <w:tc>
          <w:tcPr>
            <w:tcW w:w="6300" w:type="dxa"/>
            <w:vAlign w:val="bottom"/>
            <w:gridSpan w:val="2"/>
          </w:tcPr>
          <w:p>
            <w:pPr>
              <w:ind w:left="2060"/>
              <w:spacing w:after="0"/>
              <w:rPr>
                <w:sz w:val="20"/>
                <w:szCs w:val="20"/>
                <w:color w:val="auto"/>
              </w:rPr>
            </w:pPr>
            <w:r>
              <w:rPr>
                <w:rFonts w:ascii="Arial" w:cs="Arial" w:eastAsia="Arial" w:hAnsi="Arial"/>
                <w:sz w:val="18"/>
                <w:szCs w:val="18"/>
                <w:color w:val="auto"/>
              </w:rPr>
              <w:t>By: /s/ CABELL H. LOLMAUGH</w:t>
            </w:r>
          </w:p>
        </w:tc>
      </w:tr>
      <w:tr>
        <w:trPr>
          <w:trHeight w:val="155"/>
        </w:trPr>
        <w:tc>
          <w:tcPr>
            <w:tcW w:w="3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9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Cabell H. Lolmaugh</w:t>
            </w:r>
          </w:p>
        </w:tc>
      </w:tr>
      <w:tr>
        <w:trPr>
          <w:trHeight w:val="230"/>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78"/>
        </w:trPr>
        <w:tc>
          <w:tcPr>
            <w:tcW w:w="3580" w:type="dxa"/>
            <w:vAlign w:val="bottom"/>
          </w:tcPr>
          <w:p>
            <w:pPr>
              <w:spacing w:after="0"/>
              <w:rPr>
                <w:sz w:val="20"/>
                <w:szCs w:val="20"/>
                <w:color w:val="auto"/>
              </w:rPr>
            </w:pPr>
            <w:r>
              <w:rPr>
                <w:rFonts w:ascii="Arial" w:cs="Arial" w:eastAsia="Arial" w:hAnsi="Arial"/>
                <w:sz w:val="18"/>
                <w:szCs w:val="18"/>
                <w:color w:val="auto"/>
              </w:rPr>
              <w:t>Dated: August 5, 2021</w:t>
            </w:r>
          </w:p>
        </w:tc>
        <w:tc>
          <w:tcPr>
            <w:tcW w:w="6300" w:type="dxa"/>
            <w:vAlign w:val="bottom"/>
            <w:gridSpan w:val="2"/>
          </w:tcPr>
          <w:p>
            <w:pPr>
              <w:ind w:left="2060"/>
              <w:spacing w:after="0"/>
              <w:rPr>
                <w:sz w:val="20"/>
                <w:szCs w:val="20"/>
                <w:color w:val="auto"/>
              </w:rPr>
            </w:pPr>
            <w:r>
              <w:rPr>
                <w:rFonts w:ascii="Arial" w:cs="Arial" w:eastAsia="Arial" w:hAnsi="Arial"/>
                <w:sz w:val="18"/>
                <w:szCs w:val="18"/>
                <w:color w:val="auto"/>
              </w:rPr>
              <w:t>By: /s/ NANCY DIMATTIA</w:t>
            </w:r>
          </w:p>
        </w:tc>
      </w:tr>
      <w:tr>
        <w:trPr>
          <w:trHeight w:val="155"/>
        </w:trPr>
        <w:tc>
          <w:tcPr>
            <w:tcW w:w="3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9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Nancy DiMattia</w:t>
            </w:r>
          </w:p>
        </w:tc>
      </w:tr>
      <w:tr>
        <w:trPr>
          <w:trHeight w:val="230"/>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27"/>
        </w:trPr>
        <w:tc>
          <w:tcPr>
            <w:tcW w:w="3580" w:type="dxa"/>
            <w:vAlign w:val="bottom"/>
          </w:tcPr>
          <w:p>
            <w:pPr>
              <w:spacing w:after="0"/>
              <w:rPr>
                <w:sz w:val="24"/>
                <w:szCs w:val="24"/>
                <w:color w:val="auto"/>
              </w:rPr>
            </w:pPr>
          </w:p>
        </w:tc>
        <w:tc>
          <w:tcPr>
            <w:tcW w:w="2380" w:type="dxa"/>
            <w:vAlign w:val="bottom"/>
          </w:tcPr>
          <w:p>
            <w:pPr>
              <w:jc w:val="right"/>
              <w:ind w:right="170"/>
              <w:spacing w:after="0"/>
              <w:rPr>
                <w:sz w:val="20"/>
                <w:szCs w:val="20"/>
                <w:color w:val="auto"/>
              </w:rPr>
            </w:pPr>
            <w:r>
              <w:rPr>
                <w:rFonts w:ascii="Arial" w:cs="Arial" w:eastAsia="Arial" w:hAnsi="Arial"/>
                <w:sz w:val="18"/>
                <w:szCs w:val="18"/>
                <w:color w:val="auto"/>
              </w:rPr>
              <w:t>31</w:t>
            </w:r>
          </w:p>
        </w:tc>
        <w:tc>
          <w:tcPr>
            <w:tcW w:w="3920" w:type="dxa"/>
            <w:vAlign w:val="bottom"/>
          </w:tcPr>
          <w:p>
            <w:pPr>
              <w:spacing w:after="0"/>
              <w:rPr>
                <w:sz w:val="24"/>
                <w:szCs w:val="24"/>
                <w:color w:val="auto"/>
              </w:rPr>
            </w:pPr>
          </w:p>
        </w:tc>
      </w:tr>
    </w:tbl>
    <w:p>
      <w:pPr>
        <w:sectPr>
          <w:pgSz w:w="11900" w:h="16838" w:orient="portrait"/>
          <w:cols w:equalWidth="0" w:num="1">
            <w:col w:w="11200"/>
          </w:cols>
          <w:pgMar w:left="320" w:top="108" w:right="379" w:bottom="1440" w:gutter="0" w:footer="0" w:header="0"/>
        </w:sectPr>
      </w:pPr>
    </w:p>
    <w:bookmarkStart w:id="31" w:name="page32"/>
    <w:bookmarkEnd w:id="31"/>
    <w:p>
      <w:pPr>
        <w:jc w:val="right"/>
        <w:ind w:right="19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80" w:right="2199" w:firstLine="1998"/>
        <w:spacing w:after="0" w:line="409" w:lineRule="auto"/>
        <w:rPr>
          <w:sz w:val="20"/>
          <w:szCs w:val="20"/>
          <w:color w:val="auto"/>
        </w:rPr>
      </w:pPr>
      <w:r>
        <w:rPr>
          <w:rFonts w:ascii="Arial" w:cs="Arial" w:eastAsia="Arial" w:hAnsi="Arial"/>
          <w:sz w:val="18"/>
          <w:szCs w:val="18"/>
          <w:b w:val="1"/>
          <w:bCs w:val="1"/>
          <w:color w:val="auto"/>
        </w:rPr>
        <w:t xml:space="preserve">302 CERTIFICATION OF CHIEF EXECUTIVE OFFICER </w:t>
      </w:r>
      <w:r>
        <w:rPr>
          <w:rFonts w:ascii="Arial" w:cs="Arial" w:eastAsia="Arial" w:hAnsi="Arial"/>
          <w:sz w:val="18"/>
          <w:szCs w:val="18"/>
          <w:color w:val="auto"/>
        </w:rPr>
        <w:t>I, Cabell H. Lolmaugh, certify that:</w:t>
      </w:r>
    </w:p>
    <w:p>
      <w:pPr>
        <w:spacing w:after="0" w:line="1" w:lineRule="exact"/>
        <w:rPr>
          <w:sz w:val="20"/>
          <w:szCs w:val="20"/>
          <w:color w:val="auto"/>
        </w:rPr>
      </w:pPr>
    </w:p>
    <w:p>
      <w:pPr>
        <w:ind w:left="500" w:hanging="31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20" w:right="239" w:hanging="312"/>
        <w:spacing w:after="0" w:line="219"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20" w:right="219" w:hanging="312"/>
        <w:spacing w:after="0" w:line="219"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20" w:right="399" w:hanging="312"/>
        <w:spacing w:after="0" w:line="224"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20" w:right="319" w:hanging="312"/>
        <w:spacing w:after="0" w:line="219"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20" w:right="499" w:hanging="312"/>
        <w:spacing w:after="0" w:line="224"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20" w:right="299" w:hanging="312"/>
        <w:spacing w:after="0" w:line="235" w:lineRule="auto"/>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2" w:name="page33"/>
    <w:bookmarkEnd w:id="32"/>
    <w:p>
      <w:pPr>
        <w:jc w:val="right"/>
        <w:ind w:right="19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180" w:right="2219" w:firstLine="2023"/>
        <w:spacing w:after="0" w:line="409" w:lineRule="auto"/>
        <w:rPr>
          <w:sz w:val="20"/>
          <w:szCs w:val="20"/>
          <w:color w:val="auto"/>
        </w:rPr>
      </w:pPr>
      <w:r>
        <w:rPr>
          <w:rFonts w:ascii="Arial" w:cs="Arial" w:eastAsia="Arial" w:hAnsi="Arial"/>
          <w:sz w:val="18"/>
          <w:szCs w:val="18"/>
          <w:b w:val="1"/>
          <w:bCs w:val="1"/>
          <w:color w:val="auto"/>
        </w:rPr>
        <w:t xml:space="preserve">302 CERTIFICATION OF CHIEF FINANCIAL OFFICER </w:t>
      </w:r>
      <w:r>
        <w:rPr>
          <w:rFonts w:ascii="Arial" w:cs="Arial" w:eastAsia="Arial" w:hAnsi="Arial"/>
          <w:sz w:val="18"/>
          <w:szCs w:val="18"/>
          <w:color w:val="auto"/>
        </w:rPr>
        <w:t>I, Nancy DiMattia, certify that:</w:t>
      </w:r>
    </w:p>
    <w:p>
      <w:pPr>
        <w:spacing w:after="0" w:line="1" w:lineRule="exact"/>
        <w:rPr>
          <w:sz w:val="20"/>
          <w:szCs w:val="20"/>
          <w:color w:val="auto"/>
        </w:rPr>
      </w:pPr>
    </w:p>
    <w:p>
      <w:pPr>
        <w:ind w:left="500" w:hanging="316"/>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20" w:right="239" w:hanging="312"/>
        <w:spacing w:after="0" w:line="219"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20" w:right="219" w:hanging="312"/>
        <w:spacing w:after="0" w:line="219"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20" w:right="399" w:hanging="312"/>
        <w:spacing w:after="0" w:line="224"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20" w:right="319" w:hanging="312"/>
        <w:spacing w:after="0" w:line="219"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20" w:right="499" w:hanging="312"/>
        <w:spacing w:after="0" w:line="224"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20" w:right="299" w:hanging="312"/>
        <w:spacing w:after="0" w:line="235"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7"/>
          <w:szCs w:val="17"/>
          <w:color w:val="auto"/>
        </w:rPr>
        <w:t>/s/ Nancy DiMattia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Nancy DiMattia,</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3" w:name="page34"/>
    <w:bookmarkEnd w:id="33"/>
    <w:p>
      <w:pPr>
        <w:jc w:val="right"/>
        <w:ind w:right="199"/>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ind w:left="180" w:right="31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Cabell H. Lolmaugh, the Chief Executive Officer of Tile Shop Holdings, Inc. (the “Company”), hereby certify that the Quarterly Report on Form 10-Q of the Company for the period ended June 30, 2021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4" w:name="page35"/>
    <w:bookmarkEnd w:id="34"/>
    <w:p>
      <w:pPr>
        <w:jc w:val="right"/>
        <w:ind w:right="199"/>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ind w:left="180" w:right="45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Nancy DiMattia, the Chief Financial Officer of Tile Shop Holdings, Inc. (the “Company”), hereby certify that the Quarterly Report on Form 10-Q of the Company for the period ended June 30, 2021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7"/>
          <w:szCs w:val="17"/>
          <w:color w:val="auto"/>
        </w:rPr>
        <w:t>/s/ Nancy DiMattia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Nancy DiMattia,</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upperLetter"/>
      <w:start w:val="1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4"/>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43" Type="http://schemas.openxmlformats.org/officeDocument/2006/relationships/hyperlink" Target="http://www.sec.gov/Archives/edgar/data/1552800/000114420412037509/v316486_ex3-1.htm" TargetMode="External"/><Relationship Id="rId44" Type="http://schemas.openxmlformats.org/officeDocument/2006/relationships/hyperlink" Target="http://www.sec.gov/Archives/edgar/data/1552800/000110465921094416/tm2122262d1_ex3-2.htm" TargetMode="External"/><Relationship Id="rId45" Type="http://schemas.openxmlformats.org/officeDocument/2006/relationships/hyperlink" Target="http://www.sec.gov/Archives/edgar/data/1552800/000114420412037509/v316486_ex3-2.htm" TargetMode="External"/><Relationship Id="rId46" Type="http://schemas.openxmlformats.org/officeDocument/2006/relationships/hyperlink" Target="http://www.sec.gov/Archives/edgar/data/1552800/000110465921094416/tm2122262d1_ex10-1.htm" TargetMode="External"/><Relationship Id="rId47" Type="http://schemas.openxmlformats.org/officeDocument/2006/relationships/hyperlink" Target="http://www.sec.gov/Archives/edgar/data/1552800/000110465921094416/tm2122262d1_ex10-2.htm" TargetMode="External"/><Relationship Id="rId48" Type="http://schemas.openxmlformats.org/officeDocument/2006/relationships/hyperlink" Target="http://www.sec.gov/Archives/edgar/data/1552800/000110465921094416/tm2122262d1_ex10-3.htm" TargetMode="External"/><Relationship Id="rId49" Type="http://schemas.openxmlformats.org/officeDocument/2006/relationships/hyperlink" Target="http://www.sec.gov/Archives/edgar/data/1552800/000110465921094416/tm2122262d1_ex10-4.htm" TargetMode="External"/><Relationship Id="rId50" Type="http://schemas.openxmlformats.org/officeDocument/2006/relationships/hyperlink" Target="http://www.sec.gov/Archives/edgar/data/1552800/000110465921094416/tm2122262d1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2021-08-05T16:24:15Z</dcterms:created>
  <dcterms:modified xsi:type="dcterms:W3CDTF">2021-08-05T16:24:15Z</dcterms:modified>
</cp:coreProperties>
</file>