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caps w:val="false"/>
          <w:smallCaps w:val="false"/>
        </w:rPr>
      </w:pPr>
      <w:bookmarkStart w:id="0" w:name="ttsh-20240930x10q.htm"/>
      <w:bookmarkStart w:id="1" w:name="ksttsh20240930x10q"/>
      <w:bookmarkEnd w:id="0"/>
      <w:bookmarkEnd w:id="1"/>
      <w:r>
        <w:rPr>
          <w:caps w:val="false"/>
          <w:smallCaps w:val="false"/>
        </w:rPr>
        <w:t> </w:t>
      </w:r>
    </w:p>
    <w:tbl>
      <w:tblPr>
        <w:tblW w:w="169" w:type="dxa"/>
        <w:jc w:val="left"/>
        <w:tblInd w:w="0" w:type="dxa"/>
        <w:tblLayout w:type="fixed"/>
        <w:tblCellMar>
          <w:top w:w="28" w:type="dxa"/>
          <w:left w:w="0" w:type="dxa"/>
          <w:bottom w:w="0" w:type="dxa"/>
          <w:right w:w="0" w:type="dxa"/>
        </w:tblCellMar>
      </w:tblPr>
      <w:tblGrid>
        <w:gridCol w:w="169"/>
      </w:tblGrid>
      <w:tr>
        <w:trPr/>
        <w:tc>
          <w:tcPr>
            <w:tcW w:w="169" w:type="dxa"/>
            <w:tcBorders>
              <w:top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UNITED STATES</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SECURITIES AND EXCHANGE COMMISSION</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FORM 10-Q</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QUARTERLY REPORT PURSUANT TO SECTION 13 OR 15(d) OF THE SECURITIES EXCHANGE ACT OF 1934</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quarterly period ended September 30, 2024</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TRANSITION REPORT PURSUANT TO SECTION 13 OR 15(d) OF THE SECURITIES EXCHANGE ACT OF 1934</w:t>
            </w:r>
          </w:p>
        </w:tc>
      </w:tr>
    </w:tbl>
    <w:p>
      <w:pPr>
        <w:pStyle w:val="TextBody"/>
        <w:bidi w:val="0"/>
        <w:spacing w:lineRule="auto" w:line="259"/>
        <w:rPr/>
      </w:pPr>
      <w:r>
        <w:rPr>
          <w:caps w:val="false"/>
          <w:smallCaps w:val="false"/>
        </w:rPr>
        <w:t> </w:t>
      </w:r>
      <w:r>
        <w:rPr>
          <w:rFonts w:ascii="Times New Roman;serif" w:hAnsi="Times New Roman;serif"/>
          <w:b/>
          <w:i w:val="false"/>
          <w:caps w:val="false"/>
          <w:smallCaps w:val="false"/>
          <w:sz w:val="20"/>
        </w:rPr>
        <w:t xml:space="preserve">For the transition period from – to –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Commission file number: 001-35629</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TILE SHOP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(Exact name of registrant as specified in its charter)</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tbl>
      <w:tblPr>
        <w:tblW w:w="8372" w:type="dxa"/>
        <w:jc w:val="left"/>
        <w:tblInd w:w="0" w:type="dxa"/>
        <w:tblLayout w:type="fixed"/>
        <w:tblCellMar>
          <w:top w:w="0" w:type="dxa"/>
          <w:left w:w="0" w:type="dxa"/>
          <w:bottom w:w="0" w:type="dxa"/>
          <w:right w:w="0" w:type="dxa"/>
        </w:tblCellMar>
      </w:tblPr>
      <w:tblGrid>
        <w:gridCol w:w="5236"/>
        <w:gridCol w:w="3136"/>
      </w:tblGrid>
      <w:tr>
        <w:trPr/>
        <w:tc>
          <w:tcPr>
            <w:tcW w:w="523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523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Delaware</w:t>
            </w:r>
            <w:r>
              <w:rPr>
                <w:rFonts w:ascii="Times New Roman;serif" w:hAnsi="Times New Roman;serif"/>
                <w:caps w:val="false"/>
                <w:smallCaps w:val="false"/>
                <w:sz w:val="20"/>
              </w:rPr>
              <w:t>  </w:t>
            </w:r>
          </w:p>
        </w:tc>
        <w:tc>
          <w:tcPr>
            <w:tcW w:w="31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45-5538095</w:t>
            </w:r>
          </w:p>
        </w:tc>
      </w:tr>
      <w:tr>
        <w:trPr/>
        <w:tc>
          <w:tcPr>
            <w:tcW w:w="52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(State or other jurisdiction of incorporation or organization)</w:t>
            </w:r>
          </w:p>
        </w:tc>
        <w:tc>
          <w:tcPr>
            <w:tcW w:w="31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(I.R.S. Employer Identification No.)</w:t>
            </w:r>
          </w:p>
        </w:tc>
      </w:tr>
    </w:tbl>
    <w:tbl>
      <w:tblPr>
        <w:tblW w:w="4517" w:type="dxa"/>
        <w:jc w:val="left"/>
        <w:tblInd w:w="0" w:type="dxa"/>
        <w:tblLayout w:type="fixed"/>
        <w:tblCellMar>
          <w:top w:w="0" w:type="dxa"/>
          <w:left w:w="0" w:type="dxa"/>
          <w:bottom w:w="0" w:type="dxa"/>
          <w:right w:w="0" w:type="dxa"/>
        </w:tblCellMar>
      </w:tblPr>
      <w:tblGrid>
        <w:gridCol w:w="3466"/>
        <w:gridCol w:w="1051"/>
      </w:tblGrid>
      <w:tr>
        <w:trPr/>
        <w:tc>
          <w:tcPr>
            <w:tcW w:w="346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14000 Carlson Parkway</w:t>
            </w:r>
          </w:p>
        </w:tc>
        <w:tc>
          <w:tcPr>
            <w:tcW w:w="105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346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Plymouth, Minnesota</w:t>
            </w:r>
            <w:r>
              <w:rPr>
                <w:rFonts w:ascii="Times New Roman;serif" w:hAnsi="Times New Roman;serif"/>
                <w:caps w:val="false"/>
                <w:smallCaps w:val="false"/>
                <w:sz w:val="20"/>
              </w:rPr>
              <w:t> </w:t>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55441</w:t>
            </w:r>
          </w:p>
        </w:tc>
      </w:tr>
      <w:tr>
        <w:trPr/>
        <w:tc>
          <w:tcPr>
            <w:tcW w:w="346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(Address of principal executive offices)  </w:t>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(Zip Code)</w:t>
            </w:r>
          </w:p>
        </w:tc>
      </w:tr>
    </w:tbl>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(763) 852-2950</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(Registrant’s telephone number, including area code)</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Securities registered pursuant to Section 12(b) of the Act:</w:t>
      </w:r>
    </w:p>
    <w:tbl>
      <w:tblPr>
        <w:tblW w:w="7968" w:type="dxa"/>
        <w:jc w:val="left"/>
        <w:tblInd w:w="0" w:type="dxa"/>
        <w:tblLayout w:type="fixed"/>
        <w:tblCellMar>
          <w:top w:w="0" w:type="dxa"/>
          <w:left w:w="0" w:type="dxa"/>
          <w:bottom w:w="0" w:type="dxa"/>
          <w:right w:w="0" w:type="dxa"/>
        </w:tblCellMar>
      </w:tblPr>
      <w:tblGrid>
        <w:gridCol w:w="2641"/>
        <w:gridCol w:w="1621"/>
        <w:gridCol w:w="3706"/>
      </w:tblGrid>
      <w:tr>
        <w:trPr/>
        <w:tc>
          <w:tcPr>
            <w:tcW w:w="264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6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Title of each class</w:t>
            </w:r>
          </w:p>
        </w:tc>
        <w:tc>
          <w:tcPr>
            <w:tcW w:w="16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Trading Symbol(s)</w:t>
            </w:r>
          </w:p>
        </w:tc>
        <w:tc>
          <w:tcPr>
            <w:tcW w:w="37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Name of each exchange on which registered</w:t>
            </w:r>
          </w:p>
        </w:tc>
      </w:tr>
      <w:tr>
        <w:trPr/>
        <w:tc>
          <w:tcPr>
            <w:tcW w:w="2641"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Common Stock, $0.0001 par value</w:t>
            </w:r>
          </w:p>
        </w:tc>
        <w:tc>
          <w:tcPr>
            <w:tcW w:w="1621"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TTSH</w:t>
            </w:r>
          </w:p>
        </w:tc>
        <w:tc>
          <w:tcPr>
            <w:tcW w:w="370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The Nasdaq</w:t>
            </w:r>
            <w:r>
              <w:rPr>
                <w:rFonts w:ascii="Times New Roman;serif" w:hAnsi="Times New Roman;serif"/>
                <w:caps w:val="false"/>
                <w:smallCaps w:val="false"/>
                <w:sz w:val="16"/>
              </w:rPr>
              <w:t xml:space="preserve"> </w:t>
            </w:r>
            <w:r>
              <w:rPr>
                <w:rFonts w:ascii="Times New Roman;serif" w:hAnsi="Times New Roman;serif"/>
                <w:b/>
                <w:i w:val="false"/>
                <w:caps w:val="false"/>
                <w:smallCaps w:val="false"/>
                <w:sz w:val="16"/>
              </w:rPr>
              <w:t>Stock Market LLC</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Large accelerated filer</w:t>
            </w:r>
          </w:p>
        </w:tc>
        <w:tc>
          <w:tcPr>
            <w:tcW w:w="316"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23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Accelerated filer</w:t>
            </w:r>
          </w:p>
        </w:tc>
        <w:tc>
          <w:tcPr>
            <w:tcW w:w="361"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Non-accelerated filer</w:t>
            </w:r>
          </w:p>
        </w:tc>
        <w:tc>
          <w:tcPr>
            <w:tcW w:w="316"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23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Smaller reporting company</w:t>
            </w:r>
          </w:p>
        </w:tc>
        <w:tc>
          <w:tcPr>
            <w:tcW w:w="361"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r>
      <w:tr>
        <w:trPr/>
        <w:tc>
          <w:tcPr>
            <w:tcW w:w="2237" w:type="dxa"/>
            <w:gridSpan w:val="2"/>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Emerging growth company</w:t>
            </w:r>
          </w:p>
        </w:tc>
        <w:tc>
          <w:tcPr>
            <w:tcW w:w="361" w:type="dxa"/>
            <w:tcBorders/>
            <w:vAlign w:val="center"/>
          </w:tcPr>
          <w:p>
            <w:pPr>
              <w:pStyle w:val="TableContents"/>
              <w:bidi w:val="0"/>
              <w:spacing w:lineRule="auto" w:line="259" w:before="0" w:after="283"/>
              <w:jc w:val="left"/>
              <w:rPr>
                <w:caps w:val="false"/>
                <w:smallCaps w:val="false"/>
              </w:rPr>
            </w:pPr>
            <w:r>
              <w:rPr>
                <w:caps w:val="false"/>
                <w:smallCaps w:val="false"/>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is a shell company (as defined in Rule 12b-2 of the Exchange Act).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November 4, 2024, there were 44,658,610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the registrant’s common stock, par value $0.0001 per share, outstanding.</w:t>
      </w:r>
    </w:p>
    <w:tbl>
      <w:tblPr>
        <w:tblW w:w="169" w:type="dxa"/>
        <w:jc w:val="left"/>
        <w:tblInd w:w="0" w:type="dxa"/>
        <w:tblLayout w:type="fixed"/>
        <w:tblCellMar>
          <w:top w:w="28" w:type="dxa"/>
          <w:left w:w="0" w:type="dxa"/>
          <w:bottom w:w="0" w:type="dxa"/>
          <w:right w:w="0" w:type="dxa"/>
        </w:tblCellMar>
      </w:tblPr>
      <w:tblGrid>
        <w:gridCol w:w="169"/>
      </w:tblGrid>
      <w:tr>
        <w:trPr/>
        <w:tc>
          <w:tcPr>
            <w:tcW w:w="169" w:type="dxa"/>
            <w:tcBorders>
              <w:top w:val="single" w:sz="8"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TIL</w:t>
      </w:r>
      <w:bookmarkStart w:id="2" w:name="TableOfContents"/>
      <w:bookmarkEnd w:id="2"/>
      <w:r>
        <w:rPr>
          <w:rFonts w:ascii="Times New Roman;serif" w:hAnsi="Times New Roman;serif"/>
          <w:b/>
          <w:i w:val="false"/>
          <w:caps w:val="false"/>
          <w:smallCaps w:val="false"/>
          <w:sz w:val="20"/>
        </w:rPr>
        <w:t>E SHOP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Table of Contents</w:t>
      </w:r>
    </w:p>
    <w:p>
      <w:pPr>
        <w:pStyle w:val="TextBody"/>
        <w:bidi w:val="0"/>
        <w:spacing w:lineRule="auto" w:line="259"/>
        <w:rPr>
          <w:caps w:val="false"/>
          <w:smallCaps w:val="false"/>
        </w:rPr>
      </w:pPr>
      <w:r>
        <w:rPr>
          <w:caps w:val="false"/>
          <w:smallCaps w:val="false"/>
        </w:rPr>
        <w:t> </w:t>
      </w:r>
    </w:p>
    <w:tbl>
      <w:tblPr>
        <w:tblW w:w="8857" w:type="dxa"/>
        <w:jc w:val="left"/>
        <w:tblInd w:w="0" w:type="dxa"/>
        <w:tblLayout w:type="fixed"/>
        <w:tblCellMar>
          <w:top w:w="0" w:type="dxa"/>
          <w:left w:w="0" w:type="dxa"/>
          <w:bottom w:w="0" w:type="dxa"/>
          <w:right w:w="0" w:type="dxa"/>
        </w:tblCellMar>
      </w:tblPr>
      <w:tblGrid>
        <w:gridCol w:w="811"/>
        <w:gridCol w:w="7366"/>
        <w:gridCol w:w="109"/>
        <w:gridCol w:w="571"/>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7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7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Page</w:t>
            </w:r>
          </w:p>
        </w:tc>
      </w:tr>
      <w:tr>
        <w:trPr/>
        <w:tc>
          <w:tcPr>
            <w:tcW w:w="8177" w:type="dxa"/>
            <w:gridSpan w:val="2"/>
            <w:tcBorders/>
            <w:shd w:fill="CCEEFF" w:val="clear"/>
            <w:vAlign w:val="center"/>
          </w:tcPr>
          <w:p>
            <w:pPr>
              <w:pStyle w:val="TableContents"/>
              <w:bidi w:val="0"/>
              <w:spacing w:lineRule="auto" w:line="259" w:before="0" w:after="283"/>
              <w:jc w:val="left"/>
              <w:rPr/>
            </w:pPr>
            <w:hyperlink w:anchor="PartI">
              <w:r>
                <w:rPr>
                  <w:rStyle w:val="InternetLink"/>
                  <w:rFonts w:ascii="Times New Roman;serif" w:hAnsi="Times New Roman;serif"/>
                  <w:b/>
                  <w:i w:val="false"/>
                  <w:caps w:val="false"/>
                  <w:smallCaps w:val="false"/>
                  <w:color w:val="0563C1"/>
                  <w:sz w:val="20"/>
                  <w:u w:val="single"/>
                </w:rPr>
                <w:t>PART I. FINANCIAL INFORMATION</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uto" w:line="259" w:before="0" w:after="283"/>
              <w:jc w:val="left"/>
              <w:rPr/>
            </w:pPr>
            <w:hyperlink w:anchor="FinancialStatements">
              <w:r>
                <w:rPr>
                  <w:rStyle w:val="InternetLink"/>
                  <w:rFonts w:ascii="Times New Roman;serif" w:hAnsi="Times New Roman;serif"/>
                  <w:b w:val="false"/>
                  <w:i w:val="false"/>
                  <w:caps w:val="false"/>
                  <w:smallCaps w:val="false"/>
                  <w:color w:val="0563C1"/>
                  <w:sz w:val="20"/>
                  <w:u w:val="single"/>
                </w:rPr>
                <w:t>Item 1.</w:t>
              </w:r>
            </w:hyperlink>
          </w:p>
        </w:tc>
        <w:tc>
          <w:tcPr>
            <w:tcW w:w="7366" w:type="dxa"/>
            <w:tcBorders/>
            <w:vAlign w:val="center"/>
          </w:tcPr>
          <w:p>
            <w:pPr>
              <w:pStyle w:val="TableContents"/>
              <w:bidi w:val="0"/>
              <w:spacing w:lineRule="auto" w:line="259" w:before="0" w:after="283"/>
              <w:jc w:val="left"/>
              <w:rPr/>
            </w:pPr>
            <w:hyperlink w:anchor="FinancialStatements">
              <w:r>
                <w:rPr>
                  <w:rStyle w:val="InternetLink"/>
                  <w:rFonts w:ascii="Times New Roman;serif" w:hAnsi="Times New Roman;serif"/>
                  <w:b w:val="false"/>
                  <w:i w:val="false"/>
                  <w:caps w:val="false"/>
                  <w:smallCaps w:val="false"/>
                  <w:strike w:val="false"/>
                  <w:dstrike w:val="false"/>
                  <w:color w:val="0563C1"/>
                  <w:sz w:val="20"/>
                  <w:u w:val="single"/>
                  <w:effect w:val="none"/>
                </w:rPr>
                <w:t>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7366" w:type="dxa"/>
            <w:tcBorders/>
            <w:shd w:fill="CCEEFF" w:val="clear"/>
            <w:vAlign w:val="center"/>
          </w:tcPr>
          <w:p>
            <w:pPr>
              <w:pStyle w:val="TableContents"/>
              <w:bidi w:val="0"/>
              <w:spacing w:lineRule="auto" w:line="259" w:before="0" w:after="283"/>
              <w:jc w:val="left"/>
              <w:rPr/>
            </w:pPr>
            <w:hyperlink w:anchor="BS">
              <w:r>
                <w:rPr>
                  <w:rStyle w:val="InternetLink"/>
                  <w:rFonts w:ascii="Times New Roman;serif" w:hAnsi="Times New Roman;serif"/>
                  <w:b w:val="false"/>
                  <w:i w:val="false"/>
                  <w:caps w:val="false"/>
                  <w:smallCaps w:val="false"/>
                  <w:strike w:val="false"/>
                  <w:dstrike w:val="false"/>
                  <w:color w:val="0563C1"/>
                  <w:sz w:val="20"/>
                  <w:u w:val="single"/>
                  <w:effect w:val="none"/>
                </w:rPr>
                <w:t xml:space="preserve">Consolidated Balance Sheets </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lineRule="auto" w:line="259" w:before="0" w:after="283"/>
              <w:jc w:val="left"/>
              <w:rPr/>
            </w:pPr>
            <w:hyperlink w:anchor="IS">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Income</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r>
      <w:tr>
        <w:trPr/>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7366" w:type="dxa"/>
            <w:tcBorders/>
            <w:shd w:fill="CCEEFF" w:val="clear"/>
            <w:vAlign w:val="center"/>
          </w:tcPr>
          <w:p>
            <w:pPr>
              <w:pStyle w:val="TableContents"/>
              <w:bidi w:val="0"/>
              <w:spacing w:lineRule="auto" w:line="259" w:before="0" w:after="283"/>
              <w:jc w:val="left"/>
              <w:rPr/>
            </w:pPr>
            <w:hyperlink w:anchor="CI">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Comprehensive Income</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r>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lineRule="auto" w:line="259" w:before="0" w:after="283"/>
              <w:jc w:val="left"/>
              <w:rPr/>
            </w:pPr>
            <w:hyperlink w:anchor="SE">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Stockholders’ Equity</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r>
      <w:tr>
        <w:trPr/>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7366" w:type="dxa"/>
            <w:tcBorders/>
            <w:shd w:fill="CCEEFF" w:val="clear"/>
            <w:vAlign w:val="center"/>
          </w:tcPr>
          <w:p>
            <w:pPr>
              <w:pStyle w:val="TableContents"/>
              <w:bidi w:val="0"/>
              <w:spacing w:lineRule="auto" w:line="259" w:before="0" w:after="283"/>
              <w:jc w:val="left"/>
              <w:rPr/>
            </w:pPr>
            <w:hyperlink w:anchor="CF">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Cash Flows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lineRule="auto" w:line="259" w:before="0" w:after="283"/>
              <w:jc w:val="left"/>
              <w:rPr/>
            </w:pPr>
            <w:hyperlink w:anchor="Notes">
              <w:r>
                <w:rPr>
                  <w:rStyle w:val="InternetLink"/>
                  <w:rFonts w:ascii="Times New Roman;serif" w:hAnsi="Times New Roman;serif"/>
                  <w:b w:val="false"/>
                  <w:i w:val="false"/>
                  <w:caps w:val="false"/>
                  <w:smallCaps w:val="false"/>
                  <w:strike w:val="false"/>
                  <w:dstrike w:val="false"/>
                  <w:color w:val="0563C1"/>
                  <w:sz w:val="20"/>
                  <w:u w:val="single"/>
                  <w:effect w:val="none"/>
                </w:rPr>
                <w:t>Notes to Consolidated 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r>
      <w:tr>
        <w:trPr/>
        <w:tc>
          <w:tcPr>
            <w:tcW w:w="811" w:type="dxa"/>
            <w:tcBorders/>
            <w:shd w:fill="CCEEFF" w:val="clear"/>
            <w:vAlign w:val="center"/>
          </w:tcPr>
          <w:p>
            <w:pPr>
              <w:pStyle w:val="TableContents"/>
              <w:bidi w:val="0"/>
              <w:spacing w:lineRule="auto" w:line="259" w:before="0" w:after="283"/>
              <w:jc w:val="left"/>
              <w:rPr/>
            </w:pPr>
            <w:hyperlink w:anchor="MDA">
              <w:r>
                <w:rPr>
                  <w:rStyle w:val="InternetLink"/>
                  <w:rFonts w:ascii="Times New Roman;serif" w:hAnsi="Times New Roman;serif"/>
                  <w:b w:val="false"/>
                  <w:i w:val="false"/>
                  <w:caps w:val="false"/>
                  <w:smallCaps w:val="false"/>
                  <w:strike w:val="false"/>
                  <w:dstrike w:val="false"/>
                  <w:color w:val="0563C1"/>
                  <w:sz w:val="20"/>
                  <w:u w:val="single"/>
                  <w:effect w:val="none"/>
                </w:rPr>
                <w:t>Item 2.</w:t>
              </w:r>
            </w:hyperlink>
          </w:p>
        </w:tc>
        <w:tc>
          <w:tcPr>
            <w:tcW w:w="7366" w:type="dxa"/>
            <w:tcBorders/>
            <w:shd w:fill="CCEEFF" w:val="clear"/>
            <w:vAlign w:val="center"/>
          </w:tcPr>
          <w:p>
            <w:pPr>
              <w:pStyle w:val="TableContents"/>
              <w:bidi w:val="0"/>
              <w:spacing w:lineRule="auto" w:line="259" w:before="0" w:after="283"/>
              <w:jc w:val="left"/>
              <w:rPr/>
            </w:pPr>
            <w:hyperlink w:anchor="MDA">
              <w:r>
                <w:rPr>
                  <w:rStyle w:val="InternetLink"/>
                  <w:rFonts w:ascii="Times New Roman;serif" w:hAnsi="Times New Roman;serif"/>
                  <w:b w:val="false"/>
                  <w:i w:val="false"/>
                  <w:caps w:val="false"/>
                  <w:smallCaps w:val="false"/>
                  <w:strike w:val="false"/>
                  <w:dstrike w:val="false"/>
                  <w:color w:val="0563C1"/>
                  <w:sz w:val="20"/>
                  <w:u w:val="single"/>
                  <w:effect w:val="none"/>
                </w:rPr>
                <w:t>Management’s Discussion and Analysis of Financial Condition and Results of Operations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r>
      <w:tr>
        <w:trPr/>
        <w:tc>
          <w:tcPr>
            <w:tcW w:w="811" w:type="dxa"/>
            <w:tcBorders/>
            <w:vAlign w:val="center"/>
          </w:tcPr>
          <w:p>
            <w:pPr>
              <w:pStyle w:val="TableContents"/>
              <w:bidi w:val="0"/>
              <w:spacing w:lineRule="auto" w:line="259" w:before="0" w:after="283"/>
              <w:jc w:val="left"/>
              <w:rPr/>
            </w:pPr>
            <w:hyperlink w:anchor="MarketRisk">
              <w:r>
                <w:rPr>
                  <w:rStyle w:val="InternetLink"/>
                  <w:rFonts w:ascii="Times New Roman;serif" w:hAnsi="Times New Roman;serif"/>
                  <w:b w:val="false"/>
                  <w:i w:val="false"/>
                  <w:caps w:val="false"/>
                  <w:smallCaps w:val="false"/>
                  <w:strike w:val="false"/>
                  <w:dstrike w:val="false"/>
                  <w:color w:val="0563C1"/>
                  <w:sz w:val="20"/>
                  <w:u w:val="single"/>
                  <w:effect w:val="none"/>
                </w:rPr>
                <w:t>Item 3.</w:t>
              </w:r>
            </w:hyperlink>
          </w:p>
        </w:tc>
        <w:tc>
          <w:tcPr>
            <w:tcW w:w="7366" w:type="dxa"/>
            <w:tcBorders/>
            <w:vAlign w:val="center"/>
          </w:tcPr>
          <w:p>
            <w:pPr>
              <w:pStyle w:val="TableContents"/>
              <w:bidi w:val="0"/>
              <w:spacing w:lineRule="auto" w:line="259" w:before="0" w:after="283"/>
              <w:jc w:val="left"/>
              <w:rPr/>
            </w:pPr>
            <w:hyperlink w:anchor="MarketRisk">
              <w:r>
                <w:rPr>
                  <w:rStyle w:val="InternetLink"/>
                  <w:rFonts w:ascii="Times New Roman;serif" w:hAnsi="Times New Roman;serif"/>
                  <w:b w:val="false"/>
                  <w:i w:val="false"/>
                  <w:caps w:val="false"/>
                  <w:smallCaps w:val="false"/>
                  <w:strike w:val="false"/>
                  <w:dstrike w:val="false"/>
                  <w:color w:val="0563C1"/>
                  <w:sz w:val="20"/>
                  <w:u w:val="single"/>
                  <w:effect w:val="none"/>
                </w:rPr>
                <w:t>Quantitative and Qualitative Disclosures About Market Risk</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r>
      <w:tr>
        <w:trPr/>
        <w:tc>
          <w:tcPr>
            <w:tcW w:w="811" w:type="dxa"/>
            <w:tcBorders/>
            <w:shd w:fill="CCEEFF" w:val="clear"/>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563C1"/>
                  <w:sz w:val="20"/>
                  <w:u w:val="single"/>
                  <w:effect w:val="none"/>
                </w:rPr>
                <w:t>Item 4.</w:t>
              </w:r>
            </w:hyperlink>
          </w:p>
        </w:tc>
        <w:tc>
          <w:tcPr>
            <w:tcW w:w="7366" w:type="dxa"/>
            <w:tcBorders/>
            <w:shd w:fill="CCEEFF" w:val="clear"/>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563C1"/>
                  <w:sz w:val="20"/>
                  <w:u w:val="single"/>
                  <w:effect w:val="none"/>
                </w:rPr>
                <w:t>Controls and Procedures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r>
      <w:tr>
        <w:trPr/>
        <w:tc>
          <w:tcPr>
            <w:tcW w:w="8177" w:type="dxa"/>
            <w:gridSpan w:val="2"/>
            <w:tcBorders/>
            <w:vAlign w:val="center"/>
          </w:tcPr>
          <w:p>
            <w:pPr>
              <w:pStyle w:val="TableContents"/>
              <w:bidi w:val="0"/>
              <w:spacing w:lineRule="auto" w:line="259" w:before="0" w:after="283"/>
              <w:jc w:val="left"/>
              <w:rPr/>
            </w:pPr>
            <w:hyperlink w:anchor="PartII">
              <w:r>
                <w:rPr>
                  <w:rStyle w:val="InternetLink"/>
                  <w:rFonts w:ascii="Times New Roman;serif" w:hAnsi="Times New Roman;serif"/>
                  <w:b/>
                  <w:i w:val="false"/>
                  <w:caps w:val="false"/>
                  <w:smallCaps w:val="false"/>
                  <w:strike w:val="false"/>
                  <w:dstrike w:val="false"/>
                  <w:color w:val="0563C1"/>
                  <w:sz w:val="20"/>
                  <w:u w:val="single"/>
                  <w:effect w:val="none"/>
                </w:rPr>
                <w:t>PART II. 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CCEEFF" w:val="clear"/>
            <w:vAlign w:val="center"/>
          </w:tcPr>
          <w:p>
            <w:pPr>
              <w:pStyle w:val="TableContents"/>
              <w:bidi w:val="0"/>
              <w:spacing w:lineRule="auto" w:line="259" w:before="0" w:after="283"/>
              <w:jc w:val="left"/>
              <w:rPr/>
            </w:pPr>
            <w:hyperlink w:anchor="LegalProceedings">
              <w:r>
                <w:rPr>
                  <w:rStyle w:val="InternetLink"/>
                  <w:rFonts w:ascii="Times New Roman;serif" w:hAnsi="Times New Roman;serif"/>
                  <w:b w:val="false"/>
                  <w:i w:val="false"/>
                  <w:caps w:val="false"/>
                  <w:smallCaps w:val="false"/>
                  <w:strike w:val="false"/>
                  <w:dstrike w:val="false"/>
                  <w:color w:val="0563C1"/>
                  <w:sz w:val="20"/>
                  <w:u w:val="single"/>
                  <w:effect w:val="none"/>
                </w:rPr>
                <w:t>Item 1.</w:t>
              </w:r>
            </w:hyperlink>
          </w:p>
        </w:tc>
        <w:tc>
          <w:tcPr>
            <w:tcW w:w="7366" w:type="dxa"/>
            <w:tcBorders/>
            <w:shd w:fill="CCEEFF" w:val="clear"/>
            <w:vAlign w:val="center"/>
          </w:tcPr>
          <w:p>
            <w:pPr>
              <w:pStyle w:val="TableContents"/>
              <w:bidi w:val="0"/>
              <w:spacing w:lineRule="auto" w:line="259" w:before="0" w:after="283"/>
              <w:jc w:val="left"/>
              <w:rPr/>
            </w:pPr>
            <w:hyperlink w:anchor="LegalProceedings">
              <w:r>
                <w:rPr>
                  <w:rStyle w:val="InternetLink"/>
                  <w:rFonts w:ascii="Times New Roman;serif" w:hAnsi="Times New Roman;serif"/>
                  <w:b w:val="false"/>
                  <w:i w:val="false"/>
                  <w:caps w:val="false"/>
                  <w:smallCaps w:val="false"/>
                  <w:strike w:val="false"/>
                  <w:dstrike w:val="false"/>
                  <w:color w:val="0563C1"/>
                  <w:sz w:val="20"/>
                  <w:u w:val="single"/>
                  <w:effect w:val="none"/>
                </w:rPr>
                <w:t>Legal Proceedings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r>
      <w:tr>
        <w:trPr/>
        <w:tc>
          <w:tcPr>
            <w:tcW w:w="811" w:type="dxa"/>
            <w:tcBorders/>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563C1"/>
                  <w:sz w:val="20"/>
                  <w:u w:val="single"/>
                  <w:effect w:val="none"/>
                </w:rPr>
                <w:t>Item 1A.</w:t>
              </w:r>
            </w:hyperlink>
          </w:p>
        </w:tc>
        <w:tc>
          <w:tcPr>
            <w:tcW w:w="7366" w:type="dxa"/>
            <w:tcBorders/>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563C1"/>
                  <w:sz w:val="20"/>
                  <w:u w:val="single"/>
                  <w:effect w:val="none"/>
                </w:rPr>
                <w:t>Risk Factors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r>
      <w:tr>
        <w:trPr/>
        <w:tc>
          <w:tcPr>
            <w:tcW w:w="811" w:type="dxa"/>
            <w:tcBorders/>
            <w:shd w:fill="CCEEFF" w:val="clear"/>
            <w:vAlign w:val="center"/>
          </w:tcPr>
          <w:p>
            <w:pPr>
              <w:pStyle w:val="TableContents"/>
              <w:bidi w:val="0"/>
              <w:spacing w:lineRule="auto" w:line="259" w:before="0" w:after="283"/>
              <w:jc w:val="left"/>
              <w:rPr/>
            </w:pPr>
            <w:hyperlink w:anchor="UnregisteredSales">
              <w:r>
                <w:rPr>
                  <w:rStyle w:val="InternetLink"/>
                  <w:rFonts w:ascii="Times New Roman;serif" w:hAnsi="Times New Roman;serif"/>
                  <w:b w:val="false"/>
                  <w:i w:val="false"/>
                  <w:caps w:val="false"/>
                  <w:smallCaps w:val="false"/>
                  <w:strike w:val="false"/>
                  <w:dstrike w:val="false"/>
                  <w:color w:val="0563C1"/>
                  <w:sz w:val="20"/>
                  <w:u w:val="single"/>
                  <w:effect w:val="none"/>
                </w:rPr>
                <w:t>Item 2.</w:t>
              </w:r>
            </w:hyperlink>
          </w:p>
        </w:tc>
        <w:tc>
          <w:tcPr>
            <w:tcW w:w="7366" w:type="dxa"/>
            <w:tcBorders/>
            <w:shd w:fill="CCEEFF" w:val="clear"/>
            <w:vAlign w:val="center"/>
          </w:tcPr>
          <w:p>
            <w:pPr>
              <w:pStyle w:val="TableContents"/>
              <w:bidi w:val="0"/>
              <w:spacing w:lineRule="auto" w:line="259" w:before="0" w:after="283"/>
              <w:jc w:val="left"/>
              <w:rPr/>
            </w:pPr>
            <w:hyperlink w:anchor="UnregisteredSales">
              <w:r>
                <w:rPr>
                  <w:rStyle w:val="InternetLink"/>
                  <w:rFonts w:ascii="Times New Roman;serif" w:hAnsi="Times New Roman;serif"/>
                  <w:b w:val="false"/>
                  <w:i w:val="false"/>
                  <w:caps w:val="false"/>
                  <w:smallCaps w:val="false"/>
                  <w:strike w:val="false"/>
                  <w:dstrike w:val="false"/>
                  <w:color w:val="0563C1"/>
                  <w:sz w:val="20"/>
                  <w:u w:val="single"/>
                  <w:effect w:val="none"/>
                </w:rPr>
                <w:t>Unregistered Sales of Equity Securities and Use of Proceeds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r>
      <w:tr>
        <w:trPr/>
        <w:tc>
          <w:tcPr>
            <w:tcW w:w="811" w:type="dxa"/>
            <w:tcBorders/>
            <w:vAlign w:val="center"/>
          </w:tcPr>
          <w:p>
            <w:pPr>
              <w:pStyle w:val="TableContents"/>
              <w:bidi w:val="0"/>
              <w:spacing w:lineRule="auto" w:line="259" w:before="0" w:after="283"/>
              <w:jc w:val="left"/>
              <w:rPr/>
            </w:pPr>
            <w:hyperlink w:anchor="DefaultUponSeniorSecurities">
              <w:r>
                <w:rPr>
                  <w:rStyle w:val="InternetLink"/>
                  <w:rFonts w:ascii="Times New Roman;serif" w:hAnsi="Times New Roman;serif"/>
                  <w:b w:val="false"/>
                  <w:i w:val="false"/>
                  <w:caps w:val="false"/>
                  <w:smallCaps w:val="false"/>
                  <w:strike w:val="false"/>
                  <w:dstrike w:val="false"/>
                  <w:color w:val="0563C1"/>
                  <w:sz w:val="20"/>
                  <w:u w:val="single"/>
                  <w:effect w:val="none"/>
                </w:rPr>
                <w:t>Item 3.</w:t>
              </w:r>
            </w:hyperlink>
          </w:p>
        </w:tc>
        <w:tc>
          <w:tcPr>
            <w:tcW w:w="7366" w:type="dxa"/>
            <w:tcBorders/>
            <w:vAlign w:val="center"/>
          </w:tcPr>
          <w:p>
            <w:pPr>
              <w:pStyle w:val="TableContents"/>
              <w:bidi w:val="0"/>
              <w:spacing w:lineRule="auto" w:line="259" w:before="0" w:after="283"/>
              <w:jc w:val="left"/>
              <w:rPr/>
            </w:pPr>
            <w:hyperlink w:anchor="DefaultUponSeniorSecurities">
              <w:r>
                <w:rPr>
                  <w:rStyle w:val="InternetLink"/>
                  <w:rFonts w:ascii="Times New Roman;serif" w:hAnsi="Times New Roman;serif"/>
                  <w:b w:val="false"/>
                  <w:i w:val="false"/>
                  <w:caps w:val="false"/>
                  <w:smallCaps w:val="false"/>
                  <w:strike w:val="false"/>
                  <w:dstrike w:val="false"/>
                  <w:color w:val="0563C1"/>
                  <w:sz w:val="20"/>
                  <w:u w:val="single"/>
                  <w:effect w:val="none"/>
                </w:rPr>
                <w:t>Defaults Upon Senior Securities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r>
      <w:tr>
        <w:trPr/>
        <w:tc>
          <w:tcPr>
            <w:tcW w:w="811" w:type="dxa"/>
            <w:tcBorders/>
            <w:shd w:fill="CCEEFF" w:val="clear"/>
            <w:vAlign w:val="center"/>
          </w:tcPr>
          <w:p>
            <w:pPr>
              <w:pStyle w:val="TableContents"/>
              <w:bidi w:val="0"/>
              <w:spacing w:lineRule="auto" w:line="259" w:before="0" w:after="283"/>
              <w:jc w:val="left"/>
              <w:rPr/>
            </w:pPr>
            <w:hyperlink w:anchor="MineSafetyDisclosures">
              <w:r>
                <w:rPr>
                  <w:rStyle w:val="InternetLink"/>
                  <w:rFonts w:ascii="Times New Roman;serif" w:hAnsi="Times New Roman;serif"/>
                  <w:b w:val="false"/>
                  <w:i w:val="false"/>
                  <w:caps w:val="false"/>
                  <w:smallCaps w:val="false"/>
                  <w:strike w:val="false"/>
                  <w:dstrike w:val="false"/>
                  <w:color w:val="0563C1"/>
                  <w:sz w:val="20"/>
                  <w:u w:val="single"/>
                  <w:effect w:val="none"/>
                </w:rPr>
                <w:t>Item 4.</w:t>
              </w:r>
            </w:hyperlink>
          </w:p>
        </w:tc>
        <w:tc>
          <w:tcPr>
            <w:tcW w:w="7366" w:type="dxa"/>
            <w:tcBorders/>
            <w:shd w:fill="CCEEFF" w:val="clear"/>
            <w:vAlign w:val="center"/>
          </w:tcPr>
          <w:p>
            <w:pPr>
              <w:pStyle w:val="TableContents"/>
              <w:bidi w:val="0"/>
              <w:spacing w:lineRule="auto" w:line="259" w:before="0" w:after="283"/>
              <w:jc w:val="left"/>
              <w:rPr/>
            </w:pPr>
            <w:hyperlink w:anchor="MineSafetyDisclosures">
              <w:r>
                <w:rPr>
                  <w:rStyle w:val="InternetLink"/>
                  <w:rFonts w:ascii="Times New Roman;serif" w:hAnsi="Times New Roman;serif"/>
                  <w:b w:val="false"/>
                  <w:i w:val="false"/>
                  <w:caps w:val="false"/>
                  <w:smallCaps w:val="false"/>
                  <w:strike w:val="false"/>
                  <w:dstrike w:val="false"/>
                  <w:color w:val="0563C1"/>
                  <w:sz w:val="20"/>
                  <w:u w:val="single"/>
                  <w:effect w:val="none"/>
                </w:rPr>
                <w:t>Mine Safety Disclosures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r>
      <w:tr>
        <w:trPr/>
        <w:tc>
          <w:tcPr>
            <w:tcW w:w="811" w:type="dxa"/>
            <w:tcBorders/>
            <w:vAlign w:val="center"/>
          </w:tcPr>
          <w:p>
            <w:pPr>
              <w:pStyle w:val="TableContents"/>
              <w:bidi w:val="0"/>
              <w:spacing w:lineRule="auto" w:line="259" w:before="0" w:after="283"/>
              <w:jc w:val="left"/>
              <w:rPr/>
            </w:pPr>
            <w:hyperlink w:anchor="OtherInformation">
              <w:r>
                <w:rPr>
                  <w:rStyle w:val="InternetLink"/>
                  <w:rFonts w:ascii="Times New Roman;serif" w:hAnsi="Times New Roman;serif"/>
                  <w:b w:val="false"/>
                  <w:i w:val="false"/>
                  <w:caps w:val="false"/>
                  <w:smallCaps w:val="false"/>
                  <w:strike w:val="false"/>
                  <w:dstrike w:val="false"/>
                  <w:color w:val="0563C1"/>
                  <w:sz w:val="20"/>
                  <w:u w:val="single"/>
                  <w:effect w:val="none"/>
                </w:rPr>
                <w:t>Item 5.</w:t>
              </w:r>
            </w:hyperlink>
          </w:p>
        </w:tc>
        <w:tc>
          <w:tcPr>
            <w:tcW w:w="7366" w:type="dxa"/>
            <w:tcBorders/>
            <w:vAlign w:val="center"/>
          </w:tcPr>
          <w:p>
            <w:pPr>
              <w:pStyle w:val="TableContents"/>
              <w:bidi w:val="0"/>
              <w:spacing w:lineRule="auto" w:line="259" w:before="0" w:after="283"/>
              <w:jc w:val="left"/>
              <w:rPr/>
            </w:pPr>
            <w:hyperlink w:anchor="OtherInformation">
              <w:r>
                <w:rPr>
                  <w:rStyle w:val="InternetLink"/>
                  <w:rFonts w:ascii="Times New Roman;serif" w:hAnsi="Times New Roman;serif"/>
                  <w:b w:val="false"/>
                  <w:i w:val="false"/>
                  <w:caps w:val="false"/>
                  <w:smallCaps w:val="false"/>
                  <w:strike w:val="false"/>
                  <w:dstrike w:val="false"/>
                  <w:color w:val="0563C1"/>
                  <w:sz w:val="20"/>
                  <w:u w:val="single"/>
                  <w:effect w:val="none"/>
                </w:rPr>
                <w:t>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r>
      <w:tr>
        <w:trPr/>
        <w:tc>
          <w:tcPr>
            <w:tcW w:w="811" w:type="dxa"/>
            <w:tcBorders/>
            <w:shd w:fill="CCEEFF" w:val="clear"/>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563C1"/>
                  <w:sz w:val="20"/>
                  <w:u w:val="single"/>
                  <w:effect w:val="none"/>
                </w:rPr>
                <w:t>Item 6.</w:t>
              </w:r>
            </w:hyperlink>
          </w:p>
        </w:tc>
        <w:tc>
          <w:tcPr>
            <w:tcW w:w="7366" w:type="dxa"/>
            <w:tcBorders/>
            <w:shd w:fill="CCEEFF" w:val="clear"/>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563C1"/>
                  <w:sz w:val="20"/>
                  <w:u w:val="single"/>
                  <w:effect w:val="none"/>
                </w:rPr>
                <w:t>Exhibits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w:t>
            </w:r>
          </w:p>
        </w:tc>
      </w:tr>
      <w:tr>
        <w:trPr/>
        <w:tc>
          <w:tcPr>
            <w:tcW w:w="8177" w:type="dxa"/>
            <w:gridSpan w:val="2"/>
            <w:tcBorders/>
            <w:vAlign w:val="center"/>
          </w:tcPr>
          <w:p>
            <w:pPr>
              <w:pStyle w:val="TableContents"/>
              <w:bidi w:val="0"/>
              <w:spacing w:lineRule="auto" w:line="259" w:before="0" w:after="283"/>
              <w:jc w:val="left"/>
              <w:rPr/>
            </w:pPr>
            <w:hyperlink w:anchor="Signatures">
              <w:r>
                <w:rPr>
                  <w:rStyle w:val="InternetLink"/>
                  <w:rFonts w:ascii="Times New Roman;serif" w:hAnsi="Times New Roman;serif"/>
                  <w:b w:val="false"/>
                  <w:i w:val="false"/>
                  <w:caps w:val="false"/>
                  <w:smallCaps w:val="false"/>
                  <w:strike w:val="false"/>
                  <w:dstrike w:val="false"/>
                  <w:color w:val="0563C1"/>
                  <w:sz w:val="20"/>
                  <w:u w:val="single"/>
                  <w:effect w:val="none"/>
                </w:rPr>
                <w:t>Signatures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r>
    </w:tbl>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bookmarkStart w:id="3" w:name="_contentSection_f6d62fdb_2fd5_4672_b950_"/>
      <w:bookmarkEnd w:id="3"/>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 FINANCIAL INFORMATION</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4" w:name="FinancialStatements"/>
      <w:bookmarkStart w:id="5" w:name="FS"/>
      <w:bookmarkEnd w:id="4"/>
      <w:bookmarkEnd w:id="5"/>
      <w:r>
        <w:rPr>
          <w:rFonts w:ascii="Times New Roman;serif" w:hAnsi="Times New Roman;serif"/>
          <w:b/>
          <w:i w:val="false"/>
          <w:caps w:val="false"/>
          <w:smallCaps w:val="false"/>
          <w:sz w:val="20"/>
        </w:rPr>
        <w:t>EM 1.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Tile S</w:t>
      </w:r>
      <w:bookmarkStart w:id="6" w:name="BS"/>
      <w:bookmarkEnd w:id="6"/>
      <w:r>
        <w:rPr>
          <w:rFonts w:ascii="Times New Roman;serif" w:hAnsi="Times New Roman;serif"/>
          <w:b/>
          <w:i w:val="false"/>
          <w:caps w:val="false"/>
          <w:smallCaps w:val="false"/>
          <w:sz w:val="20"/>
        </w:rPr>
        <w:t>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Balance Sheets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except per share data) </w:t>
      </w:r>
    </w:p>
    <w:tbl>
      <w:tblPr>
        <w:tblW w:w="10205" w:type="dxa"/>
        <w:jc w:val="left"/>
        <w:tblInd w:w="0" w:type="dxa"/>
        <w:tblLayout w:type="fixed"/>
        <w:tblCellMar>
          <w:top w:w="0" w:type="dxa"/>
          <w:left w:w="0" w:type="dxa"/>
          <w:bottom w:w="0" w:type="dxa"/>
          <w:right w:w="0" w:type="dxa"/>
        </w:tblCellMar>
      </w:tblPr>
      <w:tblGrid>
        <w:gridCol w:w="7570"/>
        <w:gridCol w:w="109"/>
        <w:gridCol w:w="263"/>
        <w:gridCol w:w="979"/>
        <w:gridCol w:w="109"/>
        <w:gridCol w:w="238"/>
        <w:gridCol w:w="937"/>
      </w:tblGrid>
      <w:tr>
        <w:trPr/>
        <w:tc>
          <w:tcPr>
            <w:tcW w:w="757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3" w:type="dxa"/>
            <w:tcBorders/>
            <w:shd w:fill="FFFFFF" w:val="clear"/>
            <w:vAlign w:val="center"/>
          </w:tcPr>
          <w:p>
            <w:pPr>
              <w:pStyle w:val="TableContents"/>
              <w:bidi w:val="0"/>
              <w:spacing w:before="0" w:after="283"/>
              <w:jc w:val="left"/>
              <w:rPr>
                <w:sz w:val="4"/>
                <w:szCs w:val="4"/>
              </w:rPr>
            </w:pPr>
            <w:r>
              <w:rPr>
                <w:sz w:val="4"/>
                <w:szCs w:val="4"/>
              </w:rPr>
            </w:r>
          </w:p>
        </w:tc>
        <w:tc>
          <w:tcPr>
            <w:tcW w:w="97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8" w:type="dxa"/>
            <w:tcBorders/>
            <w:shd w:fill="FFFFFF" w:val="clear"/>
            <w:vAlign w:val="center"/>
          </w:tcPr>
          <w:p>
            <w:pPr>
              <w:pStyle w:val="TableContents"/>
              <w:bidi w:val="0"/>
              <w:spacing w:before="0" w:after="283"/>
              <w:jc w:val="left"/>
              <w:rPr>
                <w:sz w:val="4"/>
                <w:szCs w:val="4"/>
              </w:rPr>
            </w:pPr>
            <w:r>
              <w:rPr>
                <w:sz w:val="4"/>
                <w:szCs w:val="4"/>
              </w:rPr>
            </w:r>
          </w:p>
        </w:tc>
        <w:tc>
          <w:tcPr>
            <w:tcW w:w="937" w:type="dxa"/>
            <w:tcBorders/>
            <w:shd w:fill="FFFFFF" w:val="clear"/>
            <w:vAlign w:val="center"/>
          </w:tcPr>
          <w:p>
            <w:pPr>
              <w:pStyle w:val="TableContents"/>
              <w:bidi w:val="0"/>
              <w:spacing w:before="0" w:after="283"/>
              <w:jc w:val="left"/>
              <w:rPr>
                <w:sz w:val="4"/>
                <w:szCs w:val="4"/>
              </w:rPr>
            </w:pPr>
            <w:r>
              <w:rPr>
                <w:sz w:val="4"/>
                <w:szCs w:val="4"/>
              </w:rPr>
            </w:r>
          </w:p>
        </w:tc>
      </w:tr>
      <w:tr>
        <w:trPr/>
        <w:tc>
          <w:tcPr>
            <w:tcW w:w="757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3" w:type="dxa"/>
            <w:tcBorders/>
            <w:shd w:fill="FFFFFF" w:val="clear"/>
            <w:vAlign w:val="center"/>
          </w:tcPr>
          <w:p>
            <w:pPr>
              <w:pStyle w:val="TableContents"/>
              <w:bidi w:val="0"/>
              <w:spacing w:before="0" w:after="283"/>
              <w:jc w:val="left"/>
              <w:rPr>
                <w:sz w:val="4"/>
                <w:szCs w:val="4"/>
              </w:rPr>
            </w:pPr>
            <w:r>
              <w:rPr>
                <w:sz w:val="4"/>
                <w:szCs w:val="4"/>
              </w:rPr>
            </w:r>
          </w:p>
        </w:tc>
        <w:tc>
          <w:tcPr>
            <w:tcW w:w="97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8" w:type="dxa"/>
            <w:tcBorders/>
            <w:shd w:fill="FFFFFF" w:val="clear"/>
            <w:vAlign w:val="center"/>
          </w:tcPr>
          <w:p>
            <w:pPr>
              <w:pStyle w:val="TableContents"/>
              <w:bidi w:val="0"/>
              <w:spacing w:before="0" w:after="283"/>
              <w:jc w:val="left"/>
              <w:rPr>
                <w:sz w:val="4"/>
                <w:szCs w:val="4"/>
              </w:rPr>
            </w:pPr>
            <w:r>
              <w:rPr>
                <w:sz w:val="4"/>
                <w:szCs w:val="4"/>
              </w:rPr>
            </w:r>
          </w:p>
        </w:tc>
        <w:tc>
          <w:tcPr>
            <w:tcW w:w="937" w:type="dxa"/>
            <w:tcBorders/>
            <w:shd w:fill="FFFFFF" w:val="clear"/>
            <w:vAlign w:val="center"/>
          </w:tcPr>
          <w:p>
            <w:pPr>
              <w:pStyle w:val="TableContents"/>
              <w:bidi w:val="0"/>
              <w:spacing w:before="0" w:after="283"/>
              <w:jc w:val="left"/>
              <w:rPr>
                <w:sz w:val="4"/>
                <w:szCs w:val="4"/>
              </w:rPr>
            </w:pPr>
            <w:r>
              <w:rPr>
                <w:sz w:val="4"/>
                <w:szCs w:val="4"/>
              </w:rPr>
            </w:r>
          </w:p>
        </w:tc>
      </w:tr>
      <w:tr>
        <w:trPr/>
        <w:tc>
          <w:tcPr>
            <w:tcW w:w="757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757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757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(unaudited)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(audited)</w:t>
            </w:r>
          </w:p>
        </w:tc>
      </w:tr>
      <w:tr>
        <w:trPr/>
        <w:tc>
          <w:tcPr>
            <w:tcW w:w="757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7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3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5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r>
      <w:tr>
        <w:trPr/>
        <w:tc>
          <w:tcPr>
            <w:tcW w:w="75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25,058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8,620</w:t>
            </w:r>
          </w:p>
        </w:tc>
      </w:tr>
      <w:tr>
        <w:trPr/>
        <w:tc>
          <w:tcPr>
            <w:tcW w:w="75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3,265</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2,882</w:t>
            </w:r>
          </w:p>
        </w:tc>
      </w:tr>
      <w:tr>
        <w:trPr/>
        <w:tc>
          <w:tcPr>
            <w:tcW w:w="75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84,528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93,679</w:t>
            </w:r>
          </w:p>
        </w:tc>
      </w:tr>
      <w:tr>
        <w:trPr/>
        <w:tc>
          <w:tcPr>
            <w:tcW w:w="75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receivable</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1,114</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w:t>
            </w:r>
          </w:p>
        </w:tc>
      </w:tr>
      <w:tr>
        <w:trPr/>
        <w:tc>
          <w:tcPr>
            <w:tcW w:w="75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assets,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9,248</w:t>
            </w:r>
          </w:p>
        </w:tc>
      </w:tr>
      <w:tr>
        <w:trPr/>
        <w:tc>
          <w:tcPr>
            <w:tcW w:w="75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7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123,167</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114,558</w:t>
            </w:r>
          </w:p>
        </w:tc>
      </w:tr>
      <w:tr>
        <w:trPr/>
        <w:tc>
          <w:tcPr>
            <w:tcW w:w="75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Property, plant and equipment,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60,901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64,317</w:t>
            </w:r>
          </w:p>
        </w:tc>
      </w:tr>
      <w:tr>
        <w:trPr/>
        <w:tc>
          <w:tcPr>
            <w:tcW w:w="75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Right of use asset</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130,370</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129,092</w:t>
            </w:r>
          </w:p>
        </w:tc>
      </w:tr>
      <w:tr>
        <w:trPr/>
        <w:tc>
          <w:tcPr>
            <w:tcW w:w="75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tax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5,256</w:t>
            </w:r>
          </w:p>
        </w:tc>
      </w:tr>
      <w:tr>
        <w:trPr/>
        <w:tc>
          <w:tcPr>
            <w:tcW w:w="75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1,841</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3,449</w:t>
            </w:r>
          </w:p>
        </w:tc>
      </w:tr>
      <w:tr>
        <w:trPr/>
        <w:tc>
          <w:tcPr>
            <w:tcW w:w="757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320,704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316,672</w:t>
            </w:r>
          </w:p>
        </w:tc>
      </w:tr>
      <w:tr>
        <w:trPr/>
        <w:tc>
          <w:tcPr>
            <w:tcW w:w="7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7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3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57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Liabilities and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r>
      <w:tr>
        <w:trPr/>
        <w:tc>
          <w:tcPr>
            <w:tcW w:w="75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r>
      <w:tr>
        <w:trPr/>
        <w:tc>
          <w:tcPr>
            <w:tcW w:w="75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21,374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23,345</w:t>
            </w:r>
          </w:p>
        </w:tc>
      </w:tr>
      <w:tr>
        <w:trPr/>
        <w:tc>
          <w:tcPr>
            <w:tcW w:w="75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payable</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1,135</w:t>
            </w:r>
          </w:p>
        </w:tc>
      </w:tr>
      <w:tr>
        <w:trPr/>
        <w:tc>
          <w:tcPr>
            <w:tcW w:w="75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portion of lease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28,765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27,265</w:t>
            </w:r>
          </w:p>
        </w:tc>
      </w:tr>
      <w:tr>
        <w:trPr/>
        <w:tc>
          <w:tcPr>
            <w:tcW w:w="75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30,885</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27,000</w:t>
            </w:r>
          </w:p>
        </w:tc>
      </w:tr>
      <w:tr>
        <w:trPr/>
        <w:tc>
          <w:tcPr>
            <w:tcW w:w="75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7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81,104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3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78,745</w:t>
            </w:r>
          </w:p>
        </w:tc>
      </w:tr>
      <w:tr>
        <w:trPr/>
        <w:tc>
          <w:tcPr>
            <w:tcW w:w="75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debt</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75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Long-term lease liability, net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111,775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112,697</w:t>
            </w:r>
          </w:p>
        </w:tc>
      </w:tr>
      <w:tr>
        <w:trPr/>
        <w:tc>
          <w:tcPr>
            <w:tcW w:w="75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4,593</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5,543</w:t>
            </w:r>
          </w:p>
        </w:tc>
      </w:tr>
      <w:tr>
        <w:trPr/>
        <w:tc>
          <w:tcPr>
            <w:tcW w:w="757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7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197,472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3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196,985</w:t>
            </w:r>
          </w:p>
        </w:tc>
      </w:tr>
      <w:tr>
        <w:trPr/>
        <w:tc>
          <w:tcPr>
            <w:tcW w:w="7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7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57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r>
      <w:tr>
        <w:trPr/>
        <w:tc>
          <w:tcPr>
            <w:tcW w:w="7570"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Common stock, par value $0.0001; authorized: 100,000,000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issued and outstanding: 44,661,167</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and 44,510,779</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respectively</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r>
      <w:tr>
        <w:trPr/>
        <w:tc>
          <w:tcPr>
            <w:tcW w:w="7570"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Preferred stock, par value $0.0001; authorized: 10,000,000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issued and outstanding: 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75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129,388</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128,861</w:t>
            </w:r>
          </w:p>
        </w:tc>
      </w:tr>
      <w:tr>
        <w:trPr/>
        <w:tc>
          <w:tcPr>
            <w:tcW w:w="75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deficit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(9,109)</w:t>
            </w:r>
          </w:p>
        </w:tc>
      </w:tr>
      <w:tr>
        <w:trPr/>
        <w:tc>
          <w:tcPr>
            <w:tcW w:w="75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w:t>
            </w:r>
          </w:p>
        </w:tc>
      </w:tr>
      <w:tr>
        <w:trPr/>
        <w:tc>
          <w:tcPr>
            <w:tcW w:w="757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7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123,232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3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119,687</w:t>
            </w:r>
          </w:p>
        </w:tc>
      </w:tr>
      <w:tr>
        <w:trPr/>
        <w:tc>
          <w:tcPr>
            <w:tcW w:w="757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320,704</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316,672</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w:t>
      </w:r>
      <w:bookmarkStart w:id="7" w:name="IS"/>
      <w:bookmarkEnd w:id="7"/>
      <w:r>
        <w:rPr>
          <w:rFonts w:ascii="Times New Roman;serif" w:hAnsi="Times New Roman;serif"/>
          <w:b/>
          <w:i w:val="false"/>
          <w:caps w:val="false"/>
          <w:smallCaps w:val="false"/>
          <w:sz w:val="20"/>
        </w:rPr>
        <w:t>ile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except per share data)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tbl>
      <w:tblPr>
        <w:tblW w:w="9205" w:type="dxa"/>
        <w:jc w:val="left"/>
        <w:tblInd w:w="0" w:type="dxa"/>
        <w:tblLayout w:type="fixed"/>
        <w:tblCellMar>
          <w:top w:w="0" w:type="dxa"/>
          <w:left w:w="0" w:type="dxa"/>
          <w:bottom w:w="0" w:type="dxa"/>
          <w:right w:w="0" w:type="dxa"/>
        </w:tblCellMar>
      </w:tblPr>
      <w:tblGrid>
        <w:gridCol w:w="3736"/>
        <w:gridCol w:w="109"/>
        <w:gridCol w:w="211"/>
        <w:gridCol w:w="1036"/>
        <w:gridCol w:w="109"/>
        <w:gridCol w:w="211"/>
        <w:gridCol w:w="1036"/>
        <w:gridCol w:w="109"/>
        <w:gridCol w:w="211"/>
        <w:gridCol w:w="1036"/>
        <w:gridCol w:w="109"/>
        <w:gridCol w:w="211"/>
        <w:gridCol w:w="1081"/>
      </w:tblGrid>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3"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Nine Months Ended</w:t>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3"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September 30,</w:t>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84,505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92,112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267,617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292,688</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28,277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90,739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104,285</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Gross profit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56,228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59,563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176,878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188,403</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55,978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56,734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172,494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173,715</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14,688</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(1,920)</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12,768</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(3,333)</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9,435</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per common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0.22</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0.22</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outstanding: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43,794,648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43,522,768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43,685,068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43,385,316</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43,893,185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43,733,706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43,783,181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43,555,988</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bookmarkStart w:id="8" w:name="_contentSection_fb74ad03_c2e9_48b4_8313_"/>
      <w:bookmarkEnd w:id="8"/>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w:t>
      </w:r>
      <w:bookmarkStart w:id="9" w:name="CI"/>
      <w:bookmarkEnd w:id="9"/>
      <w:r>
        <w:rPr>
          <w:rFonts w:ascii="Times New Roman;serif" w:hAnsi="Times New Roman;serif"/>
          <w:b/>
          <w:i w:val="false"/>
          <w:caps w:val="false"/>
          <w:smallCaps w:val="false"/>
          <w:sz w:val="20"/>
        </w:rPr>
        <w:t>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Comprehensive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(dollars in thousands)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tbl>
      <w:tblPr>
        <w:tblW w:w="6785" w:type="dxa"/>
        <w:jc w:val="left"/>
        <w:tblInd w:w="0" w:type="dxa"/>
        <w:tblLayout w:type="fixed"/>
        <w:tblCellMar>
          <w:top w:w="0" w:type="dxa"/>
          <w:left w:w="0" w:type="dxa"/>
          <w:bottom w:w="0" w:type="dxa"/>
          <w:right w:w="0" w:type="dxa"/>
        </w:tblCellMar>
      </w:tblPr>
      <w:tblGrid>
        <w:gridCol w:w="2971"/>
        <w:gridCol w:w="109"/>
        <w:gridCol w:w="251"/>
        <w:gridCol w:w="501"/>
        <w:gridCol w:w="129"/>
        <w:gridCol w:w="251"/>
        <w:gridCol w:w="680"/>
        <w:gridCol w:w="109"/>
        <w:gridCol w:w="219"/>
        <w:gridCol w:w="593"/>
        <w:gridCol w:w="113"/>
        <w:gridCol w:w="219"/>
        <w:gridCol w:w="640"/>
      </w:tblGrid>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1" w:type="dxa"/>
            <w:tcBorders/>
            <w:shd w:fill="FFFFFF" w:val="clear"/>
            <w:vAlign w:val="center"/>
          </w:tcPr>
          <w:p>
            <w:pPr>
              <w:pStyle w:val="TableContents"/>
              <w:bidi w:val="0"/>
              <w:spacing w:before="0" w:after="283"/>
              <w:jc w:val="left"/>
              <w:rPr>
                <w:sz w:val="4"/>
                <w:szCs w:val="4"/>
              </w:rPr>
            </w:pPr>
            <w:r>
              <w:rPr>
                <w:sz w:val="4"/>
                <w:szCs w:val="4"/>
              </w:rPr>
            </w:r>
          </w:p>
        </w:tc>
        <w:tc>
          <w:tcPr>
            <w:tcW w:w="501"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251"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9" w:type="dxa"/>
            <w:tcBorders/>
            <w:shd w:fill="FFFFFF" w:val="clear"/>
            <w:vAlign w:val="center"/>
          </w:tcPr>
          <w:p>
            <w:pPr>
              <w:pStyle w:val="TableContents"/>
              <w:bidi w:val="0"/>
              <w:spacing w:before="0" w:after="283"/>
              <w:jc w:val="left"/>
              <w:rPr>
                <w:sz w:val="4"/>
                <w:szCs w:val="4"/>
              </w:rPr>
            </w:pPr>
            <w:r>
              <w:rPr>
                <w:sz w:val="4"/>
                <w:szCs w:val="4"/>
              </w:rPr>
            </w:r>
          </w:p>
        </w:tc>
        <w:tc>
          <w:tcPr>
            <w:tcW w:w="593"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219" w:type="dxa"/>
            <w:tcBorders/>
            <w:shd w:fill="FFFFFF" w:val="clear"/>
            <w:vAlign w:val="center"/>
          </w:tcPr>
          <w:p>
            <w:pPr>
              <w:pStyle w:val="TableContents"/>
              <w:bidi w:val="0"/>
              <w:spacing w:before="0" w:after="283"/>
              <w:jc w:val="left"/>
              <w:rPr>
                <w:sz w:val="4"/>
                <w:szCs w:val="4"/>
              </w:rPr>
            </w:pPr>
            <w:r>
              <w:rPr>
                <w:sz w:val="4"/>
                <w:szCs w:val="4"/>
              </w:rPr>
            </w:r>
          </w:p>
        </w:tc>
        <w:tc>
          <w:tcPr>
            <w:tcW w:w="640" w:type="dxa"/>
            <w:tcBorders/>
            <w:shd w:fill="FFFFFF" w:val="clear"/>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1" w:type="dxa"/>
            <w:tcBorders/>
            <w:shd w:fill="FFFFFF" w:val="clear"/>
            <w:vAlign w:val="center"/>
          </w:tcPr>
          <w:p>
            <w:pPr>
              <w:pStyle w:val="TableContents"/>
              <w:bidi w:val="0"/>
              <w:spacing w:before="0" w:after="283"/>
              <w:jc w:val="left"/>
              <w:rPr>
                <w:sz w:val="4"/>
                <w:szCs w:val="4"/>
              </w:rPr>
            </w:pPr>
            <w:r>
              <w:rPr>
                <w:sz w:val="4"/>
                <w:szCs w:val="4"/>
              </w:rPr>
            </w:r>
          </w:p>
        </w:tc>
        <w:tc>
          <w:tcPr>
            <w:tcW w:w="501"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251"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9" w:type="dxa"/>
            <w:tcBorders/>
            <w:shd w:fill="FFFFFF" w:val="clear"/>
            <w:vAlign w:val="center"/>
          </w:tcPr>
          <w:p>
            <w:pPr>
              <w:pStyle w:val="TableContents"/>
              <w:bidi w:val="0"/>
              <w:spacing w:before="0" w:after="283"/>
              <w:jc w:val="left"/>
              <w:rPr>
                <w:sz w:val="4"/>
                <w:szCs w:val="4"/>
              </w:rPr>
            </w:pPr>
            <w:r>
              <w:rPr>
                <w:sz w:val="4"/>
                <w:szCs w:val="4"/>
              </w:rPr>
            </w:r>
          </w:p>
        </w:tc>
        <w:tc>
          <w:tcPr>
            <w:tcW w:w="593"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219" w:type="dxa"/>
            <w:tcBorders/>
            <w:shd w:fill="FFFFFF" w:val="clear"/>
            <w:vAlign w:val="center"/>
          </w:tcPr>
          <w:p>
            <w:pPr>
              <w:pStyle w:val="TableContents"/>
              <w:bidi w:val="0"/>
              <w:spacing w:before="0" w:after="283"/>
              <w:jc w:val="left"/>
              <w:rPr>
                <w:sz w:val="4"/>
                <w:szCs w:val="4"/>
              </w:rPr>
            </w:pPr>
            <w:r>
              <w:rPr>
                <w:sz w:val="4"/>
                <w:szCs w:val="4"/>
              </w:rPr>
            </w:r>
          </w:p>
        </w:tc>
        <w:tc>
          <w:tcPr>
            <w:tcW w:w="640" w:type="dxa"/>
            <w:tcBorders/>
            <w:shd w:fill="FFFFFF" w:val="clear"/>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2"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4"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Nine Months Ended</w:t>
            </w:r>
          </w:p>
        </w:tc>
      </w:tr>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2"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84"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September 30,</w:t>
            </w:r>
          </w:p>
        </w:tc>
      </w:tr>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2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1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29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2,949</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9,435</w:t>
            </w:r>
          </w:p>
        </w:tc>
      </w:tr>
      <w:tr>
        <w:trPr/>
        <w:tc>
          <w:tcPr>
            <w:tcW w:w="29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w:t>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w:t>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r>
      <w:tr>
        <w:trPr/>
        <w:tc>
          <w:tcPr>
            <w:tcW w:w="29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comprehensive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9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r>
      <w:tr>
        <w:trPr/>
        <w:tc>
          <w:tcPr>
            <w:tcW w:w="297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0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w:t>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1,841</w:t>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3,018</w:t>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9,401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bookmarkStart w:id="10" w:name="SE"/>
      <w:bookmarkEnd w:id="10"/>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Stockholders’ Equity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32"/>
        <w:gridCol w:w="109"/>
        <w:gridCol w:w="1036"/>
        <w:gridCol w:w="109"/>
        <w:gridCol w:w="338"/>
        <w:gridCol w:w="338"/>
        <w:gridCol w:w="109"/>
        <w:gridCol w:w="211"/>
        <w:gridCol w:w="781"/>
        <w:gridCol w:w="109"/>
        <w:gridCol w:w="227"/>
        <w:gridCol w:w="794"/>
        <w:gridCol w:w="109"/>
        <w:gridCol w:w="415"/>
        <w:gridCol w:w="741"/>
        <w:gridCol w:w="109"/>
        <w:gridCol w:w="211"/>
        <w:gridCol w:w="827"/>
      </w:tblGrid>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21" w:type="dxa"/>
            <w:gridSpan w:val="4"/>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Common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Additional</w:t>
              <w:br/>
              <w:t>‎paid-in</w:t>
              <w:br/>
              <w:t>‎capital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Accumulated</w:t>
              <w:br/>
              <w:t>‎deficit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Accumulated</w:t>
              <w:br/>
              <w:t>‎other</w:t>
              <w:br/>
              <w:t>‎comprehensive</w:t>
              <w:br/>
              <w:t>‎income (loss)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8"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June 30,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44,567,055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128,257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(11,589)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116,589</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Issuance of common stock upon exercise of options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1,790</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366</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 withholdings related to net share settlements of stock 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(7,291)</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1,844</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1,844</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September 30,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44,561,554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128,582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118,755</w:t>
            </w:r>
          </w:p>
        </w:tc>
      </w:tr>
      <w:tr>
        <w:trPr/>
        <w:tc>
          <w:tcPr>
            <w:tcW w:w="3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4"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27"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June 30,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44,652,655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129,070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122,792</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Issuance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11,002</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336</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 withholdings related to net share settlements of stock 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(2,490)</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September 30,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44,661,167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129,388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123,232</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Stockholders’ Equity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32"/>
        <w:gridCol w:w="109"/>
        <w:gridCol w:w="1036"/>
        <w:gridCol w:w="109"/>
        <w:gridCol w:w="338"/>
        <w:gridCol w:w="338"/>
        <w:gridCol w:w="109"/>
        <w:gridCol w:w="211"/>
        <w:gridCol w:w="781"/>
        <w:gridCol w:w="109"/>
        <w:gridCol w:w="227"/>
        <w:gridCol w:w="794"/>
        <w:gridCol w:w="109"/>
        <w:gridCol w:w="415"/>
        <w:gridCol w:w="741"/>
        <w:gridCol w:w="109"/>
        <w:gridCol w:w="211"/>
        <w:gridCol w:w="827"/>
      </w:tblGrid>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21" w:type="dxa"/>
            <w:gridSpan w:val="4"/>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Common stock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36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Shares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Additional</w:t>
              <w:br/>
              <w:t>‎paid-in</w:t>
              <w:br/>
              <w:t>‎capital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Accumulated</w:t>
              <w:br/>
              <w:t>‎deficit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Accumulated</w:t>
              <w:br/>
              <w:t>‎other</w:t>
              <w:br/>
              <w:t>‎comprehensive</w:t>
              <w:br/>
              <w:t>‎income (loss)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8"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44,377,445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127,997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108,769</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Issuance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611,154</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4"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2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Issuance of common stock upon exercise of options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Cancellation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(329,536)</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1,072</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 withholdings related to net share settlements of stock 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(99,299)</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(491)</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(491)</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9,435</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9,435</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September 30,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44,561,554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128,582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118,755</w:t>
            </w:r>
          </w:p>
        </w:tc>
      </w:tr>
      <w:tr>
        <w:trPr/>
        <w:tc>
          <w:tcPr>
            <w:tcW w:w="3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4"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27"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44,510,779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128,861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119,687</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Issuance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497,893</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4"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2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Cancellation of restricted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(275,689)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1,008</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1,008</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 withholdings related to net share settlements of stock based compensation awards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(71,816)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(481)</w:t>
            </w:r>
          </w:p>
        </w:tc>
      </w:tr>
      <w:tr>
        <w:trPr/>
        <w:tc>
          <w:tcPr>
            <w:tcW w:w="36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2,949</w:t>
            </w:r>
          </w:p>
        </w:tc>
      </w:tr>
      <w:tr>
        <w:trPr/>
        <w:tc>
          <w:tcPr>
            <w:tcW w:w="363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44,661,167</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129,388</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(6,160)</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123,232</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w:t>
      </w:r>
      <w:bookmarkStart w:id="11" w:name="CF"/>
      <w:bookmarkEnd w:id="11"/>
      <w:r>
        <w:rPr>
          <w:rFonts w:ascii="Times New Roman;serif" w:hAnsi="Times New Roman;serif"/>
          <w:b/>
          <w:i w:val="false"/>
          <w:caps w:val="false"/>
          <w:smallCaps w:val="false"/>
          <w:sz w:val="20"/>
        </w:rPr>
        <w:t>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Consolidated Statements of Cash Flows </w:t>
      </w:r>
    </w:p>
    <w:p>
      <w:pPr>
        <w:pStyle w:val="TextBody"/>
        <w:bidi w:val="0"/>
        <w:spacing w:lineRule="auto" w:line="259"/>
        <w:rPr>
          <w:caps w:val="false"/>
          <w:smallCaps w:val="false"/>
        </w:rPr>
      </w:pPr>
      <w:r>
        <w:rPr>
          <w:caps w:val="false"/>
          <w:smallCaps w:val="false"/>
        </w:rPr>
        <w:t> </w:t>
      </w:r>
      <w:r>
        <w:rPr>
          <w:rFonts w:ascii="Times New Roman;serif" w:hAnsi="Times New Roman;serif"/>
          <w:b w:val="false"/>
          <w:i w:val="false"/>
          <w:caps w:val="false"/>
          <w:smallCaps w:val="false"/>
          <w:sz w:val="20"/>
        </w:rPr>
        <w:t xml:space="preserve">(dollars in thousands)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tbl>
      <w:tblPr>
        <w:tblW w:w="10138" w:type="dxa"/>
        <w:jc w:val="left"/>
        <w:tblInd w:w="0" w:type="dxa"/>
        <w:tblLayout w:type="fixed"/>
        <w:tblCellMar>
          <w:top w:w="0" w:type="dxa"/>
          <w:left w:w="0" w:type="dxa"/>
          <w:bottom w:w="0" w:type="dxa"/>
          <w:right w:w="0" w:type="dxa"/>
        </w:tblCellMar>
      </w:tblPr>
      <w:tblGrid>
        <w:gridCol w:w="7861"/>
        <w:gridCol w:w="109"/>
        <w:gridCol w:w="211"/>
        <w:gridCol w:w="796"/>
        <w:gridCol w:w="109"/>
        <w:gridCol w:w="211"/>
        <w:gridCol w:w="841"/>
      </w:tblGrid>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Nine Months Ended</w:t>
            </w:r>
          </w:p>
        </w:tc>
      </w:tr>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September 30,</w:t>
            </w:r>
          </w:p>
        </w:tc>
      </w:tr>
      <w:tr>
        <w:trPr/>
        <w:tc>
          <w:tcPr>
            <w:tcW w:w="7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9,435</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Adjustments to reconcile net income to 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13,802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16,394</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debt issuance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193</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Loss (Gain) on disposals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Impairment charges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618</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Non-cash lease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19,561</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1,072</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2,066</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Changes in operating assets and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22,242</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assets,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1,630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(302)</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2,490</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receivable /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(2,039)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3,533</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expenses and other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(17,921)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(20,989)</w:t>
            </w:r>
          </w:p>
        </w:tc>
      </w:tr>
      <w:tr>
        <w:trPr/>
        <w:tc>
          <w:tcPr>
            <w:tcW w:w="7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28,511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56,172</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Investing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(11,761)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(11,046)</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insurance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the sale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used in investing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(10,988)</w:t>
            </w:r>
          </w:p>
        </w:tc>
      </w:tr>
      <w:tr>
        <w:trPr/>
        <w:tc>
          <w:tcPr>
            <w:tcW w:w="7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Payments of long-term debt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(50,400)</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Advances on line of credit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15,000</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exercise of stock options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Employee taxes paid for shares withheld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(491)</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(35,887)</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 of exchange rate changes on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change in cash, cash equivalents and 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16,438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9,267</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cash equivalents and restricted cash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7,759</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cash equivalents and restricted cash end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25,058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17,026</w:t>
            </w:r>
          </w:p>
        </w:tc>
      </w:tr>
      <w:tr>
        <w:trPr/>
        <w:tc>
          <w:tcPr>
            <w:tcW w:w="7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25,058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16,371</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655</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cash equivalents and restricted cash end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25,058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17,026</w:t>
            </w:r>
          </w:p>
        </w:tc>
      </w:tr>
      <w:tr>
        <w:trPr/>
        <w:tc>
          <w:tcPr>
            <w:tcW w:w="7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Supplemental disclosure of cash flow information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property, plant and equipment included in 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986</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for interest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1,960</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(received) for income taxes,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2,352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(2,266)</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No</w:t>
      </w:r>
      <w:bookmarkStart w:id="12" w:name="Notes"/>
      <w:bookmarkEnd w:id="12"/>
      <w:r>
        <w:rPr>
          <w:rFonts w:ascii="Times New Roman;serif" w:hAnsi="Times New Roman;serif"/>
          <w:b/>
          <w:i w:val="false"/>
          <w:caps w:val="false"/>
          <w:smallCaps w:val="false"/>
          <w:sz w:val="20"/>
        </w:rPr>
        <w:t>te 1: Background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Tile Shop Holdings, Inc. (“Holdings,” and together with its wholly owned subsidiaries, the “Company”) was incorporated in Delaware in June 2012.</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is a specialty retailer of man-made and natural stone tiles, luxury vinyl tiles, setting and maintenance materials, and related accessories in the United States. The Company offers a wide selection of high-quality products, exclusive designs, knowledgeable staff and exceptional customer service, in an extensive showroom environment with up to 50 full-room tiled displays. The Company’s primary market is retail sales to consumers, contractors, designers and home builders. As of September 30, 2024, the Company had 142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stores in 31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states and the District of Columbia, with an average size of approximately 20,000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square feet. The Company has distribution centers located in Michigan, Oklahoma, Virginia and Wisconsin.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accompanying Consolidated Financial Statements of the Company have been prepared in accordance with accounting principles generally accepted in the United States for interim financial information and with the rules and regulations for reporting on Form 10</w:t>
      </w:r>
      <w:r>
        <w:rPr>
          <w:rFonts w:ascii="Cambria Math" w:hAnsi="Cambria Math"/>
          <w:b w:val="false"/>
          <w:i w:val="false"/>
          <w:caps w:val="false"/>
          <w:smallCaps w:val="false"/>
          <w:sz w:val="20"/>
        </w:rPr>
        <w:t>-</w:t>
      </w:r>
      <w:r>
        <w:rPr>
          <w:rFonts w:ascii="Times New Roman;serif" w:hAnsi="Times New Roman;serif"/>
          <w:b w:val="false"/>
          <w:i w:val="false"/>
          <w:caps w:val="false"/>
          <w:smallCaps w:val="false"/>
          <w:sz w:val="20"/>
        </w:rPr>
        <w:t>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nine months ended September 30, 2024 are not necessarily indicative of the results that may be expected for the fiscal year ending December 31, 2024.</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statements should be read in conjunction with the Consolidated Financial Statements and footnotes included in the Company’s Annual Report on Form 10-K for the fiscal year ended December 31, 2023. The accounting policies used in preparing these Consolidated Financial Statements are the same as those described in Note 1 to the Consolidated Financial Statements in the Form 10-K filed with the Securities and Exchange Commission (the “SEC”) on February 29, 2024.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SEC Developments Relating to Climate Change Disclosures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March 6, 2024, the SEC adopted final rules under the Securities Act of 1933, as amended, and the Securities Exchange Act of 1934, as amended, to require public companies (including the Company) to provide detailed climate-related information in their registration statements and periodic reports. Among other things, the final rules require public companies to disclose information about (i) climate-related risks that have had, or are reasonably likely to have, a material impact on the company’s business strategy, results of operations, or financial condition; (ii) the actual and potential material impacts of such risks on the company’s strategy, business model, and outlook; (iii) a company’s activities, if any, to mitigate or adapt to material climate-related risks; (iv) the role of the board of directors in overseeing climate-related risks and management’s role in assessing and managing the company’s material climate-related risks; (v) processes the company uses for identifying, assessing, and managing material climate-related risks; (vi) the company’s Scope 1 Greenhouse Gas (“GHG”) emissions (direct GHG emissions) and Scope 2 GHG emissions (indirect GHG emissions resulting from purchased energy) when such emissions are material and an attestation report covering such disclosures; and (vii) expenditures, costs, and losses incurred as a result of severe weather events and other natural conditions (subject to disclosure thresholds) to be disclosed in notes to the financial statements. Based on the rule as adopted, compliance with these requirements will be phased in over a period of years, with disclosure by large accelerated filers starting in 2026 with respect to information for the 2025 fiscal year and disclosure by smaller reporting companies (such as the Company at this time) starting in 2028 with respect to information for the 2027 fiscal year, if not delayed by the SEC. Certain requirements such as GHG emissions do not apply to smaller reporting companies (such as the Company at this time).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Various organizations have filed lawsuits seeking to invalidate the SEC’s final rules that mandate climate-related disclosures. These lawsuits, which challenge the authority of the SEC to adopt these rules, have been consolidated in the United States Court of Appeals for the Eighth Circuit. On April 4, 2024, the SEC issued an order staying its final climate disclosure rules pending the completion of judicial review of these lawsuits. The Company is currently evaluating the impact of the rules on its disclosures and will monitor the litigation progress for possible impacts on the disclosure requirements under the rules.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Recently Issued Accounting Pronouncements</w:t>
      </w:r>
    </w:p>
    <w:p>
      <w:pPr>
        <w:pStyle w:val="TextBody"/>
        <w:bidi w:val="0"/>
        <w:spacing w:lineRule="auto" w:line="259"/>
        <w:rPr>
          <w:rFonts w:ascii="Times New Roman;serif" w:hAnsi="Times New Roman;serif"/>
          <w:sz w:val="20"/>
        </w:rPr>
      </w:pPr>
      <w:r>
        <w:rPr>
          <w:rFonts w:ascii="Times New Roman;serif" w:hAnsi="Times New Roman;serif"/>
          <w:b w:val="false"/>
          <w:i/>
          <w:sz w:val="20"/>
        </w:rPr>
        <w:t>Income Taxes. </w:t>
      </w:r>
      <w:r>
        <w:rPr>
          <w:rFonts w:ascii="Times New Roman;serif" w:hAnsi="Times New Roman;serif"/>
          <w:b w:val="false"/>
          <w:i w:val="false"/>
          <w:caps w:val="false"/>
          <w:smallCaps w:val="false"/>
          <w:sz w:val="20"/>
        </w:rPr>
        <w:t>In December 2023, the Financial Accounting Standards Board (“FASB”) issued Accounting Standards Update (“ASU”) No. 2023-09, </w:t>
      </w:r>
      <w:r>
        <w:rPr>
          <w:rFonts w:ascii="Times New Roman;serif" w:hAnsi="Times New Roman;serif"/>
          <w:sz w:val="20"/>
        </w:rPr>
        <w:t>“</w:t>
      </w:r>
      <w:r>
        <w:rPr>
          <w:rFonts w:ascii="Times New Roman;serif" w:hAnsi="Times New Roman;serif"/>
          <w:b w:val="false"/>
          <w:i/>
          <w:sz w:val="20"/>
        </w:rPr>
        <w:t>Income Taxes (Topic 740): Improvements to Income Tax Disclosures.” </w:t>
      </w:r>
      <w:r>
        <w:rPr>
          <w:rFonts w:ascii="Times New Roman;serif" w:hAnsi="Times New Roman;serif"/>
          <w:b w:val="false"/>
          <w:i w:val="false"/>
          <w:caps w:val="false"/>
          <w:smallCaps w:val="false"/>
          <w:sz w:val="20"/>
        </w:rPr>
        <w:t>The amendments in this ASU improve the transparency of income tax disclosures by requiring consistent categories and greater disaggregation of information in the rate reconciliation and income taxes paid disaggregated by jurisdiction. The Company will adopt this guidance as of December 31, 2025. The Company is currently evaluating the impact of this guidance on the Company’s consolidated financial statements and related disclosures.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sz w:val="20"/>
        </w:rPr>
      </w:pPr>
      <w:r>
        <w:rPr>
          <w:rFonts w:ascii="Times New Roman;serif" w:hAnsi="Times New Roman;serif"/>
          <w:b w:val="false"/>
          <w:i/>
          <w:sz w:val="20"/>
        </w:rPr>
        <w:t>Segment Reporting. </w:t>
      </w:r>
      <w:r>
        <w:rPr>
          <w:rFonts w:ascii="Times New Roman;serif" w:hAnsi="Times New Roman;serif"/>
          <w:b w:val="false"/>
          <w:i w:val="false"/>
          <w:caps w:val="false"/>
          <w:smallCaps w:val="false"/>
          <w:sz w:val="20"/>
        </w:rPr>
        <w:t>In November 2023, the FASB issued ASU No. 2023-07, </w:t>
      </w:r>
      <w:r>
        <w:rPr>
          <w:rFonts w:ascii="Times New Roman;serif" w:hAnsi="Times New Roman;serif"/>
          <w:sz w:val="20"/>
        </w:rPr>
        <w:t>“</w:t>
      </w:r>
      <w:r>
        <w:rPr>
          <w:rFonts w:ascii="Times New Roman;serif" w:hAnsi="Times New Roman;serif"/>
          <w:b w:val="false"/>
          <w:i/>
          <w:sz w:val="20"/>
        </w:rPr>
        <w:t xml:space="preserve">Segment Reporting (Topic 280): Improvements to Reportable Segment Disclosures,” </w:t>
      </w:r>
      <w:r>
        <w:rPr>
          <w:rFonts w:ascii="Times New Roman;serif" w:hAnsi="Times New Roman;serif"/>
          <w:b w:val="false"/>
          <w:i w:val="false"/>
          <w:caps w:val="false"/>
          <w:smallCaps w:val="false"/>
          <w:sz w:val="20"/>
        </w:rPr>
        <w:t>which requires incremental disclosures on reportable segments, primarily through enhanced disclosures on significant segment expenses. The Company will adopt this guidance for its annual report on Form 10-K as of December 31, 2024, and interim periods within fiscal years beginning in 2025. The Company is currently evaluating the impact of this guidance on the Company’s consolidated financial statements and related disclosures.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2: Revenues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Revenues are recognized when control of the promised goods or services is transferred to the Company’s customers, in an amount that reflects the consideration received in exchange for those goods or services. Sales taxes are excluded from revenues.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revenues disaggregated by product category:</w:t>
      </w:r>
    </w:p>
    <w:tbl>
      <w:tblPr>
        <w:tblW w:w="7636" w:type="dxa"/>
        <w:jc w:val="left"/>
        <w:tblInd w:w="0" w:type="dxa"/>
        <w:tblLayout w:type="fixed"/>
        <w:tblCellMar>
          <w:top w:w="0" w:type="dxa"/>
          <w:left w:w="0" w:type="dxa"/>
          <w:bottom w:w="0" w:type="dxa"/>
          <w:right w:w="0" w:type="dxa"/>
        </w:tblCellMar>
      </w:tblPr>
      <w:tblGrid>
        <w:gridCol w:w="2911"/>
        <w:gridCol w:w="651"/>
        <w:gridCol w:w="419"/>
        <w:gridCol w:w="168"/>
        <w:gridCol w:w="651"/>
        <w:gridCol w:w="419"/>
        <w:gridCol w:w="109"/>
        <w:gridCol w:w="632"/>
        <w:gridCol w:w="407"/>
        <w:gridCol w:w="163"/>
        <w:gridCol w:w="632"/>
        <w:gridCol w:w="474"/>
      </w:tblGrid>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651" w:type="dxa"/>
            <w:tcBorders/>
            <w:shd w:fill="FFFFFF" w:val="clear"/>
            <w:vAlign w:val="center"/>
          </w:tcPr>
          <w:p>
            <w:pPr>
              <w:pStyle w:val="TableContents"/>
              <w:bidi w:val="0"/>
              <w:spacing w:before="0" w:after="283"/>
              <w:jc w:val="left"/>
              <w:rPr>
                <w:sz w:val="4"/>
                <w:szCs w:val="4"/>
              </w:rPr>
            </w:pPr>
            <w:r>
              <w:rPr>
                <w:sz w:val="4"/>
                <w:szCs w:val="4"/>
              </w:rPr>
            </w:r>
          </w:p>
        </w:tc>
        <w:tc>
          <w:tcPr>
            <w:tcW w:w="419" w:type="dxa"/>
            <w:tcBorders/>
            <w:shd w:fill="FFFFFF" w:val="clear"/>
            <w:vAlign w:val="center"/>
          </w:tcPr>
          <w:p>
            <w:pPr>
              <w:pStyle w:val="TableContents"/>
              <w:bidi w:val="0"/>
              <w:spacing w:before="0" w:after="283"/>
              <w:jc w:val="left"/>
              <w:rPr>
                <w:sz w:val="4"/>
                <w:szCs w:val="4"/>
              </w:rPr>
            </w:pPr>
            <w:r>
              <w:rPr>
                <w:sz w:val="4"/>
                <w:szCs w:val="4"/>
              </w:rPr>
            </w:r>
          </w:p>
        </w:tc>
        <w:tc>
          <w:tcPr>
            <w:tcW w:w="168" w:type="dxa"/>
            <w:tcBorders/>
            <w:shd w:fill="FFFFFF" w:val="clear"/>
            <w:vAlign w:val="center"/>
          </w:tcPr>
          <w:p>
            <w:pPr>
              <w:pStyle w:val="TableContents"/>
              <w:bidi w:val="0"/>
              <w:spacing w:before="0" w:after="283"/>
              <w:jc w:val="left"/>
              <w:rPr>
                <w:sz w:val="4"/>
                <w:szCs w:val="4"/>
              </w:rPr>
            </w:pPr>
            <w:r>
              <w:rPr>
                <w:sz w:val="4"/>
                <w:szCs w:val="4"/>
              </w:rPr>
            </w:r>
          </w:p>
        </w:tc>
        <w:tc>
          <w:tcPr>
            <w:tcW w:w="651" w:type="dxa"/>
            <w:tcBorders/>
            <w:shd w:fill="FFFFFF" w:val="clear"/>
            <w:vAlign w:val="center"/>
          </w:tcPr>
          <w:p>
            <w:pPr>
              <w:pStyle w:val="TableContents"/>
              <w:bidi w:val="0"/>
              <w:spacing w:before="0" w:after="283"/>
              <w:jc w:val="left"/>
              <w:rPr>
                <w:sz w:val="4"/>
                <w:szCs w:val="4"/>
              </w:rPr>
            </w:pPr>
            <w:r>
              <w:rPr>
                <w:sz w:val="4"/>
                <w:szCs w:val="4"/>
              </w:rPr>
            </w:r>
          </w:p>
        </w:tc>
        <w:tc>
          <w:tcPr>
            <w:tcW w:w="41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2"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shd w:fill="FFFFFF" w:val="clear"/>
            <w:vAlign w:val="center"/>
          </w:tcPr>
          <w:p>
            <w:pPr>
              <w:pStyle w:val="TableContents"/>
              <w:bidi w:val="0"/>
              <w:spacing w:before="0" w:after="283"/>
              <w:jc w:val="left"/>
              <w:rPr>
                <w:sz w:val="4"/>
                <w:szCs w:val="4"/>
              </w:rPr>
            </w:pPr>
            <w:r>
              <w:rPr>
                <w:sz w:val="4"/>
                <w:szCs w:val="4"/>
              </w:rPr>
            </w:r>
          </w:p>
        </w:tc>
        <w:tc>
          <w:tcPr>
            <w:tcW w:w="163" w:type="dxa"/>
            <w:tcBorders/>
            <w:shd w:fill="FFFFFF" w:val="clear"/>
            <w:vAlign w:val="center"/>
          </w:tcPr>
          <w:p>
            <w:pPr>
              <w:pStyle w:val="TableContents"/>
              <w:bidi w:val="0"/>
              <w:spacing w:before="0" w:after="283"/>
              <w:jc w:val="left"/>
              <w:rPr>
                <w:sz w:val="4"/>
                <w:szCs w:val="4"/>
              </w:rPr>
            </w:pPr>
            <w:r>
              <w:rPr>
                <w:sz w:val="4"/>
                <w:szCs w:val="4"/>
              </w:rPr>
            </w:r>
          </w:p>
        </w:tc>
        <w:tc>
          <w:tcPr>
            <w:tcW w:w="632" w:type="dxa"/>
            <w:tcBorders/>
            <w:shd w:fill="FFFFFF" w:val="clear"/>
            <w:vAlign w:val="center"/>
          </w:tcPr>
          <w:p>
            <w:pPr>
              <w:pStyle w:val="TableContents"/>
              <w:bidi w:val="0"/>
              <w:spacing w:before="0" w:after="283"/>
              <w:jc w:val="left"/>
              <w:rPr>
                <w:sz w:val="4"/>
                <w:szCs w:val="4"/>
              </w:rPr>
            </w:pPr>
            <w:r>
              <w:rPr>
                <w:sz w:val="4"/>
                <w:szCs w:val="4"/>
              </w:rPr>
            </w:r>
          </w:p>
        </w:tc>
        <w:tc>
          <w:tcPr>
            <w:tcW w:w="474" w:type="dxa"/>
            <w:tcBorders/>
            <w:shd w:fill="FFFFFF" w:val="clear"/>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651" w:type="dxa"/>
            <w:tcBorders/>
            <w:shd w:fill="FFFFFF" w:val="clear"/>
            <w:vAlign w:val="center"/>
          </w:tcPr>
          <w:p>
            <w:pPr>
              <w:pStyle w:val="TableContents"/>
              <w:bidi w:val="0"/>
              <w:spacing w:before="0" w:after="283"/>
              <w:jc w:val="left"/>
              <w:rPr>
                <w:sz w:val="4"/>
                <w:szCs w:val="4"/>
              </w:rPr>
            </w:pPr>
            <w:r>
              <w:rPr>
                <w:sz w:val="4"/>
                <w:szCs w:val="4"/>
              </w:rPr>
            </w:r>
          </w:p>
        </w:tc>
        <w:tc>
          <w:tcPr>
            <w:tcW w:w="419" w:type="dxa"/>
            <w:tcBorders/>
            <w:shd w:fill="FFFFFF" w:val="clear"/>
            <w:vAlign w:val="center"/>
          </w:tcPr>
          <w:p>
            <w:pPr>
              <w:pStyle w:val="TableContents"/>
              <w:bidi w:val="0"/>
              <w:spacing w:before="0" w:after="283"/>
              <w:jc w:val="left"/>
              <w:rPr>
                <w:sz w:val="4"/>
                <w:szCs w:val="4"/>
              </w:rPr>
            </w:pPr>
            <w:r>
              <w:rPr>
                <w:sz w:val="4"/>
                <w:szCs w:val="4"/>
              </w:rPr>
            </w:r>
          </w:p>
        </w:tc>
        <w:tc>
          <w:tcPr>
            <w:tcW w:w="168" w:type="dxa"/>
            <w:tcBorders/>
            <w:shd w:fill="FFFFFF" w:val="clear"/>
            <w:vAlign w:val="center"/>
          </w:tcPr>
          <w:p>
            <w:pPr>
              <w:pStyle w:val="TableContents"/>
              <w:bidi w:val="0"/>
              <w:spacing w:before="0" w:after="283"/>
              <w:jc w:val="left"/>
              <w:rPr>
                <w:sz w:val="4"/>
                <w:szCs w:val="4"/>
              </w:rPr>
            </w:pPr>
            <w:r>
              <w:rPr>
                <w:sz w:val="4"/>
                <w:szCs w:val="4"/>
              </w:rPr>
            </w:r>
          </w:p>
        </w:tc>
        <w:tc>
          <w:tcPr>
            <w:tcW w:w="651" w:type="dxa"/>
            <w:tcBorders/>
            <w:shd w:fill="FFFFFF" w:val="clear"/>
            <w:vAlign w:val="center"/>
          </w:tcPr>
          <w:p>
            <w:pPr>
              <w:pStyle w:val="TableContents"/>
              <w:bidi w:val="0"/>
              <w:spacing w:before="0" w:after="283"/>
              <w:jc w:val="left"/>
              <w:rPr>
                <w:sz w:val="4"/>
                <w:szCs w:val="4"/>
              </w:rPr>
            </w:pPr>
            <w:r>
              <w:rPr>
                <w:sz w:val="4"/>
                <w:szCs w:val="4"/>
              </w:rPr>
            </w:r>
          </w:p>
        </w:tc>
        <w:tc>
          <w:tcPr>
            <w:tcW w:w="41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2"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shd w:fill="FFFFFF" w:val="clear"/>
            <w:vAlign w:val="center"/>
          </w:tcPr>
          <w:p>
            <w:pPr>
              <w:pStyle w:val="TableContents"/>
              <w:bidi w:val="0"/>
              <w:spacing w:before="0" w:after="283"/>
              <w:jc w:val="left"/>
              <w:rPr>
                <w:sz w:val="4"/>
                <w:szCs w:val="4"/>
              </w:rPr>
            </w:pPr>
            <w:r>
              <w:rPr>
                <w:sz w:val="4"/>
                <w:szCs w:val="4"/>
              </w:rPr>
            </w:r>
          </w:p>
        </w:tc>
        <w:tc>
          <w:tcPr>
            <w:tcW w:w="163" w:type="dxa"/>
            <w:tcBorders/>
            <w:shd w:fill="FFFFFF" w:val="clear"/>
            <w:vAlign w:val="center"/>
          </w:tcPr>
          <w:p>
            <w:pPr>
              <w:pStyle w:val="TableContents"/>
              <w:bidi w:val="0"/>
              <w:spacing w:before="0" w:after="283"/>
              <w:jc w:val="left"/>
              <w:rPr>
                <w:sz w:val="4"/>
                <w:szCs w:val="4"/>
              </w:rPr>
            </w:pPr>
            <w:r>
              <w:rPr>
                <w:sz w:val="4"/>
                <w:szCs w:val="4"/>
              </w:rPr>
            </w:r>
          </w:p>
        </w:tc>
        <w:tc>
          <w:tcPr>
            <w:tcW w:w="632" w:type="dxa"/>
            <w:tcBorders/>
            <w:shd w:fill="FFFFFF" w:val="clear"/>
            <w:vAlign w:val="center"/>
          </w:tcPr>
          <w:p>
            <w:pPr>
              <w:pStyle w:val="TableContents"/>
              <w:bidi w:val="0"/>
              <w:spacing w:before="0" w:after="283"/>
              <w:jc w:val="left"/>
              <w:rPr>
                <w:sz w:val="4"/>
                <w:szCs w:val="4"/>
              </w:rPr>
            </w:pPr>
            <w:r>
              <w:rPr>
                <w:sz w:val="4"/>
                <w:szCs w:val="4"/>
              </w:rPr>
            </w:r>
          </w:p>
        </w:tc>
        <w:tc>
          <w:tcPr>
            <w:tcW w:w="474" w:type="dxa"/>
            <w:tcBorders/>
            <w:shd w:fill="FFFFFF" w:val="clear"/>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230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three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0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nine months ended</w:t>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230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0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September 30,</w:t>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6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6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Man-made tiles</w:t>
            </w:r>
            <w:r>
              <w:rPr>
                <w:rFonts w:ascii="Times New Roman;serif" w:hAnsi="Times New Roman;serif"/>
                <w:b w:val="false"/>
                <w:i w:val="false"/>
                <w:caps w:val="false"/>
                <w:smallCaps w:val="false"/>
                <w:position w:val="7"/>
                <w:sz w:val="16"/>
                <w:sz w:val="20"/>
              </w:rPr>
              <w:t>(1)</w:t>
            </w:r>
          </w:p>
        </w:tc>
        <w:tc>
          <w:tcPr>
            <w:tcW w:w="6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c>
          <w:tcPr>
            <w:tcW w:w="41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c>
          <w:tcPr>
            <w:tcW w:w="41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c>
          <w:tcPr>
            <w:tcW w:w="40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63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w:t>
            </w:r>
          </w:p>
        </w:tc>
        <w:tc>
          <w:tcPr>
            <w:tcW w:w="47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Natural stone tiles</w:t>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c>
          <w:tcPr>
            <w:tcW w:w="4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c>
          <w:tcPr>
            <w:tcW w:w="4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w:t>
            </w:r>
          </w:p>
        </w:tc>
        <w:tc>
          <w:tcPr>
            <w:tcW w:w="474"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Setting and maintenance materials</w:t>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c>
          <w:tcPr>
            <w:tcW w:w="419" w:type="dxa"/>
            <w:tcBorders/>
            <w:shd w:fill="CCEEFF" w:val="clear"/>
            <w:vAlign w:val="center"/>
          </w:tcPr>
          <w:p>
            <w:pPr>
              <w:pStyle w:val="TableContents"/>
              <w:bidi w:val="0"/>
              <w:spacing w:before="0" w:after="283"/>
              <w:jc w:val="left"/>
              <w:rPr>
                <w:sz w:val="4"/>
                <w:szCs w:val="4"/>
              </w:rPr>
            </w:pPr>
            <w:r>
              <w:rPr>
                <w:sz w:val="4"/>
                <w:szCs w:val="4"/>
              </w:rPr>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c>
          <w:tcPr>
            <w:tcW w:w="41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6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c>
          <w:tcPr>
            <w:tcW w:w="474" w:type="dxa"/>
            <w:tcBorders/>
            <w:shd w:fill="CCEEFF" w:val="cle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Accessories</w:t>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w:t>
            </w:r>
          </w:p>
        </w:tc>
        <w:tc>
          <w:tcPr>
            <w:tcW w:w="4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4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474"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Delivery service</w:t>
            </w:r>
          </w:p>
        </w:tc>
        <w:tc>
          <w:tcPr>
            <w:tcW w:w="6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40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63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47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Total </w:t>
            </w:r>
          </w:p>
        </w:tc>
        <w:tc>
          <w:tcPr>
            <w:tcW w:w="6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41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68" w:type="dxa"/>
            <w:tcBorders/>
            <w:vAlign w:val="center"/>
          </w:tcPr>
          <w:p>
            <w:pPr>
              <w:pStyle w:val="TableContents"/>
              <w:bidi w:val="0"/>
              <w:spacing w:before="0" w:after="283"/>
              <w:jc w:val="left"/>
              <w:rPr>
                <w:sz w:val="4"/>
                <w:szCs w:val="4"/>
              </w:rPr>
            </w:pPr>
            <w:r>
              <w:rPr>
                <w:sz w:val="4"/>
                <w:szCs w:val="4"/>
              </w:rPr>
            </w:r>
          </w:p>
        </w:tc>
        <w:tc>
          <w:tcPr>
            <w:tcW w:w="6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41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40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63" w:type="dxa"/>
            <w:tcBorders/>
            <w:vAlign w:val="center"/>
          </w:tcPr>
          <w:p>
            <w:pPr>
              <w:pStyle w:val="TableContents"/>
              <w:bidi w:val="0"/>
              <w:spacing w:before="0" w:after="283"/>
              <w:jc w:val="left"/>
              <w:rPr>
                <w:sz w:val="4"/>
                <w:szCs w:val="4"/>
              </w:rPr>
            </w:pPr>
            <w:r>
              <w:rPr>
                <w:sz w:val="4"/>
                <w:szCs w:val="4"/>
              </w:rPr>
            </w:r>
          </w:p>
        </w:tc>
        <w:tc>
          <w:tcPr>
            <w:tcW w:w="63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47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 xml:space="preserve">(1) </w:t>
      </w:r>
      <w:r>
        <w:rPr>
          <w:rFonts w:ascii="Times New Roman;serif" w:hAnsi="Times New Roman;serif"/>
          <w:b w:val="false"/>
          <w:i w:val="false"/>
          <w:caps w:val="false"/>
          <w:smallCaps w:val="false"/>
          <w:sz w:val="20"/>
        </w:rPr>
        <w:t>Man-made tile revenues include sales of luxury vinyl tile products.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generates revenues by selling tile products, setting and maintenance materials, accessories, and delivery services to its customers through its store locations and online. The timing of revenue recognition coincides with the transfer of control of goods and services ordered by the customer, which falls into one of three categories described below:</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Revenue recognized when an order is placed – If a customer places an order in a store and the contents of their order are available, the Company recognizes revenue concurrent with the exchange of goods for consideration from the customer. </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at the end of a reporting period, revenue will be recognized based on the transaction price allocated to the goods delivered and services rendered. </w:t>
      </w:r>
      <w:bookmarkStart w:id="13" w:name="_Hlk172103773"/>
      <w:bookmarkEnd w:id="13"/>
      <w:r>
        <w:rPr>
          <w:rFonts w:ascii="Times New Roman;serif" w:hAnsi="Times New Roman;serif"/>
          <w:b w:val="false"/>
          <w:i w:val="false"/>
          <w:caps w:val="false"/>
          <w:smallCaps w:val="false"/>
          <w:sz w:val="20"/>
        </w:rPr>
        <w:t>The customer deposit balance was $12.9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September 30, 2024 and December 31, 2023, respectively. Revenues recognized during the nine months ended September 30, 2024 that were included in the customer deposit balance as of the beginning of the period were $10.3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extends financing to qualified professional customers who apply for credit. Customers who qualify for an account receive 30-day payment terms. The accounts receivable balance was $3.3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t>
      </w:r>
      <w:r>
        <w:rPr>
          <w:rFonts w:ascii="Times New Roman;serif" w:hAnsi="Times New Roman;serif"/>
          <w:b w:val="false"/>
          <w:i w:val="false"/>
          <w:caps w:val="false"/>
          <w:smallCaps w:val="false"/>
          <w:color w:val="000000"/>
          <w:sz w:val="20"/>
        </w:rPr>
        <w:t>and $2.9</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at September 30, 2024 and December 31, 2023, respectively.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The Company expects that the customer will pay for the goods and services ordered within one year from the date the order is placed. Accordingly, the Company does not adjust the promised amount of consideration for the effects of the financing component.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Customers may return purchased items for an exchange or refund. The Company records a reserve for estimated product returns based on historical returns trends and the current product sales performance.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Sheets as of September 30, 2024 and December 31, 2023 were as follows:</w:t>
      </w:r>
    </w:p>
    <w:tbl>
      <w:tblPr>
        <w:tblW w:w="5424" w:type="dxa"/>
        <w:jc w:val="left"/>
        <w:tblInd w:w="0" w:type="dxa"/>
        <w:tblLayout w:type="fixed"/>
        <w:tblCellMar>
          <w:top w:w="0" w:type="dxa"/>
          <w:left w:w="0" w:type="dxa"/>
          <w:bottom w:w="0" w:type="dxa"/>
          <w:right w:w="0" w:type="dxa"/>
        </w:tblCellMar>
      </w:tblPr>
      <w:tblGrid>
        <w:gridCol w:w="2686"/>
        <w:gridCol w:w="109"/>
        <w:gridCol w:w="340"/>
        <w:gridCol w:w="920"/>
        <w:gridCol w:w="109"/>
        <w:gridCol w:w="321"/>
        <w:gridCol w:w="939"/>
      </w:tblGrid>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40"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1" w:type="dxa"/>
            <w:tcBorders/>
            <w:shd w:fill="FFFFFF" w:val="clear"/>
            <w:vAlign w:val="center"/>
          </w:tcPr>
          <w:p>
            <w:pPr>
              <w:pStyle w:val="TableContents"/>
              <w:bidi w:val="0"/>
              <w:spacing w:before="0" w:after="283"/>
              <w:jc w:val="left"/>
              <w:rPr>
                <w:sz w:val="4"/>
                <w:szCs w:val="4"/>
              </w:rPr>
            </w:pPr>
            <w:r>
              <w:rPr>
                <w:sz w:val="4"/>
                <w:szCs w:val="4"/>
              </w:rPr>
            </w:r>
          </w:p>
        </w:tc>
        <w:tc>
          <w:tcPr>
            <w:tcW w:w="939" w:type="dxa"/>
            <w:tcBorders/>
            <w:shd w:fill="FFFFFF" w:val="cle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2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accrued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2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3,640</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936</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1,220</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Sales returns reserve,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2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2,420</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3: Inventories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The Company’s inventory consists of manufactured items and purchased merchandise held for resale. Inventories are stated at the lower of cost (determined using the moving average cost method) or net realizable value. The Company capitalizes the cost of inbound freight, duties, and receiving and handling costs to bring purchased materials into its distribution network. The labor and overhead costs incurred in connection with the production process are included in the value of manufactured finished goods. </w:t>
      </w:r>
      <w:r>
        <w:rPr>
          <w:rFonts w:ascii="Times New Roman;serif" w:hAnsi="Times New Roman;serif"/>
          <w:b w:val="false"/>
          <w:i w:val="false"/>
          <w:caps w:val="false"/>
          <w:smallCaps w:val="false"/>
          <w:sz w:val="20"/>
        </w:rPr>
        <w:t>Inventories were comprised of the following as of September 30, 2024 and December 31, 2023:</w:t>
      </w:r>
    </w:p>
    <w:tbl>
      <w:tblPr>
        <w:tblW w:w="4104" w:type="dxa"/>
        <w:jc w:val="left"/>
        <w:tblInd w:w="0" w:type="dxa"/>
        <w:tblLayout w:type="fixed"/>
        <w:tblCellMar>
          <w:top w:w="0" w:type="dxa"/>
          <w:left w:w="0" w:type="dxa"/>
          <w:bottom w:w="0" w:type="dxa"/>
          <w:right w:w="0" w:type="dxa"/>
        </w:tblCellMar>
      </w:tblPr>
      <w:tblGrid>
        <w:gridCol w:w="1366"/>
        <w:gridCol w:w="109"/>
        <w:gridCol w:w="299"/>
        <w:gridCol w:w="961"/>
        <w:gridCol w:w="109"/>
        <w:gridCol w:w="284"/>
        <w:gridCol w:w="976"/>
      </w:tblGrid>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2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1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Finished goods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82,667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92,205</w:t>
            </w:r>
          </w:p>
        </w:tc>
      </w:tr>
      <w:tr>
        <w:trPr/>
        <w:tc>
          <w:tcPr>
            <w:tcW w:w="1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Raw materials</w:t>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1,861</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1,474</w:t>
            </w:r>
          </w:p>
        </w:tc>
      </w:tr>
      <w:tr>
        <w:trPr/>
        <w:tc>
          <w:tcPr>
            <w:tcW w:w="1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Total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84,528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93,679</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September 30, 2024 and December 31, 2023, respectively. </w:t>
      </w:r>
    </w:p>
    <w:p>
      <w:pPr>
        <w:pStyle w:val="TextBody"/>
        <w:bidi w:val="0"/>
        <w:spacing w:lineRule="auto" w:line="259"/>
        <w:rPr>
          <w:rFonts w:ascii="Times New Roman;serif" w:hAnsi="Times New Roman;serif"/>
          <w:b/>
          <w:i w:val="false"/>
          <w:caps w:val="false"/>
          <w:smallCaps w:val="false"/>
          <w:sz w:val="20"/>
        </w:rPr>
      </w:pPr>
      <w:bookmarkStart w:id="14" w:name="_Hlk116897468"/>
      <w:bookmarkEnd w:id="14"/>
      <w:r>
        <w:rPr>
          <w:rFonts w:ascii="Times New Roman;serif" w:hAnsi="Times New Roman;serif"/>
          <w:b/>
          <w:i w:val="false"/>
          <w:caps w:val="false"/>
          <w:smallCaps w:val="false"/>
          <w:sz w:val="20"/>
        </w:rPr>
        <w:t>Note 4: Income Taxes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Effective tax rates for the nine months ended September 30, 2024 and 2023 were based on the Company’s forecasted annualized effective tax rates and were adjusted for discrete items that occurred within each period. The Company’s effective tax rate </w:t>
      </w:r>
      <w:r>
        <w:rPr>
          <w:rFonts w:ascii="Times New Roman;serif" w:hAnsi="Times New Roman;serif"/>
          <w:b w:val="false"/>
          <w:i w:val="false"/>
          <w:caps w:val="false"/>
          <w:smallCaps w:val="false"/>
          <w:color w:val="000000"/>
          <w:sz w:val="20"/>
        </w:rPr>
        <w:t xml:space="preserve">was 77.0% and 22.4% for the three months ended September 30, 2024 and 2023, respectively. </w:t>
      </w:r>
      <w:r>
        <w:rPr>
          <w:rFonts w:ascii="Times New Roman;serif" w:hAnsi="Times New Roman;serif"/>
          <w:b w:val="false"/>
          <w:i w:val="false"/>
          <w:caps w:val="false"/>
          <w:smallCaps w:val="false"/>
          <w:sz w:val="20"/>
        </w:rPr>
        <w:t>The Company’s effective tax rate for the nine months ended September 30, 2024 and 2023 was 27.9% and 26.1%, respectively. The effective income tax rate was higher than the statutory federal income tax rate of 21.0%, primarily due to state income taxes that were partially offset by discrete items, including the impact of employee award vesting.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records interest and penalties relating to uncertain tax positions in income tax expense. As of both September 30, 2024 and 2023, the Company had not recognized any liabilities for uncertain tax positions, nor had interest and penalties related to uncertain tax positions been accrued.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15" w:name="_contentSection_60a5fc31_33a6_4e18_9dcb_"/>
      <w:bookmarkEnd w:id="15"/>
      <w:r>
        <w:rPr>
          <w:rFonts w:ascii="Times New Roman;serif" w:hAnsi="Times New Roman;serif"/>
          <w:b/>
          <w:i w:val="false"/>
          <w:caps w:val="false"/>
          <w:smallCaps w:val="false"/>
          <w:sz w:val="20"/>
        </w:rPr>
        <w:t>Note 5: Earnings Per Share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Basic and diluted earnings per share were calculated as follows: </w:t>
      </w:r>
    </w:p>
    <w:tbl>
      <w:tblPr>
        <w:tblW w:w="10205" w:type="dxa"/>
        <w:jc w:val="left"/>
        <w:tblInd w:w="0" w:type="dxa"/>
        <w:tblLayout w:type="fixed"/>
        <w:tblCellMar>
          <w:top w:w="0" w:type="dxa"/>
          <w:left w:w="0" w:type="dxa"/>
          <w:bottom w:w="0" w:type="dxa"/>
          <w:right w:w="0" w:type="dxa"/>
        </w:tblCellMar>
      </w:tblPr>
      <w:tblGrid>
        <w:gridCol w:w="4845"/>
        <w:gridCol w:w="211"/>
        <w:gridCol w:w="1036"/>
        <w:gridCol w:w="109"/>
        <w:gridCol w:w="211"/>
        <w:gridCol w:w="1036"/>
        <w:gridCol w:w="109"/>
        <w:gridCol w:w="211"/>
        <w:gridCol w:w="1036"/>
        <w:gridCol w:w="109"/>
        <w:gridCol w:w="211"/>
        <w:gridCol w:w="1081"/>
      </w:tblGrid>
      <w:tr>
        <w:trPr/>
        <w:tc>
          <w:tcPr>
            <w:tcW w:w="4845"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4845" w:type="dxa"/>
            <w:tcBorders/>
            <w:shd w:fill="FFFFFF" w:val="clear"/>
            <w:vAlign w:val="center"/>
          </w:tcPr>
          <w:p>
            <w:pPr>
              <w:pStyle w:val="TableContents"/>
              <w:bidi w:val="0"/>
              <w:spacing w:before="0" w:after="283"/>
              <w:jc w:val="left"/>
              <w:rPr>
                <w:sz w:val="4"/>
                <w:szCs w:val="4"/>
              </w:rPr>
            </w:pPr>
            <w:r>
              <w:rPr>
                <w:sz w:val="4"/>
                <w:szCs w:val="4"/>
              </w:rPr>
            </w:r>
          </w:p>
        </w:tc>
        <w:tc>
          <w:tcPr>
            <w:tcW w:w="5360" w:type="dxa"/>
            <w:gridSpan w:val="11"/>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(dollars in thousands, except per share data)</w:t>
            </w:r>
          </w:p>
        </w:tc>
      </w:tr>
      <w:tr>
        <w:trPr/>
        <w:tc>
          <w:tcPr>
            <w:tcW w:w="4845" w:type="dxa"/>
            <w:tcBorders/>
            <w:shd w:fill="FFFFFF" w:val="clear"/>
            <w:vAlign w:val="center"/>
          </w:tcPr>
          <w:p>
            <w:pPr>
              <w:pStyle w:val="TableContents"/>
              <w:bidi w:val="0"/>
              <w:spacing w:before="0" w:after="283"/>
              <w:jc w:val="left"/>
              <w:rPr>
                <w:sz w:val="4"/>
                <w:szCs w:val="4"/>
              </w:rPr>
            </w:pPr>
            <w:r>
              <w:rPr>
                <w:sz w:val="4"/>
                <w:szCs w:val="4"/>
              </w:rPr>
            </w:r>
          </w:p>
        </w:tc>
        <w:tc>
          <w:tcPr>
            <w:tcW w:w="2603"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three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nine months ended</w:t>
            </w:r>
          </w:p>
        </w:tc>
      </w:tr>
      <w:tr>
        <w:trPr/>
        <w:tc>
          <w:tcPr>
            <w:tcW w:w="4845" w:type="dxa"/>
            <w:tcBorders/>
            <w:shd w:fill="FFFFFF" w:val="clear"/>
            <w:vAlign w:val="center"/>
          </w:tcPr>
          <w:p>
            <w:pPr>
              <w:pStyle w:val="TableContents"/>
              <w:bidi w:val="0"/>
              <w:spacing w:before="0" w:after="283"/>
              <w:jc w:val="left"/>
              <w:rPr>
                <w:sz w:val="4"/>
                <w:szCs w:val="4"/>
              </w:rPr>
            </w:pPr>
            <w:r>
              <w:rPr>
                <w:sz w:val="4"/>
                <w:szCs w:val="4"/>
              </w:rPr>
            </w:r>
          </w:p>
        </w:tc>
        <w:tc>
          <w:tcPr>
            <w:tcW w:w="2603"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September 30,</w:t>
            </w:r>
          </w:p>
        </w:tc>
      </w:tr>
      <w:tr>
        <w:trPr/>
        <w:tc>
          <w:tcPr>
            <w:tcW w:w="4845"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48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income </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9,435</w:t>
            </w:r>
          </w:p>
        </w:tc>
      </w:tr>
      <w:tr>
        <w:trPr/>
        <w:tc>
          <w:tcPr>
            <w:tcW w:w="48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outstanding - basic</w:t>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43,794,648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43,522,768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43,685,068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43,385,316</w:t>
            </w:r>
          </w:p>
        </w:tc>
      </w:tr>
      <w:tr>
        <w:trPr/>
        <w:tc>
          <w:tcPr>
            <w:tcW w:w="48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 of dilutive securities attributable to stock based awards</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98,537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210,938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98,113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170,672</w:t>
            </w:r>
          </w:p>
        </w:tc>
      </w:tr>
      <w:tr>
        <w:trPr/>
        <w:tc>
          <w:tcPr>
            <w:tcW w:w="48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outstanding - diluted</w:t>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43,893,185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43,733,706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43,783,181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43,555,988</w:t>
            </w:r>
          </w:p>
        </w:tc>
      </w:tr>
      <w:tr>
        <w:trPr/>
        <w:tc>
          <w:tcPr>
            <w:tcW w:w="48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per common share:</w:t>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8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Basic</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0.22</w:t>
            </w:r>
          </w:p>
        </w:tc>
      </w:tr>
      <w:tr>
        <w:trPr/>
        <w:tc>
          <w:tcPr>
            <w:tcW w:w="48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Diluted</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0.22</w:t>
            </w:r>
          </w:p>
        </w:tc>
      </w:tr>
      <w:tr>
        <w:trPr/>
        <w:tc>
          <w:tcPr>
            <w:tcW w:w="48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Anti-dilutive securities excluded from earnings per share calculation</w:t>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117,300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312,217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117,953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515,226</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6: Other Accrued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accrued liabilities consisted of the following: </w:t>
      </w:r>
    </w:p>
    <w:tbl>
      <w:tblPr>
        <w:tblW w:w="5259" w:type="dxa"/>
        <w:jc w:val="left"/>
        <w:tblInd w:w="0" w:type="dxa"/>
        <w:tblLayout w:type="fixed"/>
        <w:tblCellMar>
          <w:top w:w="0" w:type="dxa"/>
          <w:left w:w="0" w:type="dxa"/>
          <w:bottom w:w="0" w:type="dxa"/>
          <w:right w:w="0" w:type="dxa"/>
        </w:tblCellMar>
      </w:tblPr>
      <w:tblGrid>
        <w:gridCol w:w="2521"/>
        <w:gridCol w:w="109"/>
        <w:gridCol w:w="299"/>
        <w:gridCol w:w="961"/>
        <w:gridCol w:w="109"/>
        <w:gridCol w:w="284"/>
        <w:gridCol w:w="976"/>
      </w:tblGrid>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2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Customer deposits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10,719</w:t>
            </w:r>
          </w:p>
        </w:tc>
      </w:tr>
      <w:tr>
        <w:trPr/>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Sales returns reserve</w:t>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2,970</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3,640</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wages and salaries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5,523</w:t>
            </w:r>
          </w:p>
        </w:tc>
      </w:tr>
      <w:tr>
        <w:trPr/>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Payroll and sales taxes</w:t>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2,117</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2,129</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4,989</w:t>
            </w:r>
          </w:p>
        </w:tc>
      </w:tr>
      <w:tr>
        <w:trPr/>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6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30,885</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27,000</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16" w:name="_Hlk116901918"/>
      <w:bookmarkEnd w:id="16"/>
      <w:r>
        <w:rPr>
          <w:rFonts w:ascii="Times New Roman;serif" w:hAnsi="Times New Roman;serif"/>
          <w:b/>
          <w:i w:val="false"/>
          <w:caps w:val="false"/>
          <w:smallCaps w:val="false"/>
          <w:sz w:val="20"/>
        </w:rPr>
        <w:t xml:space="preserve">Note 7: Long-term Debt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On </w:t>
      </w:r>
      <w:r>
        <w:rPr>
          <w:rFonts w:ascii="Times New Roman;serif" w:hAnsi="Times New Roman;serif"/>
          <w:b w:val="false"/>
          <w:i w:val="false"/>
          <w:caps w:val="false"/>
          <w:smallCaps w:val="false"/>
          <w:sz w:val="20"/>
        </w:rPr>
        <w:t>September 30, 2022</w:t>
      </w:r>
      <w:r>
        <w:rPr>
          <w:rFonts w:ascii="Times New Roman;serif" w:hAnsi="Times New Roman;serif"/>
          <w:b w:val="false"/>
          <w:i w:val="false"/>
          <w:caps w:val="false"/>
          <w:smallCaps w:val="false"/>
          <w:color w:val="000000"/>
          <w:sz w:val="20"/>
        </w:rPr>
        <w:t>, Holdings and its operating subsidiary, The Tile Shop, LLC, and certain subsidiaries of each entered into a Credit Agreement with JPMorgan Chase Bank, N.A. and the lenders party thereto, including Fifth Third Bank (the “Credit Agreement”).  The Credit Agreement provides the Company with a senior credit facility consisting of a $75.0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Tile Shop’s Rent Adjusted Leverage Ratio (as defined in the Credit Agreement). </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The Credit Agreement is secured by virtually all of the assets of the Company, including, but not limited to, inventory, accounts receivable, equipment and general intangibles. The Credit Agreement contains customary events of default, conditions to borrowing and restrictive covenants, including restrictions on the Company’s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to 1.00 and a Rent Adjusted Leverage Ratio (as defined in the Credit Agreement) of no greater than 3.50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to 1.00. </w:t>
      </w:r>
      <w:r>
        <w:rPr>
          <w:rFonts w:ascii="Times New Roman;serif" w:hAnsi="Times New Roman;serif"/>
          <w:b w:val="false"/>
          <w:i w:val="false"/>
          <w:caps w:val="false"/>
          <w:smallCaps w:val="false"/>
          <w:sz w:val="20"/>
        </w:rPr>
        <w:t>The Company was in compliance with the covenants as of September 30, 2024.</w:t>
      </w:r>
    </w:p>
    <w:p>
      <w:pPr>
        <w:pStyle w:val="TextBody"/>
        <w:bidi w:val="0"/>
        <w:spacing w:lineRule="auto" w:line="259"/>
        <w:rPr>
          <w:rFonts w:ascii="Times New Roman;serif" w:hAnsi="Times New Roman;serif"/>
          <w:sz w:val="20"/>
        </w:rPr>
      </w:pPr>
      <w:bookmarkStart w:id="17" w:name="_Hlk172105462"/>
      <w:bookmarkEnd w:id="17"/>
      <w:r>
        <w:rPr>
          <w:rFonts w:ascii="Times New Roman;serif" w:hAnsi="Times New Roman;serif"/>
          <w:b w:val="false"/>
          <w:i w:val="false"/>
          <w:caps w:val="false"/>
          <w:smallCaps w:val="false"/>
          <w:color w:val="000000"/>
          <w:sz w:val="20"/>
        </w:rPr>
        <w:t>The Company had no</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borrowings outstanding on its line of credit as of September 30, 2024. The Company has standby letters of credit outstanding related to its workers’ compensation and medical insurance policies. As of September 30, 2024, standby letters of credit totaled $1.2</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As of September 30, 2024, there was $73.8</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available for borrowing on the revolving line of credit, which may be used for maintaining the Company’s existing stores, purchasing additional merchandise inventory, and general corporate purposes.</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8: Leases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leases its retail stores, certain distribution space, and office space. Leases generally have an initial term of ten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fifteen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contain renewal options. Assets acquired under operating leases are included in the Company’s right of use assets in the accompanying Consolidated Balance Sheet. The Company’s lease agreements do not contain significant residual value guarantees,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restrictions or covenants. Leasehold improvements are amortized using the straight-line method over the shorter of the original lease term, the renewal term if the lease renewal is reasonably certain or the useful life of the improvement.</w:t>
      </w:r>
    </w:p>
    <w:tbl>
      <w:tblPr>
        <w:tblW w:w="8714" w:type="dxa"/>
        <w:jc w:val="left"/>
        <w:tblInd w:w="0" w:type="dxa"/>
        <w:tblLayout w:type="fixed"/>
        <w:tblCellMar>
          <w:top w:w="0" w:type="dxa"/>
          <w:left w:w="0" w:type="dxa"/>
          <w:bottom w:w="0" w:type="dxa"/>
          <w:right w:w="0" w:type="dxa"/>
        </w:tblCellMar>
      </w:tblPr>
      <w:tblGrid>
        <w:gridCol w:w="1891"/>
        <w:gridCol w:w="2731"/>
        <w:gridCol w:w="109"/>
        <w:gridCol w:w="211"/>
        <w:gridCol w:w="1726"/>
        <w:gridCol w:w="109"/>
        <w:gridCol w:w="211"/>
        <w:gridCol w:w="1726"/>
      </w:tblGrid>
      <w:tr>
        <w:trPr/>
        <w:tc>
          <w:tcPr>
            <w:tcW w:w="1891" w:type="dxa"/>
            <w:tcBorders/>
            <w:shd w:fill="FFFFFF" w:val="clear"/>
            <w:vAlign w:val="center"/>
          </w:tcPr>
          <w:p>
            <w:pPr>
              <w:pStyle w:val="TableContents"/>
              <w:bidi w:val="0"/>
              <w:spacing w:before="0" w:after="283"/>
              <w:jc w:val="left"/>
              <w:rPr>
                <w:sz w:val="4"/>
                <w:szCs w:val="4"/>
              </w:rPr>
            </w:pPr>
            <w:r>
              <w:rPr>
                <w:sz w:val="4"/>
                <w:szCs w:val="4"/>
              </w:rPr>
            </w:r>
          </w:p>
        </w:tc>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7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726" w:type="dxa"/>
            <w:tcBorders/>
            <w:shd w:fill="FFFFFF" w:val="clear"/>
            <w:vAlign w:val="center"/>
          </w:tcPr>
          <w:p>
            <w:pPr>
              <w:pStyle w:val="TableContents"/>
              <w:bidi w:val="0"/>
              <w:spacing w:before="0" w:after="283"/>
              <w:jc w:val="left"/>
              <w:rPr>
                <w:sz w:val="4"/>
                <w:szCs w:val="4"/>
              </w:rPr>
            </w:pPr>
            <w:r>
              <w:rPr>
                <w:sz w:val="4"/>
                <w:szCs w:val="4"/>
              </w:rPr>
            </w:r>
          </w:p>
        </w:tc>
      </w:tr>
      <w:tr>
        <w:trPr/>
        <w:tc>
          <w:tcPr>
            <w:tcW w:w="189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Leases (in thousands)</w:t>
            </w:r>
          </w:p>
        </w:tc>
        <w:tc>
          <w:tcPr>
            <w:tcW w:w="273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Classification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September 30,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December 31, 2023</w:t>
            </w:r>
          </w:p>
        </w:tc>
      </w:tr>
      <w:tr>
        <w:trPr/>
        <w:tc>
          <w:tcPr>
            <w:tcW w:w="189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w:t>
            </w:r>
          </w:p>
        </w:tc>
        <w:tc>
          <w:tcPr>
            <w:tcW w:w="273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assets</w:t>
            </w:r>
          </w:p>
        </w:tc>
        <w:tc>
          <w:tcPr>
            <w:tcW w:w="27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Right of use asset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130,370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129,092</w:t>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leased assets</w:t>
            </w:r>
          </w:p>
        </w:tc>
        <w:tc>
          <w:tcPr>
            <w:tcW w:w="27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130,370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129,092</w:t>
            </w:r>
          </w:p>
        </w:tc>
      </w:tr>
      <w:tr>
        <w:trPr/>
        <w:tc>
          <w:tcPr>
            <w:tcW w:w="1891"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7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7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Liabilities</w:t>
            </w:r>
          </w:p>
        </w:tc>
        <w:tc>
          <w:tcPr>
            <w:tcW w:w="27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7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726" w:type="dxa"/>
            <w:tcBorders/>
            <w:shd w:fill="CCEEFF" w:val="clear"/>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w:t>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w:t>
            </w:r>
          </w:p>
        </w:tc>
        <w:tc>
          <w:tcPr>
            <w:tcW w:w="2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portion of lease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28,765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27,265</w:t>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Noncurrent</w:t>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w:t>
            </w:r>
          </w:p>
        </w:tc>
        <w:tc>
          <w:tcPr>
            <w:tcW w:w="2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Long-term lease liability,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7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111,775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7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112,697</w:t>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 liabilities</w:t>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140,540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139,962</w:t>
            </w:r>
          </w:p>
        </w:tc>
      </w:tr>
    </w:tbl>
    <w:tbl>
      <w:tblPr>
        <w:tblW w:w="7709" w:type="dxa"/>
        <w:jc w:val="left"/>
        <w:tblInd w:w="0" w:type="dxa"/>
        <w:tblLayout w:type="fixed"/>
        <w:tblCellMar>
          <w:top w:w="0" w:type="dxa"/>
          <w:left w:w="0" w:type="dxa"/>
          <w:bottom w:w="0" w:type="dxa"/>
          <w:right w:w="0" w:type="dxa"/>
        </w:tblCellMar>
      </w:tblPr>
      <w:tblGrid>
        <w:gridCol w:w="2161"/>
        <w:gridCol w:w="1411"/>
        <w:gridCol w:w="109"/>
        <w:gridCol w:w="211"/>
        <w:gridCol w:w="1726"/>
        <w:gridCol w:w="109"/>
        <w:gridCol w:w="211"/>
        <w:gridCol w:w="1771"/>
      </w:tblGrid>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7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771"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2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Three Months Ended </w:t>
            </w:r>
          </w:p>
        </w:tc>
      </w:tr>
      <w:tr>
        <w:trPr/>
        <w:tc>
          <w:tcPr>
            <w:tcW w:w="216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cost (in thousands)</w:t>
            </w:r>
          </w:p>
        </w:tc>
        <w:tc>
          <w:tcPr>
            <w:tcW w:w="141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Classification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September 30,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77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September 30, 2023</w:t>
            </w:r>
          </w:p>
        </w:tc>
      </w:tr>
      <w:tr>
        <w:trPr/>
        <w:tc>
          <w:tcPr>
            <w:tcW w:w="216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cost</w:t>
            </w:r>
          </w:p>
        </w:tc>
        <w:tc>
          <w:tcPr>
            <w:tcW w:w="14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9,052</w:t>
            </w:r>
          </w:p>
        </w:tc>
      </w:tr>
      <w:tr>
        <w:trPr/>
        <w:tc>
          <w:tcPr>
            <w:tcW w:w="216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Variable lease cost</w:t>
            </w:r>
            <w:r>
              <w:rPr>
                <w:rFonts w:ascii="Times New Roman;serif" w:hAnsi="Times New Roman;serif"/>
                <w:b w:val="false"/>
                <w:i w:val="false"/>
                <w:caps w:val="false"/>
                <w:smallCaps w:val="false"/>
                <w:position w:val="7"/>
                <w:sz w:val="16"/>
                <w:sz w:val="20"/>
              </w:rPr>
              <w:t>(1)</w:t>
            </w:r>
          </w:p>
        </w:tc>
        <w:tc>
          <w:tcPr>
            <w:tcW w:w="14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3,800</w:t>
            </w:r>
          </w:p>
        </w:tc>
      </w:tr>
      <w:tr>
        <w:trPr/>
        <w:tc>
          <w:tcPr>
            <w:tcW w:w="21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Short term lease cost</w:t>
            </w:r>
          </w:p>
        </w:tc>
        <w:tc>
          <w:tcPr>
            <w:tcW w:w="14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7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w:t>
            </w:r>
          </w:p>
        </w:tc>
      </w:tr>
      <w:tr>
        <w:trPr/>
        <w:tc>
          <w:tcPr>
            <w:tcW w:w="2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lease cost</w:t>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13,232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12,894</w:t>
            </w:r>
          </w:p>
        </w:tc>
      </w:tr>
    </w:tbl>
    <w:tbl>
      <w:tblPr>
        <w:tblW w:w="7709" w:type="dxa"/>
        <w:jc w:val="left"/>
        <w:tblInd w:w="0" w:type="dxa"/>
        <w:tblLayout w:type="fixed"/>
        <w:tblCellMar>
          <w:top w:w="0" w:type="dxa"/>
          <w:left w:w="0" w:type="dxa"/>
          <w:bottom w:w="0" w:type="dxa"/>
          <w:right w:w="0" w:type="dxa"/>
        </w:tblCellMar>
      </w:tblPr>
      <w:tblGrid>
        <w:gridCol w:w="2161"/>
        <w:gridCol w:w="1411"/>
        <w:gridCol w:w="109"/>
        <w:gridCol w:w="211"/>
        <w:gridCol w:w="1726"/>
        <w:gridCol w:w="109"/>
        <w:gridCol w:w="211"/>
        <w:gridCol w:w="1771"/>
      </w:tblGrid>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7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771"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2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Nine Months Ended </w:t>
            </w:r>
          </w:p>
        </w:tc>
      </w:tr>
      <w:tr>
        <w:trPr/>
        <w:tc>
          <w:tcPr>
            <w:tcW w:w="216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cost (in thousands)</w:t>
            </w:r>
          </w:p>
        </w:tc>
        <w:tc>
          <w:tcPr>
            <w:tcW w:w="141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Classification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September 30,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77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September 30, 2023</w:t>
            </w:r>
          </w:p>
        </w:tc>
      </w:tr>
      <w:tr>
        <w:trPr/>
        <w:tc>
          <w:tcPr>
            <w:tcW w:w="216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cost</w:t>
            </w:r>
          </w:p>
        </w:tc>
        <w:tc>
          <w:tcPr>
            <w:tcW w:w="14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28,277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26,890</w:t>
            </w:r>
          </w:p>
        </w:tc>
      </w:tr>
      <w:tr>
        <w:trPr/>
        <w:tc>
          <w:tcPr>
            <w:tcW w:w="216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Variable lease cost</w:t>
            </w:r>
            <w:r>
              <w:rPr>
                <w:rFonts w:ascii="Times New Roman;serif" w:hAnsi="Times New Roman;serif"/>
                <w:b w:val="false"/>
                <w:i w:val="false"/>
                <w:caps w:val="false"/>
                <w:smallCaps w:val="false"/>
                <w:position w:val="7"/>
                <w:sz w:val="16"/>
                <w:sz w:val="20"/>
              </w:rPr>
              <w:t>(1)</w:t>
            </w:r>
          </w:p>
        </w:tc>
        <w:tc>
          <w:tcPr>
            <w:tcW w:w="14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11,179</w:t>
            </w:r>
          </w:p>
        </w:tc>
      </w:tr>
      <w:tr>
        <w:trPr/>
        <w:tc>
          <w:tcPr>
            <w:tcW w:w="21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Short term lease cost</w:t>
            </w:r>
          </w:p>
        </w:tc>
        <w:tc>
          <w:tcPr>
            <w:tcW w:w="14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7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w:t>
            </w:r>
          </w:p>
        </w:tc>
      </w:tr>
      <w:tr>
        <w:trPr/>
        <w:tc>
          <w:tcPr>
            <w:tcW w:w="2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lease cost</w:t>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39,794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38,292</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 xml:space="preserve">(1) </w:t>
      </w:r>
      <w:r>
        <w:rPr>
          <w:rFonts w:ascii="Times New Roman;serif" w:hAnsi="Times New Roman;serif"/>
          <w:b w:val="false"/>
          <w:i w:val="false"/>
          <w:caps w:val="false"/>
          <w:smallCaps w:val="false"/>
          <w:sz w:val="20"/>
        </w:rPr>
        <w:t xml:space="preserve">Variable lease cost consists primarily of taxes, insurance, and common area or other maintenance costs for the Company’s leased facilities. </w:t>
      </w:r>
    </w:p>
    <w:tbl>
      <w:tblPr>
        <w:tblW w:w="10205" w:type="dxa"/>
        <w:jc w:val="left"/>
        <w:tblInd w:w="0" w:type="dxa"/>
        <w:tblLayout w:type="fixed"/>
        <w:tblCellMar>
          <w:top w:w="0" w:type="dxa"/>
          <w:left w:w="0" w:type="dxa"/>
          <w:bottom w:w="0" w:type="dxa"/>
          <w:right w:w="0" w:type="dxa"/>
        </w:tblCellMar>
      </w:tblPr>
      <w:tblGrid>
        <w:gridCol w:w="6179"/>
        <w:gridCol w:w="109"/>
        <w:gridCol w:w="211"/>
        <w:gridCol w:w="1670"/>
        <w:gridCol w:w="109"/>
        <w:gridCol w:w="211"/>
        <w:gridCol w:w="1716"/>
      </w:tblGrid>
      <w:tr>
        <w:trPr/>
        <w:tc>
          <w:tcPr>
            <w:tcW w:w="617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67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716" w:type="dxa"/>
            <w:tcBorders/>
            <w:shd w:fill="FFFFFF" w:val="clear"/>
            <w:vAlign w:val="center"/>
          </w:tcPr>
          <w:p>
            <w:pPr>
              <w:pStyle w:val="TableContents"/>
              <w:bidi w:val="0"/>
              <w:spacing w:before="0" w:after="283"/>
              <w:jc w:val="left"/>
              <w:rPr>
                <w:sz w:val="4"/>
                <w:szCs w:val="4"/>
              </w:rPr>
            </w:pPr>
            <w:r>
              <w:rPr>
                <w:sz w:val="4"/>
                <w:szCs w:val="4"/>
              </w:rPr>
            </w:r>
          </w:p>
        </w:tc>
      </w:tr>
      <w:tr>
        <w:trPr/>
        <w:tc>
          <w:tcPr>
            <w:tcW w:w="617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17"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Nine Months Ended </w:t>
            </w:r>
          </w:p>
        </w:tc>
      </w:tr>
      <w:tr>
        <w:trPr/>
        <w:tc>
          <w:tcPr>
            <w:tcW w:w="6179"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Information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670"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September 30,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71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September 30, 2023</w:t>
            </w:r>
          </w:p>
        </w:tc>
      </w:tr>
      <w:tr>
        <w:trPr/>
        <w:tc>
          <w:tcPr>
            <w:tcW w:w="617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paid for amounts included in the measurement of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67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7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1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cash flows from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6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29,248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7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28,619</w:t>
            </w:r>
          </w:p>
        </w:tc>
      </w:tr>
      <w:tr>
        <w:trPr/>
        <w:tc>
          <w:tcPr>
            <w:tcW w:w="61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right-of-use assets obtained or modified in exchange for lease obligations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6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21,359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7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21,769</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9: Fair Value of Financial Instruments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1 – Unadjusted quoted prices that are available in active markets for the identical assets or liabilities at the measurement date.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2 – Significant other observable inputs available at the measurement date, other than quoted prices included in Level 1, either directly or indirectly, including:</w:t>
      </w:r>
    </w:p>
    <w:p>
      <w:pPr>
        <w:pStyle w:val="TextBody"/>
        <w:bidi w:val="0"/>
        <w:spacing w:lineRule="auto" w:line="259" w:before="200" w:after="283"/>
        <w:ind w:left="1080" w:right="144" w:hanging="360"/>
        <w:rPr/>
      </w:pPr>
      <w:r>
        <w:rPr>
          <w:caps w:val="false"/>
          <w:smallCaps w:val="false"/>
        </w:rPr>
        <w:t></w:t>
      </w:r>
      <w:r>
        <w:rPr>
          <w:rFonts w:ascii="Times New Roman;serif" w:hAnsi="Times New Roman;serif"/>
          <w:b w:val="false"/>
          <w:i w:val="false"/>
          <w:caps w:val="false"/>
          <w:smallCaps w:val="false"/>
          <w:sz w:val="20"/>
        </w:rPr>
        <w:t>Quoted prices for similar assets or liabilities in active markets;</w:t>
      </w:r>
    </w:p>
    <w:p>
      <w:pPr>
        <w:pStyle w:val="TextBody"/>
        <w:bidi w:val="0"/>
        <w:spacing w:lineRule="auto" w:line="259" w:before="200" w:after="283"/>
        <w:ind w:left="1080" w:right="144" w:hanging="360"/>
        <w:rPr/>
      </w:pPr>
      <w:r>
        <w:rPr>
          <w:caps w:val="false"/>
          <w:smallCaps w:val="false"/>
        </w:rPr>
        <w:t></w:t>
      </w:r>
      <w:r>
        <w:rPr>
          <w:rFonts w:ascii="Times New Roman;serif" w:hAnsi="Times New Roman;serif"/>
          <w:b w:val="false"/>
          <w:i w:val="false"/>
          <w:caps w:val="false"/>
          <w:smallCaps w:val="false"/>
          <w:sz w:val="20"/>
        </w:rPr>
        <w:t>Quoted prices for identical or similar assets or liabilities in non-active markets; </w:t>
      </w:r>
    </w:p>
    <w:p>
      <w:pPr>
        <w:pStyle w:val="TextBody"/>
        <w:bidi w:val="0"/>
        <w:spacing w:lineRule="auto" w:line="259" w:before="200" w:after="283"/>
        <w:ind w:left="1080" w:right="144" w:hanging="360"/>
        <w:rPr/>
      </w:pPr>
      <w:r>
        <w:rPr>
          <w:caps w:val="false"/>
          <w:smallCaps w:val="false"/>
        </w:rPr>
        <w:t></w:t>
      </w:r>
      <w:r>
        <w:rPr>
          <w:rFonts w:ascii="Times New Roman;serif" w:hAnsi="Times New Roman;serif"/>
          <w:b w:val="false"/>
          <w:i w:val="false"/>
          <w:caps w:val="false"/>
          <w:smallCaps w:val="false"/>
          <w:sz w:val="20"/>
        </w:rPr>
        <w:t>Inputs other than quoted prices that are observable for the asset or liability;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Inputs that are derived principally from or corroborated by other observable market data.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Level 3 – Significant unobservable inputs that cannot be corroborated by observable market data and reflect the use of significant management judgment.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by level within the fair value hierarchy the Company’s financial assets that were accounted for at fair value on a recurring basis at September 30, 2024 and December 31, 2023 according to the valuation techniques the Company uses to determine their fair values. There have been no transfers of assets among the fair value hierarchies presented.</w:t>
      </w:r>
    </w:p>
    <w:tbl>
      <w:tblPr>
        <w:tblW w:w="6899" w:type="dxa"/>
        <w:jc w:val="left"/>
        <w:tblInd w:w="0" w:type="dxa"/>
        <w:tblLayout w:type="fixed"/>
        <w:tblCellMar>
          <w:top w:w="0" w:type="dxa"/>
          <w:left w:w="0" w:type="dxa"/>
          <w:bottom w:w="0" w:type="dxa"/>
          <w:right w:w="0" w:type="dxa"/>
        </w:tblCellMar>
      </w:tblPr>
      <w:tblGrid>
        <w:gridCol w:w="2266"/>
        <w:gridCol w:w="109"/>
        <w:gridCol w:w="856"/>
        <w:gridCol w:w="109"/>
        <w:gridCol w:w="409"/>
        <w:gridCol w:w="1316"/>
        <w:gridCol w:w="109"/>
        <w:gridCol w:w="440"/>
        <w:gridCol w:w="1285"/>
      </w:tblGrid>
      <w:tr>
        <w:trPr/>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9" w:type="dxa"/>
            <w:tcBorders/>
            <w:shd w:fill="FFFFFF" w:val="clear"/>
            <w:vAlign w:val="center"/>
          </w:tcPr>
          <w:p>
            <w:pPr>
              <w:pStyle w:val="TableContents"/>
              <w:bidi w:val="0"/>
              <w:spacing w:before="0" w:after="283"/>
              <w:jc w:val="left"/>
              <w:rPr>
                <w:sz w:val="4"/>
                <w:szCs w:val="4"/>
              </w:rPr>
            </w:pPr>
            <w:r>
              <w:rPr>
                <w:sz w:val="4"/>
                <w:szCs w:val="4"/>
              </w:rPr>
            </w:r>
          </w:p>
        </w:tc>
        <w:tc>
          <w:tcPr>
            <w:tcW w:w="13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sz w:val="4"/>
                <w:szCs w:val="4"/>
              </w:rPr>
            </w:pPr>
            <w:r>
              <w:rPr>
                <w:sz w:val="4"/>
                <w:szCs w:val="4"/>
              </w:rPr>
            </w:r>
          </w:p>
        </w:tc>
        <w:tc>
          <w:tcPr>
            <w:tcW w:w="1285" w:type="dxa"/>
            <w:tcBorders/>
            <w:shd w:fill="FFFFFF" w:val="clear"/>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9" w:type="dxa"/>
            <w:tcBorders/>
            <w:shd w:fill="FFFFFF" w:val="clear"/>
            <w:vAlign w:val="center"/>
          </w:tcPr>
          <w:p>
            <w:pPr>
              <w:pStyle w:val="TableContents"/>
              <w:bidi w:val="0"/>
              <w:spacing w:before="0" w:after="283"/>
              <w:jc w:val="left"/>
              <w:rPr>
                <w:sz w:val="4"/>
                <w:szCs w:val="4"/>
              </w:rPr>
            </w:pPr>
            <w:r>
              <w:rPr>
                <w:sz w:val="4"/>
                <w:szCs w:val="4"/>
              </w:rPr>
            </w:r>
          </w:p>
        </w:tc>
        <w:tc>
          <w:tcPr>
            <w:tcW w:w="13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sz w:val="4"/>
                <w:szCs w:val="4"/>
              </w:rPr>
            </w:pPr>
            <w:r>
              <w:rPr>
                <w:sz w:val="4"/>
                <w:szCs w:val="4"/>
              </w:rPr>
            </w:r>
          </w:p>
        </w:tc>
        <w:tc>
          <w:tcPr>
            <w:tcW w:w="1285" w:type="dxa"/>
            <w:tcBorders/>
            <w:shd w:fill="FFFFFF" w:val="clear"/>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Pricing</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5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Fair Value at</w:t>
            </w:r>
          </w:p>
        </w:tc>
      </w:tr>
      <w:tr>
        <w:trPr/>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Category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September 30,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2023</w:t>
            </w:r>
          </w:p>
        </w:tc>
      </w:tr>
      <w:tr>
        <w:trPr/>
        <w:tc>
          <w:tcPr>
            <w:tcW w:w="2266"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5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25,058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8,620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methods and assumptions were used to estimate the fair value of each class of financial instrument. There have been no changes in the valuation techniques used by the Company to value the Company’s financial instruments.</w:t>
      </w:r>
    </w:p>
    <w:p>
      <w:pPr>
        <w:pStyle w:val="TextBody"/>
        <w:bidi w:val="0"/>
        <w:spacing w:lineRule="auto" w:line="259"/>
        <w:rPr/>
      </w:pPr>
      <w:r>
        <w:rPr>
          <w:caps w:val="false"/>
          <w:smallCaps w:val="false"/>
        </w:rPr>
        <w:t></w:t>
      </w:r>
      <w:r>
        <w:rPr>
          <w:rFonts w:ascii="Times New Roman;serif" w:hAnsi="Times New Roman;serif"/>
          <w:b w:val="false"/>
          <w:i/>
          <w:sz w:val="20"/>
        </w:rPr>
        <w:t xml:space="preserve">Cash and cash equivalents: </w:t>
      </w:r>
      <w:r>
        <w:rPr>
          <w:rFonts w:ascii="Times New Roman;serif" w:hAnsi="Times New Roman;serif"/>
          <w:b w:val="false"/>
          <w:i w:val="false"/>
          <w:caps w:val="false"/>
          <w:smallCaps w:val="false"/>
          <w:sz w:val="20"/>
        </w:rPr>
        <w:t>Consists of cash on hand, bank deposits and money market funds primarily held in short term US treasury securities. The value was measured using quoted market prices in active markets. The carrying amount approximates fair value.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sz w:val="20"/>
        </w:rPr>
        <w:t xml:space="preserve">During the three months ended September 30, 2024 and 2023, the Company did not record any impairment charges in selling, general and administrative expenses to write-down property, plant and equipment and right of use assets to their estimated fair values. During the nine months ended September 30, 2024 and 2023, the Company recorded </w:t>
      </w:r>
      <w:r>
        <w:rPr>
          <w:rFonts w:ascii="Times New Roman;serif" w:hAnsi="Times New Roman;serif"/>
          <w:b w:val="false"/>
          <w:i w:val="false"/>
          <w:caps w:val="false"/>
          <w:smallCaps w:val="false"/>
          <w:color w:val="000000"/>
          <w:sz w:val="20"/>
        </w:rPr>
        <w:t>$0.9</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and $0.6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respectively, of impairment charges.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The Company measured the fair value of these assets based on projected cash flows, an estimated risk-adjusted rate of return and market rental rates for comparable properties. Projected cash flows are considered Level 3 inputs. Market rental rates for comparable properties are considered Level 2 inputs.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10: Equity Incentive Plans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July 20, 2021, the Company’s stockholders approved the 2021 Omnibus Equity Compensation Plan (the “2021 Plan”). The 2021 Plan replaced the 2012 Omnibus Award Plan (the “Prior Plan”). Awards granted under the Prior Plan that were outstanding on the date of stockholder approval remained outstanding in accordance with their terms. The maximum number of shares that may be delivered with respect to awards under the 2021 Plan is 3,500,000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subject to adjustment in certain circumstances. Shares tendered or withheld to pay the exercise price of a stock option or to cover tax withholding will not be added back to the number of shares available under the 2021 Plan. To the extent that any award under the 2021 Plan, or any award granted under the Prior Plan prior to stockholder approval of the 2021 Plan, is forfeited, canceled, surrendered or otherwise terminated without the issuance of shares or an award is settled only in cash, the shares subject to such awards granted but not delivered will be added to the number of shares available for awards under the 2021 Plan. </w:t>
      </w:r>
    </w:p>
    <w:p>
      <w:pPr>
        <w:pStyle w:val="TextBody"/>
        <w:bidi w:val="0"/>
        <w:spacing w:lineRule="auto" w:line="259"/>
        <w:rPr>
          <w:rFonts w:ascii="Times New Roman;serif" w:hAnsi="Times New Roman;serif"/>
          <w:b/>
          <w:i w:val="false"/>
          <w:caps w:val="false"/>
          <w:smallCaps w:val="false"/>
          <w:sz w:val="20"/>
        </w:rPr>
      </w:pPr>
      <w:bookmarkStart w:id="18" w:name="_Hlk179982484"/>
      <w:bookmarkStart w:id="19" w:name="_Hlk164426340"/>
      <w:bookmarkEnd w:id="18"/>
      <w:bookmarkEnd w:id="19"/>
      <w:r>
        <w:rPr>
          <w:rFonts w:ascii="Times New Roman;serif" w:hAnsi="Times New Roman;serif"/>
          <w:b/>
          <w:i w:val="false"/>
          <w:caps w:val="false"/>
          <w:smallCaps w:val="false"/>
          <w:sz w:val="20"/>
        </w:rPr>
        <w:t>Stock options: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measures and recognizes compensation expense for all stock based awards at fair value. The financial statements for the three and nine months ended September 30, 2024 and 2023 include compensation expense for the portion of outstanding awards that vested during those periods. The Company recognizes stock based compensation expenses on a straight-line basis over the requisite service period of the award, which is generally the option vesting term. The Company did not record any significant stock based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compensation expense related to stock options during the three and nine months ended September 30, 2024 and 2023. Stock based compensation expense pertaining to stock options is included in selling, general and administrative expenses in the accompanying Consolidated Statements of Income.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September 30, 2024, the Company had fully vested outstanding stock options to purchase 295,367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common stock at a weighted average exercise price of $7.07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 share.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Restricted stock: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$0.4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for the three months ended September 30, 2024 and 2023, respectively. </w:t>
      </w:r>
      <w:r>
        <w:rPr>
          <w:rFonts w:ascii="Times New Roman;serif" w:hAnsi="Times New Roman;serif"/>
          <w:b w:val="false"/>
          <w:i w:val="false"/>
          <w:caps w:val="false"/>
          <w:smallCaps w:val="false"/>
          <w:color w:val="000000"/>
          <w:sz w:val="20"/>
        </w:rPr>
        <w:t>Total stock based compensation expense related to restricted stock was $1.0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and $1.1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million for the nine months ended September 30, 2024 and 2023, respectively. </w:t>
      </w:r>
      <w:r>
        <w:rPr>
          <w:rFonts w:ascii="Times New Roman;serif" w:hAnsi="Times New Roman;serif"/>
          <w:b w:val="false"/>
          <w:i w:val="false"/>
          <w:caps w:val="false"/>
          <w:smallCaps w:val="false"/>
          <w:sz w:val="20"/>
        </w:rPr>
        <w:t>Stock based compensation expense pertaining to restricted stock awards is included in selling, general and administrative expenses in the accompanying Consolidated Statements of Income.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September 30, 2024, the Company had 865,459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unvested outstanding restricted common shares.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20" w:name="MDA"/>
      <w:bookmarkEnd w:id="20"/>
      <w:r>
        <w:rPr>
          <w:rFonts w:ascii="Times New Roman;serif" w:hAnsi="Times New Roman;serif"/>
          <w:b/>
          <w:i w:val="false"/>
          <w:caps w:val="false"/>
          <w:smallCaps w:val="false"/>
          <w:sz w:val="20"/>
        </w:rPr>
        <w:t>M 2. MANAGEMENT’S DISCUSSION AND ANALYSIS OF FINANCIAL CONDITION AND RESULTS OF OPERATIONS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The following discussion and analysis of Tile Shop Holdings, Inc.’s (“Holdings,” and together with its wholly owned subsidiaries, the “Company,” “we,” “us,” or “our”) financial condition and results of operations should be read in conjunction with our Annual Report on Form 10-K for the year ended December 31, 2023 and our consolidated financial statements and related notes appearing elsewhere in this Quarterly Report on Form 10-Q.</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Forward-Looking Statements</w:t>
      </w:r>
    </w:p>
    <w:p>
      <w:pPr>
        <w:pStyle w:val="TextBody"/>
        <w:bidi w:val="0"/>
        <w:spacing w:lineRule="auto" w:line="259"/>
        <w:rPr>
          <w:rFonts w:ascii="Times New Roman;serif" w:hAnsi="Times New Roman;serif"/>
          <w:sz w:val="20"/>
        </w:rPr>
      </w:pPr>
      <w:r>
        <w:rPr>
          <w:rFonts w:ascii="Times New Roman;serif" w:hAnsi="Times New Roman;serif"/>
          <w:b w:val="false"/>
          <w:i/>
          <w:sz w:val="20"/>
        </w:rPr>
        <w:t xml:space="preserve">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“predict,”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are based on current expectations and assumptions that are subject to risks and uncertainties, many of which are difficult to predict and are outside of our control, that may cause our actual results, performance, or achievements to differ materially from any expected future results, performance, or achievements expressed or implied by such forward-looking statements. These risks and uncertainties include, but are not limited to, </w:t>
      </w:r>
      <w:bookmarkStart w:id="21" w:name="_Hlk38913879"/>
      <w:bookmarkEnd w:id="21"/>
      <w:r>
        <w:rPr>
          <w:rFonts w:ascii="Times New Roman;serif" w:hAnsi="Times New Roman;serif"/>
          <w:b w:val="false"/>
          <w:i/>
          <w:sz w:val="20"/>
        </w:rPr>
        <w:t>o</w:t>
      </w:r>
      <w:r>
        <w:rPr>
          <w:rFonts w:ascii="Times New Roman;serif" w:hAnsi="Times New Roman;serif"/>
          <w:b w:val="false"/>
          <w:i/>
          <w:color w:val="000000"/>
          <w:sz w:val="20"/>
        </w:rPr>
        <w:t>ur anticipated new store openings, remodeling plans, and growth opportunities; our business strengths, marketing strategies, competitive advantages and role in our industry and markets</w:t>
      </w:r>
      <w:bookmarkStart w:id="22" w:name="OLE_LINK179"/>
      <w:bookmarkEnd w:id="22"/>
      <w:r>
        <w:rPr>
          <w:rFonts w:ascii="Times New Roman;serif" w:hAnsi="Times New Roman;serif"/>
          <w:b w:val="false"/>
          <w:i/>
          <w:color w:val="000000"/>
          <w:sz w:val="20"/>
        </w:rPr>
        <w:t xml:space="preserve">; </w:t>
      </w:r>
      <w:bookmarkStart w:id="23" w:name="OLE_LINK178"/>
      <w:bookmarkEnd w:id="23"/>
      <w:r>
        <w:rPr>
          <w:rFonts w:ascii="Times New Roman;serif" w:hAnsi="Times New Roman;serif"/>
          <w:b w:val="false"/>
          <w:i/>
          <w:color w:val="000000"/>
          <w:sz w:val="20"/>
        </w:rPr>
        <w:t>an overall decline in the health of the economy, the tile industry, consumer confidence and spending, and the housing market, including as a result of rising inflation or interest rates, instability in the global banking system, geopolitical instability or the possibility of an economic downturn or recession</w:t>
      </w:r>
      <w:r>
        <w:rPr>
          <w:rFonts w:ascii="Times New Roman;serif" w:hAnsi="Times New Roman;serif"/>
          <w:color w:val="000000"/>
          <w:sz w:val="20"/>
        </w:rPr>
        <w:t xml:space="preserve"> </w:t>
      </w:r>
      <w:r>
        <w:rPr>
          <w:rFonts w:ascii="Times New Roman;serif" w:hAnsi="Times New Roman;serif"/>
          <w:b w:val="false"/>
          <w:i/>
          <w:color w:val="000000"/>
          <w:sz w:val="20"/>
        </w:rPr>
        <w:t xml:space="preserve">or other macroeconomic factors; the impact of ongoing supply chain disruptions and inflationary cost pressures, including increased materials, labor, energy, and transportation costs and decreased discretionary consumer spending; our ability to successfully implement and realize the anticipated benefits of our strategic plan; our ability to successfully anticipate consumer trends; any statements with respect to dividends or stock repurchases and timing, methods, and payment of same; the effectiveness of our marketing strategy; potential fluctuations in our comparable store sales; our expectations regarding our and our customers’ financing arrangements and our ability to obtain additional capital, including potential difficulties of obtaining financing due to market conditions resulting from geopolitical conditions and other economic factors; supply costs and expectations, including the continued availability of sufficient products from our suppliers, risks related to relying on foreign suppliers, and the potential impact of the Russia-Ukraine, Israel/Hamas and other geopolitical conflicts on, among other things, product availability and pricing and timing and cost of deliveries; our expectations with respect to ongoing compliance with the terms of the Credit Agreement (as defined below), including increasing interest rates; our ability to provide timely delivery to our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customers; the effect of regulations on us and our industry, and our suppliers’ compliance with such regulations, including any environmental or climate change-related requirements; the impact of corporate citizenship and environmental, social and governance matters; labor shortages and our expectations regarding the effects of employee recruiting, training, mentoring, and retention on our ability to recruit and retain employees; tax-related risks; the potential impact of cybersecurity breaches or disruptions to our management information systems; widespread outages, interruptions or other failures of operational, communication, and other systems; our ability to successfully implement our information technology and other digital initiatives; our ability to effectively manage our online sales; costs and adequacy of insurance;</w:t>
      </w:r>
      <w:r>
        <w:rPr>
          <w:rFonts w:ascii="Times New Roman;serif" w:hAnsi="Times New Roman;serif"/>
          <w:color w:val="000000"/>
          <w:sz w:val="20"/>
        </w:rPr>
        <w:t xml:space="preserve"> </w:t>
      </w:r>
      <w:r>
        <w:rPr>
          <w:rFonts w:ascii="Times New Roman;serif" w:hAnsi="Times New Roman;serif"/>
          <w:b w:val="false"/>
          <w:i/>
          <w:color w:val="000000"/>
          <w:sz w:val="20"/>
        </w:rPr>
        <w:t>the potential impact of natural disasters, which may worsen or increase due to the effects of climate change, and other catastrophic events; risks inherent in operating as a holding company; fluctuations in material and energy costs, including ongoing volatility of oil and gas prices; our ability to remediate the material weakness in our internal control over financial reporting; the potential outcome of any legal proceedings; risks related to ownership of our common stock;</w:t>
      </w:r>
      <w:r>
        <w:rPr>
          <w:rFonts w:ascii="Times New Roman;serif" w:hAnsi="Times New Roman;serif"/>
          <w:sz w:val="20"/>
        </w:rPr>
        <w:t xml:space="preserve"> </w:t>
      </w:r>
      <w:r>
        <w:rPr>
          <w:rFonts w:ascii="Times New Roman;serif" w:hAnsi="Times New Roman;serif"/>
          <w:b w:val="false"/>
          <w:i/>
          <w:sz w:val="20"/>
        </w:rPr>
        <w:t>and those factors set forth in the section captioned “Risk Factors” in our Annual Report on Form 10-K for the year ended December 31, 2023.</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We intend to use our website, investors.tileshop.com, as a means of disclosing material non-public information and for complying with our disclosure obligations under Regulation FD of the Securities and Exchange Commission (“SEC”). Such disclosures will be included on our website under the heading News and Events. Accordingly, investors should monitor such portions of our website, in addition to following our press releases, SEC filings and public conference calls and webcasts. Information contained on or accessible through our website is not a part of, and is not incorporated by reference into, this Quarterly Report on Form 10-Q or any other report or document we file with the SEC. Any reference to our website is intended to be an inactive textual reference only.</w:t>
      </w:r>
    </w:p>
    <w:p>
      <w:pPr>
        <w:pStyle w:val="TextBody"/>
        <w:bidi w:val="0"/>
        <w:spacing w:lineRule="auto" w:line="259"/>
        <w:rPr>
          <w:rFonts w:ascii="Times New Roman;serif" w:hAnsi="Times New Roman;serif"/>
          <w:b/>
          <w:i w:val="false"/>
          <w:caps w:val="false"/>
          <w:smallCaps w:val="false"/>
          <w:sz w:val="20"/>
        </w:rPr>
      </w:pPr>
      <w:bookmarkStart w:id="24" w:name="_contentSection_bc88730b_8626_44e0_ae06_"/>
      <w:bookmarkEnd w:id="24"/>
      <w:r>
        <w:rPr>
          <w:rFonts w:ascii="Times New Roman;serif" w:hAnsi="Times New Roman;serif"/>
          <w:b/>
          <w:i w:val="false"/>
          <w:caps w:val="false"/>
          <w:smallCaps w:val="false"/>
          <w:sz w:val="20"/>
        </w:rPr>
        <w:t>Overview and Recent Trends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a specialty retailer of man-made and natural stone tiles, luxury vinyl tiles, setting and maintenance materials, and related accessories in the United States. We offer a wide selection of high-quality products, exclusive designs, knowledgeable staff and exceptional customer service, in an extensive showroom environment with up to 50 full-room tiled displays. As of September 30, 2024, we operated 142 stores in 31 states and the District of Columbia, with an average size of approximately 20,000 square feet.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purchase our tile products and accessories directly from suppliers and manufacture our own setting and maintenance materials, such as thinset, grout, and sealers. We believe that our long-term supplier relationships, together with our design and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man-made and natural stone, luxury vinyl tiles, setting and maintenance materials, and related accessories in the United States.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business continues to be impacted by a number of macroeconomic factors, including high interest rates, and slowing existing home turnover. We believe this is contributing to a slowdown in demand for home improvement products. Our comparable store sales decreased by 7.9% </w:t>
      </w:r>
      <w:r>
        <w:rPr>
          <w:rFonts w:ascii="Times New Roman;serif" w:hAnsi="Times New Roman;serif"/>
          <w:b w:val="false"/>
          <w:i w:val="false"/>
          <w:caps w:val="false"/>
          <w:smallCaps w:val="false"/>
          <w:color w:val="000000"/>
          <w:sz w:val="20"/>
        </w:rPr>
        <w:t xml:space="preserve">and 8.4% during the three and nine months ended September 30, 2024, respectively, </w:t>
      </w:r>
      <w:r>
        <w:rPr>
          <w:rFonts w:ascii="Times New Roman;serif" w:hAnsi="Times New Roman;serif"/>
          <w:b w:val="false"/>
          <w:i w:val="false"/>
          <w:caps w:val="false"/>
          <w:smallCaps w:val="false"/>
          <w:sz w:val="20"/>
        </w:rPr>
        <w:t>due to lower levels of traffic in our stores.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While our net sales declined in the third quarter of 2024 as compared to the third quarter of 2023, our gross margin rate improved by 180 basis points from the third quarter of 2023 to 66.5% for the three months ended September 30, 2024. The improvement in gross margin rate was primarily due to decreases in product costs.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 decreased $0.7 million, or 1.2%, from $56.7 million in the third quarter of 2023 to $56.0 million in the third quarter of 2024. The decrease was primarily due to decreases in variable compensation costs totaling $0.7 million, advertising expense of $0.6 million and depreciation expense of $0.6 million. These factors were partially offset by a $0.5 million increase in occupancy costs, a $0.2 million increase in information technology expenses and a $0.2 million increase in shipping and transportation costs.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response to the challenges faced in our industry and continued pressure on our topline results, we took steps to close our distribution center located in Dayton, New Jersey, reduce staffing levels at our corporate office and close our trading company office located in Beijing, China. We did not incur any material asset impairment or severance costs in connection with these actions. We are actively working to sublease the distribution center space in Dayton, New Jersey. Our lease of the distribution space in Dayton, New Jersey expires in September 2026. We anticipate the annualized benefit from these actions will reduce SG&amp;A expenses by $2.8 million to $4.1 million.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the nine months ended September 30, 2024, we generated $28.5 million of operating cash flow, which was used to fund $11.8 million of capital expenditures. Cash and cash equivalents increased by $16.4 million from $8.6 million on December 31, 2023 to $25.1 million on September 30, 2024. As of September 30, 2024, we had no borrowings outstanding on our line of credit. </w:t>
      </w:r>
    </w:p>
    <w:p>
      <w:pPr>
        <w:pStyle w:val="TextBody"/>
        <w:bidi w:val="0"/>
        <w:spacing w:lineRule="auto" w:line="259"/>
        <w:rPr>
          <w:rFonts w:ascii="Times New Roman;serif" w:hAnsi="Times New Roman;serif"/>
          <w:b/>
          <w:i w:val="false"/>
          <w:caps w:val="false"/>
          <w:smallCaps w:val="false"/>
          <w:sz w:val="20"/>
        </w:rPr>
      </w:pPr>
      <w:bookmarkStart w:id="25" w:name="_contentSection_b9b2880d_9a04_448c_8fe1_"/>
      <w:bookmarkEnd w:id="25"/>
      <w:r>
        <w:rPr>
          <w:rFonts w:ascii="Times New Roman;serif" w:hAnsi="Times New Roman;serif"/>
          <w:b/>
          <w:i w:val="false"/>
          <w:caps w:val="false"/>
          <w:smallCaps w:val="false"/>
          <w:sz w:val="20"/>
        </w:rPr>
        <w:t>Key Components of our Consolidated Statements of Income</w:t>
      </w:r>
    </w:p>
    <w:p>
      <w:pPr>
        <w:pStyle w:val="TextBody"/>
        <w:bidi w:val="0"/>
        <w:spacing w:lineRule="auto" w:line="259"/>
        <w:rPr>
          <w:rFonts w:ascii="Times New Roman;serif" w:hAnsi="Times New Roman;serif"/>
          <w:sz w:val="20"/>
        </w:rPr>
      </w:pPr>
      <w:r>
        <w:rPr>
          <w:rFonts w:ascii="Times New Roman;serif" w:hAnsi="Times New Roman;serif"/>
          <w:b/>
          <w:i/>
          <w:sz w:val="20"/>
        </w:rPr>
        <w:t>Net Sales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Net sales represents total charges to customers, net of returns, and includes freight charged to customers. We recognize sales at the time that the 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Comparable store sales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amounts include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growth (decline) metric provides useful information to both management and investors to evaluate the Company’s performance, the effectiveness of its strategy and its competitive position.</w:t>
      </w:r>
    </w:p>
    <w:p>
      <w:pPr>
        <w:pStyle w:val="TextBody"/>
        <w:bidi w:val="0"/>
        <w:spacing w:lineRule="auto" w:line="259"/>
        <w:rPr>
          <w:rFonts w:ascii="Times New Roman;serif" w:hAnsi="Times New Roman;serif"/>
          <w:sz w:val="20"/>
        </w:rPr>
      </w:pPr>
      <w:r>
        <w:rPr>
          <w:rFonts w:ascii="Times New Roman;serif" w:hAnsi="Times New Roman;serif"/>
          <w:b/>
          <w:i/>
          <w:sz w:val="20"/>
        </w:rPr>
        <w:t>Cost of Sales</w:t>
      </w:r>
      <w:r>
        <w:rPr>
          <w:rFonts w:ascii="Times New Roman;serif" w:hAnsi="Times New Roman;serif"/>
          <w:sz w:val="20"/>
        </w:rPr>
        <w:t xml:space="preserve">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Cost of sales consists primarily of material costs, freight, customs and duties fees, and storage and delivery of product to the customers, as well as physical inventory losses and costs associated with manufacturing of setting and maintenance materials. </w:t>
      </w:r>
    </w:p>
    <w:p>
      <w:pPr>
        <w:pStyle w:val="TextBody"/>
        <w:bidi w:val="0"/>
        <w:spacing w:lineRule="auto" w:line="259"/>
        <w:rPr>
          <w:rFonts w:ascii="Times New Roman;serif" w:hAnsi="Times New Roman;serif"/>
          <w:sz w:val="20"/>
        </w:rPr>
      </w:pPr>
      <w:r>
        <w:rPr>
          <w:rFonts w:ascii="Times New Roman;serif" w:hAnsi="Times New Roman;serif"/>
          <w:b/>
          <w:i/>
          <w:sz w:val="20"/>
        </w:rPr>
        <w:t>Gross Profit</w:t>
      </w:r>
      <w:r>
        <w:rPr>
          <w:rFonts w:ascii="Times New Roman;serif" w:hAnsi="Times New Roman;serif"/>
          <w:sz w:val="20"/>
        </w:rPr>
        <w:t xml:space="preserve">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Gross profit is net sales less cost of sales. Gross margin rate is the percentage determined by dividing gross profit by net sales.</w:t>
      </w:r>
    </w:p>
    <w:p>
      <w:pPr>
        <w:pStyle w:val="TextBody"/>
        <w:bidi w:val="0"/>
        <w:spacing w:lineRule="auto" w:line="259"/>
        <w:rPr>
          <w:rFonts w:ascii="Times New Roman;serif" w:hAnsi="Times New Roman;serif"/>
          <w:sz w:val="20"/>
        </w:rPr>
      </w:pPr>
      <w:r>
        <w:rPr>
          <w:rFonts w:ascii="Times New Roman;serif" w:hAnsi="Times New Roman;serif"/>
          <w:b/>
          <w:i/>
          <w:sz w:val="20"/>
        </w:rPr>
        <w:t xml:space="preserve">Selling, General, and Administrative Expenses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Selling, general, and administrative expenses consist primarily of compensation costs, occupancy, utilities, maintenance costs, advertising costs, shipping and transportation expenses to move inventory from our distribution centers to our stores, and depreciation and amortization.</w:t>
      </w:r>
    </w:p>
    <w:p>
      <w:pPr>
        <w:pStyle w:val="TextBody"/>
        <w:bidi w:val="0"/>
        <w:spacing w:lineRule="auto" w:line="259"/>
        <w:rPr>
          <w:rFonts w:ascii="Times New Roman;serif" w:hAnsi="Times New Roman;serif"/>
          <w:sz w:val="20"/>
        </w:rPr>
      </w:pPr>
      <w:r>
        <w:rPr>
          <w:rFonts w:ascii="Times New Roman;serif" w:hAnsi="Times New Roman;serif"/>
          <w:b/>
          <w:i/>
          <w:sz w:val="20"/>
        </w:rPr>
        <w:t>Income Taxes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We are subject to income tax in the United States as well as other tax jurisdictions in which we conduct business.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Comparison of the three months ended September 30, 2024 to the three months ended September 30, 2023</w:t>
      </w:r>
    </w:p>
    <w:tbl>
      <w:tblPr>
        <w:tblW w:w="7821" w:type="dxa"/>
        <w:jc w:val="left"/>
        <w:tblInd w:w="0" w:type="dxa"/>
        <w:tblLayout w:type="fixed"/>
        <w:tblCellMar>
          <w:top w:w="0" w:type="dxa"/>
          <w:left w:w="0" w:type="dxa"/>
          <w:bottom w:w="0" w:type="dxa"/>
          <w:right w:w="0" w:type="dxa"/>
        </w:tblCellMar>
      </w:tblPr>
      <w:tblGrid>
        <w:gridCol w:w="3736"/>
        <w:gridCol w:w="109"/>
        <w:gridCol w:w="211"/>
        <w:gridCol w:w="676"/>
        <w:gridCol w:w="109"/>
        <w:gridCol w:w="621"/>
        <w:gridCol w:w="294"/>
        <w:gridCol w:w="109"/>
        <w:gridCol w:w="211"/>
        <w:gridCol w:w="676"/>
        <w:gridCol w:w="109"/>
        <w:gridCol w:w="618"/>
        <w:gridCol w:w="342"/>
      </w:tblGrid>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1"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8" w:type="dxa"/>
            <w:tcBorders/>
            <w:shd w:fill="FFFFFF" w:val="clear"/>
            <w:vAlign w:val="center"/>
          </w:tcPr>
          <w:p>
            <w:pPr>
              <w:pStyle w:val="TableContents"/>
              <w:bidi w:val="0"/>
              <w:spacing w:before="0" w:after="283"/>
              <w:jc w:val="left"/>
              <w:rPr>
                <w:sz w:val="4"/>
                <w:szCs w:val="4"/>
              </w:rPr>
            </w:pPr>
            <w:r>
              <w:rPr>
                <w:sz w:val="4"/>
                <w:szCs w:val="4"/>
              </w:rPr>
            </w:r>
          </w:p>
        </w:tc>
        <w:tc>
          <w:tcPr>
            <w:tcW w:w="342"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76" w:type="dxa"/>
            <w:gridSpan w:val="11"/>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84,505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92,112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28,277</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33.5</w:t>
            </w:r>
          </w:p>
        </w:tc>
        <w:tc>
          <w:tcPr>
            <w:tcW w:w="29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32,549</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35.3</w:t>
            </w:r>
          </w:p>
        </w:tc>
        <w:tc>
          <w:tcPr>
            <w:tcW w:w="34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profit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56,228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66.5</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59,563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64.7</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55,978</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66.2</w:t>
            </w:r>
          </w:p>
        </w:tc>
        <w:tc>
          <w:tcPr>
            <w:tcW w:w="29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56,734</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61.6</w:t>
            </w:r>
          </w:p>
        </w:tc>
        <w:tc>
          <w:tcPr>
            <w:tcW w:w="34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w:t>
            </w:r>
          </w:p>
        </w:tc>
        <w:tc>
          <w:tcPr>
            <w:tcW w:w="2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(453)</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w:t>
            </w:r>
          </w:p>
        </w:tc>
        <w:tc>
          <w:tcPr>
            <w:tcW w:w="34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w:t>
            </w:r>
          </w:p>
        </w:tc>
        <w:tc>
          <w:tcPr>
            <w:tcW w:w="29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(532)</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(0.6)</w:t>
            </w:r>
          </w:p>
        </w:tc>
        <w:tc>
          <w:tcPr>
            <w:tcW w:w="34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income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w:t>
            </w:r>
          </w:p>
        </w:tc>
        <w:tc>
          <w:tcPr>
            <w:tcW w:w="29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c>
          <w:tcPr>
            <w:tcW w:w="34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i/>
          <w:sz w:val="20"/>
        </w:rPr>
        <w:t xml:space="preserve">Net Sales </w:t>
      </w:r>
      <w:r>
        <w:rPr>
          <w:rFonts w:ascii="Times New Roman;serif" w:hAnsi="Times New Roman;serif"/>
          <w:b w:val="false"/>
          <w:i w:val="false"/>
          <w:caps w:val="false"/>
          <w:smallCaps w:val="false"/>
          <w:sz w:val="20"/>
        </w:rPr>
        <w:t>Net sales for the third quarter of 2024 decreased $7.6 million, or 8.3%, compared with the third quarter of 2023.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Sales decreased at comparable stores by 7.9% during the third quarter of 2024 compared to the third quarter of 2023, primarily due to a decrease in traffic.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sz w:val="20"/>
        </w:rPr>
        <w:t xml:space="preserve">Gross Profit </w:t>
      </w:r>
      <w:r>
        <w:rPr>
          <w:rFonts w:ascii="Times New Roman;serif" w:hAnsi="Times New Roman;serif"/>
          <w:b w:val="false"/>
          <w:i w:val="false"/>
          <w:caps w:val="false"/>
          <w:smallCaps w:val="false"/>
          <w:sz w:val="20"/>
        </w:rPr>
        <w:t>Gross profit decreased $3.3 million, or 5.6%, in the third quarter of 2024 compared to the third quarter of 2023. The gross margin rate was 66.5% and 64.7% during the third quarter of 2024 and 2023, respectively. The improvement in gross margin rate was primarily due to decreases in product costs.</w:t>
      </w:r>
    </w:p>
    <w:p>
      <w:pPr>
        <w:pStyle w:val="TextBody"/>
        <w:bidi w:val="0"/>
        <w:spacing w:lineRule="auto" w:line="259"/>
        <w:rPr>
          <w:rFonts w:ascii="Times New Roman;serif" w:hAnsi="Times New Roman;serif"/>
          <w:sz w:val="20"/>
        </w:rPr>
      </w:pPr>
      <w:r>
        <w:rPr>
          <w:rFonts w:ascii="Times New Roman;serif" w:hAnsi="Times New Roman;serif"/>
          <w:b/>
          <w:i/>
          <w:sz w:val="20"/>
        </w:rPr>
        <w:t>Selling, General, and Administrative Expenses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Selling, general, and administrative expenses decreased $0.7 million, or 1.2%, from $56.7 million in the third quarter of 2023 to $56.0 million in the third quarter of 2024. The decrease was primarily due to decreases in variable compensation costs totaling $0.7 million, advertising expense of $0.6 million and depreciation expense of $0.6 million. These factors were partially offset by a $0.5 million increase in occupancy costs, a $0.2 million increase in information technology expenses and a $0.2 million increase in shipping and transportation costs.</w:t>
      </w:r>
    </w:p>
    <w:p>
      <w:pPr>
        <w:pStyle w:val="TextBody"/>
        <w:bidi w:val="0"/>
        <w:spacing w:lineRule="auto" w:line="259"/>
        <w:rPr>
          <w:rFonts w:ascii="Times New Roman;serif" w:hAnsi="Times New Roman;serif"/>
          <w:sz w:val="20"/>
        </w:rPr>
      </w:pPr>
      <w:bookmarkStart w:id="26" w:name="_Hlk164677512"/>
      <w:bookmarkEnd w:id="26"/>
      <w:r>
        <w:rPr>
          <w:rFonts w:ascii="Times New Roman;serif" w:hAnsi="Times New Roman;serif"/>
          <w:b/>
          <w:i/>
          <w:sz w:val="20"/>
        </w:rPr>
        <w:t>Provision for Income Taxes</w:t>
      </w:r>
      <w:r>
        <w:rPr>
          <w:rFonts w:ascii="Times New Roman;serif" w:hAnsi="Times New Roman;serif"/>
          <w:caps w:val="false"/>
          <w:smallCaps w:val="false"/>
          <w:sz w:val="20"/>
        </w:rPr>
        <w:t xml:space="preserve"> </w:t>
      </w:r>
      <w:bookmarkStart w:id="27" w:name="_Hlk140760484"/>
      <w:bookmarkEnd w:id="27"/>
      <w:r>
        <w:rPr>
          <w:rFonts w:ascii="Times New Roman;serif" w:hAnsi="Times New Roman;serif"/>
          <w:b w:val="false"/>
          <w:i w:val="false"/>
          <w:caps w:val="false"/>
          <w:smallCaps w:val="false"/>
          <w:sz w:val="20"/>
        </w:rPr>
        <w:t xml:space="preserve">The provision for income taxes for the third quarter of 2024 and 2023 was $0.1 million and $0.5 million, respectively. The decrease in the provision for income tax was due to a decrease in pretax income. Our effective tax rate </w:t>
      </w:r>
      <w:r>
        <w:rPr>
          <w:rFonts w:ascii="Times New Roman;serif" w:hAnsi="Times New Roman;serif"/>
          <w:b w:val="false"/>
          <w:i w:val="false"/>
          <w:caps w:val="false"/>
          <w:smallCaps w:val="false"/>
          <w:color w:val="000000"/>
          <w:sz w:val="20"/>
        </w:rPr>
        <w:t>was 77.0% and 22.4% in the third quarter of 2024 and 2023, respectively.</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sz w:val="20"/>
        </w:rPr>
        <w:t xml:space="preserve">The increase in the effective tax rate was largely due to a decrease in pretax income and a disproportionate impact of certain permanent items. </w:t>
      </w:r>
    </w:p>
    <w:p>
      <w:pPr>
        <w:pStyle w:val="TextBody"/>
        <w:bidi w:val="0"/>
        <w:spacing w:lineRule="auto" w:line="259"/>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Comparison of the nine months ended September 30, 2024 to the nine months ended September 30, 2023</w:t>
      </w:r>
    </w:p>
    <w:tbl>
      <w:tblPr>
        <w:tblW w:w="8241" w:type="dxa"/>
        <w:jc w:val="left"/>
        <w:tblInd w:w="0" w:type="dxa"/>
        <w:tblLayout w:type="fixed"/>
        <w:tblCellMar>
          <w:top w:w="0" w:type="dxa"/>
          <w:left w:w="0" w:type="dxa"/>
          <w:bottom w:w="0" w:type="dxa"/>
          <w:right w:w="0" w:type="dxa"/>
        </w:tblCellMar>
      </w:tblPr>
      <w:tblGrid>
        <w:gridCol w:w="3736"/>
        <w:gridCol w:w="109"/>
        <w:gridCol w:w="211"/>
        <w:gridCol w:w="781"/>
        <w:gridCol w:w="109"/>
        <w:gridCol w:w="621"/>
        <w:gridCol w:w="294"/>
        <w:gridCol w:w="109"/>
        <w:gridCol w:w="211"/>
        <w:gridCol w:w="781"/>
        <w:gridCol w:w="109"/>
        <w:gridCol w:w="753"/>
        <w:gridCol w:w="417"/>
      </w:tblGrid>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1"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3" w:type="dxa"/>
            <w:tcBorders/>
            <w:shd w:fill="FFFFFF" w:val="clear"/>
            <w:vAlign w:val="center"/>
          </w:tcPr>
          <w:p>
            <w:pPr>
              <w:pStyle w:val="TableContents"/>
              <w:bidi w:val="0"/>
              <w:spacing w:before="0" w:after="283"/>
              <w:jc w:val="left"/>
              <w:rPr>
                <w:sz w:val="4"/>
                <w:szCs w:val="4"/>
              </w:rPr>
            </w:pPr>
            <w:r>
              <w:rPr>
                <w:sz w:val="4"/>
                <w:szCs w:val="4"/>
              </w:rPr>
            </w:r>
          </w:p>
        </w:tc>
        <w:tc>
          <w:tcPr>
            <w:tcW w:w="417"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396" w:type="dxa"/>
            <w:gridSpan w:val="11"/>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 of sales</w:t>
            </w:r>
            <w:r>
              <w:rPr>
                <w:rFonts w:ascii="Times New Roman;serif" w:hAnsi="Times New Roman;serif"/>
                <w:b w:val="false"/>
                <w:i w:val="false"/>
                <w:caps w:val="false"/>
                <w:smallCaps w:val="false"/>
                <w:color w:val="000000"/>
                <w:position w:val="7"/>
                <w:sz w:val="16"/>
                <w:sz w:val="20"/>
              </w:rPr>
              <w:t>(1)</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267,617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292,688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w:t>
            </w:r>
          </w:p>
        </w:tc>
        <w:tc>
          <w:tcPr>
            <w:tcW w:w="41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90,739</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33.9</w:t>
            </w:r>
          </w:p>
        </w:tc>
        <w:tc>
          <w:tcPr>
            <w:tcW w:w="29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104,285</w:t>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35.6</w:t>
            </w:r>
          </w:p>
        </w:tc>
        <w:tc>
          <w:tcPr>
            <w:tcW w:w="417"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profit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176,878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66.1</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188,403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64.4</w:t>
            </w:r>
          </w:p>
        </w:tc>
        <w:tc>
          <w:tcPr>
            <w:tcW w:w="41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172,494</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64.5</w:t>
            </w:r>
          </w:p>
        </w:tc>
        <w:tc>
          <w:tcPr>
            <w:tcW w:w="29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173,715</w:t>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59.4</w:t>
            </w:r>
          </w:p>
        </w:tc>
        <w:tc>
          <w:tcPr>
            <w:tcW w:w="417"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w:t>
            </w:r>
          </w:p>
        </w:tc>
        <w:tc>
          <w:tcPr>
            <w:tcW w:w="41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(294)</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w:t>
            </w:r>
          </w:p>
        </w:tc>
        <w:tc>
          <w:tcPr>
            <w:tcW w:w="2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(1,920)</w:t>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(0.7)</w:t>
            </w:r>
          </w:p>
        </w:tc>
        <w:tc>
          <w:tcPr>
            <w:tcW w:w="4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w:t>
            </w:r>
          </w:p>
        </w:tc>
        <w:tc>
          <w:tcPr>
            <w:tcW w:w="41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(1,141)</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w:t>
            </w:r>
          </w:p>
        </w:tc>
        <w:tc>
          <w:tcPr>
            <w:tcW w:w="29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(3,333)</w:t>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c>
          <w:tcPr>
            <w:tcW w:w="417"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c>
          <w:tcPr>
            <w:tcW w:w="29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w:t>
            </w:r>
          </w:p>
        </w:tc>
        <w:tc>
          <w:tcPr>
            <w:tcW w:w="41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Amounts do not foot due to rounding.</w:t>
      </w:r>
    </w:p>
    <w:p>
      <w:pPr>
        <w:pStyle w:val="TextBody"/>
        <w:bidi w:val="0"/>
        <w:spacing w:lineRule="auto" w:line="259"/>
        <w:rPr>
          <w:rFonts w:ascii="Times New Roman;serif" w:hAnsi="Times New Roman;serif"/>
          <w:sz w:val="20"/>
        </w:rPr>
      </w:pPr>
      <w:r>
        <w:rPr>
          <w:rFonts w:ascii="Times New Roman;serif" w:hAnsi="Times New Roman;serif"/>
          <w:b/>
          <w:i/>
          <w:color w:val="000000"/>
          <w:sz w:val="20"/>
        </w:rPr>
        <w:t>Net Sales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Net sales for the nine months ended September 30, 2024 decreased $25.1 million, or 8.6%, compared with the nine months ended September 30, 2023. Sales decreased at comparable stores by 8.4% during the nine months ended September 30, 2024 when compared to the nine months ended September 30, 2023, primarily due to a decrease in store traffic. </w:t>
      </w:r>
    </w:p>
    <w:p>
      <w:pPr>
        <w:pStyle w:val="TextBody"/>
        <w:bidi w:val="0"/>
        <w:spacing w:lineRule="auto" w:line="259"/>
        <w:rPr>
          <w:rFonts w:ascii="Times New Roman;serif" w:hAnsi="Times New Roman;serif"/>
          <w:sz w:val="20"/>
        </w:rPr>
      </w:pPr>
      <w:r>
        <w:rPr>
          <w:rFonts w:ascii="Times New Roman;serif" w:hAnsi="Times New Roman;serif"/>
          <w:b/>
          <w:i/>
          <w:color w:val="000000"/>
          <w:sz w:val="20"/>
        </w:rPr>
        <w:t xml:space="preserve">Gross Profit </w:t>
      </w:r>
      <w:r>
        <w:rPr>
          <w:rFonts w:ascii="Times New Roman;serif" w:hAnsi="Times New Roman;serif"/>
          <w:b w:val="false"/>
          <w:i w:val="false"/>
          <w:caps w:val="false"/>
          <w:smallCaps w:val="false"/>
          <w:color w:val="000000"/>
          <w:sz w:val="20"/>
        </w:rPr>
        <w:t>Gross profit for the nine months ended September 30, 2024 decreased $11.5 million, or 6.1%, compared with the nine months ended September 30, 2023. The gross margin rate was 66.1% and 64.4% for the nine months ended September 30, 2024 and 2023, respectively. The increase in the gross margin rate was primarily due to decreases in product costs and stabilizing international freight costs.</w:t>
      </w:r>
    </w:p>
    <w:p>
      <w:pPr>
        <w:pStyle w:val="TextBody"/>
        <w:bidi w:val="0"/>
        <w:spacing w:lineRule="auto" w:line="259"/>
        <w:rPr>
          <w:rFonts w:ascii="Times New Roman;serif" w:hAnsi="Times New Roman;serif"/>
          <w:sz w:val="24"/>
        </w:rPr>
      </w:pPr>
      <w:r>
        <w:rPr>
          <w:rFonts w:ascii="Times New Roman;serif" w:hAnsi="Times New Roman;serif"/>
          <w:b/>
          <w:i/>
          <w:color w:val="000000"/>
          <w:sz w:val="20"/>
        </w:rPr>
        <w:t>Selling, General, and Administrative Expenses</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0"/>
        </w:rPr>
        <w:t>Selling, general, and administrative expenses for the nine months ended September 30, 2024, decreased $1.2 million, or 0.7%, compared with the nine months ended September 30, 2023. The decrease was primarily due to reductions of depreciation expense of $2.6 million and variable compensation costs totaling $2.5 million, partially offset by an increase in occupancy expenses totaling $2.6 million due to an increase in rent expense associated with leases that were extended over the last year, a $0.9 million increase in information technology expenses and a $0.8 million increase in shipping and transportation costs. During the nine months ended September 30, 2024, the Company recorded $0.9 million of asset impairment charges in connection with the write-down of certain store assets.</w:t>
      </w:r>
      <w:r>
        <w:rPr>
          <w:rFonts w:ascii="Times New Roman;serif" w:hAnsi="Times New Roman;serif"/>
          <w:caps w:val="false"/>
          <w:smallCaps w:val="false"/>
          <w:color w:val="000000"/>
          <w:sz w:val="24"/>
        </w:rPr>
        <w:t xml:space="preserve"> </w:t>
      </w:r>
    </w:p>
    <w:p>
      <w:pPr>
        <w:pStyle w:val="TextBody"/>
        <w:bidi w:val="0"/>
        <w:spacing w:lineRule="auto" w:line="259"/>
        <w:rPr>
          <w:rFonts w:ascii="Times New Roman;serif" w:hAnsi="Times New Roman;serif"/>
          <w:sz w:val="20"/>
        </w:rPr>
      </w:pPr>
      <w:r>
        <w:rPr>
          <w:rFonts w:ascii="Times New Roman;serif" w:hAnsi="Times New Roman;serif"/>
          <w:b/>
          <w:i/>
          <w:color w:val="000000"/>
          <w:sz w:val="20"/>
        </w:rPr>
        <w:t xml:space="preserve">Provision for Income Taxes </w:t>
      </w:r>
      <w:r>
        <w:rPr>
          <w:rFonts w:ascii="Times New Roman;serif" w:hAnsi="Times New Roman;serif"/>
          <w:b w:val="false"/>
          <w:i w:val="false"/>
          <w:caps w:val="false"/>
          <w:smallCaps w:val="false"/>
          <w:color w:val="000000"/>
          <w:sz w:val="20"/>
        </w:rPr>
        <w:t>The provision for income taxes decreased $2.2 million for the nine months ended September 30, 2024 compared with the nine months ended September 30, 2023 due to a decrease in taxable income. Our effective tax rate for the nine months ended September 30, 2024 and 2023 was 27.9% and 26.1%, respectively. The increase in the effective tax rate during the nine months ended September 30, 2024 when compared to the nine months ended September 30, 2023 was largely due to a decrease in pretax income and a disproportionate impact of certain permanent items</w:t>
      </w:r>
      <w:r>
        <w:rPr>
          <w:rFonts w:ascii="Times New Roman;serif" w:hAnsi="Times New Roman;serif"/>
          <w:b w:val="false"/>
          <w:i w:val="false"/>
          <w:caps w:val="false"/>
          <w:smallCaps w:val="false"/>
          <w:sz w:val="20"/>
        </w:rPr>
        <w: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Non-GAAP Measures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calculate pretax return on capital employed by taking income from operations divided by capital employed. Capital employed equals total assets less accounts payable, income taxes payable, other accrued liabilities, lease liability and other long-term liabilities. Other companies may calculate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both Adjusted EBITDA and pretax return on capital employed differently, limiting the usefulness of these measures for comparative purposes.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reconciliation of Adjusted EBITDA to net income for the three and nine months ended September 30, 2024 and 2023 is as follows:</w:t>
      </w:r>
    </w:p>
    <w:tbl>
      <w:tblPr>
        <w:tblW w:w="6471" w:type="dxa"/>
        <w:jc w:val="left"/>
        <w:tblInd w:w="0" w:type="dxa"/>
        <w:tblLayout w:type="fixed"/>
        <w:tblCellMar>
          <w:top w:w="0" w:type="dxa"/>
          <w:left w:w="0" w:type="dxa"/>
          <w:bottom w:w="0" w:type="dxa"/>
          <w:right w:w="0" w:type="dxa"/>
        </w:tblCellMar>
      </w:tblPr>
      <w:tblGrid>
        <w:gridCol w:w="2596"/>
        <w:gridCol w:w="109"/>
        <w:gridCol w:w="211"/>
        <w:gridCol w:w="571"/>
        <w:gridCol w:w="109"/>
        <w:gridCol w:w="446"/>
        <w:gridCol w:w="134"/>
        <w:gridCol w:w="335"/>
        <w:gridCol w:w="109"/>
        <w:gridCol w:w="211"/>
        <w:gridCol w:w="571"/>
        <w:gridCol w:w="109"/>
        <w:gridCol w:w="441"/>
        <w:gridCol w:w="133"/>
        <w:gridCol w:w="386"/>
      </w:tblGrid>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6" w:type="dxa"/>
            <w:tcBorders/>
            <w:shd w:fill="FFFFFF" w:val="clear"/>
            <w:vAlign w:val="center"/>
          </w:tcPr>
          <w:p>
            <w:pPr>
              <w:pStyle w:val="TableContents"/>
              <w:bidi w:val="0"/>
              <w:spacing w:before="0" w:after="283"/>
              <w:jc w:val="left"/>
              <w:rPr>
                <w:sz w:val="4"/>
                <w:szCs w:val="4"/>
              </w:rPr>
            </w:pPr>
            <w:r>
              <w:rPr>
                <w:sz w:val="4"/>
                <w:szCs w:val="4"/>
              </w:rPr>
            </w:r>
          </w:p>
        </w:tc>
        <w:tc>
          <w:tcPr>
            <w:tcW w:w="134" w:type="dxa"/>
            <w:tcBorders/>
            <w:shd w:fill="FFFFFF" w:val="clear"/>
            <w:vAlign w:val="center"/>
          </w:tcPr>
          <w:p>
            <w:pPr>
              <w:pStyle w:val="TableContents"/>
              <w:bidi w:val="0"/>
              <w:spacing w:before="0" w:after="283"/>
              <w:jc w:val="left"/>
              <w:rPr>
                <w:sz w:val="4"/>
                <w:szCs w:val="4"/>
              </w:rPr>
            </w:pPr>
            <w:r>
              <w:rPr>
                <w:sz w:val="4"/>
                <w:szCs w:val="4"/>
              </w:rPr>
            </w:r>
          </w:p>
        </w:tc>
        <w:tc>
          <w:tcPr>
            <w:tcW w:w="3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1" w:type="dxa"/>
            <w:tcBorders/>
            <w:shd w:fill="FFFFFF" w:val="clear"/>
            <w:vAlign w:val="center"/>
          </w:tcPr>
          <w:p>
            <w:pPr>
              <w:pStyle w:val="TableContents"/>
              <w:bidi w:val="0"/>
              <w:spacing w:before="0" w:after="283"/>
              <w:jc w:val="left"/>
              <w:rPr>
                <w:sz w:val="4"/>
                <w:szCs w:val="4"/>
              </w:rPr>
            </w:pPr>
            <w:r>
              <w:rPr>
                <w:sz w:val="4"/>
                <w:szCs w:val="4"/>
              </w:rPr>
            </w:r>
          </w:p>
        </w:tc>
        <w:tc>
          <w:tcPr>
            <w:tcW w:w="133" w:type="dxa"/>
            <w:tcBorders/>
            <w:shd w:fill="FFFFFF" w:val="clear"/>
            <w:vAlign w:val="center"/>
          </w:tcPr>
          <w:p>
            <w:pPr>
              <w:pStyle w:val="TableContents"/>
              <w:bidi w:val="0"/>
              <w:spacing w:before="0" w:after="283"/>
              <w:jc w:val="left"/>
              <w:rPr>
                <w:sz w:val="4"/>
                <w:szCs w:val="4"/>
              </w:rPr>
            </w:pPr>
            <w:r>
              <w:rPr>
                <w:sz w:val="4"/>
                <w:szCs w:val="4"/>
              </w:rPr>
            </w:r>
          </w:p>
        </w:tc>
        <w:tc>
          <w:tcPr>
            <w:tcW w:w="386" w:type="dxa"/>
            <w:tcBorders/>
            <w:shd w:fill="FFFFFF" w:val="clear"/>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6" w:type="dxa"/>
            <w:tcBorders/>
            <w:shd w:fill="FFFFFF" w:val="clear"/>
            <w:vAlign w:val="center"/>
          </w:tcPr>
          <w:p>
            <w:pPr>
              <w:pStyle w:val="TableContents"/>
              <w:bidi w:val="0"/>
              <w:spacing w:before="0" w:after="283"/>
              <w:jc w:val="left"/>
              <w:rPr>
                <w:sz w:val="4"/>
                <w:szCs w:val="4"/>
              </w:rPr>
            </w:pPr>
            <w:r>
              <w:rPr>
                <w:sz w:val="4"/>
                <w:szCs w:val="4"/>
              </w:rPr>
            </w:r>
          </w:p>
        </w:tc>
        <w:tc>
          <w:tcPr>
            <w:tcW w:w="134" w:type="dxa"/>
            <w:tcBorders/>
            <w:shd w:fill="FFFFFF" w:val="clear"/>
            <w:vAlign w:val="center"/>
          </w:tcPr>
          <w:p>
            <w:pPr>
              <w:pStyle w:val="TableContents"/>
              <w:bidi w:val="0"/>
              <w:spacing w:before="0" w:after="283"/>
              <w:jc w:val="left"/>
              <w:rPr>
                <w:sz w:val="4"/>
                <w:szCs w:val="4"/>
              </w:rPr>
            </w:pPr>
            <w:r>
              <w:rPr>
                <w:sz w:val="4"/>
                <w:szCs w:val="4"/>
              </w:rPr>
            </w:r>
          </w:p>
        </w:tc>
        <w:tc>
          <w:tcPr>
            <w:tcW w:w="3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1" w:type="dxa"/>
            <w:tcBorders/>
            <w:shd w:fill="FFFFFF" w:val="clear"/>
            <w:vAlign w:val="center"/>
          </w:tcPr>
          <w:p>
            <w:pPr>
              <w:pStyle w:val="TableContents"/>
              <w:bidi w:val="0"/>
              <w:spacing w:before="0" w:after="283"/>
              <w:jc w:val="left"/>
              <w:rPr>
                <w:sz w:val="4"/>
                <w:szCs w:val="4"/>
              </w:rPr>
            </w:pPr>
            <w:r>
              <w:rPr>
                <w:sz w:val="4"/>
                <w:szCs w:val="4"/>
              </w:rPr>
            </w:r>
          </w:p>
        </w:tc>
        <w:tc>
          <w:tcPr>
            <w:tcW w:w="133" w:type="dxa"/>
            <w:tcBorders/>
            <w:shd w:fill="FFFFFF" w:val="clear"/>
            <w:vAlign w:val="center"/>
          </w:tcPr>
          <w:p>
            <w:pPr>
              <w:pStyle w:val="TableContents"/>
              <w:bidi w:val="0"/>
              <w:spacing w:before="0" w:after="283"/>
              <w:jc w:val="left"/>
              <w:rPr>
                <w:sz w:val="4"/>
                <w:szCs w:val="4"/>
              </w:rPr>
            </w:pPr>
            <w:r>
              <w:rPr>
                <w:sz w:val="4"/>
                <w:szCs w:val="4"/>
              </w:rPr>
            </w:r>
          </w:p>
        </w:tc>
        <w:tc>
          <w:tcPr>
            <w:tcW w:w="386" w:type="dxa"/>
            <w:tcBorders/>
            <w:shd w:fill="FFFFFF" w:val="clear"/>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3875" w:type="dxa"/>
            <w:gridSpan w:val="14"/>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66" w:type="dxa"/>
            <w:gridSpan w:val="13"/>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66" w:type="dxa"/>
            <w:gridSpan w:val="13"/>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September 30,</w:t>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w:t>
            </w:r>
          </w:p>
        </w:tc>
        <w:tc>
          <w:tcPr>
            <w:tcW w:w="13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c>
          <w:tcPr>
            <w:tcW w:w="13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w:t>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w:t>
            </w:r>
          </w:p>
        </w:tc>
        <w:tc>
          <w:tcPr>
            <w:tcW w:w="1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453</w:t>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w:t>
            </w:r>
          </w:p>
        </w:tc>
        <w:tc>
          <w:tcPr>
            <w:tcW w:w="13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w:t>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0.6</w:t>
            </w:r>
          </w:p>
        </w:tc>
        <w:tc>
          <w:tcPr>
            <w:tcW w:w="133" w:type="dxa"/>
            <w:tcBorders/>
            <w:shd w:fill="CCEEFF" w:val="clear"/>
            <w:vAlign w:val="center"/>
          </w:tcPr>
          <w:p>
            <w:pPr>
              <w:pStyle w:val="TableContents"/>
              <w:bidi w:val="0"/>
              <w:spacing w:before="0" w:after="283"/>
              <w:jc w:val="left"/>
              <w:rPr>
                <w:sz w:val="4"/>
                <w:szCs w:val="4"/>
              </w:rPr>
            </w:pPr>
            <w:r>
              <w:rPr>
                <w:sz w:val="4"/>
                <w:szCs w:val="4"/>
              </w:rPr>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4,458</w:t>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w:t>
            </w:r>
          </w:p>
        </w:tc>
        <w:tc>
          <w:tcPr>
            <w:tcW w:w="1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5,062</w:t>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w:t>
            </w:r>
          </w:p>
        </w:tc>
        <w:tc>
          <w:tcPr>
            <w:tcW w:w="13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35"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8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5,044</w:t>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w:t>
            </w:r>
          </w:p>
        </w:tc>
        <w:tc>
          <w:tcPr>
            <w:tcW w:w="134"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8,257</w:t>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w:t>
            </w:r>
          </w:p>
        </w:tc>
        <w:tc>
          <w:tcPr>
            <w:tcW w:w="133"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tbl>
      <w:tblPr>
        <w:tblW w:w="6680" w:type="dxa"/>
        <w:jc w:val="left"/>
        <w:tblInd w:w="0" w:type="dxa"/>
        <w:tblLayout w:type="fixed"/>
        <w:tblCellMar>
          <w:top w:w="0" w:type="dxa"/>
          <w:left w:w="0" w:type="dxa"/>
          <w:bottom w:w="0" w:type="dxa"/>
          <w:right w:w="0" w:type="dxa"/>
        </w:tblCellMar>
      </w:tblPr>
      <w:tblGrid>
        <w:gridCol w:w="2596"/>
        <w:gridCol w:w="109"/>
        <w:gridCol w:w="211"/>
        <w:gridCol w:w="676"/>
        <w:gridCol w:w="109"/>
        <w:gridCol w:w="446"/>
        <w:gridCol w:w="134"/>
        <w:gridCol w:w="335"/>
        <w:gridCol w:w="109"/>
        <w:gridCol w:w="211"/>
        <w:gridCol w:w="676"/>
        <w:gridCol w:w="109"/>
        <w:gridCol w:w="502"/>
        <w:gridCol w:w="117"/>
        <w:gridCol w:w="340"/>
      </w:tblGrid>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6" w:type="dxa"/>
            <w:tcBorders/>
            <w:shd w:fill="FFFFFF" w:val="clear"/>
            <w:vAlign w:val="center"/>
          </w:tcPr>
          <w:p>
            <w:pPr>
              <w:pStyle w:val="TableContents"/>
              <w:bidi w:val="0"/>
              <w:spacing w:before="0" w:after="283"/>
              <w:jc w:val="left"/>
              <w:rPr>
                <w:sz w:val="4"/>
                <w:szCs w:val="4"/>
              </w:rPr>
            </w:pPr>
            <w:r>
              <w:rPr>
                <w:sz w:val="4"/>
                <w:szCs w:val="4"/>
              </w:rPr>
            </w:r>
          </w:p>
        </w:tc>
        <w:tc>
          <w:tcPr>
            <w:tcW w:w="134" w:type="dxa"/>
            <w:tcBorders/>
            <w:shd w:fill="FFFFFF" w:val="clear"/>
            <w:vAlign w:val="center"/>
          </w:tcPr>
          <w:p>
            <w:pPr>
              <w:pStyle w:val="TableContents"/>
              <w:bidi w:val="0"/>
              <w:spacing w:before="0" w:after="283"/>
              <w:jc w:val="left"/>
              <w:rPr>
                <w:sz w:val="4"/>
                <w:szCs w:val="4"/>
              </w:rPr>
            </w:pPr>
            <w:r>
              <w:rPr>
                <w:sz w:val="4"/>
                <w:szCs w:val="4"/>
              </w:rPr>
            </w:r>
          </w:p>
        </w:tc>
        <w:tc>
          <w:tcPr>
            <w:tcW w:w="3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02" w:type="dxa"/>
            <w:tcBorders/>
            <w:shd w:fill="FFFFFF" w:val="clear"/>
            <w:vAlign w:val="center"/>
          </w:tcPr>
          <w:p>
            <w:pPr>
              <w:pStyle w:val="TableContents"/>
              <w:bidi w:val="0"/>
              <w:spacing w:before="0" w:after="283"/>
              <w:jc w:val="left"/>
              <w:rPr>
                <w:sz w:val="4"/>
                <w:szCs w:val="4"/>
              </w:rPr>
            </w:pPr>
            <w:r>
              <w:rPr>
                <w:sz w:val="4"/>
                <w:szCs w:val="4"/>
              </w:rPr>
            </w:r>
          </w:p>
        </w:tc>
        <w:tc>
          <w:tcPr>
            <w:tcW w:w="117" w:type="dxa"/>
            <w:tcBorders/>
            <w:shd w:fill="FFFFFF" w:val="clear"/>
            <w:vAlign w:val="center"/>
          </w:tcPr>
          <w:p>
            <w:pPr>
              <w:pStyle w:val="TableContents"/>
              <w:bidi w:val="0"/>
              <w:spacing w:before="0" w:after="283"/>
              <w:jc w:val="left"/>
              <w:rPr>
                <w:sz w:val="4"/>
                <w:szCs w:val="4"/>
              </w:rPr>
            </w:pPr>
            <w:r>
              <w:rPr>
                <w:sz w:val="4"/>
                <w:szCs w:val="4"/>
              </w:rPr>
            </w:r>
          </w:p>
        </w:tc>
        <w:tc>
          <w:tcPr>
            <w:tcW w:w="340" w:type="dxa"/>
            <w:tcBorders/>
            <w:shd w:fill="FFFFFF" w:val="clear"/>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4084" w:type="dxa"/>
            <w:gridSpan w:val="14"/>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75" w:type="dxa"/>
            <w:gridSpan w:val="13"/>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Nine Months Ended</w:t>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75" w:type="dxa"/>
            <w:gridSpan w:val="13"/>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September 30,</w:t>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c>
          <w:tcPr>
            <w:tcW w:w="13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w:t>
            </w:r>
          </w:p>
        </w:tc>
        <w:tc>
          <w:tcPr>
            <w:tcW w:w="11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294</w:t>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w:t>
            </w:r>
          </w:p>
        </w:tc>
        <w:tc>
          <w:tcPr>
            <w:tcW w:w="1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1,920</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0.7</w:t>
            </w:r>
          </w:p>
        </w:tc>
        <w:tc>
          <w:tcPr>
            <w:tcW w:w="11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w:t>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3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13,802</w:t>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c>
          <w:tcPr>
            <w:tcW w:w="1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16,394</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w:t>
            </w:r>
          </w:p>
        </w:tc>
        <w:tc>
          <w:tcPr>
            <w:tcW w:w="11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35"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40"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19,194</w:t>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w:t>
            </w:r>
          </w:p>
        </w:tc>
        <w:tc>
          <w:tcPr>
            <w:tcW w:w="134"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32,154</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11.0</w:t>
            </w:r>
          </w:p>
        </w:tc>
        <w:tc>
          <w:tcPr>
            <w:tcW w:w="117"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calculation of pretax return on capital employed is as follows:</w:t>
      </w:r>
    </w:p>
    <w:tbl>
      <w:tblPr>
        <w:tblW w:w="6986" w:type="dxa"/>
        <w:jc w:val="left"/>
        <w:tblInd w:w="0" w:type="dxa"/>
        <w:tblLayout w:type="fixed"/>
        <w:tblCellMar>
          <w:top w:w="0" w:type="dxa"/>
          <w:left w:w="0" w:type="dxa"/>
          <w:bottom w:w="0" w:type="dxa"/>
          <w:right w:w="0" w:type="dxa"/>
        </w:tblCellMar>
      </w:tblPr>
      <w:tblGrid>
        <w:gridCol w:w="4066"/>
        <w:gridCol w:w="109"/>
        <w:gridCol w:w="211"/>
        <w:gridCol w:w="901"/>
        <w:gridCol w:w="271"/>
        <w:gridCol w:w="211"/>
        <w:gridCol w:w="901"/>
        <w:gridCol w:w="316"/>
      </w:tblGrid>
      <w:tr>
        <w:trPr/>
        <w:tc>
          <w:tcPr>
            <w:tcW w:w="40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95"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95"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September 30,</w:t>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2024</w:t>
            </w:r>
            <w:r>
              <w:rPr>
                <w:rFonts w:ascii="Times New Roman;serif" w:hAnsi="Times New Roman;serif"/>
                <w:b w:val="false"/>
                <w:i w:val="false"/>
                <w:caps w:val="false"/>
                <w:smallCaps w:val="false"/>
                <w:color w:val="000000"/>
                <w:position w:val="7"/>
                <w:sz w:val="16"/>
                <w:sz w:val="20"/>
              </w:rPr>
              <w:t>(1)</w:t>
            </w:r>
          </w:p>
        </w:tc>
        <w:tc>
          <w:tcPr>
            <w:tcW w:w="27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2023</w:t>
            </w:r>
            <w:r>
              <w:rPr>
                <w:rFonts w:ascii="Times New Roman;serif" w:hAnsi="Times New Roman;serif"/>
                <w:b w:val="false"/>
                <w:i w:val="false"/>
                <w:caps w:val="false"/>
                <w:smallCaps w:val="false"/>
                <w:color w:val="000000"/>
                <w:position w:val="7"/>
                <w:sz w:val="16"/>
                <w:sz w:val="20"/>
              </w:rPr>
              <w:t>(1)</w:t>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 (trailing twelve months)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5,854</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17,280</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321,398</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332,168</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(22,726)</w:t>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(24,925)</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Income tax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(643)</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(236)</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(30,820)</w:t>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(33,957)</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Lease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(140,503)</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(129,654)</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(4,952)</w:t>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(4,451)</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 Employed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121,754</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138,945</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Pretax Return on Capital Employed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12.4</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Income statement accounts represent the activity for the trailing twelve months ended as of each of the balance sheet dates. Balance sheet accounts represent the average account balance for the four quarters ended as of each of the balance sheet dates.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Liquidity and Capital Resources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principal liquidity requirements have been for working capital and capital expenditures. Our principal sources of liquidity are $25.1 million of cash and cash equivalents at September 30, 2024, our cash flow from operations, and borrowings available under our Credit Agreement. </w:t>
      </w:r>
      <w:r>
        <w:rPr>
          <w:rFonts w:ascii="Times New Roman;serif" w:hAnsi="Times New Roman;serif"/>
          <w:b w:val="false"/>
          <w:i w:val="false"/>
          <w:caps w:val="false"/>
          <w:smallCaps w:val="false"/>
          <w:color w:val="000000"/>
          <w:sz w:val="20"/>
        </w:rPr>
        <w:t>We expect to use this liquidity for maintaining our existing stores, purchasing additional merchandise inventory, and general corporate purposes.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On September 30, 2022, Holdings and its operating subsidiary, The Tile Shop, LLC and certain subsidiaries of each entered into a Credit Agreement with JPMorgan Chase Bank, N.A. and the lenders party thereto, including Fifth Third Bank (the “Credit Agreement”). The Credit Agreement provides us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Rent Adjusted Leverage Ratio (as defined in the Credit Agreement).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Credit Agreement is secured by virtually all our assets, including but not limited to inventory, accounts receivable, equipment and general intangibles. The Credit Agreement contains customary events of default, conditions to borrowing and restrictive covenants, including restrictions on our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We were in compliance with the covenants as of September 30, 2024.</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had no borrowings outstanding on our line of credit as of September 30, 2024. </w:t>
      </w:r>
      <w:r>
        <w:rPr>
          <w:rFonts w:ascii="Times New Roman;serif" w:hAnsi="Times New Roman;serif"/>
          <w:b w:val="false"/>
          <w:i w:val="false"/>
          <w:caps w:val="false"/>
          <w:smallCaps w:val="false"/>
          <w:color w:val="000000"/>
          <w:sz w:val="20"/>
        </w:rPr>
        <w:t>We have standby letters of credit outstanding related to our workers’ compensation and medical insurance policies. As of September 30, 2024, standby letters of credit totaled $1.2 million.  As of September 30, 2024, there was $73.8 million available for borrowing on the revolving line of credit, which may be used for maintaining our existing stores, purchasing additional merchandise inventory, and general corporate purposes.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our cash flow from operations, together with our existing cash and cash equivalents and borrowings available under our Credit Agreement, will be sufficient to fund our operations and anticipated capital expenditures over at least the next twelve months and our long-term liquidity requirements.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Capital Expenditures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expenditures were $11.8 million and $11.0 million for the nine months ended September 30, 2024 and 2023, respectively. Capital expenditures in 2024 were primarily due to investments in store remodels, merchandising, distribution and information technology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Flows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our cash flow data for the nine months ended September 30, 2024 and 2023.</w:t>
      </w:r>
    </w:p>
    <w:tbl>
      <w:tblPr>
        <w:tblW w:w="5743" w:type="dxa"/>
        <w:jc w:val="left"/>
        <w:tblInd w:w="0" w:type="dxa"/>
        <w:tblLayout w:type="fixed"/>
        <w:tblCellMar>
          <w:top w:w="0" w:type="dxa"/>
          <w:left w:w="0" w:type="dxa"/>
          <w:bottom w:w="0" w:type="dxa"/>
          <w:right w:w="0" w:type="dxa"/>
        </w:tblCellMar>
      </w:tblPr>
      <w:tblGrid>
        <w:gridCol w:w="3466"/>
        <w:gridCol w:w="109"/>
        <w:gridCol w:w="211"/>
        <w:gridCol w:w="796"/>
        <w:gridCol w:w="109"/>
        <w:gridCol w:w="211"/>
        <w:gridCol w:w="841"/>
      </w:tblGrid>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Nine Months Ended</w:t>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September 30,</w:t>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28,511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56,172</w:t>
            </w:r>
          </w:p>
        </w:tc>
      </w:tr>
      <w:tr>
        <w:trPr/>
        <w:tc>
          <w:tcPr>
            <w:tcW w:w="3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(10,988)</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(35,887)</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Operating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operating activities during the nine months ended September 30, 2024 was $28.5 million compared with $56.2 million during the nine months ended September 30, 2023. The decrease was primarily attributable to a decrease in net income, an income tax refund received in the nine months ended September 30, 2023, that did not recur in 2024, and other working capital changes. </w:t>
      </w:r>
    </w:p>
    <w:p>
      <w:pPr>
        <w:pStyle w:val="TextBody"/>
        <w:bidi w:val="0"/>
        <w:spacing w:lineRule="auto" w:line="259"/>
        <w:rPr>
          <w:rFonts w:ascii="Times New Roman;serif" w:hAnsi="Times New Roman;serif"/>
          <w:b/>
          <w:i/>
          <w:sz w:val="20"/>
        </w:rPr>
      </w:pPr>
      <w:r>
        <w:rPr>
          <w:rFonts w:ascii="Times New Roman;serif" w:hAnsi="Times New Roman;serif"/>
          <w:b/>
          <w:i/>
          <w:sz w:val="20"/>
        </w:rPr>
        <w:t>Investing activities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Net cash used in investing activities totaled $11.7 million for the nine months ended September 30, 2024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compared with $11.0 million for the nine months ended September 30, 2023. Cash used in investing activities during the nine months ended September 30, 2024 was primarily due to investments in store remodels, merchandising, distribution and information technology assets. </w:t>
      </w:r>
    </w:p>
    <w:p>
      <w:pPr>
        <w:pStyle w:val="TextBody"/>
        <w:bidi w:val="0"/>
        <w:spacing w:lineRule="auto" w:line="259"/>
        <w:rPr>
          <w:rFonts w:ascii="Times New Roman;serif" w:hAnsi="Times New Roman;serif"/>
          <w:b/>
          <w:i/>
          <w:sz w:val="20"/>
        </w:rPr>
      </w:pPr>
      <w:r>
        <w:rPr>
          <w:rFonts w:ascii="Times New Roman;serif" w:hAnsi="Times New Roman;serif"/>
          <w:b/>
          <w:i/>
          <w:sz w:val="20"/>
        </w:rPr>
        <w:t>Financing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cash used in financing activities was $0.5 million for the nine months ended September 30, 2024 compared with $35.9 million for the nine months ended September 30, 2023. Cash outflows for financing activities during the nine months ended September 30, 2023 were primarily related to payments made against our line of credit. We were able to fully repay our line of credit in 2023.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 totaled $25.1 million at September 30, 2024 compared with $8.6 million at December 31, 2023. Working capital was $42.1 million at September 30, 2024 compared with $35.8 million at December 31, 2023.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28" w:name="MarketRisk"/>
      <w:bookmarkEnd w:id="28"/>
      <w:r>
        <w:rPr>
          <w:rFonts w:ascii="Times New Roman;serif" w:hAnsi="Times New Roman;serif"/>
          <w:b/>
          <w:i w:val="false"/>
          <w:caps w:val="false"/>
          <w:smallCaps w:val="false"/>
          <w:sz w:val="20"/>
        </w:rPr>
        <w:t xml:space="preserve">M 3. </w:t>
      </w:r>
      <w:r>
        <w:rPr>
          <w:rFonts w:ascii="Times New Roman;serif" w:hAnsi="Times New Roman;serif"/>
          <w:b/>
          <w:i w:val="false"/>
          <w:caps w:val="false"/>
          <w:smallCaps w:val="false"/>
          <w:color w:val="000000"/>
          <w:sz w:val="20"/>
        </w:rPr>
        <w:t>QUANTITATIVE</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AND QUALITATIVE DISCLOSURES ABOUT MARKET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have been no material changes in our primary risk exposures or management of market risks from those disclosed in our Annual Report on Form 10-K for the fiscal year ended December 31, 2023.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29" w:name="Item4"/>
      <w:bookmarkEnd w:id="29"/>
      <w:r>
        <w:rPr>
          <w:rFonts w:ascii="Times New Roman;serif" w:hAnsi="Times New Roman;serif"/>
          <w:b/>
          <w:i w:val="false"/>
          <w:caps w:val="false"/>
          <w:smallCaps w:val="false"/>
          <w:sz w:val="20"/>
        </w:rPr>
        <w:t>ITEM 4. CONTROLS AND PROCEDURES</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September 30, 2024 and have concluded that our disclosure controls and procedures were not effective as of September 30, 2024 due to the material weakness in our internal control over financial reporting as described below.</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Material Weakness in Internal Control over Financial Reporting</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material weakness is a significant deficiency, or combination of significant deficiencies, in internal control over financial reporting, such that there is a reasonable possibility that a material misstatement of the annual or interim financial statements will not be prevented or detected on a timely basis. Because of its inherent limitations, internal control over financial reporting may not prevent or detect misstatements. Also, the application of any evaluation of effectiveness to future periods is subject to the risk that controls may become inadequate because of changes in conditions, or that compliance with the policies or procedures may deteriorate.</w:t>
      </w:r>
    </w:p>
    <w:p>
      <w:pPr>
        <w:pStyle w:val="TextBody"/>
        <w:bidi w:val="0"/>
        <w:spacing w:lineRule="auto" w:line="259" w:before="100" w:after="10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As previously disclosed, during the year ended December 31, 2023, we identified a material weakness due to the ineffective design of the Company’s information technology general controls (“ITGCs”), which stemmed from deficiencies in user access controls, which did not adequately restrict access to the Company’s financial reporting system, did not ensure appropriate segregation of duties, and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before="100" w:after="10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did not prevent unauthorized individuals from having the ability to create, post and modify journal entries. The material weakness also resulted in the ineffectiveness of automated and manual business process controls throughout the Company’s financial reporting and business transaction cycles that are dependent upon the affected ITGCs.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While we are working to implement controls and procedures to remediate the ITGC deficiencies, such deficiencies continue to result in an elevated risk that a material misstatement of our annual or interim financial statements would not be prevented or detected by other compensating controls. Notwithstanding the ITGC-related material weakness, we believe the consolidated financial statements included in this Form 10-Q fairly present, in all material respects, our financial condition, results of operations, and cash flows for the periods presented in conformity with GAAP. </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Planned Remediation of Material Weakness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Management has actively engaged in implementing remediation plans to address the remaining material weakness in its ITGCs outlined above. The steps taken to remediate the ITGC material weakness during the nine months ended September 30, 2024 included: </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 xml:space="preserve">Restricting access in our enterprise resource planning (“ERP”) system to process transactions that could trigger a manual journal entry initiated outside of the park and post process for users who are responsible for reviewing account reconciliations. </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Implementing a new monitoring control to identify the population of transactions processed in our ERP system that generate accounting entries that do not go through the park and post process and assessing the compensating controls designed to reduce the risk of misstatement arising from these transactions to an appropriate level.</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Adjusting access profiles in the Company’s ERP system to eliminate the ability for a user to modify and subsequently approve a manual journal entry.</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Reviewing activity occurring during the quarter to identify and assess the appropriateness of any manual journal entries that had been modified and approved by the same user.</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Refining the ruleset applied to identify segregation of duty and sensitive access risks.</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Evaluating identified segregation of duties and sensitive access risks and adjusting access profiles to mitigate segregation of duty and sensitive access risks.</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 xml:space="preserve">Mapping identified segregation of duty and sensitive access risks to compensating controls that exist within the control environment. </w:t>
      </w:r>
    </w:p>
    <w:p>
      <w:pPr>
        <w:pStyle w:val="TextBody"/>
        <w:bidi w:val="0"/>
        <w:spacing w:lineRule="auto" w:line="259"/>
        <w:ind w:left="720" w:right="0" w:hanging="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We continue to implement the remediation steps with respect to the ITGC-related material weakness outlined above. The identified material weakness in internal control over financial reporting will not be considered remediated until the applicable controls have been in operation for a sufficient period of time for our management to conclude that such material weakness has been remediated. We will continue to assess the effectiveness of our remediation efforts in connection with our evaluations of internal control over financial reporting. No assurance can be made that our remediation efforts will be completed in a timely manner or that the updated controls and procedures associated with such efforts will be deemed adequate after being subjected to testing. </w:t>
      </w:r>
    </w:p>
    <w:p>
      <w:pPr>
        <w:pStyle w:val="TextBody"/>
        <w:bidi w:val="0"/>
        <w:spacing w:lineRule="auto" w:line="259"/>
        <w:rPr>
          <w:rFonts w:ascii="Times New Roman;serif" w:hAnsi="Times New Roman;serif"/>
          <w:sz w:val="20"/>
        </w:rPr>
      </w:pPr>
      <w:r>
        <w:rPr>
          <w:rFonts w:ascii="Times New Roman;serif" w:hAnsi="Times New Roman;serif"/>
          <w:b/>
          <w:i/>
          <w:color w:val="000000"/>
          <w:sz w:val="20"/>
        </w:rPr>
        <w:t>Changes in Internal Control over Financial Reporting</w:t>
      </w:r>
      <w:r>
        <w:rPr>
          <w:rFonts w:ascii="Times New Roman;serif" w:hAnsi="Times New Roman;serif"/>
          <w:caps w:val="false"/>
          <w:smallCaps w:val="false"/>
          <w:color w:val="000000"/>
          <w:sz w:val="20"/>
        </w:rPr>
        <w:t>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than the changes discussed above, there were no changes in internal control over financial reporting (as defined by Rule 13a-15(f) under the Exchange Act) during the quarter ended September 30, 2024 that have materially affected, or are reasonably likely to materially affect, our internal control over financial reporting.</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Our management, including our Chief Executive Officer and Chief Financial Officer, intends that our disclosure controls and procedures and internal control over financial reporting are designed to provide reasonable assurance of achieving their objectives.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changes in conditions, or the degree of compliance with policies or procedures may deteriorate. Because of the inherent limitations in a cost effective control system, misstatements due to error or fraud may occur and not be detected.</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II. OTHER INFORMATION</w:t>
      </w:r>
      <w:bookmarkStart w:id="30" w:name="PartII"/>
      <w:bookmarkEnd w:id="30"/>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1" w:name="LegalProceedings"/>
      <w:bookmarkEnd w:id="31"/>
      <w:r>
        <w:rPr>
          <w:rFonts w:ascii="Times New Roman;serif" w:hAnsi="Times New Roman;serif"/>
          <w:b/>
          <w:i w:val="false"/>
          <w:caps w:val="false"/>
          <w:smallCaps w:val="false"/>
          <w:sz w:val="20"/>
        </w:rPr>
        <w:t>EM 1. LEGAL PROCEEDINGS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and the amounts accrued for any individual matter are not material.</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2" w:name="RiskFactors"/>
      <w:bookmarkEnd w:id="32"/>
      <w:r>
        <w:rPr>
          <w:rFonts w:ascii="Times New Roman;serif" w:hAnsi="Times New Roman;serif"/>
          <w:b/>
          <w:i w:val="false"/>
          <w:caps w:val="false"/>
          <w:smallCaps w:val="false"/>
          <w:sz w:val="20"/>
        </w:rPr>
        <w:t>EM 1A. RISK FACTORS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 have been no material changes from the risk factors previously disclosed in our Annual Report on Form 10-K for the year ended December 31, 2023.</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33" w:name="UnregisteredSales"/>
      <w:bookmarkEnd w:id="33"/>
      <w:r>
        <w:rPr>
          <w:rFonts w:ascii="Times New Roman;serif" w:hAnsi="Times New Roman;serif"/>
          <w:b/>
          <w:i w:val="false"/>
          <w:caps w:val="false"/>
          <w:smallCaps w:val="false"/>
          <w:sz w:val="20"/>
        </w:rPr>
        <w:t>M 2. UNREGISTERED SALES OF EQUITY SECURITIES AND USE OF PROCEEDS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Issuer Purchases of Equity Securities </w:t>
      </w:r>
    </w:p>
    <w:tbl>
      <w:tblPr>
        <w:tblW w:w="10205" w:type="dxa"/>
        <w:jc w:val="left"/>
        <w:tblInd w:w="0" w:type="dxa"/>
        <w:tblLayout w:type="fixed"/>
        <w:tblCellMar>
          <w:top w:w="0" w:type="dxa"/>
          <w:left w:w="0" w:type="dxa"/>
          <w:bottom w:w="0" w:type="dxa"/>
          <w:right w:w="0" w:type="dxa"/>
        </w:tblCellMar>
      </w:tblPr>
      <w:tblGrid>
        <w:gridCol w:w="1661"/>
        <w:gridCol w:w="109"/>
        <w:gridCol w:w="1417"/>
        <w:gridCol w:w="270"/>
        <w:gridCol w:w="371"/>
        <w:gridCol w:w="821"/>
        <w:gridCol w:w="109"/>
        <w:gridCol w:w="2504"/>
        <w:gridCol w:w="109"/>
        <w:gridCol w:w="1415"/>
        <w:gridCol w:w="1419"/>
      </w:tblGrid>
      <w:tr>
        <w:trPr/>
        <w:tc>
          <w:tcPr>
            <w:tcW w:w="1661" w:type="dxa"/>
            <w:tcBorders/>
            <w:shd w:fill="FFFFFF" w:val="clear"/>
            <w:vAlign w:val="center"/>
          </w:tcPr>
          <w:p>
            <w:pPr>
              <w:pStyle w:val="TableContents"/>
              <w:bidi w:val="0"/>
              <w:spacing w:before="0" w:after="283"/>
              <w:jc w:val="left"/>
              <w:rPr>
                <w:sz w:val="4"/>
                <w:szCs w:val="4"/>
              </w:rPr>
            </w:pPr>
            <w:r>
              <w:rPr>
                <w:sz w:val="4"/>
                <w:szCs w:val="4"/>
              </w:rPr>
            </w:r>
            <w:bookmarkStart w:id="34" w:name="_Hlk164434296"/>
            <w:bookmarkStart w:id="35" w:name="_Hlk164434296"/>
            <w:bookmarkEnd w:id="35"/>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17" w:type="dxa"/>
            <w:tcBorders/>
            <w:shd w:fill="FFFFFF" w:val="clear"/>
            <w:vAlign w:val="center"/>
          </w:tcPr>
          <w:p>
            <w:pPr>
              <w:pStyle w:val="TableContents"/>
              <w:bidi w:val="0"/>
              <w:spacing w:before="0" w:after="283"/>
              <w:jc w:val="left"/>
              <w:rPr>
                <w:sz w:val="4"/>
                <w:szCs w:val="4"/>
              </w:rPr>
            </w:pPr>
            <w:r>
              <w:rPr>
                <w:sz w:val="4"/>
                <w:szCs w:val="4"/>
              </w:rPr>
            </w:r>
          </w:p>
        </w:tc>
        <w:tc>
          <w:tcPr>
            <w:tcW w:w="270" w:type="dxa"/>
            <w:tcBorders/>
            <w:shd w:fill="FFFFFF" w:val="clear"/>
            <w:vAlign w:val="center"/>
          </w:tcPr>
          <w:p>
            <w:pPr>
              <w:pStyle w:val="TableContents"/>
              <w:bidi w:val="0"/>
              <w:spacing w:before="0" w:after="283"/>
              <w:jc w:val="left"/>
              <w:rPr>
                <w:sz w:val="4"/>
                <w:szCs w:val="4"/>
              </w:rPr>
            </w:pPr>
            <w:r>
              <w:rPr>
                <w:sz w:val="4"/>
                <w:szCs w:val="4"/>
              </w:rPr>
            </w:r>
          </w:p>
        </w:tc>
        <w:tc>
          <w:tcPr>
            <w:tcW w:w="371" w:type="dxa"/>
            <w:tcBorders/>
            <w:shd w:fill="FFFFFF" w:val="clear"/>
            <w:vAlign w:val="center"/>
          </w:tcPr>
          <w:p>
            <w:pPr>
              <w:pStyle w:val="TableContents"/>
              <w:bidi w:val="0"/>
              <w:spacing w:before="0" w:after="283"/>
              <w:jc w:val="left"/>
              <w:rPr>
                <w:sz w:val="4"/>
                <w:szCs w:val="4"/>
              </w:rPr>
            </w:pPr>
            <w:r>
              <w:rPr>
                <w:sz w:val="4"/>
                <w:szCs w:val="4"/>
              </w:rPr>
            </w:r>
          </w:p>
        </w:tc>
        <w:tc>
          <w:tcPr>
            <w:tcW w:w="8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0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15" w:type="dxa"/>
            <w:tcBorders/>
            <w:shd w:fill="FFFFFF" w:val="clear"/>
            <w:vAlign w:val="center"/>
          </w:tcPr>
          <w:p>
            <w:pPr>
              <w:pStyle w:val="TableContents"/>
              <w:bidi w:val="0"/>
              <w:spacing w:before="0" w:after="283"/>
              <w:jc w:val="left"/>
              <w:rPr>
                <w:sz w:val="4"/>
                <w:szCs w:val="4"/>
              </w:rPr>
            </w:pPr>
            <w:r>
              <w:rPr>
                <w:sz w:val="4"/>
                <w:szCs w:val="4"/>
              </w:rPr>
            </w:r>
          </w:p>
        </w:tc>
        <w:tc>
          <w:tcPr>
            <w:tcW w:w="1419" w:type="dxa"/>
            <w:tcBorders/>
            <w:shd w:fill="FFFFFF" w:val="clear"/>
            <w:vAlign w:val="center"/>
          </w:tcPr>
          <w:p>
            <w:pPr>
              <w:pStyle w:val="TableContents"/>
              <w:bidi w:val="0"/>
              <w:spacing w:before="0" w:after="283"/>
              <w:jc w:val="left"/>
              <w:rPr>
                <w:sz w:val="4"/>
                <w:szCs w:val="4"/>
              </w:rPr>
            </w:pPr>
            <w:r>
              <w:rPr>
                <w:sz w:val="4"/>
                <w:szCs w:val="4"/>
              </w:rPr>
            </w:r>
          </w:p>
        </w:tc>
      </w:tr>
      <w:tr>
        <w:trPr/>
        <w:tc>
          <w:tcPr>
            <w:tcW w:w="16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17" w:type="dxa"/>
            <w:tcBorders/>
            <w:shd w:fill="FFFFFF" w:val="clear"/>
            <w:vAlign w:val="center"/>
          </w:tcPr>
          <w:p>
            <w:pPr>
              <w:pStyle w:val="TableContents"/>
              <w:bidi w:val="0"/>
              <w:spacing w:before="0" w:after="283"/>
              <w:jc w:val="left"/>
              <w:rPr>
                <w:sz w:val="4"/>
                <w:szCs w:val="4"/>
              </w:rPr>
            </w:pPr>
            <w:r>
              <w:rPr>
                <w:sz w:val="4"/>
                <w:szCs w:val="4"/>
              </w:rPr>
            </w:r>
          </w:p>
        </w:tc>
        <w:tc>
          <w:tcPr>
            <w:tcW w:w="270" w:type="dxa"/>
            <w:tcBorders/>
            <w:shd w:fill="FFFFFF" w:val="clear"/>
            <w:vAlign w:val="center"/>
          </w:tcPr>
          <w:p>
            <w:pPr>
              <w:pStyle w:val="TableContents"/>
              <w:bidi w:val="0"/>
              <w:spacing w:before="0" w:after="283"/>
              <w:jc w:val="left"/>
              <w:rPr>
                <w:sz w:val="4"/>
                <w:szCs w:val="4"/>
              </w:rPr>
            </w:pPr>
            <w:r>
              <w:rPr>
                <w:sz w:val="4"/>
                <w:szCs w:val="4"/>
              </w:rPr>
            </w:r>
          </w:p>
        </w:tc>
        <w:tc>
          <w:tcPr>
            <w:tcW w:w="371" w:type="dxa"/>
            <w:tcBorders/>
            <w:shd w:fill="FFFFFF" w:val="clear"/>
            <w:vAlign w:val="center"/>
          </w:tcPr>
          <w:p>
            <w:pPr>
              <w:pStyle w:val="TableContents"/>
              <w:bidi w:val="0"/>
              <w:spacing w:before="0" w:after="283"/>
              <w:jc w:val="left"/>
              <w:rPr>
                <w:sz w:val="4"/>
                <w:szCs w:val="4"/>
              </w:rPr>
            </w:pPr>
            <w:r>
              <w:rPr>
                <w:sz w:val="4"/>
                <w:szCs w:val="4"/>
              </w:rPr>
            </w:r>
          </w:p>
        </w:tc>
        <w:tc>
          <w:tcPr>
            <w:tcW w:w="8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0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15" w:type="dxa"/>
            <w:tcBorders/>
            <w:shd w:fill="FFFFFF" w:val="clear"/>
            <w:vAlign w:val="center"/>
          </w:tcPr>
          <w:p>
            <w:pPr>
              <w:pStyle w:val="TableContents"/>
              <w:bidi w:val="0"/>
              <w:spacing w:before="0" w:after="283"/>
              <w:jc w:val="left"/>
              <w:rPr>
                <w:sz w:val="4"/>
                <w:szCs w:val="4"/>
              </w:rPr>
            </w:pPr>
            <w:r>
              <w:rPr>
                <w:sz w:val="4"/>
                <w:szCs w:val="4"/>
              </w:rPr>
            </w:r>
          </w:p>
        </w:tc>
        <w:tc>
          <w:tcPr>
            <w:tcW w:w="1419" w:type="dxa"/>
            <w:tcBorders/>
            <w:shd w:fill="FFFFFF" w:val="clear"/>
            <w:vAlign w:val="center"/>
          </w:tcPr>
          <w:p>
            <w:pPr>
              <w:pStyle w:val="TableContents"/>
              <w:bidi w:val="0"/>
              <w:spacing w:before="0" w:after="283"/>
              <w:jc w:val="left"/>
              <w:rPr>
                <w:sz w:val="4"/>
                <w:szCs w:val="4"/>
              </w:rPr>
            </w:pPr>
            <w:r>
              <w:rPr>
                <w:sz w:val="4"/>
                <w:szCs w:val="4"/>
              </w:rPr>
            </w:r>
          </w:p>
        </w:tc>
      </w:tr>
      <w:tr>
        <w:trPr/>
        <w:tc>
          <w:tcPr>
            <w:tcW w:w="166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Period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17"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Number of Shares Purchased</w:t>
            </w:r>
          </w:p>
        </w:tc>
        <w:tc>
          <w:tcPr>
            <w:tcW w:w="270" w:type="dxa"/>
            <w:tcBorders/>
            <w:shd w:fill="FFFFFF" w:val="clear"/>
            <w:vAlign w:val="center"/>
          </w:tcPr>
          <w:p>
            <w:pPr>
              <w:pStyle w:val="TableContents"/>
              <w:bidi w:val="0"/>
              <w:spacing w:before="0" w:after="283"/>
              <w:jc w:val="left"/>
              <w:rPr>
                <w:sz w:val="4"/>
                <w:szCs w:val="4"/>
              </w:rPr>
            </w:pPr>
            <w:r>
              <w:rPr>
                <w:sz w:val="4"/>
                <w:szCs w:val="4"/>
              </w:rPr>
            </w:r>
          </w:p>
        </w:tc>
        <w:tc>
          <w:tcPr>
            <w:tcW w:w="11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Average Price Paid per Share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04"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Number of Shares Purchased as Part of Publicly Announced Plans or Programs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34"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br/>
              <w:t>‎Approximate Dollar Value of Shares That May Yet be Purchased Under the Plans or Programs</w:t>
            </w:r>
          </w:p>
        </w:tc>
      </w:tr>
      <w:tr>
        <w:trPr/>
        <w:tc>
          <w:tcPr>
            <w:tcW w:w="16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July 1, 2024 - July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2,490</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7"/>
                <w:sz w:val="16"/>
                <w:sz w:val="20"/>
              </w:rPr>
            </w:pPr>
            <w:r>
              <w:rPr>
                <w:rFonts w:ascii="Times New Roman;serif" w:hAnsi="Times New Roman;serif"/>
                <w:b w:val="false"/>
                <w:i w:val="false"/>
                <w:caps w:val="false"/>
                <w:smallCaps w:val="false"/>
                <w:color w:val="000000"/>
                <w:position w:val="7"/>
                <w:sz w:val="16"/>
                <w:sz w:val="20"/>
              </w:rPr>
              <w:t>(1)</w:t>
            </w:r>
          </w:p>
        </w:tc>
        <w:tc>
          <w:tcPr>
            <w:tcW w:w="37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1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6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August 1, 2024 - August 31, 2024</w:t>
            </w:r>
          </w:p>
        </w:tc>
        <w:tc>
          <w:tcPr>
            <w:tcW w:w="109"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6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September 1, 2024 - September 30,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37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41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661" w:type="dxa"/>
            <w:tcBorders/>
            <w:vAlign w:val="center"/>
          </w:tcPr>
          <w:p>
            <w:pPr>
              <w:pStyle w:val="TableContents"/>
              <w:bidi w:val="0"/>
              <w:spacing w:lineRule="auto" w:line="259" w:before="0" w:after="283"/>
              <w:jc w:val="left"/>
              <w:rPr/>
            </w:pPr>
            <w:r>
              <w:rPr>
                <w:caps w:val="false"/>
                <w:smallCaps w:val="false"/>
                <w:color w:val="000000"/>
              </w:rPr>
              <w:t> </w:t>
            </w:r>
            <w:r>
              <w:rPr>
                <w:color w:val="000000"/>
              </w:rPr>
              <w:t> </w:t>
            </w: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41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2,490</w:t>
            </w:r>
          </w:p>
        </w:tc>
        <w:tc>
          <w:tcPr>
            <w:tcW w:w="270"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7.05</w:t>
            </w:r>
          </w:p>
        </w:tc>
        <w:tc>
          <w:tcPr>
            <w:tcW w:w="109" w:type="dxa"/>
            <w:tcBorders/>
            <w:vAlign w:val="center"/>
          </w:tcPr>
          <w:p>
            <w:pPr>
              <w:pStyle w:val="TableContents"/>
              <w:bidi w:val="0"/>
              <w:spacing w:before="0" w:after="283"/>
              <w:jc w:val="left"/>
              <w:rPr>
                <w:sz w:val="4"/>
                <w:szCs w:val="4"/>
              </w:rPr>
            </w:pPr>
            <w:r>
              <w:rPr>
                <w:sz w:val="4"/>
                <w:szCs w:val="4"/>
              </w:rPr>
            </w:r>
          </w:p>
        </w:tc>
        <w:tc>
          <w:tcPr>
            <w:tcW w:w="250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41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1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4" w:before="0" w:after="160"/>
        <w:ind w:left="720" w:right="0" w:hanging="360"/>
        <w:rPr>
          <w:rFonts w:ascii="Times New Roman;serif" w:hAnsi="Times New Roman;serif"/>
          <w:sz w:val="20"/>
        </w:rPr>
      </w:pPr>
      <w:r>
        <w:rPr>
          <w:rFonts w:ascii="Times New Roman;serif" w:hAnsi="Times New Roman;serif"/>
          <w:b w:val="false"/>
          <w:i w:val="false"/>
          <w:caps w:val="false"/>
          <w:smallCaps w:val="false"/>
          <w:sz w:val="20"/>
        </w:rPr>
        <w:t>(1)</w:t>
      </w:r>
      <w:bookmarkStart w:id="36" w:name="_Hlk172124451"/>
      <w:bookmarkEnd w:id="36"/>
      <w:r>
        <w:rPr>
          <w:rFonts w:ascii="Times New Roman;serif" w:hAnsi="Times New Roman;serif"/>
          <w:b w:val="false"/>
          <w:i w:val="false"/>
          <w:caps w:val="false"/>
          <w:smallCaps w:val="false"/>
          <w:color w:val="000000"/>
          <w:sz w:val="20"/>
        </w:rPr>
        <w:t>We withheld a total of 2,490 shares to satisfy tax withholding obligations due upon the vesting of restricted stock grants as allowed by the 2021 Omnibus Equity Compensation Plan.</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7" w:name="DefaultUponSeniorSecurities"/>
      <w:bookmarkEnd w:id="37"/>
      <w:r>
        <w:rPr>
          <w:rFonts w:ascii="Times New Roman;serif" w:hAnsi="Times New Roman;serif"/>
          <w:b/>
          <w:i w:val="false"/>
          <w:caps w:val="false"/>
          <w:smallCaps w:val="false"/>
          <w:sz w:val="20"/>
        </w:rPr>
        <w:t>EM 3. DEFAULTS UPON SENIOR SECURITIES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8" w:name="MineSafetyDisclosures"/>
      <w:bookmarkEnd w:id="38"/>
      <w:r>
        <w:rPr>
          <w:rFonts w:ascii="Times New Roman;serif" w:hAnsi="Times New Roman;serif"/>
          <w:b/>
          <w:i w:val="false"/>
          <w:caps w:val="false"/>
          <w:smallCaps w:val="false"/>
          <w:sz w:val="20"/>
        </w:rPr>
        <w:t>EM 4. MINE SAFETY DISCLOSURES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39" w:name="OtherInformation"/>
      <w:bookmarkEnd w:id="39"/>
      <w:r>
        <w:rPr>
          <w:rFonts w:ascii="Times New Roman;serif" w:hAnsi="Times New Roman;serif"/>
          <w:b/>
          <w:i w:val="false"/>
          <w:caps w:val="false"/>
          <w:smallCaps w:val="false"/>
          <w:sz w:val="20"/>
        </w:rPr>
        <w:t>M 5. OTHER INFORMATION</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 xml:space="preserve">Rule 10b5-1 Trading Plans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quarter ended September 30, 2024, none of the Company’s directors or executive officers adopted, modified or terminated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any contract, instruction or written plan for the purchase or sale of Company securities that was intended to satisfy the affirmative defense conditions of Rule 10b5-1(c)</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the Exchange Act or any “non-Rule 10b5-1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trading arrangement” (as defined in Item 408(c) of Regulation S-K).</w:t>
      </w:r>
      <w:r>
        <w:rPr>
          <w:rFonts w:ascii="Times New Roman;serif" w:hAnsi="Times New Roman;serif"/>
          <w:b/>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40" w:name="Exhibits"/>
      <w:bookmarkEnd w:id="40"/>
      <w:r>
        <w:rPr>
          <w:rFonts w:ascii="Times New Roman;serif" w:hAnsi="Times New Roman;serif"/>
          <w:b/>
          <w:i w:val="false"/>
          <w:caps w:val="false"/>
          <w:smallCaps w:val="false"/>
          <w:sz w:val="20"/>
        </w:rPr>
        <w:t>EM 6. EXHIBITS</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5"/>
        <w:gridCol w:w="9400"/>
      </w:tblGrid>
      <w:tr>
        <w:trPr/>
        <w:tc>
          <w:tcPr>
            <w:tcW w:w="805" w:type="dxa"/>
            <w:tcBorders/>
            <w:shd w:fill="FFFFFF" w:val="clear"/>
            <w:vAlign w:val="center"/>
          </w:tcPr>
          <w:p>
            <w:pPr>
              <w:pStyle w:val="TableContents"/>
              <w:bidi w:val="0"/>
              <w:spacing w:before="0" w:after="283"/>
              <w:jc w:val="left"/>
              <w:rPr>
                <w:sz w:val="4"/>
                <w:szCs w:val="4"/>
              </w:rPr>
            </w:pPr>
            <w:r>
              <w:rPr>
                <w:sz w:val="4"/>
                <w:szCs w:val="4"/>
              </w:rPr>
            </w:r>
          </w:p>
        </w:tc>
        <w:tc>
          <w:tcPr>
            <w:tcW w:w="9400" w:type="dxa"/>
            <w:tcBorders/>
            <w:shd w:fill="FFFFFF" w:val="clear"/>
            <w:vAlign w:val="center"/>
          </w:tcPr>
          <w:p>
            <w:pPr>
              <w:pStyle w:val="TableContents"/>
              <w:bidi w:val="0"/>
              <w:spacing w:before="0" w:after="283"/>
              <w:jc w:val="left"/>
              <w:rPr>
                <w:sz w:val="4"/>
                <w:szCs w:val="4"/>
              </w:rPr>
            </w:pPr>
            <w:r>
              <w:rPr>
                <w:sz w:val="4"/>
                <w:szCs w:val="4"/>
              </w:rPr>
            </w:r>
          </w:p>
        </w:tc>
      </w:tr>
      <w:tr>
        <w:trPr/>
        <w:tc>
          <w:tcPr>
            <w:tcW w:w="80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Exhibit No.</w:t>
            </w:r>
          </w:p>
        </w:tc>
        <w:tc>
          <w:tcPr>
            <w:tcW w:w="940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Description</w:t>
            </w:r>
          </w:p>
        </w:tc>
      </w:tr>
      <w:tr>
        <w:trPr/>
        <w:tc>
          <w:tcPr>
            <w:tcW w:w="805" w:type="dxa"/>
            <w:tcBorders/>
            <w:shd w:fill="CCEEFF" w:val="clear"/>
            <w:vAlign w:val="center"/>
          </w:tcPr>
          <w:p>
            <w:pPr>
              <w:pStyle w:val="TableContents"/>
              <w:bidi w:val="0"/>
              <w:spacing w:lineRule="auto" w:line="259" w:before="0" w:after="283"/>
              <w:jc w:val="left"/>
              <w:rPr/>
            </w:pPr>
            <w:hyperlink r:id="rId2">
              <w:r>
                <w:rPr>
                  <w:rStyle w:val="InternetLink"/>
                  <w:rFonts w:ascii="Times New Roman;serif" w:hAnsi="Times New Roman;serif"/>
                  <w:b w:val="false"/>
                  <w:i w:val="false"/>
                  <w:caps w:val="false"/>
                  <w:smallCaps w:val="false"/>
                  <w:color w:val="0563C1"/>
                  <w:sz w:val="20"/>
                  <w:u w:val="single"/>
                </w:rPr>
                <w:t>3.1</w:t>
              </w:r>
            </w:hyperlink>
          </w:p>
        </w:tc>
        <w:tc>
          <w:tcPr>
            <w:tcW w:w="9400" w:type="dxa"/>
            <w:tcBorders/>
            <w:shd w:fill="CCEEFF" w:val="clear"/>
            <w:vAlign w:val="center"/>
          </w:tcPr>
          <w:p>
            <w:pPr>
              <w:pStyle w:val="TableContents"/>
              <w:bidi w:val="0"/>
              <w:spacing w:lineRule="auto" w:line="259" w:before="0" w:after="283"/>
              <w:jc w:val="left"/>
              <w:rPr/>
            </w:pPr>
            <w:hyperlink r:id="rId3">
              <w:r>
                <w:rPr>
                  <w:rStyle w:val="InternetLink"/>
                  <w:rFonts w:ascii="Times New Roman;serif" w:hAnsi="Times New Roman;serif"/>
                  <w:b w:val="false"/>
                  <w:i w:val="false"/>
                  <w:caps w:val="false"/>
                  <w:smallCaps w:val="false"/>
                  <w:color w:val="0563C1"/>
                  <w:sz w:val="20"/>
                  <w:u w:val="single"/>
                </w:rPr>
                <w:t>Certificate of Incorporation of Tile Shop Holdings, Inc. (incorporated by reference to Exhibit 3.1 to the Company’s Registration Statement on Form S-4 (Reg. No. 333-182482) filed with the Securities and Exchange Commission on July 2, 2012).</w:t>
              </w:r>
            </w:hyperlink>
          </w:p>
        </w:tc>
      </w:tr>
      <w:tr>
        <w:trPr/>
        <w:tc>
          <w:tcPr>
            <w:tcW w:w="805" w:type="dxa"/>
            <w:tcBorders/>
            <w:vAlign w:val="center"/>
          </w:tcPr>
          <w:p>
            <w:pPr>
              <w:pStyle w:val="TableContents"/>
              <w:bidi w:val="0"/>
              <w:spacing w:lineRule="auto" w:line="259" w:before="0" w:after="283"/>
              <w:jc w:val="left"/>
              <w:rPr/>
            </w:pPr>
            <w:hyperlink r:id="rId4">
              <w:r>
                <w:rPr>
                  <w:rStyle w:val="InternetLink"/>
                  <w:rFonts w:ascii="Times New Roman;serif" w:hAnsi="Times New Roman;serif"/>
                  <w:b w:val="false"/>
                  <w:i w:val="false"/>
                  <w:caps w:val="false"/>
                  <w:smallCaps w:val="false"/>
                  <w:color w:val="0563C1"/>
                  <w:sz w:val="20"/>
                  <w:u w:val="single"/>
                </w:rPr>
                <w:t>3.2</w:t>
              </w:r>
            </w:hyperlink>
          </w:p>
        </w:tc>
        <w:tc>
          <w:tcPr>
            <w:tcW w:w="9400" w:type="dxa"/>
            <w:tcBorders/>
            <w:vAlign w:val="center"/>
          </w:tcPr>
          <w:p>
            <w:pPr>
              <w:pStyle w:val="TableContents"/>
              <w:bidi w:val="0"/>
              <w:spacing w:lineRule="auto" w:line="259" w:before="0" w:after="283"/>
              <w:jc w:val="left"/>
              <w:rPr/>
            </w:pPr>
            <w:hyperlink r:id="rId5">
              <w:r>
                <w:rPr>
                  <w:rStyle w:val="InternetLink"/>
                  <w:rFonts w:ascii="Times New Roman;serif" w:hAnsi="Times New Roman;serif"/>
                  <w:b w:val="false"/>
                  <w:i w:val="false"/>
                  <w:caps w:val="false"/>
                  <w:smallCaps w:val="false"/>
                  <w:color w:val="0563C1"/>
                  <w:sz w:val="20"/>
                  <w:u w:val="single"/>
                </w:rPr>
                <w:t>Certificate of Amendment to the Certificate of Incorporation of Tile Shop Holdings, Inc. (incorporated by reference to Exhibit 3.2 to the Company’s Current Report on Form 8-K filed with the Securities and Exchange Commission on July 21, 2021).</w:t>
              </w:r>
            </w:hyperlink>
          </w:p>
        </w:tc>
      </w:tr>
      <w:tr>
        <w:trPr/>
        <w:tc>
          <w:tcPr>
            <w:tcW w:w="805" w:type="dxa"/>
            <w:tcBorders/>
            <w:shd w:fill="CCEEFF" w:val="clear"/>
            <w:vAlign w:val="center"/>
          </w:tcPr>
          <w:p>
            <w:pPr>
              <w:pStyle w:val="TableContents"/>
              <w:bidi w:val="0"/>
              <w:spacing w:lineRule="auto" w:line="259" w:before="0" w:after="283"/>
              <w:jc w:val="left"/>
              <w:rPr/>
            </w:pPr>
            <w:hyperlink r:id="rId6">
              <w:r>
                <w:rPr>
                  <w:rStyle w:val="InternetLink"/>
                  <w:rFonts w:ascii="Times New Roman;serif" w:hAnsi="Times New Roman;serif"/>
                  <w:b w:val="false"/>
                  <w:i w:val="false"/>
                  <w:caps w:val="false"/>
                  <w:smallCaps w:val="false"/>
                  <w:color w:val="0563C1"/>
                  <w:sz w:val="20"/>
                  <w:u w:val="single"/>
                </w:rPr>
                <w:t>3.3</w:t>
              </w:r>
            </w:hyperlink>
          </w:p>
        </w:tc>
        <w:tc>
          <w:tcPr>
            <w:tcW w:w="9400" w:type="dxa"/>
            <w:tcBorders/>
            <w:shd w:fill="CCEEFF" w:val="clear"/>
            <w:vAlign w:val="center"/>
          </w:tcPr>
          <w:p>
            <w:pPr>
              <w:pStyle w:val="TableContents"/>
              <w:bidi w:val="0"/>
              <w:spacing w:lineRule="auto" w:line="259" w:before="0" w:after="283"/>
              <w:jc w:val="left"/>
              <w:rPr/>
            </w:pPr>
            <w:hyperlink r:id="rId7">
              <w:r>
                <w:rPr>
                  <w:rStyle w:val="InternetLink"/>
                  <w:rFonts w:ascii="Times New Roman;serif" w:hAnsi="Times New Roman;serif"/>
                  <w:b w:val="false"/>
                  <w:i w:val="false"/>
                  <w:caps w:val="false"/>
                  <w:smallCaps w:val="false"/>
                  <w:color w:val="0563C1"/>
                  <w:sz w:val="20"/>
                  <w:u w:val="single"/>
                </w:rPr>
                <w:t>By-Laws of Tile Shop Holdings, Inc. (incorporated by reference to Exhibit 3.2 to the Company’s Registration Statement on Form S-4 (Reg. No. 333-182482) filed with the Securities and Exchange Commission on July 2, 2012).</w:t>
              </w:r>
            </w:hyperlink>
          </w:p>
        </w:tc>
      </w:tr>
      <w:tr>
        <w:trPr/>
        <w:tc>
          <w:tcPr>
            <w:tcW w:w="805" w:type="dxa"/>
            <w:tcBorders/>
            <w:shd w:fill="FFFFFF" w:val="clear"/>
            <w:vAlign w:val="center"/>
          </w:tcPr>
          <w:p>
            <w:pPr>
              <w:pStyle w:val="TableContents"/>
              <w:bidi w:val="0"/>
              <w:spacing w:lineRule="auto" w:line="259" w:before="0" w:after="283"/>
              <w:jc w:val="left"/>
              <w:rPr/>
            </w:pPr>
            <w:hyperlink r:id="rId8">
              <w:r>
                <w:rPr>
                  <w:rStyle w:val="InternetLink"/>
                  <w:rFonts w:ascii="Times New Roman;serif" w:hAnsi="Times New Roman;serif"/>
                  <w:b w:val="false"/>
                  <w:i w:val="false"/>
                  <w:caps w:val="false"/>
                  <w:smallCaps w:val="false"/>
                  <w:color w:val="0563C1"/>
                  <w:sz w:val="20"/>
                  <w:u w:val="single"/>
                </w:rPr>
                <w:t>10.1+</w:t>
              </w:r>
            </w:hyperlink>
          </w:p>
        </w:tc>
        <w:tc>
          <w:tcPr>
            <w:tcW w:w="9400" w:type="dxa"/>
            <w:tcBorders/>
            <w:shd w:fill="FFFFFF" w:val="clear"/>
            <w:vAlign w:val="center"/>
          </w:tcPr>
          <w:p>
            <w:pPr>
              <w:pStyle w:val="TableContents"/>
              <w:bidi w:val="0"/>
              <w:spacing w:lineRule="auto" w:line="259" w:before="0" w:after="283"/>
              <w:jc w:val="left"/>
              <w:rPr/>
            </w:pPr>
            <w:hyperlink r:id="rId9">
              <w:r>
                <w:rPr>
                  <w:rStyle w:val="InternetLink"/>
                  <w:rFonts w:ascii="Times New Roman;serif" w:hAnsi="Times New Roman;serif"/>
                  <w:b w:val="false"/>
                  <w:i w:val="false"/>
                  <w:caps w:val="false"/>
                  <w:smallCaps w:val="false"/>
                  <w:color w:val="0563C1"/>
                  <w:sz w:val="20"/>
                  <w:u w:val="single"/>
                </w:rPr>
                <w:t>Nondisclosure, Confidentiality, Assignment and Noncompetition Agreement, dated July 22, 2024, by and between Cabell Lolmaugh and Tile Shop Holdings, Inc. (incorporated by reference to Exhibit 10.1 to the Company’s Quarterly Report on Form 10-Q for the quarter ended June 30, 2024).</w:t>
              </w:r>
            </w:hyperlink>
          </w:p>
        </w:tc>
      </w:tr>
      <w:tr>
        <w:trPr/>
        <w:tc>
          <w:tcPr>
            <w:tcW w:w="805" w:type="dxa"/>
            <w:tcBorders/>
            <w:shd w:fill="CCEEFF" w:val="clear"/>
            <w:vAlign w:val="center"/>
          </w:tcPr>
          <w:p>
            <w:pPr>
              <w:pStyle w:val="TableContents"/>
              <w:bidi w:val="0"/>
              <w:spacing w:lineRule="auto" w:line="259" w:before="0" w:after="283"/>
              <w:jc w:val="left"/>
              <w:rPr/>
            </w:pPr>
            <w:hyperlink r:id="rId10">
              <w:r>
                <w:rPr>
                  <w:rStyle w:val="InternetLink"/>
                  <w:rFonts w:ascii="Times New Roman;serif" w:hAnsi="Times New Roman;serif"/>
                  <w:b w:val="false"/>
                  <w:i w:val="false"/>
                  <w:caps w:val="false"/>
                  <w:smallCaps w:val="false"/>
                  <w:color w:val="0563C1"/>
                  <w:sz w:val="20"/>
                  <w:u w:val="single"/>
                </w:rPr>
                <w:t>10.2+</w:t>
              </w:r>
            </w:hyperlink>
          </w:p>
        </w:tc>
        <w:tc>
          <w:tcPr>
            <w:tcW w:w="9400" w:type="dxa"/>
            <w:tcBorders/>
            <w:shd w:fill="CCEEFF" w:val="clear"/>
            <w:vAlign w:val="center"/>
          </w:tcPr>
          <w:p>
            <w:pPr>
              <w:pStyle w:val="TableContents"/>
              <w:bidi w:val="0"/>
              <w:spacing w:lineRule="auto" w:line="259" w:before="0" w:after="283"/>
              <w:jc w:val="left"/>
              <w:rPr/>
            </w:pPr>
            <w:hyperlink r:id="rId11">
              <w:r>
                <w:rPr>
                  <w:rStyle w:val="InternetLink"/>
                  <w:rFonts w:ascii="Times New Roman;serif" w:hAnsi="Times New Roman;serif"/>
                  <w:b w:val="false"/>
                  <w:i w:val="false"/>
                  <w:caps w:val="false"/>
                  <w:smallCaps w:val="false"/>
                  <w:color w:val="0563C1"/>
                  <w:sz w:val="20"/>
                  <w:u w:val="single"/>
                </w:rPr>
                <w:t>Nondisclosure, Confidentiality, Assignment and Noncompetition Agreement, dated July 22, 2024, by and between Mark Davis and Tile Shop Holdings, Inc. (incorporated by reference to Exhibit 10.2 to the Company’s Quarterly Report on Form 10-Q for the quarter ended June 30, 2024).</w:t>
              </w:r>
            </w:hyperlink>
          </w:p>
        </w:tc>
      </w:tr>
      <w:tr>
        <w:trPr/>
        <w:tc>
          <w:tcPr>
            <w:tcW w:w="805" w:type="dxa"/>
            <w:tcBorders/>
            <w:shd w:fill="FFFFFF" w:val="clear"/>
            <w:vAlign w:val="center"/>
          </w:tcPr>
          <w:p>
            <w:pPr>
              <w:pStyle w:val="TableContents"/>
              <w:bidi w:val="0"/>
              <w:spacing w:lineRule="auto" w:line="259" w:before="0" w:after="283"/>
              <w:jc w:val="left"/>
              <w:rPr/>
            </w:pPr>
            <w:hyperlink r:id="rId12">
              <w:r>
                <w:rPr>
                  <w:rStyle w:val="InternetLink"/>
                  <w:rFonts w:ascii="Times New Roman;serif" w:hAnsi="Times New Roman;serif"/>
                  <w:b w:val="false"/>
                  <w:i w:val="false"/>
                  <w:caps w:val="false"/>
                  <w:smallCaps w:val="false"/>
                  <w:color w:val="0563C1"/>
                  <w:sz w:val="20"/>
                  <w:u w:val="single"/>
                </w:rPr>
                <w:t>10.3+</w:t>
              </w:r>
            </w:hyperlink>
          </w:p>
        </w:tc>
        <w:tc>
          <w:tcPr>
            <w:tcW w:w="9400" w:type="dxa"/>
            <w:tcBorders/>
            <w:shd w:fill="FFFFFF" w:val="clear"/>
            <w:vAlign w:val="center"/>
          </w:tcPr>
          <w:p>
            <w:pPr>
              <w:pStyle w:val="TableContents"/>
              <w:bidi w:val="0"/>
              <w:spacing w:lineRule="auto" w:line="259" w:before="0" w:after="283"/>
              <w:jc w:val="left"/>
              <w:rPr/>
            </w:pPr>
            <w:hyperlink r:id="rId13">
              <w:r>
                <w:rPr>
                  <w:rStyle w:val="InternetLink"/>
                  <w:rFonts w:ascii="Times New Roman;serif" w:hAnsi="Times New Roman;serif"/>
                  <w:b w:val="false"/>
                  <w:i w:val="false"/>
                  <w:caps w:val="false"/>
                  <w:smallCaps w:val="false"/>
                  <w:color w:val="0563C1"/>
                  <w:sz w:val="20"/>
                  <w:u w:val="single"/>
                </w:rPr>
                <w:t>Nondisclosure, Confidentiality, Assignment and Noncompetition Agreement, dated July 22, 2024, by and between Joseph Kinder and Tile Shop Holdings, Inc. (incorporated by reference to Exhibit 10.3 to the Company’s Quarterly Report on Form 10-Q for the quarter ended June 30, 2024).</w:t>
              </w:r>
            </w:hyperlink>
          </w:p>
        </w:tc>
      </w:tr>
      <w:tr>
        <w:trPr/>
        <w:tc>
          <w:tcPr>
            <w:tcW w:w="805" w:type="dxa"/>
            <w:tcBorders/>
            <w:shd w:fill="CCEEFF" w:val="clear"/>
            <w:vAlign w:val="center"/>
          </w:tcPr>
          <w:p>
            <w:pPr>
              <w:pStyle w:val="TableContents"/>
              <w:bidi w:val="0"/>
              <w:spacing w:lineRule="auto" w:line="259" w:before="0" w:after="283"/>
              <w:jc w:val="left"/>
              <w:rPr/>
            </w:pPr>
            <w:hyperlink w:anchor="ttsh-20240930xex31_1.htm">
              <w:r>
                <w:rPr>
                  <w:rStyle w:val="InternetLink"/>
                  <w:rFonts w:ascii="Times New Roman;serif" w:hAnsi="Times New Roman;serif"/>
                  <w:b w:val="false"/>
                  <w:i w:val="false"/>
                  <w:caps w:val="false"/>
                  <w:smallCaps w:val="false"/>
                  <w:color w:val="0563C1"/>
                  <w:sz w:val="20"/>
                  <w:u w:val="single"/>
                </w:rPr>
                <w:t>31.1*</w:t>
              </w:r>
            </w:hyperlink>
          </w:p>
        </w:tc>
        <w:tc>
          <w:tcPr>
            <w:tcW w:w="9400" w:type="dxa"/>
            <w:tcBorders/>
            <w:shd w:fill="CCEEFF" w:val="clear"/>
            <w:vAlign w:val="center"/>
          </w:tcPr>
          <w:p>
            <w:pPr>
              <w:pStyle w:val="TableContents"/>
              <w:bidi w:val="0"/>
              <w:spacing w:lineRule="auto" w:line="259" w:before="0" w:after="283"/>
              <w:jc w:val="left"/>
              <w:rPr/>
            </w:pPr>
            <w:hyperlink w:anchor="ttsh-20240930xex31_1.htm">
              <w:r>
                <w:rPr>
                  <w:rStyle w:val="InternetLink"/>
                  <w:rFonts w:ascii="Times New Roman;serif" w:hAnsi="Times New Roman;serif"/>
                  <w:b w:val="false"/>
                  <w:i w:val="false"/>
                  <w:caps w:val="false"/>
                  <w:smallCaps w:val="false"/>
                  <w:color w:val="0563C1"/>
                  <w:sz w:val="20"/>
                  <w:u w:val="single"/>
                </w:rPr>
                <w:t>Certification of Chief Executive Officer Pursuant to Section 302 of the Sarbanes Oxley Act of 2002.</w:t>
              </w:r>
            </w:hyperlink>
          </w:p>
        </w:tc>
      </w:tr>
      <w:tr>
        <w:trPr/>
        <w:tc>
          <w:tcPr>
            <w:tcW w:w="805" w:type="dxa"/>
            <w:tcBorders/>
            <w:shd w:fill="FFFFFF" w:val="clear"/>
            <w:vAlign w:val="center"/>
          </w:tcPr>
          <w:p>
            <w:pPr>
              <w:pStyle w:val="TableContents"/>
              <w:bidi w:val="0"/>
              <w:spacing w:lineRule="auto" w:line="259" w:before="0" w:after="283"/>
              <w:jc w:val="left"/>
              <w:rPr/>
            </w:pPr>
            <w:hyperlink w:anchor="ttsh-20240930xex31_2.htm">
              <w:r>
                <w:rPr>
                  <w:rStyle w:val="InternetLink"/>
                  <w:rFonts w:ascii="Times New Roman;serif" w:hAnsi="Times New Roman;serif"/>
                  <w:b w:val="false"/>
                  <w:i w:val="false"/>
                  <w:caps w:val="false"/>
                  <w:smallCaps w:val="false"/>
                  <w:color w:val="0563C1"/>
                  <w:sz w:val="20"/>
                  <w:u w:val="single"/>
                </w:rPr>
                <w:t>31.2*</w:t>
              </w:r>
            </w:hyperlink>
          </w:p>
        </w:tc>
        <w:tc>
          <w:tcPr>
            <w:tcW w:w="9400" w:type="dxa"/>
            <w:tcBorders/>
            <w:shd w:fill="FFFFFF" w:val="clear"/>
            <w:vAlign w:val="center"/>
          </w:tcPr>
          <w:p>
            <w:pPr>
              <w:pStyle w:val="TableContents"/>
              <w:bidi w:val="0"/>
              <w:spacing w:lineRule="auto" w:line="259" w:before="0" w:after="283"/>
              <w:jc w:val="left"/>
              <w:rPr/>
            </w:pPr>
            <w:hyperlink w:anchor="ttsh-20240930xex31_2.htm">
              <w:r>
                <w:rPr>
                  <w:rStyle w:val="InternetLink"/>
                  <w:rFonts w:ascii="Times New Roman;serif" w:hAnsi="Times New Roman;serif"/>
                  <w:b w:val="false"/>
                  <w:i w:val="false"/>
                  <w:caps w:val="false"/>
                  <w:smallCaps w:val="false"/>
                  <w:color w:val="0563C1"/>
                  <w:sz w:val="20"/>
                  <w:u w:val="single"/>
                </w:rPr>
                <w:t>Certification of Chief Financial Officer Pursuant to Section 302 of the Sarbanes Oxley Act of 2002.</w:t>
              </w:r>
            </w:hyperlink>
          </w:p>
        </w:tc>
      </w:tr>
      <w:tr>
        <w:trPr/>
        <w:tc>
          <w:tcPr>
            <w:tcW w:w="805" w:type="dxa"/>
            <w:tcBorders/>
            <w:shd w:fill="CCEEFF" w:val="clear"/>
            <w:vAlign w:val="center"/>
          </w:tcPr>
          <w:p>
            <w:pPr>
              <w:pStyle w:val="TableContents"/>
              <w:bidi w:val="0"/>
              <w:spacing w:lineRule="auto" w:line="259" w:before="0" w:after="283"/>
              <w:jc w:val="left"/>
              <w:rPr/>
            </w:pPr>
            <w:hyperlink w:anchor="ttsh-20240930xex32_1.htm">
              <w:r>
                <w:rPr>
                  <w:rStyle w:val="InternetLink"/>
                  <w:rFonts w:ascii="Times New Roman;serif" w:hAnsi="Times New Roman;serif"/>
                  <w:b w:val="false"/>
                  <w:i w:val="false"/>
                  <w:caps w:val="false"/>
                  <w:smallCaps w:val="false"/>
                  <w:color w:val="0563C1"/>
                  <w:sz w:val="20"/>
                  <w:u w:val="single"/>
                </w:rPr>
                <w:t>32.1**</w:t>
              </w:r>
            </w:hyperlink>
          </w:p>
        </w:tc>
        <w:tc>
          <w:tcPr>
            <w:tcW w:w="9400" w:type="dxa"/>
            <w:tcBorders/>
            <w:shd w:fill="CCEEFF" w:val="clear"/>
            <w:vAlign w:val="center"/>
          </w:tcPr>
          <w:p>
            <w:pPr>
              <w:pStyle w:val="TableContents"/>
              <w:bidi w:val="0"/>
              <w:spacing w:lineRule="auto" w:line="259" w:before="0" w:after="283"/>
              <w:jc w:val="left"/>
              <w:rPr/>
            </w:pPr>
            <w:hyperlink w:anchor="ttsh-20240930xex32_1.htm">
              <w:r>
                <w:rPr>
                  <w:rStyle w:val="InternetLink"/>
                  <w:rFonts w:ascii="Times New Roman;serif" w:hAnsi="Times New Roman;serif"/>
                  <w:b w:val="false"/>
                  <w:i w:val="false"/>
                  <w:caps w:val="false"/>
                  <w:smallCaps w:val="false"/>
                  <w:color w:val="0563C1"/>
                  <w:sz w:val="20"/>
                  <w:u w:val="single"/>
                </w:rPr>
                <w:t>Certifications of Chief Executive Officer Pursuant to Section 906 of the Sarbanes Oxley Act of 2002.</w:t>
              </w:r>
            </w:hyperlink>
          </w:p>
        </w:tc>
      </w:tr>
      <w:tr>
        <w:trPr/>
        <w:tc>
          <w:tcPr>
            <w:tcW w:w="805" w:type="dxa"/>
            <w:tcBorders/>
            <w:shd w:fill="FFFFFF" w:val="clear"/>
            <w:vAlign w:val="center"/>
          </w:tcPr>
          <w:p>
            <w:pPr>
              <w:pStyle w:val="TableContents"/>
              <w:bidi w:val="0"/>
              <w:spacing w:lineRule="auto" w:line="259" w:before="0" w:after="283"/>
              <w:jc w:val="left"/>
              <w:rPr/>
            </w:pPr>
            <w:hyperlink w:anchor="ttsh-20240930xex32_2.htm">
              <w:r>
                <w:rPr>
                  <w:rStyle w:val="InternetLink"/>
                  <w:rFonts w:ascii="Times New Roman;serif" w:hAnsi="Times New Roman;serif"/>
                  <w:b w:val="false"/>
                  <w:i w:val="false"/>
                  <w:caps w:val="false"/>
                  <w:smallCaps w:val="false"/>
                  <w:color w:val="0563C1"/>
                  <w:sz w:val="20"/>
                  <w:u w:val="single"/>
                </w:rPr>
                <w:t>32.2**</w:t>
              </w:r>
            </w:hyperlink>
          </w:p>
        </w:tc>
        <w:tc>
          <w:tcPr>
            <w:tcW w:w="9400" w:type="dxa"/>
            <w:tcBorders/>
            <w:shd w:fill="FFFFFF" w:val="clear"/>
            <w:vAlign w:val="center"/>
          </w:tcPr>
          <w:p>
            <w:pPr>
              <w:pStyle w:val="TableContents"/>
              <w:bidi w:val="0"/>
              <w:spacing w:lineRule="auto" w:line="259" w:before="0" w:after="283"/>
              <w:jc w:val="left"/>
              <w:rPr/>
            </w:pPr>
            <w:hyperlink w:anchor="ttsh-20240930xex32_2.htm">
              <w:r>
                <w:rPr>
                  <w:rStyle w:val="InternetLink"/>
                  <w:rFonts w:ascii="Times New Roman;serif" w:hAnsi="Times New Roman;serif"/>
                  <w:b w:val="false"/>
                  <w:i w:val="false"/>
                  <w:caps w:val="false"/>
                  <w:smallCaps w:val="false"/>
                  <w:color w:val="0563C1"/>
                  <w:sz w:val="20"/>
                  <w:u w:val="single"/>
                </w:rPr>
                <w:t>Certifications of Chief Financial Officer Pursuant to Section 906 of the Sarbanes Oxley Act of 2002.</w:t>
              </w:r>
            </w:hyperlink>
          </w:p>
        </w:tc>
      </w:tr>
      <w:tr>
        <w:trPr/>
        <w:tc>
          <w:tcPr>
            <w:tcW w:w="8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c>
          <w:tcPr>
            <w:tcW w:w="940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financial statements from the Quarterly Report on Form 10-Q for the quarter ended September 30, 2024 are formatted in iXBRL (Inline eXtensible Business Reporting Language): (i) Consolidated Balance Sheets, (ii) Consolidated Statements of Income, (iii) Consolidated Statements of Comprehensive Income, (iv) Consolidated Statements of Stockholders’ Equity, (v) Consolidated Statements of Cash Flows, and (vi) the Notes to Consolidated Financial Statements.</w:t>
            </w:r>
          </w:p>
        </w:tc>
      </w:tr>
      <w:tr>
        <w:trPr/>
        <w:tc>
          <w:tcPr>
            <w:tcW w:w="80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w:t>
            </w:r>
          </w:p>
        </w:tc>
        <w:tc>
          <w:tcPr>
            <w:tcW w:w="940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Cover Page Interactive Data File (formatted as Inline XBRL and contained in Exhibit 101).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Filed herewith</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Furnished herewith</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Management compensatory plan or arrangement.</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bookmarkStart w:id="41" w:name="Signatures"/>
      <w:bookmarkEnd w:id="41"/>
      <w:r>
        <w:rPr>
          <w:rFonts w:ascii="Times New Roman;serif" w:hAnsi="Times New Roman;serif"/>
          <w:b w:val="false"/>
          <w:i w:val="false"/>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59"/>
        <w:rPr>
          <w:caps w:val="false"/>
          <w:smallCaps w:val="false"/>
        </w:rPr>
      </w:pPr>
      <w:r>
        <w:rPr>
          <w:caps w:val="false"/>
          <w:smallCaps w:val="false"/>
        </w:rPr>
        <w:t> </w:t>
      </w:r>
    </w:p>
    <w:tbl>
      <w:tblPr>
        <w:tblW w:w="5324" w:type="dxa"/>
        <w:jc w:val="left"/>
        <w:tblInd w:w="0" w:type="dxa"/>
        <w:tblLayout w:type="fixed"/>
        <w:tblCellMar>
          <w:top w:w="0" w:type="dxa"/>
          <w:left w:w="0" w:type="dxa"/>
          <w:bottom w:w="0" w:type="dxa"/>
          <w:right w:w="0" w:type="dxa"/>
        </w:tblCellMar>
      </w:tblPr>
      <w:tblGrid>
        <w:gridCol w:w="2206"/>
        <w:gridCol w:w="451"/>
        <w:gridCol w:w="2476"/>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927"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220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47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2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Dated: November 7, 2024</w:t>
            </w:r>
          </w:p>
        </w:tc>
        <w:tc>
          <w:tcPr>
            <w:tcW w:w="4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c>
        <w:tc>
          <w:tcPr>
            <w:tcW w:w="24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CABELL H. LOLMAUGH</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220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4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Cabell H. Lolmaugh</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220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4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Executive Officer</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bl>
    <w:tbl>
      <w:tblPr>
        <w:tblW w:w="4814" w:type="dxa"/>
        <w:jc w:val="left"/>
        <w:tblInd w:w="0" w:type="dxa"/>
        <w:tblLayout w:type="fixed"/>
        <w:tblCellMar>
          <w:top w:w="0" w:type="dxa"/>
          <w:left w:w="0" w:type="dxa"/>
          <w:bottom w:w="0" w:type="dxa"/>
          <w:right w:w="0" w:type="dxa"/>
        </w:tblCellMar>
      </w:tblPr>
      <w:tblGrid>
        <w:gridCol w:w="2206"/>
        <w:gridCol w:w="451"/>
        <w:gridCol w:w="1966"/>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Dated: November 7, 2024</w:t>
            </w:r>
          </w:p>
        </w:tc>
        <w:tc>
          <w:tcPr>
            <w:tcW w:w="4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c>
        <w:tc>
          <w:tcPr>
            <w:tcW w:w="196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MARK B. DAVIS</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220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9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B. Davis</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220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9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Financial Officer</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TextBody"/>
        <w:bidi w:val="0"/>
        <w:spacing w:lineRule="auto" w:line="240" w:before="0" w:after="0"/>
        <w:ind w:left="1440" w:right="1440" w:hanging="0"/>
        <w:jc w:val="right"/>
        <w:rPr>
          <w:rFonts w:ascii="Times New Roman" w:hAnsi="Times New Roman"/>
          <w:sz w:val="20"/>
        </w:rPr>
      </w:pPr>
      <w:bookmarkStart w:id="42" w:name="ttsh-20240930xex31_1.htm"/>
      <w:bookmarkStart w:id="43" w:name="ksttsh20240930xex31_1"/>
      <w:bookmarkEnd w:id="42"/>
      <w:bookmarkEnd w:id="43"/>
      <w:r>
        <w:rPr>
          <w:rFonts w:ascii="Times New Roman" w:hAnsi="Times New Roman"/>
          <w:b/>
          <w:sz w:val="20"/>
        </w:rPr>
        <w:t>EXHIBIT 31.1</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302 CERTIFICATION OF CHIEF EXECUTIVE OFFICER</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ascii="Times New Roman" w:hAnsi="Times New Roman"/>
          <w:sz w:val="20"/>
        </w:rPr>
      </w:pPr>
      <w:r>
        <w:rPr>
          <w:rFonts w:ascii="Times New Roman" w:hAnsi="Times New Roman"/>
          <w:sz w:val="20"/>
        </w:rPr>
        <w:t xml:space="preserve">I, Cabell H. Lolmaugh, certify that: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6701" w:type="dxa"/>
        <w:jc w:val="left"/>
        <w:tblInd w:w="1440" w:type="dxa"/>
        <w:tblLayout w:type="fixed"/>
        <w:tblCellMar>
          <w:top w:w="0" w:type="dxa"/>
          <w:left w:w="0" w:type="dxa"/>
          <w:bottom w:w="0" w:type="dxa"/>
          <w:right w:w="0" w:type="dxa"/>
        </w:tblCellMar>
      </w:tblPr>
      <w:tblGrid>
        <w:gridCol w:w="38"/>
        <w:gridCol w:w="215"/>
        <w:gridCol w:w="23"/>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42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I have reviewed this quarterly report on Form 10-Q of Tile Shop Holdings, Inc.;</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1"/>
        <w:gridCol w:w="23"/>
        <w:gridCol w:w="7113"/>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711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6"/>
        <w:gridCol w:w="23"/>
        <w:gridCol w:w="7118"/>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7118"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7"/>
        <w:gridCol w:w="23"/>
        <w:gridCol w:w="7097"/>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c. </w:t>
            </w:r>
          </w:p>
        </w:tc>
        <w:tc>
          <w:tcPr>
            <w:tcW w:w="23" w:type="dxa"/>
            <w:tcBorders/>
            <w:vAlign w:val="center"/>
          </w:tcPr>
          <w:p>
            <w:pPr>
              <w:pStyle w:val="TableContents"/>
              <w:bidi w:val="0"/>
              <w:spacing w:before="0" w:after="283"/>
              <w:jc w:val="left"/>
              <w:rPr>
                <w:sz w:val="4"/>
                <w:szCs w:val="4"/>
              </w:rPr>
            </w:pPr>
            <w:r>
              <w:rPr>
                <w:sz w:val="4"/>
                <w:szCs w:val="4"/>
              </w:rPr>
            </w:r>
          </w:p>
        </w:tc>
        <w:tc>
          <w:tcPr>
            <w:tcW w:w="7097"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d.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91"/>
        <w:gridCol w:w="23"/>
        <w:gridCol w:w="7073"/>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7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4420" w:type="dxa"/>
        <w:jc w:val="left"/>
        <w:tblInd w:w="1440" w:type="dxa"/>
        <w:tblLayout w:type="fixed"/>
        <w:tblCellMar>
          <w:top w:w="0" w:type="dxa"/>
          <w:left w:w="0" w:type="dxa"/>
          <w:bottom w:w="0" w:type="dxa"/>
          <w:right w:w="0" w:type="dxa"/>
        </w:tblCellMar>
      </w:tblPr>
      <w:tblGrid>
        <w:gridCol w:w="2015"/>
        <w:gridCol w:w="2405"/>
      </w:tblGrid>
      <w:tr>
        <w:trPr/>
        <w:tc>
          <w:tcPr>
            <w:tcW w:w="2015" w:type="dxa"/>
            <w:tcBorders/>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2405" w:type="dxa"/>
            <w:tcBorders/>
          </w:tcPr>
          <w:p>
            <w:pPr>
              <w:pStyle w:val="TableContents"/>
              <w:bidi w:val="0"/>
              <w:spacing w:lineRule="auto" w:line="240" w:before="0" w:after="0"/>
              <w:ind w:left="0" w:right="0" w:hanging="0"/>
              <w:jc w:val="left"/>
              <w:rPr/>
            </w:pPr>
            <w:r>
              <w:rPr/>
              <w:t> </w:t>
            </w:r>
          </w:p>
        </w:tc>
      </w:tr>
      <w:tr>
        <w:trPr/>
        <w:tc>
          <w:tcPr>
            <w:tcW w:w="201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Date: November 7, 2024</w:t>
            </w:r>
          </w:p>
        </w:tc>
        <w:tc>
          <w:tcPr>
            <w:tcW w:w="240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CABELL H. LOLMAUGH</w:t>
            </w:r>
          </w:p>
        </w:tc>
      </w:tr>
      <w:tr>
        <w:trPr/>
        <w:tc>
          <w:tcPr>
            <w:tcW w:w="2015" w:type="dxa"/>
            <w:tcBorders/>
          </w:tcPr>
          <w:p>
            <w:pPr>
              <w:pStyle w:val="TableContents"/>
              <w:bidi w:val="0"/>
              <w:spacing w:lineRule="auto" w:line="240" w:before="0" w:after="0"/>
              <w:ind w:left="0" w:right="0" w:hanging="0"/>
              <w:jc w:val="left"/>
              <w:rPr/>
            </w:pPr>
            <w:r>
              <w:rPr/>
              <w:t> </w:t>
            </w:r>
          </w:p>
        </w:tc>
        <w:tc>
          <w:tcPr>
            <w:tcW w:w="240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2015"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240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Cabell H. Lolmaugh</w:t>
            </w:r>
          </w:p>
        </w:tc>
      </w:tr>
      <w:tr>
        <w:trPr/>
        <w:tc>
          <w:tcPr>
            <w:tcW w:w="2015"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2405" w:type="dxa"/>
            <w:tcBorders/>
          </w:tcPr>
          <w:p>
            <w:pPr>
              <w:pStyle w:val="TableContents"/>
              <w:bidi w:val="0"/>
              <w:spacing w:lineRule="auto" w:line="240" w:before="0" w:after="0"/>
              <w:ind w:left="0" w:right="0" w:hanging="0"/>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0"/>
        </w:rPr>
      </w:pPr>
      <w:bookmarkStart w:id="44" w:name="ttsh-20240930xex31_2.htm"/>
      <w:bookmarkStart w:id="45" w:name="ksttsh20240930xex31_2"/>
      <w:bookmarkEnd w:id="44"/>
      <w:bookmarkEnd w:id="45"/>
      <w:r>
        <w:rPr>
          <w:rFonts w:ascii="Times New Roman" w:hAnsi="Times New Roman"/>
          <w:b/>
          <w:sz w:val="20"/>
        </w:rPr>
        <w:t>EXHIBIT 31.2</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302 CERTIFICATION OF CHIEF FINANCIAL OFFICER</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ascii="Times New Roman" w:hAnsi="Times New Roman"/>
          <w:sz w:val="20"/>
        </w:rPr>
      </w:pPr>
      <w:r>
        <w:rPr>
          <w:rFonts w:ascii="Times New Roman" w:hAnsi="Times New Roman"/>
          <w:sz w:val="20"/>
        </w:rPr>
        <w:t xml:space="preserve">I, Mark B. Davis, certify that: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6701" w:type="dxa"/>
        <w:jc w:val="left"/>
        <w:tblInd w:w="1440" w:type="dxa"/>
        <w:tblLayout w:type="fixed"/>
        <w:tblCellMar>
          <w:top w:w="0" w:type="dxa"/>
          <w:left w:w="0" w:type="dxa"/>
          <w:bottom w:w="0" w:type="dxa"/>
          <w:right w:w="0" w:type="dxa"/>
        </w:tblCellMar>
      </w:tblPr>
      <w:tblGrid>
        <w:gridCol w:w="38"/>
        <w:gridCol w:w="215"/>
        <w:gridCol w:w="23"/>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42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I have reviewed this quarterly report on Form 10-Q of Tile Shop Holdings, Inc.;</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1"/>
        <w:gridCol w:w="23"/>
        <w:gridCol w:w="7113"/>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711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6"/>
        <w:gridCol w:w="23"/>
        <w:gridCol w:w="7118"/>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7118"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ind w:left="1440" w:right="1440" w:hanging="0"/>
        <w:jc w:val="left"/>
        <w:rPr/>
      </w:pPr>
      <w:r>
        <w:rPr>
          <w:color w:val="000000"/>
        </w:rPr>
        <w:t> </w:t>
      </w:r>
      <w:r>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7"/>
        <w:gridCol w:w="23"/>
        <w:gridCol w:w="7097"/>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c. </w:t>
            </w:r>
          </w:p>
        </w:tc>
        <w:tc>
          <w:tcPr>
            <w:tcW w:w="23" w:type="dxa"/>
            <w:tcBorders/>
            <w:vAlign w:val="center"/>
          </w:tcPr>
          <w:p>
            <w:pPr>
              <w:pStyle w:val="TableContents"/>
              <w:bidi w:val="0"/>
              <w:spacing w:before="0" w:after="283"/>
              <w:jc w:val="left"/>
              <w:rPr>
                <w:sz w:val="4"/>
                <w:szCs w:val="4"/>
              </w:rPr>
            </w:pPr>
            <w:r>
              <w:rPr>
                <w:sz w:val="4"/>
                <w:szCs w:val="4"/>
              </w:rPr>
            </w:r>
          </w:p>
        </w:tc>
        <w:tc>
          <w:tcPr>
            <w:tcW w:w="7097"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d.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ind w:left="1440" w:right="1440" w:hanging="0"/>
        <w:jc w:val="left"/>
        <w:rPr/>
      </w:pPr>
      <w:r>
        <w:rPr>
          <w:color w:val="000000"/>
        </w:rPr>
        <w:t> </w:t>
      </w:r>
      <w:r>
        <w:rPr/>
        <w:t xml:space="preserve"> </w:t>
      </w:r>
    </w:p>
    <w:tbl>
      <w:tblPr>
        <w:tblW w:w="7325" w:type="dxa"/>
        <w:jc w:val="left"/>
        <w:tblInd w:w="1440" w:type="dxa"/>
        <w:tblLayout w:type="fixed"/>
        <w:tblCellMar>
          <w:top w:w="0" w:type="dxa"/>
          <w:left w:w="0" w:type="dxa"/>
          <w:bottom w:w="0" w:type="dxa"/>
          <w:right w:w="0" w:type="dxa"/>
        </w:tblCellMar>
      </w:tblPr>
      <w:tblGrid>
        <w:gridCol w:w="38"/>
        <w:gridCol w:w="191"/>
        <w:gridCol w:w="23"/>
        <w:gridCol w:w="7073"/>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7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3970" w:type="dxa"/>
        <w:jc w:val="left"/>
        <w:tblInd w:w="1440" w:type="dxa"/>
        <w:tblLayout w:type="fixed"/>
        <w:tblCellMar>
          <w:top w:w="0" w:type="dxa"/>
          <w:left w:w="0" w:type="dxa"/>
          <w:bottom w:w="0" w:type="dxa"/>
          <w:right w:w="0" w:type="dxa"/>
        </w:tblCellMar>
      </w:tblPr>
      <w:tblGrid>
        <w:gridCol w:w="2015"/>
        <w:gridCol w:w="1955"/>
      </w:tblGrid>
      <w:tr>
        <w:trPr/>
        <w:tc>
          <w:tcPr>
            <w:tcW w:w="2015" w:type="dxa"/>
            <w:tcBorders/>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1955" w:type="dxa"/>
            <w:tcBorders/>
          </w:tcPr>
          <w:p>
            <w:pPr>
              <w:pStyle w:val="TableContents"/>
              <w:bidi w:val="0"/>
              <w:spacing w:lineRule="auto" w:line="240" w:before="0" w:after="0"/>
              <w:ind w:left="0" w:right="0" w:hanging="0"/>
              <w:jc w:val="left"/>
              <w:rPr/>
            </w:pPr>
            <w:r>
              <w:rPr/>
              <w:t> </w:t>
            </w:r>
          </w:p>
        </w:tc>
      </w:tr>
      <w:tr>
        <w:trPr/>
        <w:tc>
          <w:tcPr>
            <w:tcW w:w="201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Date: November 7, 2024</w:t>
            </w:r>
          </w:p>
        </w:tc>
        <w:tc>
          <w:tcPr>
            <w:tcW w:w="195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MARK B. DAVIS</w:t>
            </w:r>
          </w:p>
        </w:tc>
      </w:tr>
      <w:tr>
        <w:trPr/>
        <w:tc>
          <w:tcPr>
            <w:tcW w:w="2015"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195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2015"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195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Mark B. Davis,</w:t>
            </w:r>
          </w:p>
        </w:tc>
      </w:tr>
      <w:tr>
        <w:trPr/>
        <w:tc>
          <w:tcPr>
            <w:tcW w:w="2015" w:type="dxa"/>
            <w:tcBorders/>
          </w:tcPr>
          <w:p>
            <w:pPr>
              <w:pStyle w:val="TableContents"/>
              <w:bidi w:val="0"/>
              <w:spacing w:lineRule="auto" w:line="240" w:before="0" w:after="0"/>
              <w:ind w:left="0" w:right="0" w:hanging="0"/>
              <w:jc w:val="left"/>
              <w:rPr>
                <w:rFonts w:cs="Times New Roman"/>
                <w:iCs/>
                <w:color w:val="000000"/>
                <w:szCs w:val="20"/>
              </w:rPr>
            </w:pPr>
            <w:r>
              <w:rPr>
                <w:rFonts w:cs="Times New Roman"/>
                <w:iCs/>
                <w:color w:val="000000"/>
                <w:szCs w:val="20"/>
              </w:rPr>
              <w:t>﻿</w:t>
            </w:r>
          </w:p>
        </w:tc>
        <w:tc>
          <w:tcPr>
            <w:tcW w:w="1955" w:type="dxa"/>
            <w:tcBorders/>
          </w:tcPr>
          <w:p>
            <w:pPr>
              <w:pStyle w:val="TableContents"/>
              <w:bidi w:val="0"/>
              <w:spacing w:lineRule="auto" w:line="240" w:before="0" w:after="0"/>
              <w:ind w:left="0" w:right="0" w:hanging="0"/>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0"/>
        </w:rPr>
      </w:pPr>
      <w:bookmarkStart w:id="46" w:name="ttsh-20240930xex32_1.htm"/>
      <w:bookmarkStart w:id="47" w:name="ksttsh20240930xex32_1"/>
      <w:bookmarkEnd w:id="46"/>
      <w:bookmarkEnd w:id="47"/>
      <w:r>
        <w:rPr>
          <w:rFonts w:ascii="Times New Roman" w:hAnsi="Times New Roman"/>
          <w:b/>
          <w:sz w:val="20"/>
        </w:rPr>
        <w:t>Exhibit 32.1</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Certification Pursuant to 18 U.S.C. Section 1350, as Adopted Pursuant to Section 906</w:t>
      </w:r>
      <w:r>
        <w:rPr>
          <w:rFonts w:ascii="Times New Roman" w:hAnsi="Times New Roman"/>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of the Sarbanes-Oxley Act of 2002</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Pursuant to 18 U.S.C. §1350 (as adopted pursuant to §906 of the Sarbanes-Oxley Act of 2002), I, Cabell H. Lolmaugh, the Chief Executive Officer of Tile Shop Holdings, Inc. (the “Company”), hereby certify that the Quarterly Report on Form 10-Q of the Company for the period ended September  30, 2024 (“the Report”) fully complies with the requirements of section 13(a) or 15(d) of the Securities Exchange Act of 1934 and that information contained in the Report fairly presents, in all material respects, the financial condition and results of operations of the Company.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 or its staff upon request.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4420" w:type="dxa"/>
        <w:jc w:val="left"/>
        <w:tblInd w:w="1440" w:type="dxa"/>
        <w:tblLayout w:type="fixed"/>
        <w:tblCellMar>
          <w:top w:w="0" w:type="dxa"/>
          <w:left w:w="0" w:type="dxa"/>
          <w:bottom w:w="0" w:type="dxa"/>
          <w:right w:w="0" w:type="dxa"/>
        </w:tblCellMar>
      </w:tblPr>
      <w:tblGrid>
        <w:gridCol w:w="2015"/>
        <w:gridCol w:w="2405"/>
      </w:tblGrid>
      <w:tr>
        <w:trPr/>
        <w:tc>
          <w:tcPr>
            <w:tcW w:w="2015" w:type="dxa"/>
            <w:tcBorders/>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2405" w:type="dxa"/>
            <w:tcBorders/>
          </w:tcPr>
          <w:p>
            <w:pPr>
              <w:pStyle w:val="TableContents"/>
              <w:bidi w:val="0"/>
              <w:spacing w:lineRule="auto" w:line="240" w:before="0" w:after="0"/>
              <w:ind w:left="0" w:right="0" w:hanging="0"/>
              <w:jc w:val="left"/>
              <w:rPr/>
            </w:pPr>
            <w:r>
              <w:rPr/>
              <w:t> </w:t>
            </w:r>
          </w:p>
        </w:tc>
      </w:tr>
      <w:tr>
        <w:trPr/>
        <w:tc>
          <w:tcPr>
            <w:tcW w:w="201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Date: November 7, 2024</w:t>
            </w:r>
          </w:p>
        </w:tc>
        <w:tc>
          <w:tcPr>
            <w:tcW w:w="240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/s/ CABELL H. LOLMAUGH</w:t>
            </w:r>
          </w:p>
        </w:tc>
      </w:tr>
      <w:tr>
        <w:trPr/>
        <w:tc>
          <w:tcPr>
            <w:tcW w:w="2015"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240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2015"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240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Cabell H. Lolmaugh</w:t>
            </w:r>
          </w:p>
        </w:tc>
      </w:tr>
      <w:tr>
        <w:trPr/>
        <w:tc>
          <w:tcPr>
            <w:tcW w:w="2015" w:type="dxa"/>
            <w:tcBorders/>
          </w:tcPr>
          <w:p>
            <w:pPr>
              <w:pStyle w:val="TableContents"/>
              <w:bidi w:val="0"/>
              <w:spacing w:lineRule="auto" w:line="240" w:before="0" w:after="0"/>
              <w:ind w:left="0" w:right="0" w:hanging="0"/>
              <w:jc w:val="left"/>
              <w:rPr>
                <w:rFonts w:cs="Times New Roman"/>
                <w:iCs/>
                <w:szCs w:val="20"/>
              </w:rPr>
            </w:pPr>
            <w:r>
              <w:rPr>
                <w:rFonts w:cs="Times New Roman"/>
                <w:iCs/>
                <w:szCs w:val="20"/>
              </w:rPr>
              <w:t>﻿</w:t>
            </w:r>
          </w:p>
        </w:tc>
        <w:tc>
          <w:tcPr>
            <w:tcW w:w="240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i/>
                <w:sz w:val="20"/>
              </w:rPr>
              <w:t>Chief</w:t>
            </w:r>
            <w:r>
              <w:rPr>
                <w:rFonts w:ascii="Times New Roman" w:hAnsi="Times New Roman"/>
                <w:sz w:val="20"/>
              </w:rPr>
              <w:t> </w:t>
            </w:r>
            <w:r>
              <w:rPr>
                <w:rFonts w:ascii="Times New Roman" w:hAnsi="Times New Roman"/>
                <w:i/>
                <w:sz w:val="20"/>
              </w:rPr>
              <w:t>Executive</w:t>
            </w:r>
            <w:r>
              <w:rPr>
                <w:rFonts w:ascii="Times New Roman" w:hAnsi="Times New Roman"/>
                <w:sz w:val="20"/>
              </w:rPr>
              <w:t> </w:t>
            </w:r>
            <w:r>
              <w:rPr>
                <w:rFonts w:ascii="Times New Roman" w:hAnsi="Times New Roman"/>
                <w:i/>
                <w:sz w:val="20"/>
              </w:rPr>
              <w:t>Officer</w:t>
            </w:r>
          </w:p>
        </w:tc>
      </w:tr>
    </w:tbl>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0"/>
        </w:rPr>
      </w:pPr>
      <w:bookmarkStart w:id="48" w:name="ttsh-20240930xex32_2.htm"/>
      <w:bookmarkStart w:id="49" w:name="ksttsh20240930xex32_2"/>
      <w:bookmarkEnd w:id="48"/>
      <w:bookmarkEnd w:id="49"/>
      <w:r>
        <w:rPr>
          <w:rFonts w:ascii="Times New Roman" w:hAnsi="Times New Roman"/>
          <w:b/>
          <w:sz w:val="20"/>
        </w:rPr>
        <w:t>Exhibit 32.2</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Certification Pursuant to 18 U.S.C. Section 1350, as Adopted Pursuant to Section 906</w:t>
      </w:r>
      <w:r>
        <w:rPr>
          <w:rFonts w:ascii="Times New Roman" w:hAnsi="Times New Roman"/>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of the Sarbanes-Oxley Act of 2002</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Pursuant to 18 U.S.C. §1350 (as adopted pursuant to §906 of the Sarbanes-Oxley Act of 2002), I, Mark B. Davis, the Chief Financial Officer of Tile Shop Holdings, Inc. (the “Company”), hereby certify that the Quarterly Report on Form 10-Q of the Company for the period ended September  30, 2024 (“the Report”) fully complies with the requirements of section 13(a) or 15(d) of the Securities Exchange Act of 1934 and that information contained in the Report fairly presents, in all material respects, the financial condition and results of operations of the Company.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 or its staff upon request.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3970" w:type="dxa"/>
        <w:jc w:val="left"/>
        <w:tblInd w:w="1440" w:type="dxa"/>
        <w:tblLayout w:type="fixed"/>
        <w:tblCellMar>
          <w:top w:w="0" w:type="dxa"/>
          <w:left w:w="0" w:type="dxa"/>
          <w:bottom w:w="0" w:type="dxa"/>
          <w:right w:w="0" w:type="dxa"/>
        </w:tblCellMar>
      </w:tblPr>
      <w:tblGrid>
        <w:gridCol w:w="2015"/>
        <w:gridCol w:w="1955"/>
      </w:tblGrid>
      <w:tr>
        <w:trPr/>
        <w:tc>
          <w:tcPr>
            <w:tcW w:w="2015" w:type="dxa"/>
            <w:tcBorders/>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1955" w:type="dxa"/>
            <w:tcBorders/>
          </w:tcPr>
          <w:p>
            <w:pPr>
              <w:pStyle w:val="TableContents"/>
              <w:bidi w:val="0"/>
              <w:spacing w:lineRule="auto" w:line="240" w:before="0" w:after="0"/>
              <w:ind w:left="0" w:right="0" w:hanging="0"/>
              <w:jc w:val="left"/>
              <w:rPr/>
            </w:pPr>
            <w:r>
              <w:rPr/>
              <w:t> </w:t>
            </w:r>
          </w:p>
        </w:tc>
      </w:tr>
      <w:tr>
        <w:trPr/>
        <w:tc>
          <w:tcPr>
            <w:tcW w:w="201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Date: November 7, 2024</w:t>
            </w:r>
          </w:p>
        </w:tc>
        <w:tc>
          <w:tcPr>
            <w:tcW w:w="195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/s/ MARK B. DAVIS</w:t>
            </w:r>
          </w:p>
        </w:tc>
      </w:tr>
      <w:tr>
        <w:trPr/>
        <w:tc>
          <w:tcPr>
            <w:tcW w:w="2015"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195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2015"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195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Mark B. Davis</w:t>
            </w:r>
          </w:p>
        </w:tc>
      </w:tr>
      <w:tr>
        <w:trPr/>
        <w:tc>
          <w:tcPr>
            <w:tcW w:w="2015" w:type="dxa"/>
            <w:tcBorders/>
          </w:tcPr>
          <w:p>
            <w:pPr>
              <w:pStyle w:val="TableContents"/>
              <w:bidi w:val="0"/>
              <w:spacing w:lineRule="auto" w:line="240" w:before="0" w:after="0"/>
              <w:ind w:left="0" w:right="0" w:hanging="0"/>
              <w:jc w:val="left"/>
              <w:rPr>
                <w:rFonts w:cs="Times New Roman"/>
                <w:iCs/>
                <w:szCs w:val="20"/>
              </w:rPr>
            </w:pPr>
            <w:r>
              <w:rPr>
                <w:rFonts w:cs="Times New Roman"/>
                <w:iCs/>
                <w:szCs w:val="20"/>
              </w:rPr>
              <w:t>﻿</w:t>
            </w:r>
          </w:p>
        </w:tc>
        <w:tc>
          <w:tcPr>
            <w:tcW w:w="1955" w:type="dxa"/>
            <w:tcBorders/>
          </w:tcPr>
          <w:p>
            <w:pPr>
              <w:pStyle w:val="TableContents"/>
              <w:bidi w:val="0"/>
              <w:spacing w:lineRule="auto" w:line="240" w:before="0" w:after="0"/>
              <w:ind w:left="0" w:right="0" w:hanging="0"/>
              <w:jc w:val="left"/>
              <w:rPr>
                <w:rFonts w:ascii="Times New Roman" w:hAnsi="Times New Roman"/>
                <w:i/>
                <w:sz w:val="20"/>
              </w:rPr>
            </w:pPr>
            <w:r>
              <w:rPr>
                <w:rFonts w:ascii="Times New Roman" w:hAnsi="Times New Roman"/>
                <w:i/>
                <w:sz w:val="20"/>
              </w:rPr>
              <w:t>Chief Financial Officer</w:t>
            </w:r>
          </w:p>
        </w:tc>
      </w:tr>
    </w:tbl>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HorizontalLine"/>
        <w:pBdr>
          <w:bottom w:val="double" w:sz="6" w:space="0" w:color="808080"/>
        </w:pBdr>
        <w:bidi w:val="0"/>
        <w:spacing w:before="0" w:after="283"/>
        <w:ind w:left="1440" w:right="14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charset w:val="02"/>
    <w:family w:val="auto"/>
    <w:pitch w:val="default"/>
  </w:font>
  <w:font w:name="Cambria Math">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52800/000114420412037509/v316486_ex3-1.htm" TargetMode="External"/><Relationship Id="rId3" Type="http://schemas.openxmlformats.org/officeDocument/2006/relationships/hyperlink" Target="http://www.sec.gov/Archives/edgar/data/1552800/000114420412037509/v316486_ex3-1.htm" TargetMode="External"/><Relationship Id="rId4" Type="http://schemas.openxmlformats.org/officeDocument/2006/relationships/hyperlink" Target="http://www.sec.gov/Archives/edgar/data/1552800/000110465921094416/tm2122262d1_ex3-2.htm" TargetMode="External"/><Relationship Id="rId5" Type="http://schemas.openxmlformats.org/officeDocument/2006/relationships/hyperlink" Target="http://www.sec.gov/Archives/edgar/data/1552800/000110465921094416/tm2122262d1_ex3-2.htm" TargetMode="External"/><Relationship Id="rId6" Type="http://schemas.openxmlformats.org/officeDocument/2006/relationships/hyperlink" Target="http://www.sec.gov/Archives/edgar/data/1552800/000114420412037509/v316486_ex3-2.htm" TargetMode="External"/><Relationship Id="rId7" Type="http://schemas.openxmlformats.org/officeDocument/2006/relationships/hyperlink" Target="http://www.sec.gov/Archives/edgar/data/1552800/000114420412037509/v316486_ex3-2.htm" TargetMode="External"/><Relationship Id="rId8" Type="http://schemas.openxmlformats.org/officeDocument/2006/relationships/hyperlink" Target="http://www.sec.gov/Archives/edgar/data/1552800/000155280024000012/ttsh-20240630xex10_1.htm" TargetMode="External"/><Relationship Id="rId9" Type="http://schemas.openxmlformats.org/officeDocument/2006/relationships/hyperlink" Target="http://www.sec.gov/Archives/edgar/data/1552800/000155280024000012/ttsh-20240630xex10_1.htm" TargetMode="External"/><Relationship Id="rId10" Type="http://schemas.openxmlformats.org/officeDocument/2006/relationships/hyperlink" Target="http://www.sec.gov/Archives/edgar/data/1552800/000155280024000012/ttsh-20240630xex10_2.htm" TargetMode="External"/><Relationship Id="rId11" Type="http://schemas.openxmlformats.org/officeDocument/2006/relationships/hyperlink" Target="http://www.sec.gov/Archives/edgar/data/1552800/000155280024000012/ttsh-20240630xex10_2.htm" TargetMode="External"/><Relationship Id="rId12" Type="http://schemas.openxmlformats.org/officeDocument/2006/relationships/hyperlink" Target="http://www.sec.gov/Archives/edgar/data/1552800/000155280024000012/ttsh-20240630xex10_3.htm" TargetMode="External"/><Relationship Id="rId13" Type="http://schemas.openxmlformats.org/officeDocument/2006/relationships/hyperlink" Target="http://www.sec.gov/Archives/edgar/data/1552800/000155280024000012/ttsh-20240630xex10_3.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13544</Words>
  <Characters>74079</Characters>
  <CharactersWithSpaces>86077</CharactersWithSpaces>
  <Paragraphs>1833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