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ttsh-20230630x10q.htm"/>
      <w:bookmarkStart w:id="1" w:name="ksttsh20230630x10q"/>
      <w:bookmarkEnd w:id="0"/>
      <w:bookmarkEnd w:id="1"/>
      <w:r>
        <w:rPr>
          <w:caps w:val="false"/>
          <w:smallCaps w:val="false"/>
        </w:rPr>
        <w:t> </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SECURITIES AND EXCHANGE COMMISSION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996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June 30, 2023</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 xml:space="preserve">For the transition period from – to –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TILE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tbl>
      <w:tblPr>
        <w:tblW w:w="8372" w:type="dxa"/>
        <w:jc w:val="left"/>
        <w:tblInd w:w="0" w:type="dxa"/>
        <w:tblLayout w:type="fixed"/>
        <w:tblCellMar>
          <w:top w:w="0" w:type="dxa"/>
          <w:left w:w="0" w:type="dxa"/>
          <w:bottom w:w="0" w:type="dxa"/>
          <w:right w:w="0" w:type="dxa"/>
        </w:tblCellMar>
      </w:tblPr>
      <w:tblGrid>
        <w:gridCol w:w="5236"/>
        <w:gridCol w:w="3136"/>
      </w:tblGrid>
      <w:tr>
        <w:trPr/>
        <w:tc>
          <w:tcPr>
            <w:tcW w:w="52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Delaware</w:t>
            </w:r>
            <w:r>
              <w:rPr>
                <w:rFonts w:ascii="Times New Roman;serif" w:hAnsi="Times New Roman;serif"/>
                <w:caps w:val="false"/>
                <w:smallCaps w:val="false"/>
                <w:sz w:val="20"/>
              </w:rPr>
              <w:t>  </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52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 of incorporation or organization)</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 Identification No.)</w:t>
            </w:r>
          </w:p>
        </w:tc>
      </w:tr>
    </w:tbl>
    <w:tbl>
      <w:tblPr>
        <w:tblW w:w="4517" w:type="dxa"/>
        <w:jc w:val="left"/>
        <w:tblInd w:w="0" w:type="dxa"/>
        <w:tblLayout w:type="fixed"/>
        <w:tblCellMar>
          <w:top w:w="0" w:type="dxa"/>
          <w:left w:w="0" w:type="dxa"/>
          <w:bottom w:w="0" w:type="dxa"/>
          <w:right w:w="0" w:type="dxa"/>
        </w:tblCellMar>
      </w:tblPr>
      <w:tblGrid>
        <w:gridCol w:w="3466"/>
        <w:gridCol w:w="1051"/>
      </w:tblGrid>
      <w:tr>
        <w:trPr/>
        <w:tc>
          <w:tcPr>
            <w:tcW w:w="34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14000 Carlson Parkway</w:t>
            </w:r>
          </w:p>
        </w:tc>
        <w:tc>
          <w:tcPr>
            <w:tcW w:w="105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346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55441</w:t>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(763) 852-2950</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(Registrant’s telephone number, including area code)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Section 12(b) of the Act:</w:t>
      </w:r>
    </w:p>
    <w:tbl>
      <w:tblPr>
        <w:tblW w:w="7968" w:type="dxa"/>
        <w:jc w:val="left"/>
        <w:tblInd w:w="0" w:type="dxa"/>
        <w:tblLayout w:type="fixed"/>
        <w:tblCellMar>
          <w:top w:w="0" w:type="dxa"/>
          <w:left w:w="0" w:type="dxa"/>
          <w:bottom w:w="0" w:type="dxa"/>
          <w:right w:w="0" w:type="dxa"/>
        </w:tblCellMar>
      </w:tblPr>
      <w:tblGrid>
        <w:gridCol w:w="2641"/>
        <w:gridCol w:w="1621"/>
        <w:gridCol w:w="3706"/>
      </w:tblGrid>
      <w:tr>
        <w:trPr/>
        <w:tc>
          <w:tcPr>
            <w:tcW w:w="26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264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 $0.0001 par value</w:t>
            </w:r>
          </w:p>
        </w:tc>
        <w:tc>
          <w:tcPr>
            <w:tcW w:w="162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TTSH</w:t>
            </w:r>
          </w:p>
        </w:tc>
        <w:tc>
          <w:tcPr>
            <w:tcW w:w="370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i w:val="false"/>
                <w:caps w:val="false"/>
                <w:smallCaps w:val="false"/>
                <w:sz w:val="16"/>
              </w:rPr>
              <w:t>Stock Market LLC</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2237" w:type="dxa"/>
            <w:gridSpan w:val="2"/>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Emerging growth company</w:t>
            </w:r>
          </w:p>
        </w:tc>
        <w:tc>
          <w:tcPr>
            <w:tcW w:w="361" w:type="dxa"/>
            <w:tcBorders/>
            <w:vAlign w:val="center"/>
          </w:tcPr>
          <w:p>
            <w:pPr>
              <w:pStyle w:val="TableContents"/>
              <w:bidi w:val="0"/>
              <w:spacing w:lineRule="auto" w:line="259" w:before="0" w:after="283"/>
              <w:jc w:val="left"/>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August 1, 2023, there were 44,561,554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registrant’s common stock, par value $0.0001 per share, outstanding.</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w:t>
      </w:r>
      <w:bookmarkStart w:id="2" w:name="TableOfContents"/>
      <w:bookmarkEnd w:id="2"/>
      <w:r>
        <w:rPr>
          <w:rFonts w:ascii="Times New Roman;serif" w:hAnsi="Times New Roman;serif"/>
          <w:b/>
          <w:i w:val="false"/>
          <w:caps w:val="false"/>
          <w:smallCaps w:val="false"/>
          <w:sz w:val="20"/>
        </w:rPr>
        <w:t>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9502" w:type="dxa"/>
        <w:jc w:val="left"/>
        <w:tblInd w:w="0" w:type="dxa"/>
        <w:tblLayout w:type="fixed"/>
        <w:tblCellMar>
          <w:top w:w="0" w:type="dxa"/>
          <w:left w:w="0" w:type="dxa"/>
          <w:bottom w:w="0" w:type="dxa"/>
          <w:right w:w="0" w:type="dxa"/>
        </w:tblCellMar>
      </w:tblPr>
      <w:tblGrid>
        <w:gridCol w:w="811"/>
        <w:gridCol w:w="8011"/>
        <w:gridCol w:w="109"/>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80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80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Page</w:t>
            </w:r>
          </w:p>
        </w:tc>
      </w:tr>
      <w:tr>
        <w:trPr/>
        <w:tc>
          <w:tcPr>
            <w:tcW w:w="8822" w:type="dxa"/>
            <w:gridSpan w:val="2"/>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563C1"/>
                  <w:sz w:val="20"/>
                  <w:u w:val="single"/>
                </w:rPr>
                <w:t>PART I. FINANCIAL INFORMATION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color w:val="0563C1"/>
                  <w:sz w:val="20"/>
                  <w:u w:val="single"/>
                </w:rPr>
                <w:t>Item 1.</w:t>
              </w:r>
            </w:hyperlink>
          </w:p>
        </w:tc>
        <w:tc>
          <w:tcPr>
            <w:tcW w:w="8011"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563C1"/>
                  <w:sz w:val="20"/>
                  <w:u w:val="single"/>
                  <w:effect w:val="none"/>
                </w:rPr>
                <w:t>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8011"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Balance Sheets </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8011" w:type="dxa"/>
            <w:tcBorders/>
            <w:shd w:fill="CCEEFF" w:val="clear"/>
            <w:vAlign w:val="center"/>
          </w:tcPr>
          <w:p>
            <w:pPr>
              <w:pStyle w:val="TableContents"/>
              <w:bidi w:val="0"/>
              <w:spacing w:lineRule="auto" w:line="259" w:before="0" w:after="283"/>
              <w:jc w:val="left"/>
              <w:rPr/>
            </w:pPr>
            <w:hyperlink w:anchor="CI">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Comprehensive Income</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81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8011"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Cash Flows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81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563C1"/>
                  <w:sz w:val="20"/>
                  <w:u w:val="single"/>
                  <w:effect w:val="non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8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80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Management’s Discussion and Analysis of Financial Condition and Results of Operations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r>
      <w:tr>
        <w:trPr/>
        <w:tc>
          <w:tcPr>
            <w:tcW w:w="811"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8011"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80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Controls and Procedures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822" w:type="dxa"/>
            <w:gridSpan w:val="2"/>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563C1"/>
                  <w:sz w:val="20"/>
                  <w:u w:val="single"/>
                  <w:effect w:val="non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Item 1.</w:t>
              </w:r>
            </w:hyperlink>
          </w:p>
        </w:tc>
        <w:tc>
          <w:tcPr>
            <w:tcW w:w="80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Legal Proceedings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Item 1A.</w:t>
              </w:r>
            </w:hyperlink>
          </w:p>
        </w:tc>
        <w:tc>
          <w:tcPr>
            <w:tcW w:w="8011"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80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Unregistered Sales of Equity Securities, Use of Proceeds, and Issuer Purchases of Equity Securities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8011"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80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Mine Safety Disclosures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Item 5.</w:t>
              </w:r>
            </w:hyperlink>
          </w:p>
        </w:tc>
        <w:tc>
          <w:tcPr>
            <w:tcW w:w="801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Item 6.</w:t>
              </w:r>
            </w:hyperlink>
          </w:p>
        </w:tc>
        <w:tc>
          <w:tcPr>
            <w:tcW w:w="80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Exhibits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r>
        <w:trPr/>
        <w:tc>
          <w:tcPr>
            <w:tcW w:w="8822" w:type="dxa"/>
            <w:gridSpan w:val="2"/>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0"/>
                  <w:u w:val="single"/>
                  <w:effect w:val="non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 w:name="_contentSection_f6d62fdb_2fd5_4672_b950_"/>
      <w:bookmarkEnd w:id="3"/>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 w:name="FinancialStatements"/>
      <w:bookmarkStart w:id="5" w:name="FS"/>
      <w:bookmarkEnd w:id="4"/>
      <w:bookmarkEnd w:id="5"/>
      <w:r>
        <w:rPr>
          <w:rFonts w:ascii="Times New Roman;serif" w:hAnsi="Times New Roman;serif"/>
          <w:b/>
          <w:i w:val="false"/>
          <w:caps w:val="false"/>
          <w:smallCaps w:val="false"/>
          <w:sz w:val="20"/>
        </w:rPr>
        <w: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Tile S</w:t>
      </w:r>
      <w:bookmarkStart w:id="6" w:name="BS"/>
      <w:bookmarkEnd w:id="6"/>
      <w:r>
        <w:rPr>
          <w:rFonts w:ascii="Times New Roman;serif" w:hAnsi="Times New Roman;serif"/>
          <w:b/>
          <w:i w:val="false"/>
          <w:caps w:val="false"/>
          <w:smallCaps w:val="false"/>
          <w:sz w:val="20"/>
        </w:rPr>
        <w:t>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tbl>
      <w:tblPr>
        <w:tblW w:w="10205" w:type="dxa"/>
        <w:jc w:val="left"/>
        <w:tblInd w:w="0" w:type="dxa"/>
        <w:tblLayout w:type="fixed"/>
        <w:tblCellMar>
          <w:top w:w="0" w:type="dxa"/>
          <w:left w:w="0" w:type="dxa"/>
          <w:bottom w:w="0" w:type="dxa"/>
          <w:right w:w="0" w:type="dxa"/>
        </w:tblCellMar>
      </w:tblPr>
      <w:tblGrid>
        <w:gridCol w:w="7780"/>
        <w:gridCol w:w="109"/>
        <w:gridCol w:w="216"/>
        <w:gridCol w:w="811"/>
        <w:gridCol w:w="109"/>
        <w:gridCol w:w="236"/>
        <w:gridCol w:w="944"/>
      </w:tblGrid>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6"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before="0" w:after="283"/>
              <w:jc w:val="left"/>
              <w:rPr>
                <w:sz w:val="4"/>
                <w:szCs w:val="4"/>
              </w:rPr>
            </w:pPr>
            <w:r>
              <w:rPr>
                <w:sz w:val="4"/>
                <w:szCs w:val="4"/>
              </w:rPr>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6"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before="0" w:after="283"/>
              <w:jc w:val="left"/>
              <w:rPr>
                <w:sz w:val="4"/>
                <w:szCs w:val="4"/>
              </w:rPr>
            </w:pPr>
            <w:r>
              <w:rPr>
                <w:sz w:val="4"/>
                <w:szCs w:val="4"/>
              </w:rPr>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7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(audited)</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5,948</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3,411</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106,862</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120,952</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3,859</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9,007</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10,422</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146,403</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66,938</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71,095</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 of use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118,501</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4,530</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6,536</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3,287</w:t>
            </w:r>
          </w:p>
        </w:tc>
      </w:tr>
      <w:tr>
        <w:trPr/>
        <w:tc>
          <w:tcPr>
            <w:tcW w:w="77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325,439</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345,822</w:t>
            </w:r>
          </w:p>
        </w:tc>
      </w:tr>
      <w:tr>
        <w:trPr/>
        <w:tc>
          <w:tcPr>
            <w:tcW w:w="7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4"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Stockholders&amp;apos; Equity</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24,385</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23,506</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27,411</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27,866</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31,916</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85,526</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83,291</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45,400</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Long-term lease liability, net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98,845</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103,353</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5,009</w:t>
            </w:r>
          </w:p>
        </w:tc>
      </w:tr>
      <w:tr>
        <w:trPr/>
        <w:tc>
          <w:tcPr>
            <w:tcW w:w="77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208,850</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237,053</w:t>
            </w:r>
          </w:p>
        </w:tc>
      </w:tr>
      <w:tr>
        <w:trPr/>
        <w:tc>
          <w:tcPr>
            <w:tcW w:w="7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par value $0.0001; authorized: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44,567,055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44,377,445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respectively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78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Preferred stock, par value $0.0001; authorized: 10,000,000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127,997</w:t>
            </w:r>
          </w:p>
        </w:tc>
      </w:tr>
      <w:tr>
        <w:trPr/>
        <w:tc>
          <w:tcPr>
            <w:tcW w:w="77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(11,589)</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(19,180)</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r>
      <w:tr>
        <w:trPr/>
        <w:tc>
          <w:tcPr>
            <w:tcW w:w="77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Stockholders&amp;apos; Equity</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116,589</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108,769</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Stockholders&amp;apos;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325,439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345,822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w:t>
      </w:r>
      <w:bookmarkStart w:id="7" w:name="IS"/>
      <w:bookmarkEnd w:id="7"/>
      <w:r>
        <w:rPr>
          <w:rFonts w:ascii="Times New Roman;serif" w:hAnsi="Times New Roman;serif"/>
          <w:b/>
          <w:i w:val="false"/>
          <w:caps w:val="false"/>
          <w:smallCaps w:val="false"/>
          <w:sz w:val="20"/>
        </w:rPr>
        <w: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9205" w:type="dxa"/>
        <w:jc w:val="left"/>
        <w:tblInd w:w="0" w:type="dxa"/>
        <w:tblLayout w:type="fixed"/>
        <w:tblCellMar>
          <w:top w:w="0" w:type="dxa"/>
          <w:left w:w="0" w:type="dxa"/>
          <w:bottom w:w="0" w:type="dxa"/>
          <w:right w:w="0" w:type="dxa"/>
        </w:tblCellMar>
      </w:tblPr>
      <w:tblGrid>
        <w:gridCol w:w="3736"/>
        <w:gridCol w:w="109"/>
        <w:gridCol w:w="211"/>
        <w:gridCol w:w="1036"/>
        <w:gridCol w:w="109"/>
        <w:gridCol w:w="211"/>
        <w:gridCol w:w="1036"/>
        <w:gridCol w:w="109"/>
        <w:gridCol w:w="211"/>
        <w:gridCol w:w="1036"/>
        <w:gridCol w:w="109"/>
        <w:gridCol w:w="211"/>
        <w:gridCol w:w="108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210,075</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35,255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72,212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137,863</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55,568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61,240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116,981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123,349</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14,514</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(467)</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14,047</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(3,620)</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0.20</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43,363,374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50,890,063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43,300,962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50,802,423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43,508,221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51,253,543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43,465,235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51,214,607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8" w:name="_contentSection_fb74ad03_c2e9_48b4_8313_"/>
      <w:bookmarkEnd w:id="8"/>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9" w:name="CI"/>
      <w:bookmarkEnd w:id="9"/>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6586" w:type="dxa"/>
        <w:jc w:val="left"/>
        <w:tblInd w:w="0" w:type="dxa"/>
        <w:tblLayout w:type="fixed"/>
        <w:tblCellMar>
          <w:top w:w="0" w:type="dxa"/>
          <w:left w:w="0" w:type="dxa"/>
          <w:bottom w:w="0" w:type="dxa"/>
          <w:right w:w="0" w:type="dxa"/>
        </w:tblCellMar>
      </w:tblPr>
      <w:tblGrid>
        <w:gridCol w:w="2731"/>
        <w:gridCol w:w="109"/>
        <w:gridCol w:w="229"/>
        <w:gridCol w:w="619"/>
        <w:gridCol w:w="118"/>
        <w:gridCol w:w="229"/>
        <w:gridCol w:w="619"/>
        <w:gridCol w:w="109"/>
        <w:gridCol w:w="211"/>
        <w:gridCol w:w="571"/>
        <w:gridCol w:w="109"/>
        <w:gridCol w:w="211"/>
        <w:gridCol w:w="721"/>
      </w:tblGrid>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4"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4"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1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r>
      <w:tr>
        <w:trPr/>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Other comprehensive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r>
      <w:tr>
        <w:trPr/>
        <w:tc>
          <w:tcPr>
            <w:tcW w:w="27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5,043</w:t>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10,386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0" w:name="SE"/>
      <w:bookmarkEnd w:id="10"/>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2"/>
        <w:gridCol w:w="109"/>
        <w:gridCol w:w="1036"/>
        <w:gridCol w:w="109"/>
        <w:gridCol w:w="338"/>
        <w:gridCol w:w="338"/>
        <w:gridCol w:w="109"/>
        <w:gridCol w:w="211"/>
        <w:gridCol w:w="781"/>
        <w:gridCol w:w="109"/>
        <w:gridCol w:w="227"/>
        <w:gridCol w:w="794"/>
        <w:gridCol w:w="109"/>
        <w:gridCol w:w="415"/>
        <w:gridCol w:w="741"/>
        <w:gridCol w:w="109"/>
        <w:gridCol w:w="211"/>
        <w:gridCol w:w="827"/>
      </w:tblGrid>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52,112,567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126,805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125,624</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172,429</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52,270,922</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127,298</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5,714</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132,988</w:t>
            </w:r>
          </w:p>
        </w:tc>
      </w:tr>
      <w:tr>
        <w:trPr/>
        <w:tc>
          <w:tcPr>
            <w:tcW w:w="363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44,608,983</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127,975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(16,668)</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111,264</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(153,752)</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(3,928)</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44,567,055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116,589</w:t>
            </w:r>
          </w:p>
        </w:tc>
      </w:tr>
    </w:tbl>
    <w:p>
      <w:pPr>
        <w:pStyle w:val="TextBody"/>
        <w:bidi w:val="0"/>
        <w:spacing w:lineRule="auto" w:line="259"/>
        <w:rPr>
          <w:rFonts w:ascii="Times New Roman;serif" w:hAnsi="Times New Roman;serif"/>
          <w:b w:val="false"/>
          <w:i w:val="false"/>
          <w:caps w:val="false"/>
          <w:smallCaps w:val="false"/>
          <w:sz w:val="20"/>
        </w:rPr>
      </w:pPr>
      <w:bookmarkStart w:id="11" w:name="_Hlk109139678"/>
      <w:bookmarkEnd w:id="11"/>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2"/>
        <w:gridCol w:w="109"/>
        <w:gridCol w:w="1036"/>
        <w:gridCol w:w="109"/>
        <w:gridCol w:w="338"/>
        <w:gridCol w:w="338"/>
        <w:gridCol w:w="109"/>
        <w:gridCol w:w="211"/>
        <w:gridCol w:w="781"/>
        <w:gridCol w:w="109"/>
        <w:gridCol w:w="227"/>
        <w:gridCol w:w="794"/>
        <w:gridCol w:w="109"/>
        <w:gridCol w:w="415"/>
        <w:gridCol w:w="741"/>
        <w:gridCol w:w="109"/>
        <w:gridCol w:w="211"/>
        <w:gridCol w:w="827"/>
      </w:tblGrid>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51,963,377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122,224</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592,396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52,270,922</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127,298</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5,714</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132,988</w:t>
            </w:r>
          </w:p>
        </w:tc>
      </w:tr>
      <w:tr>
        <w:trPr/>
        <w:tc>
          <w:tcPr>
            <w:tcW w:w="363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44,377,445</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127,997</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(19,180)</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108,769</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(329,536)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706</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(92,008)</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44,567,055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116,589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bookmarkStart w:id="12" w:name="_contentSection_1e870f59_feb6_48b8_8b91_"/>
      <w:bookmarkEnd w:id="12"/>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13" w:name="CF"/>
      <w:bookmarkEnd w:id="13"/>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Cash Flows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138" w:type="dxa"/>
        <w:jc w:val="left"/>
        <w:tblInd w:w="0" w:type="dxa"/>
        <w:tblLayout w:type="fixed"/>
        <w:tblCellMar>
          <w:top w:w="0" w:type="dxa"/>
          <w:left w:w="0" w:type="dxa"/>
          <w:bottom w:w="0" w:type="dxa"/>
          <w:right w:w="0" w:type="dxa"/>
        </w:tblCellMar>
      </w:tblPr>
      <w:tblGrid>
        <w:gridCol w:w="7861"/>
        <w:gridCol w:w="109"/>
        <w:gridCol w:w="211"/>
        <w:gridCol w:w="796"/>
        <w:gridCol w:w="109"/>
        <w:gridCol w:w="211"/>
        <w:gridCol w:w="841"/>
      </w:tblGrid>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Adjustments to reconcile net income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debt issuance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on disposals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13,016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(12,864)</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(806)</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 /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(12,040)</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(7,361)</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(7,361)</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of 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Advances on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taxes paid for shares withheld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exchange rate changes on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cash equivalents and restricted cash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10,013</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11,161</w:t>
            </w:r>
          </w:p>
        </w:tc>
      </w:tr>
      <w:tr>
        <w:trPr/>
        <w:tc>
          <w:tcPr>
            <w:tcW w:w="78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10,506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11,161</w:t>
            </w:r>
          </w:p>
        </w:tc>
      </w:tr>
      <w:tr>
        <w:trPr/>
        <w:tc>
          <w:tcPr>
            <w:tcW w:w="78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(received) paid for income taxes,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4,836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w:t>
      </w:r>
      <w:bookmarkStart w:id="14" w:name="Notes"/>
      <w:bookmarkEnd w:id="14"/>
      <w:r>
        <w:rPr>
          <w:rFonts w:ascii="Times New Roman;serif" w:hAnsi="Times New Roman;serif"/>
          <w:b/>
          <w:i w:val="false"/>
          <w:caps w:val="false"/>
          <w:smallCaps w:val="false"/>
          <w:sz w:val="20"/>
        </w:rPr>
        <w:t>te 1: Background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Tile Shop Holdings, Inc. (“Holdings,” and together with its wholly owned subsidiaries, the “Company”) was incorporated in Delaware in June 2012.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specialty retailer of natural stone, man-made and luxury vinyl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2023, the Company had 143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The Company has distribution centers located in Michigan, New Jersey, Oklahoma, Virginia and Wisconsin. The Company also has a sourcing office located in China.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Cambria Math" w:hAnsi="Cambria Math"/>
          <w:b w:val="false"/>
          <w:i w:val="false"/>
          <w:caps w:val="false"/>
          <w:smallCaps w:val="false"/>
          <w:sz w:val="20"/>
        </w:rPr>
        <w:t>-</w:t>
      </w:r>
      <w:r>
        <w:rPr>
          <w:rFonts w:ascii="Times New Roman;serif" w:hAnsi="Times New Roman;serif"/>
          <w:b w:val="false"/>
          <w:i w:val="false"/>
          <w:caps w:val="false"/>
          <w:smallCaps w:val="false"/>
          <w:sz w:val="20"/>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2023 are not necessarily indicative of the results that may be expected for the fiscal year ending December 31,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statements should be read in conjunction with the Consolidated Financial Statements and footnotes included in the Company’s Annual Report on Form 10-K for the fiscal year ended December 31, 2022. The accounting policies used in preparing these Consolidated Financial Statements are the same as those described in Note 1 to the Consolidated Financial Statements in such Form 10-K.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Sales taxes are excluded from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7517" w:type="dxa"/>
        <w:jc w:val="left"/>
        <w:tblInd w:w="0" w:type="dxa"/>
        <w:tblLayout w:type="fixed"/>
        <w:tblCellMar>
          <w:top w:w="0" w:type="dxa"/>
          <w:left w:w="0" w:type="dxa"/>
          <w:bottom w:w="0" w:type="dxa"/>
          <w:right w:w="0" w:type="dxa"/>
        </w:tblCellMar>
      </w:tblPr>
      <w:tblGrid>
        <w:gridCol w:w="2911"/>
        <w:gridCol w:w="651"/>
        <w:gridCol w:w="419"/>
        <w:gridCol w:w="168"/>
        <w:gridCol w:w="651"/>
        <w:gridCol w:w="419"/>
        <w:gridCol w:w="109"/>
        <w:gridCol w:w="599"/>
        <w:gridCol w:w="386"/>
        <w:gridCol w:w="155"/>
        <w:gridCol w:w="599"/>
        <w:gridCol w:w="450"/>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450"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450"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230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six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230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6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5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Man-made tiles</w:t>
            </w:r>
            <w:r>
              <w:rPr>
                <w:rFonts w:ascii="Times New Roman;serif" w:hAnsi="Times New Roman;serif"/>
                <w:b w:val="false"/>
                <w:i w:val="false"/>
                <w:caps w:val="false"/>
                <w:smallCaps w:val="false"/>
                <w:position w:val="7"/>
                <w:sz w:val="16"/>
                <w:sz w:val="20"/>
              </w:rPr>
              <w:t>(1)</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c>
          <w:tcPr>
            <w:tcW w:w="45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450"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38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450"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450"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5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6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5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Man-made tile revenues include sales of luxury vinyl tile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Revenue recognized when an order is placed – If a customer places an order in a store and the contents of their order are available, the Company recognizes revenue concurrent with the exchange of goods for consideration from the customer.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June 30, 2023 and December 31, 2022, respectively. Revenues recognized during the six months ended June 30, 2023 that were included in the customer deposit balance as of the beginning of the period were $9.2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extends financing to qualified professional customers who apply for credit. Customers who qualify for an account receive 30-day payment terms. The accounts receivable balance was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r>
        <w:rPr>
          <w:rFonts w:ascii="Times New Roman;serif" w:hAnsi="Times New Roman;serif"/>
          <w:b w:val="false"/>
          <w:i w:val="false"/>
          <w:caps w:val="false"/>
          <w:smallCaps w:val="false"/>
          <w:color w:val="000000"/>
          <w:sz w:val="20"/>
        </w:rPr>
        <w:t>and $3.4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at June 30, 2023 and December 31, 2022, respectively.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expects that the customer will pay for the goods and services ordered within one year from the date the order is placed. Accordingly, the Company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June 30, 2023 and December 31, 2022 were as follows:</w:t>
      </w:r>
    </w:p>
    <w:tbl>
      <w:tblPr>
        <w:tblW w:w="4946" w:type="dxa"/>
        <w:jc w:val="left"/>
        <w:tblInd w:w="0" w:type="dxa"/>
        <w:tblLayout w:type="fixed"/>
        <w:tblCellMar>
          <w:top w:w="0" w:type="dxa"/>
          <w:left w:w="0" w:type="dxa"/>
          <w:bottom w:w="0" w:type="dxa"/>
          <w:right w:w="0" w:type="dxa"/>
        </w:tblCellMar>
      </w:tblPr>
      <w:tblGrid>
        <w:gridCol w:w="2686"/>
        <w:gridCol w:w="109"/>
        <w:gridCol w:w="211"/>
        <w:gridCol w:w="571"/>
        <w:gridCol w:w="109"/>
        <w:gridCol w:w="321"/>
        <w:gridCol w:w="939"/>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939"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51"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4,993</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1,565</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1,687</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Inventories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are stated at the lower of cost (determined using the moving average cost method) or net realizable value. Inventories consist primarily of merchandise held for sale. Inventories were comprised of the following as of June 30, 2023 and December 31, 2022:</w:t>
      </w:r>
    </w:p>
    <w:tbl>
      <w:tblPr>
        <w:tblW w:w="3836" w:type="dxa"/>
        <w:jc w:val="left"/>
        <w:tblInd w:w="0" w:type="dxa"/>
        <w:tblLayout w:type="fixed"/>
        <w:tblCellMar>
          <w:top w:w="0" w:type="dxa"/>
          <w:left w:w="0" w:type="dxa"/>
          <w:bottom w:w="0" w:type="dxa"/>
          <w:right w:w="0" w:type="dxa"/>
        </w:tblCellMar>
      </w:tblPr>
      <w:tblGrid>
        <w:gridCol w:w="1366"/>
        <w:gridCol w:w="109"/>
        <w:gridCol w:w="211"/>
        <w:gridCol w:w="781"/>
        <w:gridCol w:w="109"/>
        <w:gridCol w:w="256"/>
        <w:gridCol w:w="1004"/>
      </w:tblGrid>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004"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004"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61"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Finished goods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119,517</w:t>
            </w:r>
          </w:p>
        </w:tc>
      </w:tr>
      <w:tr>
        <w:trPr/>
        <w:tc>
          <w:tcPr>
            <w:tcW w:w="1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1,428</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1,435</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120,952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June 30, 2023 and December 31, 2022, respectively. </w:t>
      </w:r>
    </w:p>
    <w:p>
      <w:pPr>
        <w:pStyle w:val="TextBody"/>
        <w:bidi w:val="0"/>
        <w:spacing w:lineRule="auto" w:line="259"/>
        <w:rPr>
          <w:rFonts w:ascii="Times New Roman;serif" w:hAnsi="Times New Roman;serif"/>
          <w:b/>
          <w:i w:val="false"/>
          <w:caps w:val="false"/>
          <w:smallCaps w:val="false"/>
          <w:sz w:val="20"/>
        </w:rPr>
      </w:pPr>
      <w:bookmarkStart w:id="15" w:name="_Hlk116897468"/>
      <w:bookmarkEnd w:id="15"/>
      <w:r>
        <w:rPr>
          <w:rFonts w:ascii="Times New Roman;serif" w:hAnsi="Times New Roman;serif"/>
          <w:b/>
          <w:i w:val="false"/>
          <w:caps w:val="false"/>
          <w:smallCaps w:val="false"/>
          <w:sz w:val="20"/>
        </w:rPr>
        <w:t>Note 4: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provision for income taxes was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second quarter of 2023 and 2022, respectively. The decrease in income tax expense was primarily due to a decrease in pre-tax earnings during the second quarter of 2023 as compared to the second quarter of 2022. The Company’s effective tax rate for the three months ended June 30, 2023 and 2022 was 28.1% and 27.8%, respectively. The provision for income taxes was $2.8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the six months ended June 30, 2023 compared with the six months ended June 30, 2022. The decrease in income tax expense was primarily due to a decrease in pre-tax earnings. The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Company’s effective tax rate for the six months ended June 30, 2023 and 2022 was 27.0% and 25.8%, respectively. The increase in the effective tax rate during the six months ended June 30, 2023 when compared to June 30, 2022 was largely due to a decrease in the tax benefit associated with employee equity award vestings.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both June 30, 2023 and 2022, the Company had not recognized any liabilities for uncertain tax positions, nor had interest and penalties related to uncertain tax positions been accrued.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6" w:name="_contentSection_60a5fc31_33a6_4e18_9dcb_"/>
      <w:bookmarkEnd w:id="16"/>
      <w:r>
        <w:rPr>
          <w:rFonts w:ascii="Times New Roman;serif" w:hAnsi="Times New Roman;serif"/>
          <w:b/>
          <w:i w:val="false"/>
          <w:caps w:val="false"/>
          <w:smallCaps w:val="false"/>
          <w:sz w:val="20"/>
        </w:rPr>
        <w:t>Note 5: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and diluted earnings per share were calculated as follows: </w:t>
      </w:r>
    </w:p>
    <w:tbl>
      <w:tblPr>
        <w:tblW w:w="10205" w:type="dxa"/>
        <w:jc w:val="left"/>
        <w:tblInd w:w="0" w:type="dxa"/>
        <w:tblLayout w:type="fixed"/>
        <w:tblCellMar>
          <w:top w:w="0" w:type="dxa"/>
          <w:left w:w="0" w:type="dxa"/>
          <w:bottom w:w="0" w:type="dxa"/>
          <w:right w:w="0" w:type="dxa"/>
        </w:tblCellMar>
      </w:tblPr>
      <w:tblGrid>
        <w:gridCol w:w="4845"/>
        <w:gridCol w:w="211"/>
        <w:gridCol w:w="1036"/>
        <w:gridCol w:w="109"/>
        <w:gridCol w:w="211"/>
        <w:gridCol w:w="1036"/>
        <w:gridCol w:w="109"/>
        <w:gridCol w:w="211"/>
        <w:gridCol w:w="1036"/>
        <w:gridCol w:w="109"/>
        <w:gridCol w:w="211"/>
        <w:gridCol w:w="1081"/>
      </w:tblGrid>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5360"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(dollars in thousands, except per share data)</w:t>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six months ended</w:t>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basic</w:t>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43,363,374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50,890,063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43,300,962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50,802,423</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 attributable to stock based awards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363,480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164,273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412,184</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diluted</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43,508,221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51,253,543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43,465,235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51,214,607</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0.20</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Anti-dilutive securities excluded from earnings per share calculation</w:t>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593,178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1,525,521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582,426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1,078,597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accrued liabilities consisted of the following: </w:t>
      </w:r>
    </w:p>
    <w:tbl>
      <w:tblPr>
        <w:tblW w:w="4886" w:type="dxa"/>
        <w:jc w:val="left"/>
        <w:tblInd w:w="0" w:type="dxa"/>
        <w:tblLayout w:type="fixed"/>
        <w:tblCellMar>
          <w:top w:w="0" w:type="dxa"/>
          <w:left w:w="0" w:type="dxa"/>
          <w:bottom w:w="0" w:type="dxa"/>
          <w:right w:w="0" w:type="dxa"/>
        </w:tblCellMar>
      </w:tblPr>
      <w:tblGrid>
        <w:gridCol w:w="2521"/>
        <w:gridCol w:w="109"/>
        <w:gridCol w:w="211"/>
        <w:gridCol w:w="676"/>
        <w:gridCol w:w="109"/>
        <w:gridCol w:w="284"/>
        <w:gridCol w:w="97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56"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11,315</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4,589</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4,993</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wages and salaries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6,040</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Payroll and sales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2,595</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2,286</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7,282</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33,645</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31,916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7" w:name="_Hlk116901918"/>
      <w:bookmarkEnd w:id="17"/>
      <w:r>
        <w:rPr>
          <w:rFonts w:ascii="Times New Roman;serif" w:hAnsi="Times New Roman;serif"/>
          <w:b/>
          <w:i w:val="false"/>
          <w:caps w:val="false"/>
          <w:smallCaps w:val="false"/>
          <w:sz w:val="20"/>
        </w:rPr>
        <w:t xml:space="preserve">Note 7: Long-term Debt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 LLC’s Rent Adjusted Leverage Ratio (as defined in the Credit Agreement).  Borrowings outstanding as of June 30, 2023 were SOFR-based interest rate loans.  The SOFR-based interest rate was 6.67% on June 30,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includes financial and other covenants, including covenants to maintain a Fixed Charge Coverage Ratio (as defined in the Credit Agreement) of no less than 1.20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1.00 and a Rent Adjusted Leverage Ratio (as defined in the Credit Agreement) of no greater than 3.50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1.00. The Company was in compliance with the covenants as of June 30, 2023.</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Borrowings outstanding consisted of $20.0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on the revolving line of credit as of June 30, 2023. As of June 30, 2023, there was $53.3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available for borrowing on the revolving line of credit, which may be used to purchase inventory, acquire assets to maintain our stores and distribution centers, build new stores and general corporate purposes.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0"/>
        </w:rPr>
        <w:t>The Company has standby letters of credit outstanding related to its workers compensation plan and property leases. Standby letters of credit totaled $1.7</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million as of June 30, 2023 and were secured by the Company’s credit facility.</w:t>
      </w:r>
      <w:r>
        <w:rPr>
          <w:rFonts w:ascii="Times New Roman;serif" w:hAnsi="Times New Roman;serif"/>
          <w:caps w:val="false"/>
          <w:smallCaps w:val="false"/>
          <w:sz w:val="24"/>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an initial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tbl>
      <w:tblPr>
        <w:tblW w:w="8234" w:type="dxa"/>
        <w:jc w:val="left"/>
        <w:tblInd w:w="0" w:type="dxa"/>
        <w:tblLayout w:type="fixed"/>
        <w:tblCellMar>
          <w:top w:w="0" w:type="dxa"/>
          <w:left w:w="0" w:type="dxa"/>
          <w:bottom w:w="0" w:type="dxa"/>
          <w:right w:w="0" w:type="dxa"/>
        </w:tblCellMar>
      </w:tblPr>
      <w:tblGrid>
        <w:gridCol w:w="1891"/>
        <w:gridCol w:w="2731"/>
        <w:gridCol w:w="109"/>
        <w:gridCol w:w="211"/>
        <w:gridCol w:w="1246"/>
        <w:gridCol w:w="109"/>
        <w:gridCol w:w="211"/>
        <w:gridCol w:w="1726"/>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2022</w:t>
            </w:r>
          </w:p>
        </w:tc>
      </w:tr>
      <w:tr>
        <w:trPr/>
        <w:tc>
          <w:tcPr>
            <w:tcW w:w="18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114,616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118,501</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118,501</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27,866</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103,353</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126,256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131,219</w:t>
            </w:r>
          </w:p>
        </w:tc>
      </w:tr>
    </w:tbl>
    <w:tbl>
      <w:tblPr>
        <w:tblW w:w="6749" w:type="dxa"/>
        <w:jc w:val="left"/>
        <w:tblInd w:w="0" w:type="dxa"/>
        <w:tblLayout w:type="fixed"/>
        <w:tblCellMar>
          <w:top w:w="0" w:type="dxa"/>
          <w:left w:w="0" w:type="dxa"/>
          <w:bottom w:w="0" w:type="dxa"/>
          <w:right w:w="0" w:type="dxa"/>
        </w:tblCellMar>
      </w:tblPr>
      <w:tblGrid>
        <w:gridCol w:w="2161"/>
        <w:gridCol w:w="1411"/>
        <w:gridCol w:w="109"/>
        <w:gridCol w:w="211"/>
        <w:gridCol w:w="1246"/>
        <w:gridCol w:w="109"/>
        <w:gridCol w:w="211"/>
        <w:gridCol w:w="129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2022</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8,611</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3,557</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12,278</w:t>
            </w:r>
          </w:p>
        </w:tc>
      </w:tr>
    </w:tbl>
    <w:tbl>
      <w:tblPr>
        <w:tblW w:w="6749" w:type="dxa"/>
        <w:jc w:val="left"/>
        <w:tblInd w:w="0" w:type="dxa"/>
        <w:tblLayout w:type="fixed"/>
        <w:tblCellMar>
          <w:top w:w="0" w:type="dxa"/>
          <w:left w:w="0" w:type="dxa"/>
          <w:bottom w:w="0" w:type="dxa"/>
          <w:right w:w="0" w:type="dxa"/>
        </w:tblCellMar>
      </w:tblPr>
      <w:tblGrid>
        <w:gridCol w:w="2161"/>
        <w:gridCol w:w="1411"/>
        <w:gridCol w:w="109"/>
        <w:gridCol w:w="211"/>
        <w:gridCol w:w="1246"/>
        <w:gridCol w:w="109"/>
        <w:gridCol w:w="211"/>
        <w:gridCol w:w="129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Six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2022</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17,282</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6,960</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242</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24,484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 consists primarily of taxes, insurance, and common area or other maintenance costs for the Company’s leased facilities. </w:t>
      </w:r>
    </w:p>
    <w:tbl>
      <w:tblPr>
        <w:tblW w:w="9748" w:type="dxa"/>
        <w:jc w:val="left"/>
        <w:tblInd w:w="0" w:type="dxa"/>
        <w:tblLayout w:type="fixed"/>
        <w:tblCellMar>
          <w:top w:w="0" w:type="dxa"/>
          <w:left w:w="0" w:type="dxa"/>
          <w:bottom w:w="0" w:type="dxa"/>
          <w:right w:w="0" w:type="dxa"/>
        </w:tblCellMar>
      </w:tblPr>
      <w:tblGrid>
        <w:gridCol w:w="6571"/>
        <w:gridCol w:w="109"/>
        <w:gridCol w:w="211"/>
        <w:gridCol w:w="1246"/>
        <w:gridCol w:w="109"/>
        <w:gridCol w:w="211"/>
        <w:gridCol w:w="1291"/>
      </w:tblGrid>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Six Months Ended </w:t>
            </w:r>
          </w:p>
        </w:tc>
      </w:tr>
      <w:tr>
        <w:trPr/>
        <w:tc>
          <w:tcPr>
            <w:tcW w:w="657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2022</w:t>
            </w:r>
          </w:p>
        </w:tc>
      </w:tr>
      <w:tr>
        <w:trPr/>
        <w:tc>
          <w:tcPr>
            <w:tcW w:w="65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18,754</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6,876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similar assets or liabilities in active markets;</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identical or similar assets or liabilities in non-active markets; </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Inputs other than quoted prices that are observable for the asset or liability;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Inputs that are derived principally from or corroborated by other observable market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June 30, 2023 and December 31, 2022 according to the valuation techniques the Company uses to determine their fair values. There have been no transfers of assets among the fair value hierarchies presented.</w:t>
      </w:r>
    </w:p>
    <w:tbl>
      <w:tblPr>
        <w:tblW w:w="6419" w:type="dxa"/>
        <w:jc w:val="left"/>
        <w:tblInd w:w="0" w:type="dxa"/>
        <w:tblLayout w:type="fixed"/>
        <w:tblCellMar>
          <w:top w:w="0" w:type="dxa"/>
          <w:left w:w="0" w:type="dxa"/>
          <w:bottom w:w="0" w:type="dxa"/>
          <w:right w:w="0" w:type="dxa"/>
        </w:tblCellMar>
      </w:tblPr>
      <w:tblGrid>
        <w:gridCol w:w="2266"/>
        <w:gridCol w:w="109"/>
        <w:gridCol w:w="856"/>
        <w:gridCol w:w="109"/>
        <w:gridCol w:w="296"/>
        <w:gridCol w:w="949"/>
        <w:gridCol w:w="109"/>
        <w:gridCol w:w="440"/>
        <w:gridCol w:w="1285"/>
      </w:tblGrid>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94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1285"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94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1285"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7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r>
      <w:tr>
        <w:trPr/>
        <w:tc>
          <w:tcPr>
            <w:tcW w:w="226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7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5,948</w:t>
            </w:r>
          </w:p>
        </w:tc>
      </w:tr>
      <w:tr>
        <w:trPr/>
        <w:tc>
          <w:tcPr>
            <w:tcW w:w="2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methods and assumptions were used to estimate the fair value of each class of financial instrument. There have been no changes in the valuation techniques used by the Company to value the Company’s financial instruments.</w:t>
      </w:r>
    </w:p>
    <w:p>
      <w:pPr>
        <w:pStyle w:val="TextBody"/>
        <w:bidi w:val="0"/>
        <w:spacing w:lineRule="auto" w:line="259"/>
        <w:rPr/>
      </w:pPr>
      <w:r>
        <w:rPr>
          <w:caps w:val="false"/>
          <w:smallCaps w:val="false"/>
        </w:rPr>
        <w:t></w:t>
      </w:r>
      <w:r>
        <w:rPr>
          <w:rFonts w:ascii="Times New Roman;serif" w:hAnsi="Times New Roman;serif"/>
          <w:b w:val="false"/>
          <w:i/>
          <w:sz w:val="20"/>
        </w:rPr>
        <w:t xml:space="preserve">Cash and cash equivalents: </w:t>
      </w:r>
      <w:r>
        <w:rPr>
          <w:rFonts w:ascii="Times New Roman;serif" w:hAnsi="Times New Roman;serif"/>
          <w:b w:val="false"/>
          <w:i w:val="false"/>
          <w:caps w:val="false"/>
          <w:smallCaps w:val="false"/>
          <w:sz w:val="20"/>
        </w:rPr>
        <w:t>Consists of cash on hand and bank deposits. The value was measured using quoted market prices in active markets. The carrying amount approximates fair value.</w:t>
      </w:r>
    </w:p>
    <w:p>
      <w:pPr>
        <w:pStyle w:val="TextBody"/>
        <w:bidi w:val="0"/>
        <w:spacing w:lineRule="auto" w:line="259"/>
        <w:rPr/>
      </w:pPr>
      <w:r>
        <w:rPr>
          <w:caps w:val="false"/>
          <w:smallCaps w:val="false"/>
        </w:rPr>
        <w:t></w:t>
      </w:r>
      <w:r>
        <w:rPr>
          <w:rFonts w:ascii="Times New Roman;serif" w:hAnsi="Times New Roman;serif"/>
          <w:b w:val="false"/>
          <w:i/>
          <w:sz w:val="20"/>
        </w:rPr>
        <w:t>Restricted cash:</w:t>
      </w:r>
      <w:r>
        <w:rPr>
          <w:rFonts w:ascii="Symbol" w:hAnsi="Symbol"/>
          <w:caps w:val="false"/>
          <w:smallCaps w:val="false"/>
          <w:sz w:val="20"/>
        </w:rPr>
        <w:t xml:space="preserve"> </w:t>
      </w:r>
      <w:r>
        <w:rPr>
          <w:rFonts w:ascii="Times New Roman;serif" w:hAnsi="Times New Roman;serif"/>
          <w:b w:val="false"/>
          <w:i w:val="false"/>
          <w:caps w:val="false"/>
          <w:smallCaps w:val="false"/>
          <w:sz w:val="20"/>
        </w:rPr>
        <w:t>Consists of cash and cash equivalents held in bank deposit accounts restricted as to withdrawal or that are under the terms of use for current operations. The value was measured using quoted market prices in active markets. The carrying amount approximates fair value.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three and six months ended June 30, 2023 the Company recorded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of impairment charges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No impairment charges were recorded during the three or six months ended June 30, 2022.</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8" w:name="_Hlk116903283"/>
      <w:bookmarkEnd w:id="18"/>
      <w:r>
        <w:rPr>
          <w:rFonts w:ascii="Times New Roman;serif" w:hAnsi="Times New Roman;serif"/>
          <w:b/>
          <w:i w:val="false"/>
          <w:caps w:val="false"/>
          <w:smallCaps w:val="false"/>
          <w:sz w:val="20"/>
        </w:rPr>
        <w:t>Note 10: Equity Incentive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subject to adjustment in certain circumstances. Shares tendered or withheld to pay the exercise price of a stock option or to cover tax withholding will not be added back to the number of shares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measures and recognizes compensation expense for all stock based awards at fair value. The financial statements for the three and six months ended June 30, 2023 and 2022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stock based compensation related to stock options during the three months ended June 30, 2023. </w:t>
      </w:r>
      <w:r>
        <w:rPr>
          <w:rFonts w:ascii="Times New Roman;serif" w:hAnsi="Times New Roman;serif"/>
          <w:b w:val="false"/>
          <w:i w:val="false"/>
          <w:caps w:val="false"/>
          <w:smallCaps w:val="false"/>
          <w:color w:val="000000"/>
          <w:sz w:val="20"/>
        </w:rPr>
        <w:t>Total stock based compensation expense related to stock options was less than $0.1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for the three months ended June 30,2022</w:t>
      </w:r>
      <w:r>
        <w:rPr>
          <w:rFonts w:ascii="Times New Roman;serif" w:hAnsi="Times New Roman;serif"/>
          <w:b w:val="false"/>
          <w:i w:val="false"/>
          <w:caps w:val="false"/>
          <w:smallCaps w:val="false"/>
          <w:sz w:val="20"/>
        </w:rPr>
        <w:t>. Total stock based compensation expense related to stock options was less than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six months ended June 30, 2023 and 2022, respectively. Stock based compensation expense pertaining to stock options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2023, the Company had fully vested outstanding stock options to purchase 466,067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at a weighted average exercise price of $10.13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three months ended June 30, 2023 and 2022, respectively. Total stock based compensation expense related to restricted stock was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six months ended June 30, 2023 and 2022, respectively. Stock based compensation expense pertaining to restricted stock awards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2023, the Company had 1,105,450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unvested outstanding restricted common shares.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Note 11:</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New Markets Tax Credit</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2016 New Markets Tax Credit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December 2016, the Company entered into a financing transaction with U.S. Bank Community, LLC (“U.S. Bank”) related to a $9.2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this transaction, Tile Shop Lending loaned $6.7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December 2016, U.S. Bank contributed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to the Investment Fund and, by virtue of such contribution, is entitled to substantially all of the tax benefits derived from the NMTC, while the Company effectively received net loan proceeds equal to U.S.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net of syndication fees, to the Investment Fund. The Company incurred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syndication fees in connection with this transaction. The Company is recognizing the benefit of this net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contribution over the seven-year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compliance period as it is being earned through the on-going compliance with the conditions of the NMTC program. As of June 30, 2023, the balance of the contribution liability for this arrangement was $0.2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was classified as other accrued liabilities on the Consolidated Balance Sheet.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June 30, 2023, the remaining balance in the Investment Fund available for reimbursement to the Company was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19" w:name="MDA"/>
      <w:bookmarkEnd w:id="19"/>
      <w:r>
        <w:rPr>
          <w:rFonts w:ascii="Times New Roman;serif" w:hAnsi="Times New Roman;serif"/>
          <w:b/>
          <w:i w:val="false"/>
          <w:caps w:val="false"/>
          <w:smallCaps w:val="false"/>
          <w:sz w:val="20"/>
        </w:rPr>
        <w:t>M 2. MANAGEMENT’S DISCUSSION AND ANALYSIS OF FINANCIAL CONDITION AND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2022 and our consolidated financial statements and related notes appearing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w:t>
      </w:r>
      <w:bookmarkStart w:id="20" w:name="_Hlk38913879"/>
      <w:bookmarkEnd w:id="20"/>
      <w:r>
        <w:rPr>
          <w:rFonts w:ascii="Times New Roman;serif" w:hAnsi="Times New Roman;serif"/>
          <w:b w:val="false"/>
          <w:i/>
          <w:sz w:val="20"/>
        </w:rPr>
        <w:t>o</w:t>
      </w:r>
      <w:r>
        <w:rPr>
          <w:rFonts w:ascii="Times New Roman;serif" w:hAnsi="Times New Roman;serif"/>
          <w:b w:val="false"/>
          <w:i/>
          <w:color w:val="000000"/>
          <w:sz w:val="20"/>
        </w:rPr>
        <w:t>ur anticipated new store openings, remodeling plans, and growth opportunities; our business strengths, marketing strategies, competitive advantages and role in our industry and markets</w:t>
      </w:r>
      <w:bookmarkStart w:id="21" w:name="OLE_LINK179"/>
      <w:bookmarkEnd w:id="21"/>
      <w:r>
        <w:rPr>
          <w:rFonts w:ascii="Times New Roman;serif" w:hAnsi="Times New Roman;serif"/>
          <w:b w:val="false"/>
          <w:i/>
          <w:color w:val="000000"/>
          <w:sz w:val="20"/>
        </w:rPr>
        <w:t xml:space="preserve">; </w:t>
      </w:r>
      <w:bookmarkStart w:id="22" w:name="OLE_LINK178"/>
      <w:bookmarkEnd w:id="22"/>
      <w:r>
        <w:rPr>
          <w:rFonts w:ascii="Times New Roman;serif" w:hAnsi="Times New Roman;serif"/>
          <w:b w:val="false"/>
          <w:i/>
          <w:color w:val="000000"/>
          <w:sz w:val="20"/>
        </w:rPr>
        <w:t xml:space="preserve">an overall decline in the health of the economy, the tile industry, consumer confidence and spending, and the housing market, including as a result of rising inflation or interest rates, instability in the global banking system, or the possibility of an economic recession;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geopolitical conditions, and other economic factors; supply costs and expectations, including the continued availability of sufficient products from our suppliers, risks related to relying on foreign suppliers, and the potential impact of the Russia-Ukraine conflict on, among other things, product availability and pricing and timing and cost of deliveries; our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expectations with respect to ongoing compliance with the terms of the Credit Agreement (as defined below),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w:t>
      </w:r>
      <w:r>
        <w:rPr>
          <w:rFonts w:ascii="Times New Roman;serif" w:hAnsi="Times New Roman;serif"/>
          <w:color w:val="000000"/>
          <w:sz w:val="20"/>
        </w:rPr>
        <w:t xml:space="preserve"> </w:t>
      </w:r>
      <w:r>
        <w:rPr>
          <w:rFonts w:ascii="Times New Roman;serif" w:hAnsi="Times New Roman;serif"/>
          <w:b w:val="false"/>
          <w:i/>
          <w:color w:val="000000"/>
          <w:sz w:val="20"/>
        </w:rPr>
        <w:t>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the potential outcome of any legal proceedings; risks related to ownership of our common stock;</w:t>
      </w:r>
      <w:r>
        <w:rPr>
          <w:rFonts w:ascii="Times New Roman;serif" w:hAnsi="Times New Roman;serif"/>
          <w:sz w:val="20"/>
        </w:rPr>
        <w:t xml:space="preserve"> </w:t>
      </w:r>
      <w:r>
        <w:rPr>
          <w:rFonts w:ascii="Times New Roman;serif" w:hAnsi="Times New Roman;serif"/>
          <w:b w:val="false"/>
          <w:i/>
          <w:sz w:val="20"/>
        </w:rPr>
        <w:t>and those factors set forth in the section captioned “Risk Factors” in our Annual Report on Form 10-K for the year ended December 31, 2022 and in this Form 10-Q.</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pStyle w:val="TextBody"/>
        <w:bidi w:val="0"/>
        <w:spacing w:lineRule="auto" w:line="259"/>
        <w:rPr>
          <w:rFonts w:ascii="Times New Roman;serif" w:hAnsi="Times New Roman;serif"/>
          <w:b/>
          <w:i w:val="false"/>
          <w:caps w:val="false"/>
          <w:smallCaps w:val="false"/>
          <w:sz w:val="20"/>
        </w:rPr>
      </w:pPr>
      <w:bookmarkStart w:id="23" w:name="_contentSection_bc88730b_8626_44e0_ae06_"/>
      <w:bookmarkEnd w:id="23"/>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natural stone, man-made tiles and luxury vinyl, setting and maintenance materials, and related accessories in the United States. We offer a wide selection of products, attractive prices, and exceptional customer service in an extensive showroom setting. As of June 30, 2023, we operated 143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 continues to be impacted by a number of macro-economic factors, including rising interest rates, and slowing existing home turnover. We believe this is contributing to a slowdown in demand for home improvement products. Our comparable store sales decreased by 8.0% and 4.0% during the three and six months ended June 30, 2023, respectively, due to lower levels of traffic in our stores which were partially offset by an increase in average ticket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gross margin rate was 64.2% for both the three and six months ended June 30, 2023. We were encouraged to see signs that the inflationary cost pressures have started to subside. International freight rates have come down over the last year and we are actively working to resource portions of our assortment to suppliers who can provide high quality products at lower price points. We believe that these factors will help improve our gross margins during the second half of 2023.</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Selling, general and administrative expenses decreased by $5.7 million or 9.3%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$55.6 million in the second quarter of 2023. The decrease in selling, general and administrative expenses was primarily due to a $3.0 million decrease in variable selling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Additionally, as a result of the improvement in our inventory in stock levels when compared to the second quarter of 2022, we were able to focus on securing transportation efficiencies which helped us reduce our shipping expenses by $1.1 million during the second quarter of 2023 when compared to the second quarter of 2022. Depreciation expense also decreased by $0.9 million during the second quarter of 2023 compared to the second quarter of 2022, which was partially offset by a $0.5 million asset impairment charge recorded during the second quarter of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three months ended June 30, 2023, we adjusted reserves for annual incentives given our performance relative to the financial targets required for bonus payouts under our annual incentive plans. We also reversed share-based compensation costs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associated with restricted stock awards containing performance vesting conditions that were granted earlier in 2023. Had we continued to recognize the expense associated with annual incentives at target levels and share based compensation costs associated with performance shares, our selling, general and administrative expenses would have been approximately $1.8 million higher than reported during the three months ended June 30,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six months ended June 30, 2023, we generated $41.4 million of operating cash flow, which was used to fund $8.1 million of capital expenditures and reduce our debt by $25.4 million. As of June 30, 2023, our cash balance was $14.6 million and borrowings outstanding on our line of credit were $20.0 million.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4" w:name="_contentSection_b9b2880d_9a04_448c_8fe1_"/>
      <w:bookmarkEnd w:id="24"/>
      <w:r>
        <w:rPr>
          <w:rFonts w:ascii="Times New Roman;serif" w:hAnsi="Times New Roman;serif"/>
          <w:b/>
          <w:i w:val="false"/>
          <w:caps w:val="false"/>
          <w:smallCaps w:val="false"/>
          <w:sz w:val="20"/>
        </w:rPr>
        <w:t>Key Components of our Consolidated Statements of Income</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Net sales represents total charges to customers, net of returns, and includes freight charged to customers. We recognize sales 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Cost of sales consists primarily of material costs, freight, customs and duties fees, and storage and delivery of product to the customers, as well as physical inventory losses and costs associated with manufacturing of setting and maintenance materials.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profit is net sales less cost of sales. Gross margin rate is the percentage determined by dividing gross profit by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Selling, General, and Administrative Expenses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consist primarily of compensation costs, occupancy, utilities,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We are subject to income tax in the United States as well as other tax jurisdictions in which we conduct business.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three months ended June 30, 2023 to the three months ended June 30, 2022</w:t>
      </w:r>
    </w:p>
    <w:tbl>
      <w:tblPr>
        <w:tblW w:w="8151" w:type="dxa"/>
        <w:jc w:val="left"/>
        <w:tblInd w:w="0" w:type="dxa"/>
        <w:tblLayout w:type="fixed"/>
        <w:tblCellMar>
          <w:top w:w="0" w:type="dxa"/>
          <w:left w:w="0" w:type="dxa"/>
          <w:bottom w:w="0" w:type="dxa"/>
          <w:right w:w="0" w:type="dxa"/>
        </w:tblCellMar>
      </w:tblPr>
      <w:tblGrid>
        <w:gridCol w:w="3736"/>
        <w:gridCol w:w="109"/>
        <w:gridCol w:w="211"/>
        <w:gridCol w:w="691"/>
        <w:gridCol w:w="109"/>
        <w:gridCol w:w="763"/>
        <w:gridCol w:w="362"/>
        <w:gridCol w:w="109"/>
        <w:gridCol w:w="211"/>
        <w:gridCol w:w="781"/>
        <w:gridCol w:w="109"/>
        <w:gridCol w:w="618"/>
        <w:gridCol w:w="342"/>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3"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342"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06"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35,255</w:t>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w:t>
            </w:r>
          </w:p>
        </w:tc>
        <w:tc>
          <w:tcPr>
            <w:tcW w:w="36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36,586</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55,568</w:t>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36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61,240</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56.9</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w:t>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3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(1,987)</w:t>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36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(2,663)</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3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w:t>
            </w:r>
          </w:p>
        </w:tc>
        <w:tc>
          <w:tcPr>
            <w:tcW w:w="3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Net Sales </w:t>
      </w:r>
      <w:r>
        <w:rPr>
          <w:rFonts w:ascii="Times New Roman;serif" w:hAnsi="Times New Roman;serif"/>
          <w:b w:val="false"/>
          <w:i w:val="false"/>
          <w:caps w:val="false"/>
          <w:smallCaps w:val="false"/>
          <w:sz w:val="20"/>
        </w:rPr>
        <w:t>Net sales for the second quarter of 2023 decreased $9.0 million, or 8.4%, compared with the second quarter of 2022.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Sales decreased at comparable stores by 8.0% during the second quarter of 2023 compared to the second quarter of 2022, primarily due to a decrease in traffic, which was partially offset by an increase in average ticket value.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sz w:val="20"/>
        </w:rPr>
        <w:t xml:space="preserve">Gross Profit </w:t>
      </w:r>
      <w:r>
        <w:rPr>
          <w:rFonts w:ascii="Times New Roman;serif" w:hAnsi="Times New Roman;serif"/>
          <w:b w:val="false"/>
          <w:i w:val="false"/>
          <w:caps w:val="false"/>
          <w:smallCaps w:val="false"/>
          <w:sz w:val="20"/>
        </w:rPr>
        <w:t xml:space="preserve">Gross profit for the second quarter of 2023 decreased $7.7 million, or 10.9%, compared with the second quarter of 2022 The gross margin rate was 64.2% and 66.0% during the second quarter of 2023 and 2022, respectively. The decrease in the gross margin rate was primarily due to inflationary cost pressure which resulted in an increase in the cost of products we sold over the last year. These cost increases were partially offset by an increase in our selling prices. </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for the second quarter of 2023 decreased $5.7 million, or 9.3%, to $55.6 million in the second quarter of 2022. The decrease in selling, general and administrative expenses was due to a $3.0 million decrease in variable selling expenses, a $1.1 million decrease in transportation expenses due to an improvement in inventory availability across our distribution centers and a $0.9 million decrease in depreciation expense. These factors were partially offset by a $0.5 million asset impairment charge recorded during the second quarter of 2023. We did not record any asset impairment charges during the second quarter of 2022.</w:t>
      </w:r>
    </w:p>
    <w:p>
      <w:pPr>
        <w:pStyle w:val="TextBody"/>
        <w:bidi w:val="0"/>
        <w:spacing w:lineRule="auto" w:line="259"/>
        <w:rPr>
          <w:rFonts w:ascii="Times New Roman;serif" w:hAnsi="Times New Roman;serif"/>
          <w:sz w:val="20"/>
        </w:rPr>
      </w:pPr>
      <w:r>
        <w:rPr>
          <w:rFonts w:ascii="Times New Roman;serif" w:hAnsi="Times New Roman;serif"/>
          <w:b/>
          <w:i/>
          <w:sz w:val="20"/>
        </w:rPr>
        <w:t>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Interest expense was $0.7 million and $0.2 million for the second quarter of 2023 and 2022, respectively. The increase was due to an increase in average borrowings outstanding on our line of credit as well as an increase in interest rates between the second quarter of 2022 and the second quarter of 2023.</w:t>
      </w:r>
    </w:p>
    <w:p>
      <w:pPr>
        <w:pStyle w:val="TextBody"/>
        <w:bidi w:val="0"/>
        <w:spacing w:lineRule="auto" w:line="259"/>
        <w:rPr>
          <w:rFonts w:ascii="Times New Roman;serif" w:hAnsi="Times New Roman;serif"/>
          <w:sz w:val="20"/>
        </w:rPr>
      </w:pPr>
      <w:r>
        <w:rPr>
          <w:rFonts w:ascii="Times New Roman;serif" w:hAnsi="Times New Roman;serif"/>
          <w:b/>
          <w:i/>
          <w:sz w:val="20"/>
        </w:rPr>
        <w:t>Provision for Income Taxes</w:t>
      </w:r>
      <w:r>
        <w:rPr>
          <w:rFonts w:ascii="Times New Roman;serif" w:hAnsi="Times New Roman;serif"/>
          <w:caps w:val="false"/>
          <w:smallCaps w:val="false"/>
          <w:sz w:val="20"/>
        </w:rPr>
        <w:t xml:space="preserve"> </w:t>
      </w:r>
      <w:bookmarkStart w:id="25" w:name="_Hlk140760484"/>
      <w:bookmarkEnd w:id="25"/>
      <w:r>
        <w:rPr>
          <w:rFonts w:ascii="Times New Roman;serif" w:hAnsi="Times New Roman;serif"/>
          <w:b w:val="false"/>
          <w:i w:val="false"/>
          <w:caps w:val="false"/>
          <w:smallCaps w:val="false"/>
          <w:sz w:val="20"/>
        </w:rPr>
        <w:t xml:space="preserve">The provision for income taxes was $2.0 million and $2.7 million for the second quarter of 2023 and 2022, respectively. The decrease in income tax expense was primarily due to a decrease in pretax income during the second quarter of 2023 as compared to the second quarter of 2022. </w:t>
      </w:r>
      <w:r>
        <w:rPr>
          <w:rFonts w:ascii="Times New Roman;serif" w:hAnsi="Times New Roman;serif"/>
          <w:b w:val="false"/>
          <w:i w:val="false"/>
          <w:caps w:val="false"/>
          <w:smallCaps w:val="false"/>
          <w:color w:val="000000"/>
          <w:sz w:val="20"/>
        </w:rPr>
        <w:t>Our effective tax rate for the three months ended June 30, 2023 and 2022 was 28.1% and 27.8%, respectively.</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six months ended June 30, 2023 to the six months ended June 30, 2022</w:t>
      </w:r>
    </w:p>
    <w:tbl>
      <w:tblPr>
        <w:tblW w:w="8031" w:type="dxa"/>
        <w:jc w:val="left"/>
        <w:tblInd w:w="0" w:type="dxa"/>
        <w:tblLayout w:type="fixed"/>
        <w:tblCellMar>
          <w:top w:w="0" w:type="dxa"/>
          <w:left w:w="0" w:type="dxa"/>
          <w:bottom w:w="0" w:type="dxa"/>
          <w:right w:w="0" w:type="dxa"/>
        </w:tblCellMar>
      </w:tblPr>
      <w:tblGrid>
        <w:gridCol w:w="3736"/>
        <w:gridCol w:w="109"/>
        <w:gridCol w:w="211"/>
        <w:gridCol w:w="781"/>
        <w:gridCol w:w="109"/>
        <w:gridCol w:w="621"/>
        <w:gridCol w:w="294"/>
        <w:gridCol w:w="109"/>
        <w:gridCol w:w="211"/>
        <w:gridCol w:w="781"/>
        <w:gridCol w:w="109"/>
        <w:gridCol w:w="618"/>
        <w:gridCol w:w="342"/>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342"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86"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71,736</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72,212</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137,863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65.6</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116,981</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58.3</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123,349</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58.7</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(467)</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3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(2,802)</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(3,620)</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c>
          <w:tcPr>
            <w:tcW w:w="3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i/>
          <w:color w:val="000000"/>
          <w:sz w:val="20"/>
        </w:rPr>
        <w:t>Net Sales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Net sales for the six months ended June 30, 2023 decreased $9.5 million, or 4.5%, compared with the six months ended June 30, 2022. </w:t>
      </w:r>
      <w:r>
        <w:rPr>
          <w:rFonts w:ascii="Times New Roman;serif" w:hAnsi="Times New Roman;serif"/>
          <w:b w:val="false"/>
          <w:i w:val="false"/>
          <w:caps w:val="false"/>
          <w:smallCaps w:val="false"/>
          <w:sz w:val="20"/>
        </w:rPr>
        <w:t xml:space="preserve">Sales decreased at comparable stores by 4.0% during the six months ended June 30, 2023 when compared to the six months ended June 30, 2022, primarily </w:t>
      </w:r>
      <w:r>
        <w:rPr>
          <w:rFonts w:ascii="Times New Roman;serif" w:hAnsi="Times New Roman;serif"/>
          <w:b w:val="false"/>
          <w:i w:val="false"/>
          <w:caps w:val="false"/>
          <w:smallCaps w:val="false"/>
          <w:color w:val="000000"/>
          <w:sz w:val="20"/>
        </w:rPr>
        <w:t xml:space="preserve">due to a decrease in store traffic, which was partially offset by an increase in average ticket value.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 xml:space="preserve">Gross Profit </w:t>
      </w:r>
      <w:r>
        <w:rPr>
          <w:rFonts w:ascii="Times New Roman;serif" w:hAnsi="Times New Roman;serif"/>
          <w:b w:val="false"/>
          <w:i w:val="false"/>
          <w:caps w:val="false"/>
          <w:smallCaps w:val="false"/>
          <w:color w:val="000000"/>
          <w:sz w:val="20"/>
        </w:rPr>
        <w:t xml:space="preserve">Gross profit for the six months ended June 30, 2023 decreased $9.0 million, or 6.5%, compared with the six months ended June 30, 2022. The gross margin rate was 64.2% and 65.6% for the six months ended June 30, 2023 and 2022, respectively. </w:t>
      </w:r>
      <w:r>
        <w:rPr>
          <w:rFonts w:ascii="Times New Roman;serif" w:hAnsi="Times New Roman;serif"/>
          <w:b w:val="false"/>
          <w:i w:val="false"/>
          <w:caps w:val="false"/>
          <w:smallCaps w:val="false"/>
          <w:sz w:val="20"/>
        </w:rPr>
        <w:t>The decrease in the gross margin rate was primarily due to inflationary cost pressure which resulted in an increase in the cost of products we sold over the last year. These cost increases were partially offset by an increase in our selling prices.</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Selling, General, and Administrative Expenses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Selling, general, and administrative expenses for the six months ended June 30, 2023 decreased $6.4 million, or 5.2%, compared with the six months ended June 30, 2022. The decrease in selling, general, and administrative expenses was primarily due to a $4.2 million decrease in variable selling costs, a $2.0 million decrease in transportation expenses due to an improvement in inventory availability across our distribution centers, and a $1.5 million decrease in depreciation expense. These factors were partially offset by $0.6 million of asset impairment charges recorded during the six months ended June 30, 2023. We did not record any asset impairment charges during the six months ended June 30, 2022.</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Interest Expense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Interest expense was $1.5 million and $0.5 million for the six months ended June 30, 2023 and 2022, respectively. The increase was due to an increase in average borrowings outstanding on our line of credit as well as an increase in interest rates between the six months ended June 30, 2023 and the six months ended June 30, 2022.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 xml:space="preserve">Provision for Income Taxes </w:t>
      </w:r>
      <w:bookmarkStart w:id="26" w:name="_Hlk140760567"/>
      <w:bookmarkEnd w:id="26"/>
      <w:r>
        <w:rPr>
          <w:rFonts w:ascii="Times New Roman;serif" w:hAnsi="Times New Roman;serif"/>
          <w:b w:val="false"/>
          <w:i w:val="false"/>
          <w:caps w:val="false"/>
          <w:smallCaps w:val="false"/>
          <w:color w:val="000000"/>
          <w:sz w:val="20"/>
        </w:rPr>
        <w:t>The provision for income taxes decreased $0.8 million for the six months ended June 30, 2023 compared with the six months ended June 30, 2022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due to a decrease in taxable income. </w:t>
      </w:r>
      <w:r>
        <w:rPr>
          <w:rFonts w:ascii="Times New Roman;serif" w:hAnsi="Times New Roman;serif"/>
          <w:b w:val="false"/>
          <w:i w:val="false"/>
          <w:caps w:val="false"/>
          <w:smallCaps w:val="false"/>
          <w:color w:val="000000"/>
          <w:sz w:val="20"/>
        </w:rPr>
        <w:t>Our effective tax rate for the six months ended June 30, 2023 and 2022 was 27.0% and 25.8%, respectively. The increase in the effective tax rate during the six months ended June 30, 2023 when compared to June 30, 2022 was largely due to a decrease in the tax benefit associated with employee equity award vestings.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income for the three and six months ended June 30, 2023 and 2022 is as follows:</w:t>
      </w:r>
    </w:p>
    <w:tbl>
      <w:tblPr>
        <w:tblW w:w="6680" w:type="dxa"/>
        <w:jc w:val="left"/>
        <w:tblInd w:w="0" w:type="dxa"/>
        <w:tblLayout w:type="fixed"/>
        <w:tblCellMar>
          <w:top w:w="0" w:type="dxa"/>
          <w:left w:w="0" w:type="dxa"/>
          <w:bottom w:w="0" w:type="dxa"/>
          <w:right w:w="0" w:type="dxa"/>
        </w:tblCellMar>
      </w:tblPr>
      <w:tblGrid>
        <w:gridCol w:w="2596"/>
        <w:gridCol w:w="109"/>
        <w:gridCol w:w="211"/>
        <w:gridCol w:w="676"/>
        <w:gridCol w:w="109"/>
        <w:gridCol w:w="504"/>
        <w:gridCol w:w="118"/>
        <w:gridCol w:w="293"/>
        <w:gridCol w:w="109"/>
        <w:gridCol w:w="211"/>
        <w:gridCol w:w="676"/>
        <w:gridCol w:w="109"/>
        <w:gridCol w:w="502"/>
        <w:gridCol w:w="117"/>
        <w:gridCol w:w="340"/>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4"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2" w:type="dxa"/>
            <w:tcBorders/>
            <w:shd w:fill="FFFFFF" w:val="clear"/>
            <w:vAlign w:val="center"/>
          </w:tcPr>
          <w:p>
            <w:pPr>
              <w:pStyle w:val="TableContents"/>
              <w:bidi w:val="0"/>
              <w:spacing w:before="0" w:after="283"/>
              <w:jc w:val="left"/>
              <w:rPr>
                <w:sz w:val="4"/>
                <w:szCs w:val="4"/>
              </w:rPr>
            </w:pPr>
            <w:r>
              <w:rPr>
                <w:sz w:val="4"/>
                <w:szCs w:val="4"/>
              </w:rPr>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340"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4"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2" w:type="dxa"/>
            <w:tcBorders/>
            <w:shd w:fill="FFFFFF" w:val="clear"/>
            <w:vAlign w:val="center"/>
          </w:tcPr>
          <w:p>
            <w:pPr>
              <w:pStyle w:val="TableContents"/>
              <w:bidi w:val="0"/>
              <w:spacing w:before="0" w:after="283"/>
              <w:jc w:val="left"/>
              <w:rPr>
                <w:sz w:val="4"/>
                <w:szCs w:val="4"/>
              </w:rPr>
            </w:pPr>
            <w:r>
              <w:rPr>
                <w:sz w:val="4"/>
                <w:szCs w:val="4"/>
              </w:rPr>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340"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4084"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5"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5"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w:t>
            </w:r>
          </w:p>
        </w:tc>
        <w:tc>
          <w:tcPr>
            <w:tcW w:w="1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w:t>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5,549</w:t>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6,415</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w:t>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4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13,584</w:t>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w:t>
            </w:r>
          </w:p>
        </w:tc>
        <w:tc>
          <w:tcPr>
            <w:tcW w:w="118"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16,755</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w:t>
            </w:r>
          </w:p>
        </w:tc>
        <w:tc>
          <w:tcPr>
            <w:tcW w:w="11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tbl>
      <w:tblPr>
        <w:tblW w:w="6680" w:type="dxa"/>
        <w:jc w:val="left"/>
        <w:tblInd w:w="0" w:type="dxa"/>
        <w:tblLayout w:type="fixed"/>
        <w:tblCellMar>
          <w:top w:w="0" w:type="dxa"/>
          <w:left w:w="0" w:type="dxa"/>
          <w:bottom w:w="0" w:type="dxa"/>
          <w:right w:w="0" w:type="dxa"/>
        </w:tblCellMar>
      </w:tblPr>
      <w:tblGrid>
        <w:gridCol w:w="2596"/>
        <w:gridCol w:w="109"/>
        <w:gridCol w:w="211"/>
        <w:gridCol w:w="676"/>
        <w:gridCol w:w="109"/>
        <w:gridCol w:w="504"/>
        <w:gridCol w:w="118"/>
        <w:gridCol w:w="293"/>
        <w:gridCol w:w="109"/>
        <w:gridCol w:w="211"/>
        <w:gridCol w:w="676"/>
        <w:gridCol w:w="109"/>
        <w:gridCol w:w="502"/>
        <w:gridCol w:w="117"/>
        <w:gridCol w:w="340"/>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4"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2" w:type="dxa"/>
            <w:tcBorders/>
            <w:shd w:fill="FFFFFF" w:val="clear"/>
            <w:vAlign w:val="center"/>
          </w:tcPr>
          <w:p>
            <w:pPr>
              <w:pStyle w:val="TableContents"/>
              <w:bidi w:val="0"/>
              <w:spacing w:before="0" w:after="283"/>
              <w:jc w:val="left"/>
              <w:rPr>
                <w:sz w:val="4"/>
                <w:szCs w:val="4"/>
              </w:rPr>
            </w:pPr>
            <w:r>
              <w:rPr>
                <w:sz w:val="4"/>
                <w:szCs w:val="4"/>
              </w:rPr>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340"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4084"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5"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5"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c>
          <w:tcPr>
            <w:tcW w:w="1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c>
          <w:tcPr>
            <w:tcW w:w="1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w:t>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467</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11,332</w:t>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12,854</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w:t>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4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23,897</w:t>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18"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28,422</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w:t>
            </w:r>
          </w:p>
        </w:tc>
        <w:tc>
          <w:tcPr>
            <w:tcW w:w="11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6986" w:type="dxa"/>
        <w:jc w:val="left"/>
        <w:tblInd w:w="0" w:type="dxa"/>
        <w:tblLayout w:type="fixed"/>
        <w:tblCellMar>
          <w:top w:w="0" w:type="dxa"/>
          <w:left w:w="0" w:type="dxa"/>
          <w:bottom w:w="0" w:type="dxa"/>
          <w:right w:w="0" w:type="dxa"/>
        </w:tblCellMar>
      </w:tblPr>
      <w:tblGrid>
        <w:gridCol w:w="4066"/>
        <w:gridCol w:w="109"/>
        <w:gridCol w:w="211"/>
        <w:gridCol w:w="901"/>
        <w:gridCol w:w="271"/>
        <w:gridCol w:w="211"/>
        <w:gridCol w:w="901"/>
        <w:gridCol w:w="316"/>
      </w:tblGrid>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2023</w:t>
            </w:r>
            <w:r>
              <w:rPr>
                <w:rFonts w:ascii="Times New Roman;serif" w:hAnsi="Times New Roman;serif"/>
                <w:b w:val="false"/>
                <w:i w:val="false"/>
                <w:caps w:val="false"/>
                <w:smallCaps w:val="false"/>
                <w:color w:val="000000"/>
                <w:position w:val="7"/>
                <w:sz w:val="16"/>
                <w:sz w:val="20"/>
              </w:rPr>
              <w:t>(1)</w:t>
            </w:r>
          </w:p>
        </w:tc>
        <w:tc>
          <w:tcPr>
            <w:tcW w:w="27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2022</w:t>
            </w:r>
            <w:r>
              <w:rPr>
                <w:rFonts w:ascii="Times New Roman;serif" w:hAnsi="Times New Roman;serif"/>
                <w:b w:val="false"/>
                <w:i w:val="false"/>
                <w:caps w:val="false"/>
                <w:smallCaps w:val="false"/>
                <w:color w:val="000000"/>
                <w:position w:val="7"/>
                <w:sz w:val="16"/>
                <w:sz w:val="20"/>
              </w:rPr>
              <w:t>(1)</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 (trailing twelve months)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19,954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20,602</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341,737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347,424</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(26,566)</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(27,257)</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(35,798)</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(41,806)</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(129,254)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(135,705)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(4,530)</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144,788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137,229</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principal liquidity requirements have been for working capital and capital expenditures. Our principal sources of liquidity are $14.6 million of cash and cash equivalents at June 30, 2023, our cash flow from operations, and borrowings available under our Credit Agreement. We expect to use this liquidity to purchase inventory, acquire assets to maintain our stores and distribution centers, build new stores and general corporate purposes.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Borrowings outstanding as of June 30, 2023 were SOFR-based interest rate loans.  The SOFR-based interest rate was 6.67% on June 30,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June 30,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Borrowings outstanding consisted of $20.0 million on the revolving line of credit as of June 30, 2023. As of June 30, 2023, there was $53.3 million available for borrowing on the revolving line of credit, which may be used to purchase inventory, acquire assets to maintain our stores and distribution centers, build new stores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 were $8.1 million and $7.4 million for the six months ended June 30, 2023 and 2022, respectively. Capital expenditures in 2023 were primarily due to investments in new stores, store remodels, merchandising, distribution and information technology assets. We opened one new store in Colorado Springs, Colorado in June 2023. We anticipate we will relocate one additional store in 2023 and currently do not anticipate any additional store openings during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data for the six months ended June 30, 2023 and 2022.</w:t>
      </w:r>
    </w:p>
    <w:tbl>
      <w:tblPr>
        <w:tblW w:w="5638" w:type="dxa"/>
        <w:jc w:val="left"/>
        <w:tblInd w:w="0" w:type="dxa"/>
        <w:tblLayout w:type="fixed"/>
        <w:tblCellMar>
          <w:top w:w="0" w:type="dxa"/>
          <w:left w:w="0" w:type="dxa"/>
          <w:bottom w:w="0" w:type="dxa"/>
          <w:right w:w="0" w:type="dxa"/>
        </w:tblCellMar>
      </w:tblPr>
      <w:tblGrid>
        <w:gridCol w:w="3466"/>
        <w:gridCol w:w="109"/>
        <w:gridCol w:w="211"/>
        <w:gridCol w:w="796"/>
        <w:gridCol w:w="109"/>
        <w:gridCol w:w="211"/>
        <w:gridCol w:w="736"/>
      </w:tblGrid>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9,223</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(7,361)</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 during the six months ended June 30, 2023 was $41.4 million compared with $9.2 million during the six months ended June 30, 2022. The increase was primarily attributable to a decrease in inventory purchases in 2023, collection of an income tax refund in 2023 and other working capital changes.</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cash used in investing activities totaled $8.1 million for the six months ended June 30, 2023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compared with $7.4 million for the six months ended June 30, 2022. Cash used in investing activities during the six months ended June 30, 2023 was primarily due to investments in new stores, store remodels, merchandising, distribution and information technology assets.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financing activities was $25.8 million for the six months ended June 30, 2023 compared with $0.7 million of net cash used for the six months ended June 30, 2022. The increase in cash outflows associated with financing activities was primarily attributable to payments made during the six months ended June 30, 2023 to reduce the balance outstanding on our line of credit.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and cash equivalents totaled $14.6 million at June 30, 2023 compared with $5.9 million at December 31, 2022. Working capital was $50.3 million at June 30, 2023 compared with $63.1 million at December 31, 2022.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7" w:name="MarketRisk"/>
      <w:bookmarkEnd w:id="27"/>
      <w:r>
        <w:rPr>
          <w:rFonts w:ascii="Times New Roman;serif" w:hAnsi="Times New Roman;serif"/>
          <w:b/>
          <w:i w:val="false"/>
          <w:caps w:val="false"/>
          <w:smallCaps w:val="false"/>
          <w:sz w:val="20"/>
        </w:rPr>
        <w:t xml:space="preserve">M 3. </w:t>
      </w:r>
      <w:r>
        <w:rPr>
          <w:rFonts w:ascii="Times New Roman;serif" w:hAnsi="Times New Roman;serif"/>
          <w:b/>
          <w:i w:val="false"/>
          <w:caps w:val="false"/>
          <w:smallCaps w:val="false"/>
          <w:color w:val="000000"/>
          <w:sz w:val="20"/>
        </w:rPr>
        <w:t>QUANTITATIVE</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in our primary risk exposures or management of market risks from those disclosed in our Annual Report on Form 10-K for the fiscal year ended December 31, 2022.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8" w:name="Item4"/>
      <w:bookmarkEnd w:id="28"/>
      <w:r>
        <w:rPr>
          <w:rFonts w:ascii="Times New Roman;serif" w:hAnsi="Times New Roman;serif"/>
          <w:b/>
          <w:i w:val="false"/>
          <w:caps w:val="false"/>
          <w:smallCaps w:val="false"/>
          <w:sz w:val="20"/>
        </w:rPr>
        <w:t>ITEM 4. CONTROLS AND PROCEDURES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Disclosure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June 30, 2023 and concluded that our disclosure controls and procedures were effective as of the end of the period covered by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changes in internal control over financial reporting (as defined by Rule 13a-15(f) under the Exchange Act) during the quarter ended June 30, 2023 that have materially affected, or are reasonably likely to materially affect, our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29" w:name="PartII"/>
      <w:bookmarkEnd w:id="29"/>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0" w:name="LegalProceedings"/>
      <w:bookmarkEnd w:id="30"/>
      <w:r>
        <w:rPr>
          <w:rFonts w:ascii="Times New Roman;serif" w:hAnsi="Times New Roman;serif"/>
          <w:b/>
          <w:i w:val="false"/>
          <w:caps w:val="false"/>
          <w:smallCaps w:val="false"/>
          <w:sz w:val="20"/>
        </w:rPr>
        <w:t>EM 1. LEGAL PROCEEDINGS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are, from time to time, party to lawsuits, threatened lawsuits, disputes and other claims arising in the normal course of business. We assess our liabilities and contingencies in connection with outstanding legal proceedings utilizing the latest information available.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1" w:name="RiskFactors"/>
      <w:bookmarkEnd w:id="31"/>
      <w:r>
        <w:rPr>
          <w:rFonts w:ascii="Times New Roman;serif" w:hAnsi="Times New Roman;serif"/>
          <w:b/>
          <w:i w:val="false"/>
          <w:caps w:val="false"/>
          <w:smallCaps w:val="false"/>
          <w:sz w:val="20"/>
        </w:rPr>
        <w:t>EM 1A. RISK FACTORS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from the risk factors previously disclosed in our Annual Report on Form 10-K for the year ended December 31, 2022.</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2" w:name="UnregisteredSales"/>
      <w:bookmarkEnd w:id="32"/>
      <w:r>
        <w:rPr>
          <w:rFonts w:ascii="Times New Roman;serif" w:hAnsi="Times New Roman;serif"/>
          <w:b/>
          <w:i w:val="false"/>
          <w:caps w:val="false"/>
          <w:smallCaps w:val="false"/>
          <w:sz w:val="20"/>
        </w:rPr>
        <w:t>M 2. UNREGISTERED SALES OF EQUITY SECURITIES, USE OF PROCEEDS, AND ISSUER PURCHASES OF EQUITY SECURITIES</w:t>
      </w:r>
    </w:p>
    <w:tbl>
      <w:tblPr>
        <w:tblW w:w="10205" w:type="dxa"/>
        <w:jc w:val="left"/>
        <w:tblInd w:w="0" w:type="dxa"/>
        <w:tblLayout w:type="fixed"/>
        <w:tblCellMar>
          <w:top w:w="0" w:type="dxa"/>
          <w:left w:w="0" w:type="dxa"/>
          <w:bottom w:w="0" w:type="dxa"/>
          <w:right w:w="0" w:type="dxa"/>
        </w:tblCellMar>
      </w:tblPr>
      <w:tblGrid>
        <w:gridCol w:w="1175"/>
        <w:gridCol w:w="109"/>
        <w:gridCol w:w="1477"/>
        <w:gridCol w:w="272"/>
        <w:gridCol w:w="386"/>
        <w:gridCol w:w="856"/>
        <w:gridCol w:w="109"/>
        <w:gridCol w:w="2681"/>
        <w:gridCol w:w="109"/>
        <w:gridCol w:w="1513"/>
        <w:gridCol w:w="1518"/>
      </w:tblGrid>
      <w:tr>
        <w:trPr/>
        <w:tc>
          <w:tcPr>
            <w:tcW w:w="117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7" w:type="dxa"/>
            <w:tcBorders/>
            <w:shd w:fill="FFFFFF" w:val="clear"/>
            <w:vAlign w:val="center"/>
          </w:tcPr>
          <w:p>
            <w:pPr>
              <w:pStyle w:val="TableContents"/>
              <w:bidi w:val="0"/>
              <w:spacing w:before="0" w:after="283"/>
              <w:jc w:val="left"/>
              <w:rPr>
                <w:sz w:val="4"/>
                <w:szCs w:val="4"/>
              </w:rPr>
            </w:pPr>
            <w:r>
              <w:rPr>
                <w:sz w:val="4"/>
                <w:szCs w:val="4"/>
              </w:rPr>
            </w:r>
          </w:p>
        </w:tc>
        <w:tc>
          <w:tcPr>
            <w:tcW w:w="272"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3" w:type="dxa"/>
            <w:tcBorders/>
            <w:shd w:fill="FFFFFF" w:val="clear"/>
            <w:vAlign w:val="center"/>
          </w:tcPr>
          <w:p>
            <w:pPr>
              <w:pStyle w:val="TableContents"/>
              <w:bidi w:val="0"/>
              <w:spacing w:before="0" w:after="283"/>
              <w:jc w:val="left"/>
              <w:rPr>
                <w:sz w:val="4"/>
                <w:szCs w:val="4"/>
              </w:rPr>
            </w:pPr>
            <w:r>
              <w:rPr>
                <w:sz w:val="4"/>
                <w:szCs w:val="4"/>
              </w:rPr>
            </w:r>
          </w:p>
        </w:tc>
        <w:tc>
          <w:tcPr>
            <w:tcW w:w="1518" w:type="dxa"/>
            <w:tcBorders/>
            <w:shd w:fill="FFFFFF" w:val="clear"/>
            <w:vAlign w:val="center"/>
          </w:tcPr>
          <w:p>
            <w:pPr>
              <w:pStyle w:val="TableContents"/>
              <w:bidi w:val="0"/>
              <w:spacing w:before="0" w:after="283"/>
              <w:jc w:val="left"/>
              <w:rPr>
                <w:sz w:val="4"/>
                <w:szCs w:val="4"/>
              </w:rPr>
            </w:pPr>
            <w:r>
              <w:rPr>
                <w:sz w:val="4"/>
                <w:szCs w:val="4"/>
              </w:rPr>
            </w:r>
          </w:p>
        </w:tc>
      </w:tr>
      <w:tr>
        <w:trPr/>
        <w:tc>
          <w:tcPr>
            <w:tcW w:w="117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7" w:type="dxa"/>
            <w:tcBorders/>
            <w:shd w:fill="FFFFFF" w:val="clear"/>
            <w:vAlign w:val="center"/>
          </w:tcPr>
          <w:p>
            <w:pPr>
              <w:pStyle w:val="TableContents"/>
              <w:bidi w:val="0"/>
              <w:spacing w:before="0" w:after="283"/>
              <w:jc w:val="left"/>
              <w:rPr>
                <w:sz w:val="4"/>
                <w:szCs w:val="4"/>
              </w:rPr>
            </w:pPr>
            <w:r>
              <w:rPr>
                <w:sz w:val="4"/>
                <w:szCs w:val="4"/>
              </w:rPr>
            </w:r>
          </w:p>
        </w:tc>
        <w:tc>
          <w:tcPr>
            <w:tcW w:w="272"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3" w:type="dxa"/>
            <w:tcBorders/>
            <w:shd w:fill="FFFFFF" w:val="clear"/>
            <w:vAlign w:val="center"/>
          </w:tcPr>
          <w:p>
            <w:pPr>
              <w:pStyle w:val="TableContents"/>
              <w:bidi w:val="0"/>
              <w:spacing w:before="0" w:after="283"/>
              <w:jc w:val="left"/>
              <w:rPr>
                <w:sz w:val="4"/>
                <w:szCs w:val="4"/>
              </w:rPr>
            </w:pPr>
            <w:r>
              <w:rPr>
                <w:sz w:val="4"/>
                <w:szCs w:val="4"/>
              </w:rPr>
            </w:r>
          </w:p>
        </w:tc>
        <w:tc>
          <w:tcPr>
            <w:tcW w:w="1518" w:type="dxa"/>
            <w:tcBorders/>
            <w:shd w:fill="FFFFFF" w:val="clear"/>
            <w:vAlign w:val="center"/>
          </w:tcPr>
          <w:p>
            <w:pPr>
              <w:pStyle w:val="TableContents"/>
              <w:bidi w:val="0"/>
              <w:spacing w:before="0" w:after="283"/>
              <w:jc w:val="left"/>
              <w:rPr>
                <w:sz w:val="4"/>
                <w:szCs w:val="4"/>
              </w:rPr>
            </w:pPr>
            <w:r>
              <w:rPr>
                <w:sz w:val="4"/>
                <w:szCs w:val="4"/>
              </w:rPr>
            </w:r>
          </w:p>
        </w:tc>
      </w:tr>
      <w:tr>
        <w:trPr/>
        <w:tc>
          <w:tcPr>
            <w:tcW w:w="11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7"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2" w:type="dxa"/>
            <w:tcBorders/>
            <w:shd w:fill="FFFFFF" w:val="clear"/>
            <w:vAlign w:val="center"/>
          </w:tcPr>
          <w:p>
            <w:pPr>
              <w:pStyle w:val="TableContents"/>
              <w:bidi w:val="0"/>
              <w:spacing w:before="0" w:after="283"/>
              <w:jc w:val="left"/>
              <w:rPr>
                <w:sz w:val="4"/>
                <w:szCs w:val="4"/>
              </w:rPr>
            </w:pPr>
            <w:r>
              <w:rPr>
                <w:sz w:val="4"/>
                <w:szCs w:val="4"/>
              </w:rPr>
            </w:r>
          </w:p>
        </w:tc>
        <w:tc>
          <w:tcPr>
            <w:tcW w:w="124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1" w:type="dxa"/>
            <w:gridSpan w:val="2"/>
            <w:tcBorders>
              <w:bottom w:val="single" w:sz="8" w:space="0" w:color="000000"/>
            </w:tcBorders>
            <w:shd w:fill="FFFFFF" w:val="clear"/>
            <w:tcMar>
              <w:bottom w:w="28" w:type="dxa"/>
            </w:tcMar>
            <w:vAlign w:val="center"/>
          </w:tcPr>
          <w:p>
            <w:pPr>
              <w:pStyle w:val="TableContents"/>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Approximate Dollar Value of Shares That May Yet be Purchased Under the Plans or Programs</w:t>
            </w:r>
          </w:p>
        </w:tc>
      </w:tr>
      <w:tr>
        <w:trPr/>
        <w:tc>
          <w:tcPr>
            <w:tcW w:w="11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April 1, 2023 - April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17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May 1, 2023 - May 31, 2023</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72,583</w:t>
            </w:r>
          </w:p>
        </w:tc>
        <w:tc>
          <w:tcPr>
            <w:tcW w:w="27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0.17</w:t>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1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1, 2023 -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85,097</w:t>
            </w:r>
          </w:p>
        </w:tc>
        <w:tc>
          <w:tcPr>
            <w:tcW w:w="2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(2)</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1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175" w:type="dxa"/>
            <w:tcBorders/>
            <w:vAlign w:val="center"/>
          </w:tcPr>
          <w:p>
            <w:pPr>
              <w:pStyle w:val="TableContents"/>
              <w:bidi w:val="0"/>
              <w:spacing w:lineRule="auto" w:line="259" w:before="0" w:after="283"/>
              <w:jc w:val="left"/>
              <w:rPr/>
            </w:pPr>
            <w:r>
              <w:rPr>
                <w:caps w:val="false"/>
                <w:smallCaps w:val="false"/>
                <w:color w:val="000000"/>
              </w:rPr>
              <w:t> </w:t>
            </w:r>
            <w:r>
              <w:rPr>
                <w:color w:val="000000"/>
              </w:rPr>
              <w:t> </w:t>
            </w: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157,680</w:t>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4"/>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(1)We withheld a total of 2,711 shares to satisfy tax withholding obligations due upon the vesting of restricted stock grants as allowed by the 2012 Omnibus Award Plan. Additionally, 24,308 shares and 45,564 shares were forfeited when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w:t>
      </w:r>
    </w:p>
    <w:p>
      <w:pPr>
        <w:pStyle w:val="TextBody"/>
        <w:bidi w:val="0"/>
        <w:spacing w:lineRule="auto" w:line="254" w:before="0" w:after="160"/>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(2)We withheld a total of 1,217 shares to satisfy tax withholding obligations due upon the vesting of restricted stock grants as allowed by the 2021 Omnibus Equity Compensation Plan. Additionally, 34,869 shares and 49,011 shares were forfeited when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3" w:name="DefaultUponSeniorSecurities"/>
      <w:bookmarkEnd w:id="33"/>
      <w:r>
        <w:rPr>
          <w:rFonts w:ascii="Times New Roman;serif" w:hAnsi="Times New Roman;serif"/>
          <w:b/>
          <w:i w:val="false"/>
          <w:caps w:val="false"/>
          <w:smallCaps w:val="false"/>
          <w:sz w:val="20"/>
        </w:rPr>
        <w: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4" w:name="MineSafetyDisclosures"/>
      <w:bookmarkEnd w:id="34"/>
      <w:r>
        <w:rPr>
          <w:rFonts w:ascii="Times New Roman;serif" w:hAnsi="Times New Roman;serif"/>
          <w:b/>
          <w:i w:val="false"/>
          <w:caps w:val="false"/>
          <w:smallCaps w:val="false"/>
          <w:sz w:val="20"/>
        </w:rPr>
        <w: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5" w:name="OtherInformation"/>
      <w:bookmarkEnd w:id="35"/>
      <w:r>
        <w:rPr>
          <w:rFonts w:ascii="Times New Roman;serif" w:hAnsi="Times New Roman;serif"/>
          <w:b/>
          <w:i w:val="false"/>
          <w:caps w:val="false"/>
          <w:smallCaps w:val="false"/>
          <w:sz w:val="20"/>
        </w:rPr>
        <w:t>M 5. OTHER INFORMATION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Rule 10b5-1 Trading Plans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quarter ended June 30, 2023,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 (as defined in Item 408(c) of Regulation S-K).</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Beneficial Ownership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as of August 1, 2023, information regarding beneficial ownership of our common stock by each person, or group of affiliated persons, known by us to beneficially own more than 5% of our common stock.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based our calculation of the percentage of beneficial ownership on 44,561,554 shares of our common stock outstanding on August 1,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Unless otherwise noted below, the address for each of the shareholders in the table below is c/o Tile Shop Holdings, Inc., 14000 Carlson Parkway, Plymouth, Minnesota 55441.</w:t>
      </w:r>
    </w:p>
    <w:tbl>
      <w:tblPr>
        <w:tblW w:w="7332" w:type="dxa"/>
        <w:jc w:val="left"/>
        <w:tblInd w:w="0" w:type="dxa"/>
        <w:tblLayout w:type="fixed"/>
        <w:tblCellMar>
          <w:top w:w="0" w:type="dxa"/>
          <w:left w:w="0" w:type="dxa"/>
          <w:bottom w:w="0" w:type="dxa"/>
          <w:right w:w="0" w:type="dxa"/>
        </w:tblCellMar>
      </w:tblPr>
      <w:tblGrid>
        <w:gridCol w:w="3481"/>
        <w:gridCol w:w="109"/>
        <w:gridCol w:w="2851"/>
        <w:gridCol w:w="109"/>
        <w:gridCol w:w="466"/>
        <w:gridCol w:w="316"/>
      </w:tblGrid>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48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 of Beneficial Owner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Shares Beneficially Owned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Percent</w:t>
            </w:r>
          </w:p>
        </w:tc>
      </w:tr>
      <w:tr>
        <w:trPr/>
        <w:tc>
          <w:tcPr>
            <w:tcW w:w="3481"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 Stockholders: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Peter J. Jacullo III, Director</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8,412,699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Peter H. Kamin, Chairman of the Board</w:t>
            </w:r>
            <w:r>
              <w:rPr>
                <w:rFonts w:ascii="Times New Roman;serif" w:hAnsi="Times New Roman;serif"/>
                <w:b w:val="false"/>
                <w:i w:val="false"/>
                <w:caps w:val="false"/>
                <w:smallCaps w:val="false"/>
                <w:position w:val="7"/>
                <w:sz w:val="16"/>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6,956,344</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Fund 1 Investments, LLC</w:t>
            </w:r>
            <w:r>
              <w:rPr>
                <w:rFonts w:ascii="Times New Roman;serif" w:hAnsi="Times New Roman;serif"/>
                <w:b w:val="false"/>
                <w:i w:val="false"/>
                <w:caps w:val="false"/>
                <w:smallCaps w:val="false"/>
                <w:position w:val="7"/>
                <w:sz w:val="16"/>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3,387,190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Savitr Capital LLC</w:t>
            </w:r>
            <w:r>
              <w:rPr>
                <w:rFonts w:ascii="Times New Roman;serif" w:hAnsi="Times New Roman;serif"/>
                <w:b w:val="false"/>
                <w:i w:val="false"/>
                <w:caps w:val="false"/>
                <w:smallCaps w:val="false"/>
                <w:position w:val="7"/>
                <w:sz w:val="16"/>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2,770,535</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Monomoy</w:t>
            </w:r>
            <w:r>
              <w:rPr>
                <w:rFonts w:ascii="Times New Roman;serif" w:hAnsi="Times New Roman;serif"/>
                <w:b w:val="false"/>
                <w:i w:val="false"/>
                <w:caps w:val="false"/>
                <w:smallCaps w:val="false"/>
                <w:position w:val="7"/>
                <w:sz w:val="16"/>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2,531,462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Cannell Capital LLC</w:t>
            </w:r>
            <w:r>
              <w:rPr>
                <w:rFonts w:ascii="Times New Roman;serif" w:hAnsi="Times New Roman;serif"/>
                <w:b w:val="false"/>
                <w:i w:val="false"/>
                <w:caps w:val="false"/>
                <w:smallCaps w:val="false"/>
                <w:position w:val="7"/>
                <w:sz w:val="16"/>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2,453,327</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(1)Based on a Schedule 13D/A filed with the SEC on January 13, 2023 by JWTS, Inc. (“JWTS”), Peter J. Jacullo III, and the Katherine D. Jacullo Children’s 1993 Irrevocable Trust (the “Jacullo Trust”) and a Form 4 filed by Mr. Jacullo with the SEC on June 15, 2023.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515,030 shares of common stock over which he has sole voting and dispositive power, including 20,131 shares of unvested restricted common stock.</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(2)Based on a Schedule 13D/A filed with the SEC on January 13, 2023 by Peter H. Kamin and a Form 4 filed by Mr. Kamin with the SEC on June 15, 2023.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3,447,632 shares of common stock directly held by Mr. Kamin, including 38,248 shares of unvested restricted common stock. Mr. Kamin has sole voting and dispositive power over all such shares.</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(3)Based on a Schedule 13G filed with the SEC on January 10, 2023 by Fund 1 Investments, LLC, as of December 31, 2022, Fund 1 Investments, LLC held shared voting and dispositive power over 3,387,190 shares of common stock. The shares are held for the benefit of private investment vehicles for which Pleasant Lake Partners LLC serves as investment adviser. Fund 1 Investments, LLC serves as managing member of Pleasant Lake Partners LLC. Jonathan Lennon serves as managing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member of Fund 1 Investments, LLC. Each of Fund 1 Investments, LLC, Pleasant Lake Partners LLC and Mr. Lennon disclaims beneficial ownership of the shares except to the extent of its or his pecuniary interest therein. The business address of Fund 1 Investments, LLC is 100 Carr 115 Unit 1900, Rincon, Puerto Rico 00677.</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(5)Based on a Schedule 13G filed with the SEC on February 14, 2023, by Monomoy Capital Partners IV, L.P. (“MCP IV”), Monomoy Capital Partners IV Parallel, L.P. (“MCP IV Parallel”), Monomoy General Partner IV, L.P. (“GP IV”), Monomoy Ultimate GP II, LLC (“Ultimate GP II”), Monomoy Ultimate GP Holdings, LLC (“Ultimate GP Holdings”), Daniel Collin, and Justin Hillenbrand (together with Mr. Collin, Ultimate GP Holdings, Ultimate GP II, GP IV, MCP IV Parallel and MCP IV, the “Monomoy Reporting Persons”), the Monomoy Reporting Persons hold shared voting and dipositive power over the shares reported as held. MCP IV directly holds 1,603,643.44 shares of common stock. MCP IV Parallel directly holds 927,819.56 shares of common stock. GP IV is the general partner of MCP IV and MCP IV Parallel. Ultimate GP II is the general partner of GP IV. Ultimate GP Holdings is the sole member of Ultimate GP II. Ultimate GP Holdings is managed by its members, Mr. Collin and Mr. Hillenbrand. As a result of the foregoing relationships, each of GP IV, Ultimate GP II, Ultimate GP Holdings, Mr. Collin and Mr. Hillenbrand may be deemed to beneficially own the shares of common stock directly held by MCP IV and MCP IV Parallel. Each of Mr. Collin and Mr. Hillenbrand disclaims beneficial ownership of the shares of common stock held by MCP IV and MCP IV Parallel. The business address of the Monomoy Reporting Persons is 1 Greenwich Office Park, Building 1S, 2nd Floor, Greenwich, Connecticut 06831. </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(6)Based on a Schedule 13G/A filed with the SEC on February 13, 2023 by Cannell Capital LLC and J. Carlo Cannell, as of December 31, 2022, Cannell Capital LLC and Mr. Cannell held shared voting and dispositive power over 2,453,327 shares of common stock. Cannell Capital LLC acts as an investment adviser. Mr. Cannell is the managing member of Cannell Capital LLC. The business address of the reporting persons is 245 Meriwether Circle, Alta, Wyoming 83414.</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6" w:name="Exhibits"/>
      <w:bookmarkEnd w:id="36"/>
      <w:r>
        <w:rPr>
          <w:rFonts w:ascii="Times New Roman;serif" w:hAnsi="Times New Roman;serif"/>
          <w:b/>
          <w:i w:val="false"/>
          <w:caps w:val="false"/>
          <w:smallCaps w:val="false"/>
          <w:sz w:val="20"/>
        </w:rPr>
        <w:t>EM 6. EXHIBITS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7"/>
        <w:gridCol w:w="9398"/>
      </w:tblGrid>
      <w:tr>
        <w:trPr/>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9398" w:type="dxa"/>
            <w:tcBorders/>
            <w:shd w:fill="FFFFFF" w:val="clear"/>
            <w:vAlign w:val="center"/>
          </w:tcPr>
          <w:p>
            <w:pPr>
              <w:pStyle w:val="TableContents"/>
              <w:bidi w:val="0"/>
              <w:spacing w:before="0" w:after="283"/>
              <w:jc w:val="left"/>
              <w:rPr>
                <w:sz w:val="4"/>
                <w:szCs w:val="4"/>
              </w:rPr>
            </w:pPr>
            <w:r>
              <w:rPr>
                <w:sz w:val="4"/>
                <w:szCs w:val="4"/>
              </w:rPr>
            </w:r>
          </w:p>
        </w:tc>
      </w:tr>
      <w:tr>
        <w:trPr/>
        <w:tc>
          <w:tcPr>
            <w:tcW w:w="8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Exhibit No.</w:t>
            </w:r>
          </w:p>
        </w:tc>
        <w:tc>
          <w:tcPr>
            <w:tcW w:w="93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Description</w:t>
            </w:r>
          </w:p>
        </w:tc>
      </w:tr>
      <w:tr>
        <w:trPr/>
        <w:tc>
          <w:tcPr>
            <w:tcW w:w="807"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563C1"/>
                  <w:sz w:val="20"/>
                  <w:u w:val="single"/>
                </w:rPr>
                <w:t>3.1</w:t>
              </w:r>
            </w:hyperlink>
          </w:p>
        </w:tc>
        <w:tc>
          <w:tcPr>
            <w:tcW w:w="9398"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563C1"/>
                  <w:sz w:val="20"/>
                  <w:u w:val="single"/>
                </w:rPr>
                <w:t>Certificate of Incorporation of Tile Shop Holdings, Inc. (incorporated by reference to Exhibit 3.1 to the Company’s Registration Statement on Form S-4 (Reg. No. 333-182482) filed with the Securities and Exchange Commission on July 2, 2012).</w:t>
              </w:r>
            </w:hyperlink>
          </w:p>
        </w:tc>
      </w:tr>
      <w:tr>
        <w:trPr/>
        <w:tc>
          <w:tcPr>
            <w:tcW w:w="807" w:type="dxa"/>
            <w:tcBorders/>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563C1"/>
                  <w:sz w:val="20"/>
                  <w:u w:val="single"/>
                </w:rPr>
                <w:t>3.2</w:t>
              </w:r>
            </w:hyperlink>
          </w:p>
        </w:tc>
        <w:tc>
          <w:tcPr>
            <w:tcW w:w="9398"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563C1"/>
                  <w:sz w:val="20"/>
                  <w:u w:val="single"/>
                </w:rPr>
                <w:t>Certificate of Amendment to the Certificate of Incorporation of Tile Shop Holdings, Inc. (incorporated by reference to Exhibit 3.2 to the Company’s Current Report on Form 8-K filed with the Securities and Exchange Commission on July 21, 2021).</w:t>
              </w:r>
            </w:hyperlink>
          </w:p>
        </w:tc>
      </w:tr>
      <w:tr>
        <w:trPr/>
        <w:tc>
          <w:tcPr>
            <w:tcW w:w="807"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563C1"/>
                  <w:sz w:val="20"/>
                  <w:u w:val="single"/>
                </w:rPr>
                <w:t>3.3</w:t>
              </w:r>
            </w:hyperlink>
          </w:p>
        </w:tc>
        <w:tc>
          <w:tcPr>
            <w:tcW w:w="9398"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563C1"/>
                  <w:sz w:val="20"/>
                  <w:u w:val="single"/>
                </w:rPr>
                <w:t>By-Laws of Tile Shop Holdings, Inc. (incorporated by reference to Exhibit 3.2 to the Company’s Registration Statement on Form S-4 (Reg. No. 333-182482) filed with the Securities and Exchange Commission on July 2, 2012).</w:t>
              </w:r>
            </w:hyperlink>
          </w:p>
        </w:tc>
      </w:tr>
      <w:tr>
        <w:trPr/>
        <w:tc>
          <w:tcPr>
            <w:tcW w:w="807" w:type="dxa"/>
            <w:tcBorders/>
            <w:shd w:fill="FFFFFF" w:val="clear"/>
            <w:vAlign w:val="center"/>
          </w:tcPr>
          <w:p>
            <w:pPr>
              <w:pStyle w:val="TableContents"/>
              <w:bidi w:val="0"/>
              <w:spacing w:lineRule="auto" w:line="259" w:before="0" w:after="283"/>
              <w:jc w:val="left"/>
              <w:rPr/>
            </w:pPr>
            <w:hyperlink w:anchor="ttsh-20230630xex31_1.htm">
              <w:r>
                <w:rPr>
                  <w:rStyle w:val="InternetLink"/>
                  <w:rFonts w:ascii="Times New Roman;serif" w:hAnsi="Times New Roman;serif"/>
                  <w:b w:val="false"/>
                  <w:i w:val="false"/>
                  <w:caps w:val="false"/>
                  <w:smallCaps w:val="false"/>
                  <w:color w:val="0563C1"/>
                  <w:sz w:val="20"/>
                  <w:u w:val="single"/>
                </w:rPr>
                <w:t>31.1*</w:t>
              </w:r>
            </w:hyperlink>
          </w:p>
        </w:tc>
        <w:tc>
          <w:tcPr>
            <w:tcW w:w="9398" w:type="dxa"/>
            <w:tcBorders/>
            <w:shd w:fill="FFFFFF" w:val="clear"/>
            <w:vAlign w:val="center"/>
          </w:tcPr>
          <w:p>
            <w:pPr>
              <w:pStyle w:val="TableContents"/>
              <w:bidi w:val="0"/>
              <w:spacing w:lineRule="auto" w:line="259" w:before="0" w:after="283"/>
              <w:jc w:val="left"/>
              <w:rPr/>
            </w:pPr>
            <w:hyperlink w:anchor="ttsh-20230630xex31_1.htm">
              <w:r>
                <w:rPr>
                  <w:rStyle w:val="InternetLink"/>
                  <w:rFonts w:ascii="Times New Roman;serif" w:hAnsi="Times New Roman;serif"/>
                  <w:b w:val="false"/>
                  <w:i w:val="false"/>
                  <w:caps w:val="false"/>
                  <w:smallCaps w:val="false"/>
                  <w:color w:val="0563C1"/>
                  <w:sz w:val="20"/>
                  <w:u w:val="single"/>
                </w:rPr>
                <w:t>Certification of Chief Executive Officer Pursuant to Section 302 of the Sarbanes Oxley Act of 2002.</w:t>
              </w:r>
            </w:hyperlink>
          </w:p>
        </w:tc>
      </w:tr>
      <w:tr>
        <w:trPr/>
        <w:tc>
          <w:tcPr>
            <w:tcW w:w="807" w:type="dxa"/>
            <w:tcBorders/>
            <w:shd w:fill="CCEEFF" w:val="clear"/>
            <w:vAlign w:val="center"/>
          </w:tcPr>
          <w:p>
            <w:pPr>
              <w:pStyle w:val="TableContents"/>
              <w:bidi w:val="0"/>
              <w:spacing w:lineRule="auto" w:line="259" w:before="0" w:after="283"/>
              <w:jc w:val="left"/>
              <w:rPr/>
            </w:pPr>
            <w:hyperlink w:anchor="ttsh-20230630xex31_2.htm">
              <w:r>
                <w:rPr>
                  <w:rStyle w:val="InternetLink"/>
                  <w:rFonts w:ascii="Times New Roman;serif" w:hAnsi="Times New Roman;serif"/>
                  <w:b w:val="false"/>
                  <w:i w:val="false"/>
                  <w:caps w:val="false"/>
                  <w:smallCaps w:val="false"/>
                  <w:color w:val="0563C1"/>
                  <w:sz w:val="20"/>
                  <w:u w:val="single"/>
                </w:rPr>
                <w:t>31. 2*</w:t>
              </w:r>
            </w:hyperlink>
          </w:p>
        </w:tc>
        <w:tc>
          <w:tcPr>
            <w:tcW w:w="9398" w:type="dxa"/>
            <w:tcBorders/>
            <w:shd w:fill="CCEEFF" w:val="clear"/>
            <w:vAlign w:val="center"/>
          </w:tcPr>
          <w:p>
            <w:pPr>
              <w:pStyle w:val="TableContents"/>
              <w:bidi w:val="0"/>
              <w:spacing w:lineRule="auto" w:line="259" w:before="0" w:after="283"/>
              <w:jc w:val="left"/>
              <w:rPr/>
            </w:pPr>
            <w:hyperlink w:anchor="ttsh-20230630xex31_2.htm">
              <w:r>
                <w:rPr>
                  <w:rStyle w:val="InternetLink"/>
                  <w:rFonts w:ascii="Times New Roman;serif" w:hAnsi="Times New Roman;serif"/>
                  <w:b w:val="false"/>
                  <w:i w:val="false"/>
                  <w:caps w:val="false"/>
                  <w:smallCaps w:val="false"/>
                  <w:color w:val="0563C1"/>
                  <w:sz w:val="20"/>
                  <w:u w:val="single"/>
                </w:rPr>
                <w:t>Certification of Chief Financial Officer Pursuant to Section 302 of the Sarbanes Oxley Act of 2002.</w:t>
              </w:r>
            </w:hyperlink>
          </w:p>
        </w:tc>
      </w:tr>
      <w:tr>
        <w:trPr/>
        <w:tc>
          <w:tcPr>
            <w:tcW w:w="807" w:type="dxa"/>
            <w:tcBorders/>
            <w:shd w:fill="FFFFFF" w:val="clear"/>
            <w:vAlign w:val="center"/>
          </w:tcPr>
          <w:p>
            <w:pPr>
              <w:pStyle w:val="TableContents"/>
              <w:bidi w:val="0"/>
              <w:spacing w:lineRule="auto" w:line="259" w:before="0" w:after="283"/>
              <w:jc w:val="left"/>
              <w:rPr/>
            </w:pPr>
            <w:hyperlink w:anchor="ttsh-20230630xex32_1.htm">
              <w:r>
                <w:rPr>
                  <w:rStyle w:val="InternetLink"/>
                  <w:rFonts w:ascii="Times New Roman;serif" w:hAnsi="Times New Roman;serif"/>
                  <w:b w:val="false"/>
                  <w:i w:val="false"/>
                  <w:caps w:val="false"/>
                  <w:smallCaps w:val="false"/>
                  <w:color w:val="0563C1"/>
                  <w:sz w:val="20"/>
                  <w:u w:val="single"/>
                </w:rPr>
                <w:t>32.1**</w:t>
              </w:r>
            </w:hyperlink>
          </w:p>
        </w:tc>
        <w:tc>
          <w:tcPr>
            <w:tcW w:w="9398" w:type="dxa"/>
            <w:tcBorders/>
            <w:shd w:fill="FFFFFF" w:val="clear"/>
            <w:vAlign w:val="center"/>
          </w:tcPr>
          <w:p>
            <w:pPr>
              <w:pStyle w:val="TableContents"/>
              <w:bidi w:val="0"/>
              <w:spacing w:lineRule="auto" w:line="259" w:before="0" w:after="283"/>
              <w:jc w:val="left"/>
              <w:rPr/>
            </w:pPr>
            <w:hyperlink w:anchor="ttsh-20230630xex32_1.htm">
              <w:r>
                <w:rPr>
                  <w:rStyle w:val="InternetLink"/>
                  <w:rFonts w:ascii="Times New Roman;serif" w:hAnsi="Times New Roman;serif"/>
                  <w:b w:val="false"/>
                  <w:i w:val="false"/>
                  <w:caps w:val="false"/>
                  <w:smallCaps w:val="false"/>
                  <w:color w:val="0563C1"/>
                  <w:sz w:val="20"/>
                  <w:u w:val="single"/>
                </w:rPr>
                <w:t>Certifications of Chief Executive Officer Pursuant to Section 906 of the Sarbanes Oxley Act of 2002.</w:t>
              </w:r>
            </w:hyperlink>
          </w:p>
        </w:tc>
      </w:tr>
      <w:tr>
        <w:trPr/>
        <w:tc>
          <w:tcPr>
            <w:tcW w:w="807" w:type="dxa"/>
            <w:tcBorders/>
            <w:shd w:fill="CCEEFF" w:val="clear"/>
            <w:vAlign w:val="center"/>
          </w:tcPr>
          <w:p>
            <w:pPr>
              <w:pStyle w:val="TableContents"/>
              <w:bidi w:val="0"/>
              <w:spacing w:lineRule="auto" w:line="259" w:before="0" w:after="283"/>
              <w:jc w:val="left"/>
              <w:rPr/>
            </w:pPr>
            <w:hyperlink w:anchor="ttsh-20230630xex32_2.htm">
              <w:r>
                <w:rPr>
                  <w:rStyle w:val="InternetLink"/>
                  <w:rFonts w:ascii="Times New Roman;serif" w:hAnsi="Times New Roman;serif"/>
                  <w:b w:val="false"/>
                  <w:i w:val="false"/>
                  <w:caps w:val="false"/>
                  <w:smallCaps w:val="false"/>
                  <w:color w:val="0563C1"/>
                  <w:sz w:val="20"/>
                  <w:u w:val="single"/>
                </w:rPr>
                <w:t>32.2**</w:t>
              </w:r>
            </w:hyperlink>
          </w:p>
        </w:tc>
        <w:tc>
          <w:tcPr>
            <w:tcW w:w="9398" w:type="dxa"/>
            <w:tcBorders/>
            <w:shd w:fill="CCEEFF" w:val="clear"/>
            <w:vAlign w:val="center"/>
          </w:tcPr>
          <w:p>
            <w:pPr>
              <w:pStyle w:val="TableContents"/>
              <w:bidi w:val="0"/>
              <w:spacing w:lineRule="auto" w:line="259" w:before="0" w:after="283"/>
              <w:jc w:val="left"/>
              <w:rPr/>
            </w:pPr>
            <w:hyperlink w:anchor="ttsh-20230630xex32_2.htm">
              <w:r>
                <w:rPr>
                  <w:rStyle w:val="InternetLink"/>
                  <w:rFonts w:ascii="Times New Roman;serif" w:hAnsi="Times New Roman;serif"/>
                  <w:b w:val="false"/>
                  <w:i w:val="false"/>
                  <w:caps w:val="false"/>
                  <w:smallCaps w:val="false"/>
                  <w:color w:val="0563C1"/>
                  <w:sz w:val="20"/>
                  <w:u w:val="single"/>
                </w:rPr>
                <w:t>Certifications of Chief Financial Officer Pursuant to Section 906 of the Sarbanes Oxley Act of 2002.</w:t>
              </w:r>
            </w:hyperlink>
          </w:p>
        </w:tc>
      </w:tr>
      <w:tr>
        <w:trPr/>
        <w:tc>
          <w:tcPr>
            <w:tcW w:w="8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3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Quarterly Report on Form 10-Q for the quarter ended June 30, 2023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w:t>
            </w:r>
          </w:p>
        </w:tc>
      </w:tr>
      <w:tr>
        <w:trPr/>
        <w:tc>
          <w:tcPr>
            <w:tcW w:w="8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3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Filed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7" w:name="Signatures"/>
      <w:bookmarkEnd w:id="37"/>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1951"/>
        <w:gridCol w:w="451"/>
        <w:gridCol w:w="24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92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August 3, 2023</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24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tbl>
      <w:tblPr>
        <w:tblW w:w="4559" w:type="dxa"/>
        <w:jc w:val="left"/>
        <w:tblInd w:w="0" w:type="dxa"/>
        <w:tblLayout w:type="fixed"/>
        <w:tblCellMar>
          <w:top w:w="0" w:type="dxa"/>
          <w:left w:w="0" w:type="dxa"/>
          <w:bottom w:w="0" w:type="dxa"/>
          <w:right w:w="0" w:type="dxa"/>
        </w:tblCellMar>
      </w:tblPr>
      <w:tblGrid>
        <w:gridCol w:w="1951"/>
        <w:gridCol w:w="451"/>
        <w:gridCol w:w="196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August 3, 2023</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19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KARLA LUNAN</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Karla Lunan</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uto" w:line="240" w:before="0" w:after="0"/>
        <w:ind w:left="1440" w:right="1440" w:hanging="0"/>
        <w:jc w:val="right"/>
        <w:rPr>
          <w:rFonts w:ascii="Times New Roman" w:hAnsi="Times New Roman"/>
          <w:sz w:val="20"/>
        </w:rPr>
      </w:pPr>
      <w:bookmarkStart w:id="38" w:name="ttsh-20230630xex31_1.htm"/>
      <w:bookmarkStart w:id="39" w:name="ksttsh20230630xex31_1"/>
      <w:bookmarkEnd w:id="38"/>
      <w:bookmarkEnd w:id="39"/>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Cabell H. Lolmaugh,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4165" w:type="dxa"/>
        <w:jc w:val="left"/>
        <w:tblInd w:w="1440" w:type="dxa"/>
        <w:tblLayout w:type="fixed"/>
        <w:tblCellMar>
          <w:top w:w="0" w:type="dxa"/>
          <w:left w:w="0" w:type="dxa"/>
          <w:bottom w:w="0" w:type="dxa"/>
          <w:right w:w="0" w:type="dxa"/>
        </w:tblCellMar>
      </w:tblPr>
      <w:tblGrid>
        <w:gridCol w:w="1760"/>
        <w:gridCol w:w="2405"/>
      </w:tblGrid>
      <w:tr>
        <w:trPr/>
        <w:tc>
          <w:tcPr>
            <w:tcW w:w="176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August 3, 2023</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CABELL H. LOLMAUGH</w:t>
            </w:r>
          </w:p>
        </w:tc>
      </w:tr>
      <w:tr>
        <w:trPr/>
        <w:tc>
          <w:tcPr>
            <w:tcW w:w="1760" w:type="dxa"/>
            <w:tcBorders/>
          </w:tcPr>
          <w:p>
            <w:pPr>
              <w:pStyle w:val="TableContents"/>
              <w:bidi w:val="0"/>
              <w:spacing w:lineRule="auto" w:line="240" w:before="0" w:after="0"/>
              <w:ind w:left="0" w:right="0" w:hanging="0"/>
              <w:jc w:val="left"/>
              <w:rPr/>
            </w:pPr>
            <w:r>
              <w:rPr/>
              <w:t> </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Cabell H. Lolmaugh</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0" w:name="ttsh-20230630xex31_2.htm"/>
      <w:bookmarkStart w:id="41" w:name="ksttsh20230630xex31_2"/>
      <w:bookmarkEnd w:id="40"/>
      <w:bookmarkEnd w:id="41"/>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Karla Lunan,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715" w:type="dxa"/>
        <w:jc w:val="left"/>
        <w:tblInd w:w="1440" w:type="dxa"/>
        <w:tblLayout w:type="fixed"/>
        <w:tblCellMar>
          <w:top w:w="0" w:type="dxa"/>
          <w:left w:w="0" w:type="dxa"/>
          <w:bottom w:w="0" w:type="dxa"/>
          <w:right w:w="0" w:type="dxa"/>
        </w:tblCellMar>
      </w:tblPr>
      <w:tblGrid>
        <w:gridCol w:w="1760"/>
        <w:gridCol w:w="1955"/>
      </w:tblGrid>
      <w:tr>
        <w:trPr/>
        <w:tc>
          <w:tcPr>
            <w:tcW w:w="176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August 3, 2023</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Karla Lunan</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Karla Lunan,</w:t>
            </w:r>
          </w:p>
        </w:tc>
      </w:tr>
      <w:tr>
        <w:trPr/>
        <w:tc>
          <w:tcPr>
            <w:tcW w:w="1760" w:type="dxa"/>
            <w:tcBorders/>
          </w:tcPr>
          <w:p>
            <w:pPr>
              <w:pStyle w:val="TableContents"/>
              <w:bidi w:val="0"/>
              <w:spacing w:lineRule="auto" w:line="240" w:before="0" w:after="0"/>
              <w:ind w:left="0" w:right="0" w:hanging="0"/>
              <w:jc w:val="left"/>
              <w:rPr>
                <w:rFonts w:cs="Times New Roman"/>
                <w:iCs/>
                <w:color w:val="000000"/>
                <w:szCs w:val="20"/>
              </w:rPr>
            </w:pPr>
            <w:r>
              <w:rPr>
                <w:rFonts w:cs="Times New Roman"/>
                <w:iCs/>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2" w:name="ttsh-20230630xex32_1.htm"/>
      <w:bookmarkStart w:id="43" w:name="ksttsh20230630xex32_1"/>
      <w:bookmarkEnd w:id="42"/>
      <w:bookmarkEnd w:id="43"/>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Quarterly Report on Form 10-Q of the Company for the period ended June  30, 2023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4165" w:type="dxa"/>
        <w:jc w:val="left"/>
        <w:tblInd w:w="1440" w:type="dxa"/>
        <w:tblLayout w:type="fixed"/>
        <w:tblCellMar>
          <w:top w:w="0" w:type="dxa"/>
          <w:left w:w="0" w:type="dxa"/>
          <w:bottom w:w="0" w:type="dxa"/>
          <w:right w:w="0" w:type="dxa"/>
        </w:tblCellMar>
      </w:tblPr>
      <w:tblGrid>
        <w:gridCol w:w="1760"/>
        <w:gridCol w:w="2405"/>
      </w:tblGrid>
      <w:tr>
        <w:trPr/>
        <w:tc>
          <w:tcPr>
            <w:tcW w:w="176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August 3, 2023</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CABELL H. LOLMAUGH</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Cabell H. Lolmaugh</w:t>
            </w:r>
          </w:p>
        </w:tc>
      </w:tr>
      <w:tr>
        <w:trPr/>
        <w:tc>
          <w:tcPr>
            <w:tcW w:w="176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4" w:name="ttsh-20230630xex32_2.htm"/>
      <w:bookmarkStart w:id="45" w:name="ksttsh20230630xex32_2"/>
      <w:bookmarkEnd w:id="44"/>
      <w:bookmarkEnd w:id="45"/>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Karla Lunan, the Chief Financial Officer of Tile Shop Holdings, Inc. (the “Company”), hereby certify that the Quarterly Report on Form 10-Q of the Company for the period ended June  30, 2023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715" w:type="dxa"/>
        <w:jc w:val="left"/>
        <w:tblInd w:w="1440" w:type="dxa"/>
        <w:tblLayout w:type="fixed"/>
        <w:tblCellMar>
          <w:top w:w="0" w:type="dxa"/>
          <w:left w:w="0" w:type="dxa"/>
          <w:bottom w:w="0" w:type="dxa"/>
          <w:right w:w="0" w:type="dxa"/>
        </w:tblCellMar>
      </w:tblPr>
      <w:tblGrid>
        <w:gridCol w:w="1760"/>
        <w:gridCol w:w="1955"/>
      </w:tblGrid>
      <w:tr>
        <w:trPr/>
        <w:tc>
          <w:tcPr>
            <w:tcW w:w="176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August 3, 2023</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Karla Lunan</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Karla Lunan,</w:t>
            </w:r>
          </w:p>
        </w:tc>
      </w:tr>
      <w:tr>
        <w:trPr/>
        <w:tc>
          <w:tcPr>
            <w:tcW w:w="176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sz w:val="20"/>
              </w:rPr>
            </w:pPr>
            <w:r>
              <w:rPr>
                <w:rFonts w:ascii="Times New Roman" w:hAnsi="Times New Roman"/>
                <w:i/>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1"/>
    <w:family w:val="auto"/>
    <w:pitch w:val="default"/>
  </w:font>
  <w:font w:name="Cambria Math">
    <w:charset w:val="01"/>
    <w:family w:val="auto"/>
    <w:pitch w:val="default"/>
  </w:font>
  <w:font w:name="Symbo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2800/000114420412037509/v316486_ex3-1.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0465921094416/tm2122262d1_ex3-2.htm" TargetMode="External"/><Relationship Id="rId5" Type="http://schemas.openxmlformats.org/officeDocument/2006/relationships/hyperlink" Target="http://www.sec.gov/Archives/edgar/data/1552800/000110465921094416/tm2122262d1_ex3-2.htm" TargetMode="External"/><Relationship Id="rId6" Type="http://schemas.openxmlformats.org/officeDocument/2006/relationships/hyperlink" Target="http://www.sec.gov/Archives/edgar/data/1552800/000114420412037509/v316486_ex3-2.htm" TargetMode="External"/><Relationship Id="rId7" Type="http://schemas.openxmlformats.org/officeDocument/2006/relationships/hyperlink" Target="http://www.sec.gov/Archives/edgar/data/1552800/000114420412037509/v316486_ex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14217</Words>
  <Characters>75869</Characters>
  <CharactersWithSpaces>88525</CharactersWithSpaces>
  <Paragraphs>1875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