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3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3882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884"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KINDER JOSEPH</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6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58"/>
        </w:trPr>
        <w:tc>
          <w:tcPr>
            <w:tcW w:w="20" w:type="dxa"/>
            <w:vAlign w:val="bottom"/>
          </w:tcPr>
          <w:p>
            <w:pPr>
              <w:spacing w:after="0"/>
              <w:rPr>
                <w:sz w:val="22"/>
                <w:szCs w:val="22"/>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MN</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55441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6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TILE SHOP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TTSH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SVP, Chief Merchant Officer</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88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89,479</w:t>
            </w:r>
            <w:r>
              <w:rPr>
                <w:rFonts w:ascii="Times New Roman" w:cs="Times New Roman" w:eastAsia="Times New Roman" w:hAnsi="Times New Roman"/>
                <w:sz w:val="21"/>
                <w:szCs w:val="21"/>
                <w:color w:val="008000"/>
                <w:vertAlign w:val="superscript"/>
              </w:rPr>
              <w:t>(1)(2)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80,000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26,900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26,900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07/20/2028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3,086 shares of restricted stock for which the risks of forfeiture will lapse on 3/6/26; (ii) 5,041 shares of restricted stock for which the risks of forfeiture will lapse in equal annual installments on each of 3/4/26 and 3/4/27; (iii) 9,028 shares of restricted stock for which the risks of forfeiture will lapse in equal annual installments on each of 3/3/26, 3/3/27 and 3/3/28; and</w:t>
      </w:r>
    </w:p>
    <w:p>
      <w:pPr>
        <w:spacing w:after="0" w:line="17" w:lineRule="exact"/>
        <w:rPr>
          <w:rFonts w:ascii="Times New Roman" w:cs="Times New Roman" w:eastAsia="Times New Roman" w:hAnsi="Times New Roman"/>
          <w:sz w:val="13"/>
          <w:szCs w:val="13"/>
          <w:color w:val="008000"/>
        </w:rPr>
      </w:pPr>
    </w:p>
    <w:p>
      <w:pPr>
        <w:ind w:left="40" w:right="200" w:firstLine="2"/>
        <w:spacing w:after="0" w:line="263"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(iv) the following shares of performance-based restricted stock, which are, in each case, subject to Mr. Kinder remaining in continuous employment with the Issuer through December 31 of the year preceding the applicable vesting date and the Issuer achieving its performance target for each respective year: (A) 6,049 shares for which the risks of forfeiture will lapse on the date the Issuer releases its annual financial statements for the 2026 fiscal year; and (B)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14"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B. Davis, as Attorney-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5217"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2026-03-03T15:33:10Z</dcterms:created>
  <dcterms:modified xsi:type="dcterms:W3CDTF">2026-03-03T15:33:10Z</dcterms:modified>
</cp:coreProperties>
</file>