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5232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2323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917"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Mark Burton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200" w:type="dxa"/>
            <w:vAlign w:val="bottom"/>
          </w:tcPr>
          <w:p>
            <w:pPr>
              <w:ind w:left="1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TILE SHOP HOLDINGS, INC.</w:t>
            </w:r>
          </w:p>
        </w:tc>
      </w:tr>
      <w:tr>
        <w:trPr>
          <w:trHeight w:val="260"/>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14000 CARLSON PARKWAY</w:t>
            </w:r>
          </w:p>
        </w:tc>
        <w:tc>
          <w:tcPr>
            <w:tcW w:w="134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PLYMOUTH</w:t>
            </w:r>
          </w:p>
        </w:tc>
        <w:tc>
          <w:tcPr>
            <w:tcW w:w="12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MN</w:t>
            </w: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55441</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200" w:type="dxa"/>
            <w:vAlign w:val="bottom"/>
          </w:tcPr>
          <w:p>
            <w:pPr>
              <w:ind w:left="14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TILE SHOP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TTSH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520" w:type="dxa"/>
            <w:vAlign w:val="bottom"/>
            <w:tcBorders>
              <w:top w:val="single" w:sz="8" w:color="0000EE"/>
            </w:tcBorders>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25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Senior VP, CFO and Secretary</w:t>
            </w:r>
          </w:p>
        </w:tc>
        <w:tc>
          <w:tcPr>
            <w:tcW w:w="0" w:type="dxa"/>
            <w:vAlign w:val="bottom"/>
          </w:tcPr>
          <w:p>
            <w:pPr>
              <w:spacing w:after="0"/>
              <w:rPr>
                <w:sz w:val="1"/>
                <w:szCs w:val="1"/>
                <w:color w:val="auto"/>
              </w:rPr>
            </w:pPr>
          </w:p>
        </w:tc>
      </w:tr>
      <w:tr>
        <w:trPr>
          <w:trHeight w:val="219"/>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03/06/2026</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40" w:space="100"/>
            <w:col w:w="7240"/>
          </w:cols>
          <w:pgMar w:left="460" w:top="216" w:right="359" w:bottom="91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03/06/2026</w:t>
            </w:r>
          </w:p>
        </w:tc>
        <w:tc>
          <w:tcPr>
            <w:tcW w:w="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5"/>
              </w:rPr>
              <w:t>1,108</w:t>
            </w:r>
            <w:r>
              <w:rPr>
                <w:rFonts w:ascii="Times New Roman" w:cs="Times New Roman" w:eastAsia="Times New Roman" w:hAnsi="Times New Roman"/>
                <w:sz w:val="21"/>
                <w:szCs w:val="21"/>
                <w:color w:val="008000"/>
                <w:w w:val="95"/>
                <w:vertAlign w:val="superscript"/>
              </w:rPr>
              <w:t>(1)</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3.34</w:t>
            </w:r>
          </w:p>
        </w:tc>
        <w:tc>
          <w:tcPr>
            <w:tcW w:w="1300" w:type="dxa"/>
            <w:vAlign w:val="bottom"/>
            <w:tcBorders>
              <w:bottom w:val="single" w:sz="8" w:color="2C2C2C"/>
            </w:tcBorders>
            <w:gridSpan w:val="3"/>
          </w:tcPr>
          <w:p>
            <w:pPr>
              <w:ind w:left="280"/>
              <w:spacing w:after="0"/>
              <w:rPr>
                <w:sz w:val="20"/>
                <w:szCs w:val="20"/>
                <w:color w:val="auto"/>
              </w:rPr>
            </w:pPr>
            <w:r>
              <w:rPr>
                <w:rFonts w:ascii="Times New Roman" w:cs="Times New Roman" w:eastAsia="Times New Roman" w:hAnsi="Times New Roman"/>
                <w:sz w:val="17"/>
                <w:szCs w:val="17"/>
                <w:color w:val="0000FF"/>
              </w:rPr>
              <w:t>105,880</w:t>
            </w:r>
            <w:r>
              <w:rPr>
                <w:rFonts w:ascii="Times New Roman" w:cs="Times New Roman" w:eastAsia="Times New Roman" w:hAnsi="Times New Roman"/>
                <w:sz w:val="21"/>
                <w:szCs w:val="21"/>
                <w:color w:val="008000"/>
                <w:vertAlign w:val="superscript"/>
              </w:rPr>
              <w:t>(2)(3)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2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11/06/2027</w:t>
            </w:r>
          </w:p>
        </w:tc>
        <w:tc>
          <w:tcPr>
            <w:tcW w:w="66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5,400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5,400</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3.41</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03/02/2036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8"/>
              </w:rPr>
              <w:t>80,000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80,000</w:t>
            </w:r>
          </w:p>
        </w:tc>
        <w:tc>
          <w:tcPr>
            <w:tcW w:w="26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4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elected to satisfy his tax withholding obligation in connection with the vesting of a prior restricted stock grant by directing the Issuer to withhold shares otherwise issuable upon vesting of the previously reported grant.</w:t>
      </w:r>
    </w:p>
    <w:p>
      <w:pPr>
        <w:spacing w:after="0" w:line="15"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2,520 shares of restricted stock for which the risks of forfeiture will lapse on 3/4/27; (ii) 1,642 shares of restricted stock for which the risks of forfeiture will lapse in equal annual installments on each of 5/13/26 and 5/13/27; (iii) 6,018 shares of restricted stock for which the risks of forfeiture will lapse in equal annual installments on each of 3/3/27 and 3/3/28; and (iv) the following shares of performance-based restricted stock, which are, in each case, subject to Mr. Davis remaining in continuous employment with the Issuer through December 31 of the year preceding the applicable vesting date and the Issuer achieving its performance target for each respective year:</w:t>
      </w:r>
    </w:p>
    <w:p>
      <w:pPr>
        <w:spacing w:after="0" w:line="28" w:lineRule="exact"/>
        <w:rPr>
          <w:rFonts w:ascii="Times New Roman" w:cs="Times New Roman" w:eastAsia="Times New Roman" w:hAnsi="Times New Roman"/>
          <w:sz w:val="13"/>
          <w:szCs w:val="13"/>
          <w:color w:val="008000"/>
        </w:rPr>
      </w:pPr>
    </w:p>
    <w:p>
      <w:pPr>
        <w:ind w:left="40" w:right="18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 (A) 6,049 shares for which the risks of forfeiture will lapse on the date the Issuer releases its annual financial statements for the 2026 fiscal year; (B) 1,972 shares for which the risks of forfeiture will lapse on the date the Issuer releases its annual financial statements for the 2026 fiscal year; and (C) 12,638 shares for which the risks of forfeiture will lapse as to 30% and 40% of the initial number of shares granted on each of the dates the Issuer releases its annual financial statements for the 2026 and 2027 fiscal years, respectively. The Issuer's Form 10-K for the year ended December 31, 2025 contains additional information regarding the applicable performance targets.</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in three substantially equal installments on each of 3/2/2027, 3/2/2028 and 3/2/2029, subject to continuous employment as of the applicable vesting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exercisable.</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Mark B. Davis</w:t>
            </w:r>
          </w:p>
        </w:tc>
        <w:tc>
          <w:tcPr>
            <w:tcW w:w="10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03/09/2026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7766" TargetMode="External"/><Relationship Id="rId14" Type="http://schemas.openxmlformats.org/officeDocument/2006/relationships/hyperlink" Target="http://www.sec.gov/cgi-bin/browse-edgar?action=getcompany&amp;CIK=000155280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2026-03-09T15:22:15Z</dcterms:created>
  <dcterms:modified xsi:type="dcterms:W3CDTF">2026-03-09T15:22:15Z</dcterms:modified>
</cp:coreProperties>
</file>