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jc w:val="center"/>
        <w:ind w:right="-7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119"/>
        <w:spacing w:after="0" w:line="225" w:lineRule="auto"/>
        <w:rPr>
          <w:sz w:val="20"/>
          <w:szCs w:val="20"/>
          <w:color w:val="auto"/>
        </w:rPr>
      </w:pPr>
      <w:r>
        <w:rPr>
          <w:rFonts w:ascii="Arial" w:cs="Arial" w:eastAsia="Arial" w:hAnsi="Arial"/>
          <w:sz w:val="18"/>
          <w:szCs w:val="18"/>
          <w:b w:val="1"/>
          <w:bCs w:val="1"/>
          <w:color w:val="auto"/>
        </w:rPr>
        <w:t>Washington, D.C. 20549</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1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10-Q</w:t>
      </w:r>
    </w:p>
    <w:p>
      <w:pPr>
        <w:ind w:left="4580"/>
        <w:spacing w:after="0" w:line="224" w:lineRule="auto"/>
        <w:rPr>
          <w:sz w:val="20"/>
          <w:szCs w:val="20"/>
          <w:color w:val="auto"/>
        </w:rPr>
      </w:pPr>
      <w:r>
        <w:rPr>
          <w:rFonts w:ascii="Arial" w:cs="Arial" w:eastAsia="Arial" w:hAnsi="Arial"/>
          <w:sz w:val="14"/>
          <w:szCs w:val="14"/>
          <w:color w:val="auto"/>
        </w:rPr>
        <w:t>_____________________________</w:t>
      </w:r>
    </w:p>
    <w:p>
      <w:pPr>
        <w:ind w:left="60"/>
        <w:spacing w:after="0"/>
        <w:rPr>
          <w:sz w:val="20"/>
          <w:szCs w:val="20"/>
          <w:color w:val="auto"/>
        </w:rPr>
      </w:pPr>
      <w:r>
        <w:rPr>
          <w:rFonts w:ascii="Arial" w:cs="Arial" w:eastAsia="Arial" w:hAnsi="Arial"/>
          <w:sz w:val="18"/>
          <w:szCs w:val="18"/>
          <w:color w:val="auto"/>
        </w:rPr>
        <w:t>(Mark One)</w:t>
      </w:r>
    </w:p>
    <w:p>
      <w:pPr>
        <w:spacing w:after="0" w:line="165" w:lineRule="exact"/>
        <w:rPr>
          <w:sz w:val="24"/>
          <w:szCs w:val="24"/>
          <w:color w:val="auto"/>
        </w:rPr>
      </w:pPr>
    </w:p>
    <w:p>
      <w:pPr>
        <w:ind w:left="340" w:hanging="319"/>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7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2020</w:t>
      </w:r>
    </w:p>
    <w:p>
      <w:pPr>
        <w:spacing w:after="0" w:line="13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OR</w:t>
      </w:r>
    </w:p>
    <w:p>
      <w:pPr>
        <w:spacing w:after="0" w:line="333" w:lineRule="exact"/>
        <w:rPr>
          <w:sz w:val="24"/>
          <w:szCs w:val="24"/>
          <w:color w:val="auto"/>
        </w:rPr>
      </w:pPr>
    </w:p>
    <w:p>
      <w:pPr>
        <w:ind w:left="4220" w:right="1620" w:hanging="4199"/>
        <w:spacing w:after="0" w:line="391" w:lineRule="auto"/>
        <w:tabs>
          <w:tab w:leader="none" w:pos="337"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 For the transition period from – to –</w:t>
      </w:r>
    </w:p>
    <w:p>
      <w:pPr>
        <w:spacing w:after="0" w:line="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001-35629</w:t>
      </w:r>
    </w:p>
    <w:p>
      <w:pPr>
        <w:spacing w:after="0" w:line="7" w:lineRule="exact"/>
        <w:rPr>
          <w:sz w:val="24"/>
          <w:szCs w:val="24"/>
          <w:color w:val="auto"/>
        </w:rPr>
      </w:pPr>
    </w:p>
    <w:p>
      <w:pPr>
        <w:ind w:left="4580"/>
        <w:spacing w:after="0"/>
        <w:rPr>
          <w:sz w:val="20"/>
          <w:szCs w:val="20"/>
          <w:color w:val="auto"/>
        </w:rPr>
      </w:pPr>
      <w:r>
        <w:rPr>
          <w:rFonts w:ascii="Arial" w:cs="Arial" w:eastAsia="Arial" w:hAnsi="Arial"/>
          <w:sz w:val="14"/>
          <w:szCs w:val="14"/>
          <w:color w:val="auto"/>
        </w:rPr>
        <w:t>_____________________________</w:t>
      </w:r>
    </w:p>
    <w:p>
      <w:pPr>
        <w:spacing w:after="0" w:line="88"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TILE SHOP HOLDINGS, INC.</w:t>
      </w: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ind w:left="4580"/>
        <w:spacing w:after="0"/>
        <w:rPr>
          <w:sz w:val="20"/>
          <w:szCs w:val="20"/>
          <w:color w:val="auto"/>
        </w:rPr>
      </w:pPr>
      <w:r>
        <w:rPr>
          <w:rFonts w:ascii="Arial" w:cs="Arial" w:eastAsia="Arial" w:hAnsi="Arial"/>
          <w:sz w:val="14"/>
          <w:szCs w:val="14"/>
          <w:color w:val="auto"/>
        </w:rPr>
        <w:t>_____________________________</w:t>
      </w:r>
    </w:p>
    <w:p>
      <w:pPr>
        <w:spacing w:after="0" w:line="106" w:lineRule="exact"/>
        <w:rPr>
          <w:sz w:val="24"/>
          <w:szCs w:val="24"/>
          <w:color w:val="auto"/>
        </w:rPr>
      </w:pPr>
    </w:p>
    <w:tbl>
      <w:tblPr>
        <w:tblLayout w:type="fixed"/>
        <w:tblInd w:w="500" w:type="dxa"/>
        <w:tblCellMar>
          <w:top w:w="0" w:type="dxa"/>
          <w:left w:w="0" w:type="dxa"/>
          <w:bottom w:w="0" w:type="dxa"/>
          <w:right w:w="0" w:type="dxa"/>
        </w:tblCellMar>
      </w:tblPr>
      <w:tr>
        <w:trPr>
          <w:trHeight w:val="207"/>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93"/>
              </w:rPr>
              <w:t>Delaware</w:t>
            </w:r>
          </w:p>
        </w:tc>
        <w:tc>
          <w:tcPr>
            <w:tcW w:w="3700" w:type="dxa"/>
            <w:vAlign w:val="bottom"/>
          </w:tcPr>
          <w:p>
            <w:pPr>
              <w:jc w:val="right"/>
              <w:ind w:right="850"/>
              <w:spacing w:after="0"/>
              <w:rPr>
                <w:sz w:val="20"/>
                <w:szCs w:val="20"/>
                <w:color w:val="auto"/>
              </w:rPr>
            </w:pPr>
            <w:r>
              <w:rPr>
                <w:rFonts w:ascii="Arial" w:cs="Arial" w:eastAsia="Arial" w:hAnsi="Arial"/>
                <w:sz w:val="18"/>
                <w:szCs w:val="18"/>
                <w:b w:val="1"/>
                <w:bCs w:val="1"/>
                <w:color w:val="auto"/>
              </w:rPr>
              <w:t>45-5538095</w:t>
            </w:r>
          </w:p>
        </w:tc>
      </w:tr>
      <w:tr>
        <w:trPr>
          <w:trHeight w:val="234"/>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(State or other jurisdiction of incorporation or organization)</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(I.R.S. Employer Identification No.)</w:t>
            </w:r>
          </w:p>
        </w:tc>
      </w:tr>
      <w:tr>
        <w:trPr>
          <w:trHeight w:val="360"/>
        </w:trPr>
        <w:tc>
          <w:tcPr>
            <w:tcW w:w="5600" w:type="dxa"/>
            <w:vAlign w:val="bottom"/>
          </w:tcPr>
          <w:p>
            <w:pPr>
              <w:jc w:val="center"/>
              <w:ind w:right="870"/>
              <w:spacing w:after="0"/>
              <w:rPr>
                <w:sz w:val="20"/>
                <w:szCs w:val="20"/>
                <w:color w:val="auto"/>
              </w:rPr>
            </w:pPr>
            <w:r>
              <w:rPr>
                <w:rFonts w:ascii="Arial" w:cs="Arial" w:eastAsia="Arial" w:hAnsi="Arial"/>
                <w:sz w:val="18"/>
                <w:szCs w:val="18"/>
                <w:b w:val="1"/>
                <w:bCs w:val="1"/>
                <w:color w:val="auto"/>
                <w:w w:val="91"/>
              </w:rPr>
              <w:t>14000 Carlson Parkway</w:t>
            </w:r>
          </w:p>
        </w:tc>
        <w:tc>
          <w:tcPr>
            <w:tcW w:w="3700" w:type="dxa"/>
            <w:vAlign w:val="bottom"/>
          </w:tcPr>
          <w:p>
            <w:pPr>
              <w:spacing w:after="0"/>
              <w:rPr>
                <w:sz w:val="24"/>
                <w:szCs w:val="24"/>
                <w:color w:val="auto"/>
              </w:rPr>
            </w:pPr>
          </w:p>
        </w:tc>
      </w:tr>
      <w:tr>
        <w:trPr>
          <w:trHeight w:val="189"/>
        </w:trPr>
        <w:tc>
          <w:tcPr>
            <w:tcW w:w="5600" w:type="dxa"/>
            <w:vAlign w:val="bottom"/>
          </w:tcPr>
          <w:p>
            <w:pPr>
              <w:jc w:val="center"/>
              <w:ind w:right="930"/>
              <w:spacing w:after="0" w:line="189" w:lineRule="exact"/>
              <w:rPr>
                <w:sz w:val="20"/>
                <w:szCs w:val="20"/>
                <w:color w:val="auto"/>
              </w:rPr>
            </w:pPr>
            <w:r>
              <w:rPr>
                <w:rFonts w:ascii="Arial" w:cs="Arial" w:eastAsia="Arial" w:hAnsi="Arial"/>
                <w:sz w:val="18"/>
                <w:szCs w:val="18"/>
                <w:b w:val="1"/>
                <w:bCs w:val="1"/>
                <w:color w:val="auto"/>
                <w:w w:val="91"/>
              </w:rPr>
              <w:t>Plymouth, Minnesota</w:t>
            </w:r>
          </w:p>
        </w:tc>
        <w:tc>
          <w:tcPr>
            <w:tcW w:w="3700" w:type="dxa"/>
            <w:vAlign w:val="bottom"/>
          </w:tcPr>
          <w:p>
            <w:pPr>
              <w:jc w:val="right"/>
              <w:ind w:right="1050"/>
              <w:spacing w:after="0" w:line="189" w:lineRule="exact"/>
              <w:rPr>
                <w:sz w:val="20"/>
                <w:szCs w:val="20"/>
                <w:color w:val="auto"/>
              </w:rPr>
            </w:pPr>
            <w:r>
              <w:rPr>
                <w:rFonts w:ascii="Arial" w:cs="Arial" w:eastAsia="Arial" w:hAnsi="Arial"/>
                <w:sz w:val="18"/>
                <w:szCs w:val="18"/>
                <w:b w:val="1"/>
                <w:bCs w:val="1"/>
                <w:color w:val="auto"/>
              </w:rPr>
              <w:t>55441</w:t>
            </w:r>
          </w:p>
        </w:tc>
      </w:tr>
      <w:tr>
        <w:trPr>
          <w:trHeight w:val="234"/>
        </w:trPr>
        <w:tc>
          <w:tcPr>
            <w:tcW w:w="5600" w:type="dxa"/>
            <w:vAlign w:val="bottom"/>
          </w:tcPr>
          <w:p>
            <w:pPr>
              <w:jc w:val="center"/>
              <w:ind w:right="970"/>
              <w:spacing w:after="0"/>
              <w:rPr>
                <w:sz w:val="20"/>
                <w:szCs w:val="20"/>
                <w:color w:val="auto"/>
              </w:rPr>
            </w:pPr>
            <w:r>
              <w:rPr>
                <w:rFonts w:ascii="Arial" w:cs="Arial" w:eastAsia="Arial" w:hAnsi="Arial"/>
                <w:sz w:val="18"/>
                <w:szCs w:val="18"/>
                <w:b w:val="1"/>
                <w:bCs w:val="1"/>
                <w:color w:val="auto"/>
                <w:w w:val="88"/>
              </w:rPr>
              <w:t>(Address of principal executive offices)</w:t>
            </w:r>
          </w:p>
        </w:tc>
        <w:tc>
          <w:tcPr>
            <w:tcW w:w="3700" w:type="dxa"/>
            <w:vAlign w:val="bottom"/>
          </w:tcPr>
          <w:p>
            <w:pPr>
              <w:jc w:val="center"/>
              <w:ind w:left="870"/>
              <w:spacing w:after="0"/>
              <w:rPr>
                <w:sz w:val="20"/>
                <w:szCs w:val="20"/>
                <w:color w:val="auto"/>
              </w:rPr>
            </w:pPr>
            <w:r>
              <w:rPr>
                <w:rFonts w:ascii="Arial" w:cs="Arial" w:eastAsia="Arial" w:hAnsi="Arial"/>
                <w:sz w:val="18"/>
                <w:szCs w:val="18"/>
                <w:b w:val="1"/>
                <w:bCs w:val="1"/>
                <w:color w:val="auto"/>
                <w:w w:val="92"/>
              </w:rPr>
              <w:t>(Zip Code)</w:t>
            </w:r>
          </w:p>
        </w:tc>
      </w:tr>
    </w:tbl>
    <w:p>
      <w:pPr>
        <w:spacing w:after="0" w:line="14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(763) 852-2950</w:t>
      </w:r>
    </w:p>
    <w:p>
      <w:pPr>
        <w:jc w:val="center"/>
        <w:ind w:right="-119"/>
        <w:spacing w:after="0" w:line="227" w:lineRule="auto"/>
        <w:rPr>
          <w:sz w:val="20"/>
          <w:szCs w:val="20"/>
          <w:color w:val="auto"/>
        </w:rPr>
      </w:pPr>
      <w:r>
        <w:rPr>
          <w:rFonts w:ascii="Arial" w:cs="Arial" w:eastAsia="Arial" w:hAnsi="Arial"/>
          <w:sz w:val="18"/>
          <w:szCs w:val="18"/>
          <w:b w:val="1"/>
          <w:bCs w:val="1"/>
          <w:color w:val="auto"/>
        </w:rPr>
        <w:t>(Registrant’s telephone number, including area code)</w:t>
      </w:r>
    </w:p>
    <w:p>
      <w:pPr>
        <w:ind w:left="4580"/>
        <w:spacing w:after="0" w:line="214" w:lineRule="auto"/>
        <w:rPr>
          <w:sz w:val="20"/>
          <w:szCs w:val="20"/>
          <w:color w:val="auto"/>
        </w:rPr>
      </w:pPr>
      <w:r>
        <w:rPr>
          <w:rFonts w:ascii="Arial" w:cs="Arial" w:eastAsia="Arial" w:hAnsi="Arial"/>
          <w:sz w:val="14"/>
          <w:szCs w:val="14"/>
          <w:color w:val="auto"/>
        </w:rPr>
        <w:t>_____________________________</w:t>
      </w: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648" w:right="459" w:bottom="1440" w:gutter="0" w:footer="0" w:header="0"/>
        </w:sectPr>
      </w:pPr>
    </w:p>
    <w:p>
      <w:pPr>
        <w:spacing w:after="0" w:line="155" w:lineRule="exact"/>
        <w:rPr>
          <w:sz w:val="24"/>
          <w:szCs w:val="24"/>
          <w:color w:val="auto"/>
        </w:rPr>
      </w:pPr>
    </w:p>
    <w:p>
      <w:pPr>
        <w:ind w:left="1240"/>
        <w:spacing w:after="0"/>
        <w:rPr>
          <w:sz w:val="20"/>
          <w:szCs w:val="20"/>
          <w:color w:val="auto"/>
        </w:rPr>
      </w:pPr>
      <w:r>
        <w:rPr>
          <w:rFonts w:ascii="Arial" w:cs="Arial" w:eastAsia="Arial" w:hAnsi="Arial"/>
          <w:sz w:val="16"/>
          <w:szCs w:val="16"/>
          <w:color w:val="auto"/>
        </w:rPr>
        <w:t>Title of each class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Trading Symbol(s)</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Name of each exchange on which registered</w:t>
      </w:r>
    </w:p>
    <w:p>
      <w:pPr>
        <w:spacing w:after="0" w:line="35" w:lineRule="exact"/>
        <w:rPr>
          <w:sz w:val="24"/>
          <w:szCs w:val="24"/>
          <w:color w:val="auto"/>
        </w:rPr>
      </w:pPr>
    </w:p>
    <w:p>
      <w:pPr>
        <w:sectPr>
          <w:pgSz w:w="11900" w:h="16838" w:orient="portrait"/>
          <w:cols w:equalWidth="0" w:num="3">
            <w:col w:w="3960" w:space="720"/>
            <w:col w:w="2100" w:space="720"/>
            <w:col w:w="3620"/>
          </w:cols>
          <w:pgMar w:left="320" w:top="648" w:right="459" w:bottom="1440" w:gutter="0" w:footer="0" w:header="0"/>
          <w:type w:val="continuous"/>
        </w:sectPr>
      </w:pPr>
    </w:p>
    <w:p>
      <w:pPr>
        <w:spacing w:after="0" w:line="11" w:lineRule="exact"/>
        <w:rPr>
          <w:sz w:val="24"/>
          <w:szCs w:val="24"/>
          <w:color w:val="auto"/>
        </w:rPr>
      </w:pPr>
    </w:p>
    <w:p>
      <w:pPr>
        <w:ind w:left="1720"/>
        <w:spacing w:after="0"/>
        <w:rPr>
          <w:sz w:val="20"/>
          <w:szCs w:val="20"/>
          <w:color w:val="auto"/>
        </w:rPr>
      </w:pPr>
      <w:r>
        <w:rPr>
          <w:rFonts w:ascii="Arial" w:cs="Arial" w:eastAsia="Arial" w:hAnsi="Arial"/>
          <w:sz w:val="13"/>
          <w:szCs w:val="13"/>
          <w:color w:val="auto"/>
        </w:rPr>
        <w:t>None</w:t>
      </w:r>
    </w:p>
    <w:p>
      <w:pPr>
        <w:spacing w:after="0" w:line="20" w:lineRule="exact"/>
        <w:rPr>
          <w:sz w:val="24"/>
          <w:szCs w:val="24"/>
          <w:color w:val="auto"/>
        </w:rPr>
      </w:pPr>
      <w:r>
        <w:rPr>
          <w:sz w:val="24"/>
          <w:szCs w:val="24"/>
          <w:color w:val="auto"/>
        </w:rPr>
        <w:br w:type="column"/>
      </w:r>
    </w:p>
    <w:p>
      <w:pPr>
        <w:jc w:val="center"/>
        <w:ind w:right="2760"/>
        <w:spacing w:after="0"/>
        <w:rPr>
          <w:sz w:val="20"/>
          <w:szCs w:val="20"/>
          <w:color w:val="auto"/>
        </w:rPr>
      </w:pPr>
      <w:r>
        <w:rPr>
          <w:rFonts w:ascii="Arial" w:cs="Arial" w:eastAsia="Arial" w:hAnsi="Arial"/>
          <w:sz w:val="14"/>
          <w:szCs w:val="14"/>
          <w:color w:val="auto"/>
        </w:rPr>
        <w:t>N/A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N/A</w:t>
      </w:r>
    </w:p>
    <w:p>
      <w:pPr>
        <w:spacing w:after="0" w:line="146" w:lineRule="exact"/>
        <w:rPr>
          <w:sz w:val="24"/>
          <w:szCs w:val="24"/>
          <w:color w:val="auto"/>
        </w:rPr>
      </w:pPr>
    </w:p>
    <w:p>
      <w:pPr>
        <w:sectPr>
          <w:pgSz w:w="11900" w:h="16838" w:orient="portrait"/>
          <w:cols w:equalWidth="0" w:num="3">
            <w:col w:w="4520" w:space="720"/>
            <w:col w:w="3000" w:space="720"/>
            <w:col w:w="2160"/>
          </w:cols>
          <w:pgMar w:left="320" w:top="648" w:right="459" w:bottom="1440" w:gutter="0" w:footer="0" w:header="0"/>
          <w:type w:val="continuous"/>
        </w:sectPr>
      </w:pPr>
    </w:p>
    <w:p>
      <w:pPr>
        <w:ind w:right="180"/>
        <w:spacing w:after="0" w:line="209"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spacing w:after="0" w:line="209"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x Yes </w:t>
      </w:r>
      <w:r>
        <w:rPr>
          <w:rFonts w:ascii="MS PGothic" w:cs="MS PGothic" w:eastAsia="MS PGothic" w:hAnsi="MS PGothic"/>
          <w:sz w:val="18"/>
          <w:szCs w:val="18"/>
          <w:color w:val="auto"/>
        </w:rPr>
        <w:t>☐</w:t>
      </w:r>
      <w:r>
        <w:rPr>
          <w:rFonts w:ascii="Arial" w:cs="Arial" w:eastAsia="Arial" w:hAnsi="Arial"/>
          <w:sz w:val="18"/>
          <w:szCs w:val="18"/>
          <w:color w:val="auto"/>
        </w:rPr>
        <w:t xml:space="preserve"> No</w:t>
      </w:r>
    </w:p>
    <w:p>
      <w:pPr>
        <w:spacing w:after="0" w:line="89" w:lineRule="exact"/>
        <w:rPr>
          <w:sz w:val="24"/>
          <w:szCs w:val="24"/>
          <w:color w:val="auto"/>
        </w:rPr>
      </w:pPr>
    </w:p>
    <w:p>
      <w:pPr>
        <w:ind w:right="200"/>
        <w:spacing w:after="0" w:line="23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15" w:lineRule="exact"/>
        <w:rPr>
          <w:sz w:val="24"/>
          <w:szCs w:val="24"/>
          <w:color w:val="auto"/>
        </w:rPr>
      </w:pPr>
    </w:p>
    <w:tbl>
      <w:tblPr>
        <w:tblLayout w:type="fixed"/>
        <w:tblInd w:w="20" w:type="dxa"/>
        <w:tblCellMar>
          <w:top w:w="0" w:type="dxa"/>
          <w:left w:w="0" w:type="dxa"/>
          <w:bottom w:w="0" w:type="dxa"/>
          <w:right w:w="0" w:type="dxa"/>
        </w:tblCellMar>
      </w:tblPr>
      <w:tr>
        <w:trPr>
          <w:trHeight w:val="209"/>
        </w:trPr>
        <w:tc>
          <w:tcPr>
            <w:tcW w:w="18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800"/>
              <w:spacing w:after="0"/>
              <w:rPr>
                <w:sz w:val="20"/>
                <w:szCs w:val="20"/>
                <w:color w:val="auto"/>
              </w:rPr>
            </w:pPr>
            <w:r>
              <w:rPr>
                <w:rFonts w:ascii="Arial" w:cs="Arial" w:eastAsia="Arial" w:hAnsi="Arial"/>
                <w:sz w:val="18"/>
                <w:szCs w:val="18"/>
                <w:color w:val="auto"/>
              </w:rPr>
              <w:t>Accelerated filer</w:t>
            </w:r>
          </w:p>
        </w:tc>
        <w:tc>
          <w:tcPr>
            <w:tcW w:w="440" w:type="dxa"/>
            <w:vAlign w:val="bottom"/>
          </w:tcPr>
          <w:p>
            <w:pPr>
              <w:ind w:left="280"/>
              <w:spacing w:after="0"/>
              <w:rPr>
                <w:sz w:val="20"/>
                <w:szCs w:val="20"/>
                <w:color w:val="auto"/>
              </w:rPr>
            </w:pPr>
            <w:r>
              <w:rPr>
                <w:rFonts w:ascii="Arial" w:cs="Arial" w:eastAsia="Arial" w:hAnsi="Arial"/>
                <w:sz w:val="18"/>
                <w:szCs w:val="18"/>
                <w:color w:val="auto"/>
              </w:rPr>
              <w:t>x</w:t>
            </w:r>
          </w:p>
        </w:tc>
      </w:tr>
      <w:tr>
        <w:trPr>
          <w:trHeight w:val="189"/>
        </w:trPr>
        <w:tc>
          <w:tcPr>
            <w:tcW w:w="1880" w:type="dxa"/>
            <w:vAlign w:val="bottom"/>
          </w:tcPr>
          <w:p>
            <w:pPr>
              <w:spacing w:after="0" w:line="189" w:lineRule="exact"/>
              <w:rPr>
                <w:sz w:val="20"/>
                <w:szCs w:val="20"/>
                <w:color w:val="auto"/>
              </w:rPr>
            </w:pPr>
            <w:r>
              <w:rPr>
                <w:rFonts w:ascii="Arial" w:cs="Arial" w:eastAsia="Arial" w:hAnsi="Arial"/>
                <w:sz w:val="18"/>
                <w:szCs w:val="18"/>
                <w:color w:val="auto"/>
              </w:rPr>
              <w:t>Non-accelerated filer</w:t>
            </w:r>
          </w:p>
        </w:tc>
        <w:tc>
          <w:tcPr>
            <w:tcW w:w="2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4120" w:type="dxa"/>
            <w:vAlign w:val="bottom"/>
          </w:tcPr>
          <w:p>
            <w:pPr>
              <w:ind w:left="1800"/>
              <w:spacing w:after="0" w:line="189" w:lineRule="exact"/>
              <w:rPr>
                <w:sz w:val="20"/>
                <w:szCs w:val="20"/>
                <w:color w:val="auto"/>
              </w:rPr>
            </w:pPr>
            <w:r>
              <w:rPr>
                <w:rFonts w:ascii="Arial" w:cs="Arial" w:eastAsia="Arial" w:hAnsi="Arial"/>
                <w:sz w:val="18"/>
                <w:szCs w:val="18"/>
                <w:color w:val="auto"/>
              </w:rPr>
              <w:t>Smaller reporting company</w:t>
            </w:r>
          </w:p>
        </w:tc>
        <w:tc>
          <w:tcPr>
            <w:tcW w:w="440" w:type="dxa"/>
            <w:vAlign w:val="bottom"/>
          </w:tcPr>
          <w:p>
            <w:pPr>
              <w:ind w:left="280"/>
              <w:spacing w:after="0" w:line="189" w:lineRule="exact"/>
              <w:rPr>
                <w:sz w:val="20"/>
                <w:szCs w:val="20"/>
                <w:color w:val="auto"/>
              </w:rPr>
            </w:pPr>
            <w:r>
              <w:rPr>
                <w:rFonts w:ascii="Arial" w:cs="Arial" w:eastAsia="Arial" w:hAnsi="Arial"/>
                <w:sz w:val="18"/>
                <w:szCs w:val="18"/>
                <w:color w:val="auto"/>
              </w:rPr>
              <w:t>x</w:t>
            </w:r>
          </w:p>
        </w:tc>
      </w:tr>
      <w:tr>
        <w:trPr>
          <w:trHeight w:val="283"/>
        </w:trPr>
        <w:tc>
          <w:tcPr>
            <w:tcW w:w="188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4120" w:type="dxa"/>
            <w:vAlign w:val="bottom"/>
          </w:tcPr>
          <w:p>
            <w:pPr>
              <w:ind w:left="1800"/>
              <w:spacing w:after="0"/>
              <w:rPr>
                <w:sz w:val="20"/>
                <w:szCs w:val="20"/>
                <w:color w:val="auto"/>
              </w:rPr>
            </w:pPr>
            <w:r>
              <w:rPr>
                <w:rFonts w:ascii="Arial" w:cs="Arial" w:eastAsia="Arial" w:hAnsi="Arial"/>
                <w:sz w:val="18"/>
                <w:szCs w:val="18"/>
                <w:color w:val="auto"/>
              </w:rPr>
              <w:t>Emerging growth company</w:t>
            </w:r>
          </w:p>
        </w:tc>
        <w:tc>
          <w:tcPr>
            <w:tcW w:w="440" w:type="dxa"/>
            <w:vAlign w:val="bottom"/>
          </w:tcPr>
          <w:p>
            <w:pPr>
              <w:ind w:left="2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67" w:lineRule="exact"/>
        <w:rPr>
          <w:sz w:val="24"/>
          <w:szCs w:val="24"/>
          <w:color w:val="auto"/>
        </w:rPr>
      </w:pPr>
    </w:p>
    <w:p>
      <w:pPr>
        <w:ind w:right="40"/>
        <w:spacing w:after="0" w:line="22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42" w:lineRule="exact"/>
        <w:rPr>
          <w:sz w:val="24"/>
          <w:szCs w:val="24"/>
          <w:color w:val="auto"/>
        </w:rPr>
      </w:pPr>
    </w:p>
    <w:p>
      <w:pPr>
        <w:spacing w:after="0" w:line="196" w:lineRule="exact"/>
        <w:tabs>
          <w:tab w:leader="none" w:pos="8840" w:val="left"/>
        </w:tabs>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w:t>
      </w:r>
      <w:r>
        <w:rPr>
          <w:rFonts w:ascii="MS PGothic" w:cs="MS PGothic" w:eastAsia="MS PGothic" w:hAnsi="MS PGothic"/>
          <w:sz w:val="17"/>
          <w:szCs w:val="17"/>
          <w:color w:val="auto"/>
        </w:rPr>
        <w:t>☐</w:t>
      </w:r>
      <w:r>
        <w:rPr>
          <w:rFonts w:ascii="Arial" w:cs="Arial" w:eastAsia="Arial" w:hAnsi="Arial"/>
          <w:sz w:val="17"/>
          <w:szCs w:val="17"/>
          <w:color w:val="auto"/>
        </w:rPr>
        <w:t xml:space="preserve"> Yes</w:t>
        <w:tab/>
        <w:t>x No</w:t>
      </w:r>
    </w:p>
    <w:p>
      <w:pPr>
        <w:spacing w:after="0" w:line="175" w:lineRule="exact"/>
        <w:rPr>
          <w:sz w:val="24"/>
          <w:szCs w:val="24"/>
          <w:color w:val="auto"/>
        </w:rPr>
      </w:pPr>
    </w:p>
    <w:p>
      <w:pPr>
        <w:spacing w:after="0"/>
        <w:rPr>
          <w:sz w:val="20"/>
          <w:szCs w:val="20"/>
          <w:color w:val="auto"/>
        </w:rPr>
      </w:pPr>
      <w:r>
        <w:rPr>
          <w:rFonts w:ascii="Arial" w:cs="Arial" w:eastAsia="Arial" w:hAnsi="Arial"/>
          <w:sz w:val="18"/>
          <w:szCs w:val="18"/>
          <w:color w:val="auto"/>
        </w:rPr>
        <w:t>As of August 3, 2020, there were 51,673,420 shares of the registrant’s common stock, par value $0.0001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631825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648" w:right="4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5"/>
        </w:trPr>
        <w:tc>
          <w:tcPr>
            <w:tcW w:w="10600" w:type="dxa"/>
            <w:vAlign w:val="bottom"/>
            <w:gridSpan w:val="2"/>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640" w:type="dxa"/>
            <w:vAlign w:val="bottom"/>
          </w:tcPr>
          <w:p>
            <w:pPr>
              <w:spacing w:after="0"/>
              <w:rPr>
                <w:sz w:val="20"/>
                <w:szCs w:val="20"/>
                <w:color w:val="auto"/>
              </w:rPr>
            </w:pPr>
          </w:p>
        </w:tc>
      </w:tr>
      <w:tr>
        <w:trPr>
          <w:trHeight w:val="481"/>
        </w:trPr>
        <w:tc>
          <w:tcPr>
            <w:tcW w:w="880" w:type="dxa"/>
            <w:vAlign w:val="bottom"/>
          </w:tcPr>
          <w:p>
            <w:pPr>
              <w:spacing w:after="0"/>
              <w:rPr>
                <w:sz w:val="24"/>
                <w:szCs w:val="24"/>
                <w:color w:val="auto"/>
              </w:rPr>
            </w:pPr>
          </w:p>
        </w:tc>
        <w:tc>
          <w:tcPr>
            <w:tcW w:w="9720" w:type="dxa"/>
            <w:vAlign w:val="bottom"/>
          </w:tcPr>
          <w:p>
            <w:pPr>
              <w:ind w:left="3520"/>
              <w:spacing w:after="0"/>
              <w:rPr>
                <w:sz w:val="20"/>
                <w:szCs w:val="20"/>
                <w:color w:val="auto"/>
              </w:rPr>
            </w:pPr>
            <w:r>
              <w:rPr>
                <w:rFonts w:ascii="Arial" w:cs="Arial" w:eastAsia="Arial" w:hAnsi="Arial"/>
                <w:sz w:val="18"/>
                <w:szCs w:val="18"/>
                <w:b w:val="1"/>
                <w:bCs w:val="1"/>
                <w:color w:val="auto"/>
              </w:rPr>
              <w:t>TILE SHOP HOLDINGS, INC.</w:t>
            </w:r>
          </w:p>
        </w:tc>
        <w:tc>
          <w:tcPr>
            <w:tcW w:w="640" w:type="dxa"/>
            <w:vAlign w:val="bottom"/>
          </w:tcPr>
          <w:p>
            <w:pPr>
              <w:spacing w:after="0"/>
              <w:rPr>
                <w:sz w:val="24"/>
                <w:szCs w:val="24"/>
                <w:color w:val="auto"/>
              </w:rPr>
            </w:pPr>
          </w:p>
        </w:tc>
      </w:tr>
      <w:tr>
        <w:trPr>
          <w:trHeight w:val="234"/>
        </w:trPr>
        <w:tc>
          <w:tcPr>
            <w:tcW w:w="880" w:type="dxa"/>
            <w:vAlign w:val="bottom"/>
          </w:tcPr>
          <w:p>
            <w:pPr>
              <w:spacing w:after="0"/>
              <w:rPr>
                <w:sz w:val="20"/>
                <w:szCs w:val="20"/>
                <w:color w:val="auto"/>
              </w:rPr>
            </w:pPr>
          </w:p>
        </w:tc>
        <w:tc>
          <w:tcPr>
            <w:tcW w:w="9720" w:type="dxa"/>
            <w:vAlign w:val="bottom"/>
          </w:tcPr>
          <w:p>
            <w:pPr>
              <w:ind w:left="40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20"/>
                <w:szCs w:val="20"/>
                <w:color w:val="auto"/>
              </w:rPr>
            </w:pPr>
          </w:p>
        </w:tc>
      </w:tr>
      <w:tr>
        <w:trPr>
          <w:trHeight w:val="418"/>
        </w:trPr>
        <w:tc>
          <w:tcPr>
            <w:tcW w:w="880" w:type="dxa"/>
            <w:vAlign w:val="bottom"/>
            <w:tcBorders>
              <w:bottom w:val="single" w:sz="8" w:color="CCEEFF"/>
            </w:tcBorders>
          </w:tcPr>
          <w:p>
            <w:pPr>
              <w:spacing w:after="0"/>
              <w:rPr>
                <w:sz w:val="24"/>
                <w:szCs w:val="24"/>
                <w:color w:val="auto"/>
              </w:rPr>
            </w:pPr>
          </w:p>
        </w:tc>
        <w:tc>
          <w:tcPr>
            <w:tcW w:w="97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Page</w:t>
            </w:r>
          </w:p>
        </w:tc>
      </w:tr>
      <w:tr>
        <w:trPr>
          <w:trHeight w:val="183"/>
        </w:trPr>
        <w:tc>
          <w:tcPr>
            <w:tcW w:w="10600" w:type="dxa"/>
            <w:vAlign w:val="bottom"/>
            <w:gridSpan w:val="2"/>
            <w:shd w:val="clear" w:color="auto" w:fill="CCEEFF"/>
          </w:tcPr>
          <w:p>
            <w:pPr>
              <w:spacing w:after="0" w:line="182" w:lineRule="exact"/>
              <w:rPr>
                <w:rFonts w:ascii="Arial" w:cs="Arial" w:eastAsia="Arial" w:hAnsi="Arial"/>
                <w:sz w:val="18"/>
                <w:szCs w:val="18"/>
                <w:b w:val="1"/>
                <w:bCs w:val="1"/>
                <w:u w:val="single" w:color="auto"/>
                <w:color w:val="0563C1"/>
              </w:rPr>
            </w:pPr>
            <w:hyperlink w:anchor="page3">
              <w:r>
                <w:rPr>
                  <w:rFonts w:ascii="Arial" w:cs="Arial" w:eastAsia="Arial" w:hAnsi="Arial"/>
                  <w:sz w:val="18"/>
                  <w:szCs w:val="18"/>
                  <w:b w:val="1"/>
                  <w:bCs w:val="1"/>
                  <w:u w:val="single" w:color="auto"/>
                  <w:color w:val="0563C1"/>
                </w:rPr>
                <w:t>PART I. FINANCIAL INFORMATION</w:t>
              </w:r>
            </w:hyperlink>
          </w:p>
        </w:tc>
        <w:tc>
          <w:tcPr>
            <w:tcW w:w="640" w:type="dxa"/>
            <w:vAlign w:val="bottom"/>
            <w:shd w:val="clear" w:color="auto" w:fill="CCEEFF"/>
          </w:tcPr>
          <w:p>
            <w:pPr>
              <w:spacing w:after="0"/>
              <w:rPr>
                <w:sz w:val="15"/>
                <w:szCs w:val="15"/>
                <w:color w:val="auto"/>
              </w:rPr>
            </w:pPr>
          </w:p>
        </w:tc>
      </w:tr>
      <w:tr>
        <w:trPr>
          <w:trHeight w:val="189"/>
        </w:trPr>
        <w:tc>
          <w:tcPr>
            <w:tcW w:w="880" w:type="dxa"/>
            <w:vAlign w:val="bottom"/>
          </w:tcPr>
          <w:p>
            <w:pPr>
              <w:spacing w:after="0" w:line="189" w:lineRule="exact"/>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Item 1.</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Financial Statements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w:t>
            </w:r>
          </w:p>
        </w:tc>
      </w:tr>
      <w:tr>
        <w:trPr>
          <w:trHeight w:val="189"/>
        </w:trPr>
        <w:tc>
          <w:tcPr>
            <w:tcW w:w="880" w:type="dxa"/>
            <w:vAlign w:val="bottom"/>
            <w:shd w:val="clear" w:color="auto" w:fill="CCEEFF"/>
          </w:tcPr>
          <w:p>
            <w:pPr>
              <w:spacing w:after="0"/>
              <w:rPr>
                <w:sz w:val="16"/>
                <w:szCs w:val="16"/>
                <w:color w:val="auto"/>
              </w:rPr>
            </w:pPr>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3">
              <w:r>
                <w:rPr>
                  <w:rFonts w:ascii="Arial" w:cs="Arial" w:eastAsia="Arial" w:hAnsi="Arial"/>
                  <w:sz w:val="18"/>
                  <w:szCs w:val="18"/>
                  <w:u w:val="single" w:color="auto"/>
                  <w:color w:val="0563C1"/>
                </w:rPr>
                <w:t>Consolidated Balance Sheets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w:t>
            </w:r>
          </w:p>
        </w:tc>
      </w:tr>
      <w:tr>
        <w:trPr>
          <w:trHeight w:val="189"/>
        </w:trPr>
        <w:tc>
          <w:tcPr>
            <w:tcW w:w="880" w:type="dxa"/>
            <w:vAlign w:val="bottom"/>
          </w:tcPr>
          <w:p>
            <w:pPr>
              <w:spacing w:after="0"/>
              <w:rPr>
                <w:sz w:val="16"/>
                <w:szCs w:val="16"/>
                <w:color w:val="auto"/>
              </w:rPr>
            </w:pPr>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4">
              <w:r>
                <w:rPr>
                  <w:rFonts w:ascii="Arial" w:cs="Arial" w:eastAsia="Arial" w:hAnsi="Arial"/>
                  <w:sz w:val="18"/>
                  <w:szCs w:val="18"/>
                  <w:u w:val="single" w:color="auto"/>
                  <w:color w:val="0563C1"/>
                </w:rPr>
                <w:t>Consolidated Statements of Operations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4</w:t>
            </w:r>
          </w:p>
        </w:tc>
      </w:tr>
      <w:tr>
        <w:trPr>
          <w:trHeight w:val="189"/>
        </w:trPr>
        <w:tc>
          <w:tcPr>
            <w:tcW w:w="880" w:type="dxa"/>
            <w:vAlign w:val="bottom"/>
            <w:shd w:val="clear" w:color="auto" w:fill="CCEEFF"/>
          </w:tcPr>
          <w:p>
            <w:pPr>
              <w:spacing w:after="0"/>
              <w:rPr>
                <w:sz w:val="16"/>
                <w:szCs w:val="16"/>
                <w:color w:val="auto"/>
              </w:rPr>
            </w:pPr>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5">
              <w:r>
                <w:rPr>
                  <w:rFonts w:ascii="Arial" w:cs="Arial" w:eastAsia="Arial" w:hAnsi="Arial"/>
                  <w:sz w:val="18"/>
                  <w:szCs w:val="18"/>
                  <w:u w:val="single" w:color="auto"/>
                  <w:color w:val="0563C1"/>
                </w:rPr>
                <w:t>Consolidated Statements of Comprehensive Income (Loss)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w:t>
            </w:r>
          </w:p>
        </w:tc>
      </w:tr>
      <w:tr>
        <w:trPr>
          <w:trHeight w:val="189"/>
        </w:trPr>
        <w:tc>
          <w:tcPr>
            <w:tcW w:w="880" w:type="dxa"/>
            <w:vAlign w:val="bottom"/>
          </w:tcPr>
          <w:p>
            <w:pPr>
              <w:spacing w:after="0"/>
              <w:rPr>
                <w:sz w:val="16"/>
                <w:szCs w:val="16"/>
                <w:color w:val="auto"/>
              </w:rPr>
            </w:pPr>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5">
              <w:r>
                <w:rPr>
                  <w:rFonts w:ascii="Arial" w:cs="Arial" w:eastAsia="Arial" w:hAnsi="Arial"/>
                  <w:sz w:val="18"/>
                  <w:szCs w:val="18"/>
                  <w:u w:val="single" w:color="auto"/>
                  <w:color w:val="0563C1"/>
                </w:rPr>
                <w:t>Consolidated Statements of Stockholders’ Equity</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6</w:t>
            </w:r>
          </w:p>
        </w:tc>
      </w:tr>
      <w:tr>
        <w:trPr>
          <w:trHeight w:val="189"/>
        </w:trPr>
        <w:tc>
          <w:tcPr>
            <w:tcW w:w="880" w:type="dxa"/>
            <w:vAlign w:val="bottom"/>
            <w:shd w:val="clear" w:color="auto" w:fill="CCEEFF"/>
          </w:tcPr>
          <w:p>
            <w:pPr>
              <w:spacing w:after="0"/>
              <w:rPr>
                <w:sz w:val="16"/>
                <w:szCs w:val="16"/>
                <w:color w:val="auto"/>
              </w:rPr>
            </w:pPr>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8">
              <w:r>
                <w:rPr>
                  <w:rFonts w:ascii="Arial" w:cs="Arial" w:eastAsia="Arial" w:hAnsi="Arial"/>
                  <w:sz w:val="18"/>
                  <w:szCs w:val="18"/>
                  <w:u w:val="single" w:color="auto"/>
                  <w:color w:val="0563C1"/>
                </w:rPr>
                <w:t>Consolidated Statements of Cash Flows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w:t>
            </w:r>
          </w:p>
        </w:tc>
      </w:tr>
      <w:tr>
        <w:trPr>
          <w:trHeight w:val="189"/>
        </w:trPr>
        <w:tc>
          <w:tcPr>
            <w:tcW w:w="880" w:type="dxa"/>
            <w:vAlign w:val="bottom"/>
          </w:tcPr>
          <w:p>
            <w:pPr>
              <w:spacing w:after="0"/>
              <w:rPr>
                <w:sz w:val="16"/>
                <w:szCs w:val="16"/>
                <w:color w:val="auto"/>
              </w:rPr>
            </w:pPr>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9">
              <w:r>
                <w:rPr>
                  <w:rFonts w:ascii="Arial" w:cs="Arial" w:eastAsia="Arial" w:hAnsi="Arial"/>
                  <w:sz w:val="18"/>
                  <w:szCs w:val="18"/>
                  <w:u w:val="single" w:color="auto"/>
                  <w:color w:val="0563C1"/>
                </w:rPr>
                <w:t>Notes to Consolidated Financial Statements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9</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19">
              <w:r>
                <w:rPr>
                  <w:rFonts w:ascii="Arial" w:cs="Arial" w:eastAsia="Arial" w:hAnsi="Arial"/>
                  <w:sz w:val="18"/>
                  <w:szCs w:val="18"/>
                  <w:u w:val="single" w:color="auto"/>
                  <w:color w:val="0563C1"/>
                </w:rPr>
                <w:t>Item 2.</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19">
              <w:r>
                <w:rPr>
                  <w:rFonts w:ascii="Arial" w:cs="Arial" w:eastAsia="Arial" w:hAnsi="Arial"/>
                  <w:sz w:val="18"/>
                  <w:szCs w:val="18"/>
                  <w:u w:val="single" w:color="auto"/>
                  <w:color w:val="0563C1"/>
                </w:rPr>
                <w:t>Management’s Discussion and Analysis of Financial Condition and Results of Operations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w:t>
            </w:r>
          </w:p>
        </w:tc>
      </w:tr>
      <w:tr>
        <w:trPr>
          <w:trHeight w:val="189"/>
        </w:trPr>
        <w:tc>
          <w:tcPr>
            <w:tcW w:w="880" w:type="dxa"/>
            <w:vAlign w:val="bottom"/>
          </w:tcPr>
          <w:p>
            <w:pPr>
              <w:spacing w:after="0" w:line="189" w:lineRule="exact"/>
              <w:rPr>
                <w:rFonts w:ascii="Arial" w:cs="Arial" w:eastAsia="Arial" w:hAnsi="Arial"/>
                <w:sz w:val="18"/>
                <w:szCs w:val="18"/>
                <w:u w:val="single" w:color="auto"/>
                <w:color w:val="0563C1"/>
              </w:rPr>
            </w:pPr>
            <w:hyperlink w:anchor="page27">
              <w:r>
                <w:rPr>
                  <w:rFonts w:ascii="Arial" w:cs="Arial" w:eastAsia="Arial" w:hAnsi="Arial"/>
                  <w:sz w:val="18"/>
                  <w:szCs w:val="18"/>
                  <w:u w:val="single" w:color="auto"/>
                  <w:color w:val="0563C1"/>
                </w:rPr>
                <w:t>Item 3.</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27">
              <w:r>
                <w:rPr>
                  <w:rFonts w:ascii="Arial" w:cs="Arial" w:eastAsia="Arial" w:hAnsi="Arial"/>
                  <w:sz w:val="18"/>
                  <w:szCs w:val="18"/>
                  <w:u w:val="single" w:color="auto"/>
                  <w:color w:val="0563C1"/>
                </w:rPr>
                <w:t>Quantitative and Qualitative Disclosures About Market Risk</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27</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27">
              <w:r>
                <w:rPr>
                  <w:rFonts w:ascii="Arial" w:cs="Arial" w:eastAsia="Arial" w:hAnsi="Arial"/>
                  <w:sz w:val="18"/>
                  <w:szCs w:val="18"/>
                  <w:u w:val="single" w:color="auto"/>
                  <w:color w:val="0563C1"/>
                </w:rPr>
                <w:t>Item 4.</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27">
              <w:r>
                <w:rPr>
                  <w:rFonts w:ascii="Arial" w:cs="Arial" w:eastAsia="Arial" w:hAnsi="Arial"/>
                  <w:sz w:val="18"/>
                  <w:szCs w:val="18"/>
                  <w:u w:val="single" w:color="auto"/>
                  <w:color w:val="0563C1"/>
                </w:rPr>
                <w:t>Controls and Procedures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w:t>
            </w:r>
          </w:p>
        </w:tc>
      </w:tr>
      <w:tr>
        <w:trPr>
          <w:trHeight w:val="189"/>
        </w:trPr>
        <w:tc>
          <w:tcPr>
            <w:tcW w:w="10600" w:type="dxa"/>
            <w:vAlign w:val="bottom"/>
            <w:gridSpan w:val="2"/>
          </w:tcPr>
          <w:p>
            <w:pPr>
              <w:spacing w:after="0" w:line="189" w:lineRule="exact"/>
              <w:rPr>
                <w:rFonts w:ascii="Arial" w:cs="Arial" w:eastAsia="Arial" w:hAnsi="Arial"/>
                <w:sz w:val="18"/>
                <w:szCs w:val="18"/>
                <w:b w:val="1"/>
                <w:bCs w:val="1"/>
                <w:u w:val="single" w:color="auto"/>
                <w:color w:val="0563C1"/>
              </w:rPr>
            </w:pPr>
            <w:hyperlink w:anchor="page28">
              <w:r>
                <w:rPr>
                  <w:rFonts w:ascii="Arial" w:cs="Arial" w:eastAsia="Arial" w:hAnsi="Arial"/>
                  <w:sz w:val="18"/>
                  <w:szCs w:val="18"/>
                  <w:b w:val="1"/>
                  <w:bCs w:val="1"/>
                  <w:u w:val="single" w:color="auto"/>
                  <w:color w:val="0563C1"/>
                </w:rPr>
                <w:t>PART II. OTHER INFORMATION</w:t>
              </w:r>
            </w:hyperlink>
          </w:p>
        </w:tc>
        <w:tc>
          <w:tcPr>
            <w:tcW w:w="640" w:type="dxa"/>
            <w:vAlign w:val="bottom"/>
          </w:tcPr>
          <w:p>
            <w:pPr>
              <w:spacing w:after="0"/>
              <w:rPr>
                <w:sz w:val="16"/>
                <w:szCs w:val="16"/>
                <w:color w:val="auto"/>
              </w:rPr>
            </w:pP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28">
              <w:r>
                <w:rPr>
                  <w:rFonts w:ascii="Arial" w:cs="Arial" w:eastAsia="Arial" w:hAnsi="Arial"/>
                  <w:sz w:val="18"/>
                  <w:szCs w:val="18"/>
                  <w:u w:val="single" w:color="auto"/>
                  <w:color w:val="0563C1"/>
                </w:rPr>
                <w:t>Item 1.</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28">
              <w:r>
                <w:rPr>
                  <w:rFonts w:ascii="Arial" w:cs="Arial" w:eastAsia="Arial" w:hAnsi="Arial"/>
                  <w:sz w:val="18"/>
                  <w:szCs w:val="18"/>
                  <w:u w:val="single" w:color="auto"/>
                  <w:color w:val="0563C1"/>
                </w:rPr>
                <w:t>Legal Proceedings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28</w:t>
            </w:r>
          </w:p>
        </w:tc>
      </w:tr>
      <w:tr>
        <w:trPr>
          <w:trHeight w:val="189"/>
        </w:trPr>
        <w:tc>
          <w:tcPr>
            <w:tcW w:w="880" w:type="dxa"/>
            <w:vAlign w:val="bottom"/>
          </w:tcPr>
          <w:p>
            <w:pPr>
              <w:spacing w:after="0" w:line="189" w:lineRule="exact"/>
              <w:rPr>
                <w:rFonts w:ascii="Arial" w:cs="Arial" w:eastAsia="Arial" w:hAnsi="Arial"/>
                <w:sz w:val="18"/>
                <w:szCs w:val="18"/>
                <w:color w:val="0563C1"/>
              </w:rPr>
            </w:pPr>
            <w:hyperlink w:anchor="page28">
              <w:r>
                <w:rPr>
                  <w:rFonts w:ascii="Arial" w:cs="Arial" w:eastAsia="Arial" w:hAnsi="Arial"/>
                  <w:sz w:val="18"/>
                  <w:szCs w:val="18"/>
                  <w:u w:val="single" w:color="auto"/>
                  <w:color w:val="0563C1"/>
                </w:rPr>
                <w:t>Item 1A</w:t>
              </w:r>
              <w:r>
                <w:rPr>
                  <w:rFonts w:ascii="Arial" w:cs="Arial" w:eastAsia="Arial" w:hAnsi="Arial"/>
                  <w:sz w:val="18"/>
                  <w:szCs w:val="18"/>
                  <w:color w:val="0563C1"/>
                </w:rPr>
                <w:t>.</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28">
              <w:r>
                <w:rPr>
                  <w:rFonts w:ascii="Arial" w:cs="Arial" w:eastAsia="Arial" w:hAnsi="Arial"/>
                  <w:sz w:val="18"/>
                  <w:szCs w:val="18"/>
                  <w:u w:val="single" w:color="auto"/>
                  <w:color w:val="0563C1"/>
                </w:rPr>
                <w:t>Risk Factors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28</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29">
              <w:r>
                <w:rPr>
                  <w:rFonts w:ascii="Arial" w:cs="Arial" w:eastAsia="Arial" w:hAnsi="Arial"/>
                  <w:sz w:val="18"/>
                  <w:szCs w:val="18"/>
                  <w:u w:val="single" w:color="auto"/>
                  <w:color w:val="0563C1"/>
                </w:rPr>
                <w:t>Item 2.</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29">
              <w:r>
                <w:rPr>
                  <w:rFonts w:ascii="Arial" w:cs="Arial" w:eastAsia="Arial" w:hAnsi="Arial"/>
                  <w:sz w:val="18"/>
                  <w:szCs w:val="18"/>
                  <w:u w:val="single" w:color="auto"/>
                  <w:color w:val="0563C1"/>
                </w:rPr>
                <w:t>Unregistered Sales of Equity Securities and Use of Proceeds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w:t>
            </w:r>
          </w:p>
        </w:tc>
      </w:tr>
      <w:tr>
        <w:trPr>
          <w:trHeight w:val="189"/>
        </w:trPr>
        <w:tc>
          <w:tcPr>
            <w:tcW w:w="880" w:type="dxa"/>
            <w:vAlign w:val="bottom"/>
          </w:tcPr>
          <w:p>
            <w:pPr>
              <w:spacing w:after="0" w:line="189" w:lineRule="exact"/>
              <w:rPr>
                <w:rFonts w:ascii="Arial" w:cs="Arial" w:eastAsia="Arial" w:hAnsi="Arial"/>
                <w:sz w:val="18"/>
                <w:szCs w:val="18"/>
                <w:u w:val="single" w:color="auto"/>
                <w:color w:val="0563C1"/>
              </w:rPr>
            </w:pPr>
            <w:hyperlink w:anchor="page30">
              <w:r>
                <w:rPr>
                  <w:rFonts w:ascii="Arial" w:cs="Arial" w:eastAsia="Arial" w:hAnsi="Arial"/>
                  <w:sz w:val="18"/>
                  <w:szCs w:val="18"/>
                  <w:u w:val="single" w:color="auto"/>
                  <w:color w:val="0563C1"/>
                </w:rPr>
                <w:t>Item 3.</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30">
              <w:r>
                <w:rPr>
                  <w:rFonts w:ascii="Arial" w:cs="Arial" w:eastAsia="Arial" w:hAnsi="Arial"/>
                  <w:sz w:val="18"/>
                  <w:szCs w:val="18"/>
                  <w:u w:val="single" w:color="auto"/>
                  <w:color w:val="0563C1"/>
                </w:rPr>
                <w:t>Defaults Upon Senior Securities</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30">
              <w:r>
                <w:rPr>
                  <w:rFonts w:ascii="Arial" w:cs="Arial" w:eastAsia="Arial" w:hAnsi="Arial"/>
                  <w:sz w:val="18"/>
                  <w:szCs w:val="18"/>
                  <w:u w:val="single" w:color="auto"/>
                  <w:color w:val="0563C1"/>
                </w:rPr>
                <w:t>Item 4.</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30">
              <w:r>
                <w:rPr>
                  <w:rFonts w:ascii="Arial" w:cs="Arial" w:eastAsia="Arial" w:hAnsi="Arial"/>
                  <w:sz w:val="18"/>
                  <w:szCs w:val="18"/>
                  <w:u w:val="single" w:color="auto"/>
                  <w:color w:val="0563C1"/>
                </w:rPr>
                <w:t>Mine Safety Disclosures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w:t>
            </w:r>
          </w:p>
        </w:tc>
      </w:tr>
      <w:tr>
        <w:trPr>
          <w:trHeight w:val="189"/>
        </w:trPr>
        <w:tc>
          <w:tcPr>
            <w:tcW w:w="880" w:type="dxa"/>
            <w:vAlign w:val="bottom"/>
          </w:tcPr>
          <w:p>
            <w:pPr>
              <w:spacing w:after="0" w:line="189" w:lineRule="exact"/>
              <w:rPr>
                <w:rFonts w:ascii="Arial" w:cs="Arial" w:eastAsia="Arial" w:hAnsi="Arial"/>
                <w:sz w:val="18"/>
                <w:szCs w:val="18"/>
                <w:u w:val="single" w:color="auto"/>
                <w:color w:val="0563C1"/>
              </w:rPr>
            </w:pPr>
            <w:hyperlink w:anchor="page30">
              <w:r>
                <w:rPr>
                  <w:rFonts w:ascii="Arial" w:cs="Arial" w:eastAsia="Arial" w:hAnsi="Arial"/>
                  <w:sz w:val="18"/>
                  <w:szCs w:val="18"/>
                  <w:u w:val="single" w:color="auto"/>
                  <w:color w:val="0563C1"/>
                </w:rPr>
                <w:t>Item 5.</w:t>
              </w:r>
            </w:hyperlink>
          </w:p>
        </w:tc>
        <w:tc>
          <w:tcPr>
            <w:tcW w:w="9720" w:type="dxa"/>
            <w:vAlign w:val="bottom"/>
          </w:tcPr>
          <w:p>
            <w:pPr>
              <w:ind w:left="100"/>
              <w:spacing w:after="0" w:line="189" w:lineRule="exact"/>
              <w:rPr>
                <w:rFonts w:ascii="Arial" w:cs="Arial" w:eastAsia="Arial" w:hAnsi="Arial"/>
                <w:sz w:val="18"/>
                <w:szCs w:val="18"/>
                <w:u w:val="single" w:color="auto"/>
                <w:color w:val="0563C1"/>
              </w:rPr>
            </w:pPr>
            <w:hyperlink w:anchor="page30">
              <w:r>
                <w:rPr>
                  <w:rFonts w:ascii="Arial" w:cs="Arial" w:eastAsia="Arial" w:hAnsi="Arial"/>
                  <w:sz w:val="18"/>
                  <w:szCs w:val="18"/>
                  <w:u w:val="single" w:color="auto"/>
                  <w:color w:val="0563C1"/>
                </w:rPr>
                <w:t>Other Information</w:t>
              </w:r>
            </w:hyperlink>
          </w:p>
        </w:tc>
        <w:tc>
          <w:tcPr>
            <w:tcW w:w="64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r>
      <w:tr>
        <w:trPr>
          <w:trHeight w:val="189"/>
        </w:trPr>
        <w:tc>
          <w:tcPr>
            <w:tcW w:w="880" w:type="dxa"/>
            <w:vAlign w:val="bottom"/>
            <w:shd w:val="clear" w:color="auto" w:fill="CCEEFF"/>
          </w:tcPr>
          <w:p>
            <w:pPr>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Item 6.</w:t>
              </w:r>
            </w:hyperlink>
          </w:p>
        </w:tc>
        <w:tc>
          <w:tcPr>
            <w:tcW w:w="9720" w:type="dxa"/>
            <w:vAlign w:val="bottom"/>
            <w:shd w:val="clear" w:color="auto" w:fill="CCEEFF"/>
          </w:tcPr>
          <w:p>
            <w:pPr>
              <w:ind w:left="100"/>
              <w:spacing w:after="0" w:line="189" w:lineRule="exact"/>
              <w:rPr>
                <w:rFonts w:ascii="Arial" w:cs="Arial" w:eastAsia="Arial" w:hAnsi="Arial"/>
                <w:sz w:val="18"/>
                <w:szCs w:val="18"/>
                <w:u w:val="single" w:color="auto"/>
                <w:color w:val="0563C1"/>
              </w:rPr>
            </w:pPr>
            <w:hyperlink w:anchor="page31">
              <w:r>
                <w:rPr>
                  <w:rFonts w:ascii="Arial" w:cs="Arial" w:eastAsia="Arial" w:hAnsi="Arial"/>
                  <w:sz w:val="18"/>
                  <w:szCs w:val="18"/>
                  <w:u w:val="single" w:color="auto"/>
                  <w:color w:val="0563C1"/>
                </w:rPr>
                <w:t>Exhibits</w:t>
              </w:r>
            </w:hyperlink>
          </w:p>
        </w:tc>
        <w:tc>
          <w:tcPr>
            <w:tcW w:w="6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31</w:t>
            </w:r>
          </w:p>
        </w:tc>
      </w:tr>
      <w:tr>
        <w:trPr>
          <w:trHeight w:val="230"/>
        </w:trPr>
        <w:tc>
          <w:tcPr>
            <w:tcW w:w="880" w:type="dxa"/>
            <w:vAlign w:val="bottom"/>
          </w:tcPr>
          <w:p>
            <w:pPr>
              <w:spacing w:after="0"/>
              <w:rPr>
                <w:rFonts w:ascii="Arial" w:cs="Arial" w:eastAsia="Arial" w:hAnsi="Arial"/>
                <w:sz w:val="18"/>
                <w:szCs w:val="18"/>
                <w:u w:val="single" w:color="auto"/>
                <w:color w:val="0563C1"/>
                <w:w w:val="99"/>
              </w:rPr>
            </w:pPr>
            <w:hyperlink w:anchor="page32">
              <w:r>
                <w:rPr>
                  <w:rFonts w:ascii="Arial" w:cs="Arial" w:eastAsia="Arial" w:hAnsi="Arial"/>
                  <w:sz w:val="18"/>
                  <w:szCs w:val="18"/>
                  <w:u w:val="single" w:color="auto"/>
                  <w:color w:val="0563C1"/>
                  <w:w w:val="99"/>
                </w:rPr>
                <w:t>Signatures</w:t>
              </w:r>
            </w:hyperlink>
          </w:p>
        </w:tc>
        <w:tc>
          <w:tcPr>
            <w:tcW w:w="97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92"/>
        </w:trPr>
        <w:tc>
          <w:tcPr>
            <w:tcW w:w="8360" w:type="dxa"/>
            <w:vAlign w:val="bottom"/>
          </w:tcPr>
          <w:p>
            <w:pPr>
              <w:spacing w:after="0"/>
              <w:rPr>
                <w:sz w:val="20"/>
                <w:szCs w:val="20"/>
                <w:color w:val="auto"/>
              </w:rPr>
            </w:pPr>
            <w:r>
              <w:rPr>
                <w:rFonts w:ascii="Arial" w:cs="Arial" w:eastAsia="Arial" w:hAnsi="Arial"/>
                <w:sz w:val="18"/>
                <w:szCs w:val="18"/>
                <w:b w:val="1"/>
                <w:bCs w:val="1"/>
                <w:color w:val="auto"/>
              </w:rPr>
              <w:t>PART I. FINANCIAL INFORMATION</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4"/>
        </w:trPr>
        <w:tc>
          <w:tcPr>
            <w:tcW w:w="8360" w:type="dxa"/>
            <w:vAlign w:val="bottom"/>
          </w:tcPr>
          <w:p>
            <w:pPr>
              <w:spacing w:after="0"/>
              <w:rPr>
                <w:sz w:val="20"/>
                <w:szCs w:val="20"/>
                <w:color w:val="auto"/>
              </w:rPr>
            </w:pPr>
            <w:r>
              <w:rPr>
                <w:rFonts w:ascii="Arial" w:cs="Arial" w:eastAsia="Arial" w:hAnsi="Arial"/>
                <w:sz w:val="18"/>
                <w:szCs w:val="18"/>
                <w:b w:val="1"/>
                <w:bCs w:val="1"/>
                <w:color w:val="auto"/>
              </w:rPr>
              <w:t>ITEM 1. FINANCIAL STATEMENTS</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37"/>
        </w:trPr>
        <w:tc>
          <w:tcPr>
            <w:tcW w:w="8360" w:type="dxa"/>
            <w:vAlign w:val="bottom"/>
          </w:tcPr>
          <w:p>
            <w:pPr>
              <w:ind w:left="4040"/>
              <w:spacing w:after="0"/>
              <w:rPr>
                <w:sz w:val="20"/>
                <w:szCs w:val="20"/>
                <w:color w:val="auto"/>
              </w:rPr>
            </w:pPr>
            <w:r>
              <w:rPr>
                <w:rFonts w:ascii="Arial" w:cs="Arial" w:eastAsia="Arial" w:hAnsi="Arial"/>
                <w:sz w:val="18"/>
                <w:szCs w:val="18"/>
                <w:b w:val="1"/>
                <w:bCs w:val="1"/>
                <w:color w:val="auto"/>
              </w:rPr>
              <w:t>Tile Shop Holdings, Inc. and Subsidiaries</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9"/>
        </w:trPr>
        <w:tc>
          <w:tcPr>
            <w:tcW w:w="8360" w:type="dxa"/>
            <w:vAlign w:val="bottom"/>
          </w:tcPr>
          <w:p>
            <w:pPr>
              <w:ind w:left="4580"/>
              <w:spacing w:after="0" w:line="189" w:lineRule="exact"/>
              <w:rPr>
                <w:sz w:val="20"/>
                <w:szCs w:val="20"/>
                <w:color w:val="auto"/>
              </w:rPr>
            </w:pPr>
            <w:r>
              <w:rPr>
                <w:rFonts w:ascii="Arial" w:cs="Arial" w:eastAsia="Arial" w:hAnsi="Arial"/>
                <w:sz w:val="18"/>
                <w:szCs w:val="18"/>
                <w:color w:val="auto"/>
              </w:rPr>
              <w:t>Consolidated Balance Sheets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0"/>
        </w:trPr>
        <w:tc>
          <w:tcPr>
            <w:tcW w:w="8360" w:type="dxa"/>
            <w:vAlign w:val="bottom"/>
          </w:tcPr>
          <w:p>
            <w:pPr>
              <w:ind w:left="3660"/>
              <w:spacing w:after="0"/>
              <w:rPr>
                <w:sz w:val="20"/>
                <w:szCs w:val="20"/>
                <w:color w:val="auto"/>
              </w:rPr>
            </w:pPr>
            <w:r>
              <w:rPr>
                <w:rFonts w:ascii="Arial" w:cs="Arial" w:eastAsia="Arial" w:hAnsi="Arial"/>
                <w:sz w:val="18"/>
                <w:szCs w:val="18"/>
                <w:color w:val="auto"/>
              </w:rPr>
              <w:t>(dollars in thousands, except share and per share data)</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364"/>
        </w:trPr>
        <w:tc>
          <w:tcPr>
            <w:tcW w:w="8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88"/>
              </w:rPr>
              <w:t>December 31,</w:t>
            </w:r>
          </w:p>
        </w:tc>
      </w:tr>
      <w:tr>
        <w:trPr>
          <w:trHeight w:val="189"/>
        </w:trPr>
        <w:tc>
          <w:tcPr>
            <w:tcW w:w="8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89"/>
              </w:rPr>
              <w:t>2020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center"/>
              <w:ind w:right="50"/>
              <w:spacing w:after="0" w:line="189" w:lineRule="exact"/>
              <w:rPr>
                <w:sz w:val="20"/>
                <w:szCs w:val="20"/>
                <w:color w:val="auto"/>
              </w:rPr>
            </w:pPr>
            <w:r>
              <w:rPr>
                <w:rFonts w:ascii="Arial" w:cs="Arial" w:eastAsia="Arial" w:hAnsi="Arial"/>
                <w:sz w:val="18"/>
                <w:szCs w:val="18"/>
                <w:color w:val="auto"/>
                <w:w w:val="89"/>
              </w:rPr>
              <w:t>2019</w:t>
            </w:r>
          </w:p>
        </w:tc>
      </w:tr>
      <w:tr>
        <w:trPr>
          <w:trHeight w:val="217"/>
        </w:trPr>
        <w:tc>
          <w:tcPr>
            <w:tcW w:w="8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(unaudited)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center"/>
              <w:ind w:right="50"/>
              <w:spacing w:after="0"/>
              <w:rPr>
                <w:sz w:val="20"/>
                <w:szCs w:val="20"/>
                <w:color w:val="auto"/>
              </w:rPr>
            </w:pPr>
            <w:r>
              <w:rPr>
                <w:rFonts w:ascii="Arial" w:cs="Arial" w:eastAsia="Arial" w:hAnsi="Arial"/>
                <w:sz w:val="18"/>
                <w:szCs w:val="18"/>
                <w:color w:val="auto"/>
                <w:w w:val="90"/>
              </w:rPr>
              <w:t>(audited)</w:t>
            </w:r>
          </w:p>
        </w:tc>
      </w:tr>
      <w:tr>
        <w:trPr>
          <w:trHeight w:val="183"/>
        </w:trPr>
        <w:tc>
          <w:tcPr>
            <w:tcW w:w="8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Assets</w:t>
            </w: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spacing w:after="0"/>
              <w:rPr>
                <w:sz w:val="15"/>
                <w:szCs w:val="15"/>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7,936</w:t>
            </w:r>
          </w:p>
        </w:tc>
        <w:tc>
          <w:tcPr>
            <w:tcW w:w="16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ind w:right="9"/>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9,104</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Restricted cash</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815</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815</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Receivables, net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3,225</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3,370</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79,053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97,620</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 receivable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9,641</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3,090</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 net</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21,940</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8,180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122,610</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122,179</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Property, plant and equipment,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113,209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130,461</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Right of use asset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130,397</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137,737</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Deferred tax assets</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4,139</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7,196</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assets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1,728</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2,241</w:t>
            </w:r>
          </w:p>
        </w:tc>
      </w:tr>
      <w:tr>
        <w:trPr>
          <w:trHeight w:val="223"/>
        </w:trPr>
        <w:tc>
          <w:tcPr>
            <w:tcW w:w="836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Total Assets</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372,083</w:t>
            </w: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399,814</w:t>
            </w:r>
          </w:p>
        </w:tc>
      </w:tr>
      <w:tr>
        <w:trPr>
          <w:trHeight w:val="170"/>
        </w:trPr>
        <w:tc>
          <w:tcPr>
            <w:tcW w:w="8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b w:val="1"/>
                <w:bCs w:val="1"/>
                <w:color w:val="auto"/>
              </w:rPr>
              <w:t>Liabilities and Stockholders' Equity</w:t>
            </w: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 liabilities: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Accounts payable</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13,239</w:t>
            </w:r>
          </w:p>
        </w:tc>
        <w:tc>
          <w:tcPr>
            <w:tcW w:w="160" w:type="dxa"/>
            <w:vAlign w:val="bottom"/>
          </w:tcPr>
          <w:p>
            <w:pPr>
              <w:spacing w:after="0"/>
              <w:rPr>
                <w:sz w:val="16"/>
                <w:szCs w:val="16"/>
                <w:color w:val="auto"/>
              </w:rPr>
            </w:pPr>
          </w:p>
        </w:tc>
        <w:tc>
          <w:tcPr>
            <w:tcW w:w="140" w:type="dxa"/>
            <w:vAlign w:val="bottom"/>
            <w:gridSpan w:val="2"/>
          </w:tcPr>
          <w:p>
            <w:pPr>
              <w:jc w:val="right"/>
              <w:ind w:right="9"/>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18,181</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 payable</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87</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Current portion of lease liability</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32,270</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26,993</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Other accrued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42,720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24,589</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color w:val="auto"/>
              </w:rPr>
              <w:t>Total Current Liabilities</w:t>
            </w:r>
          </w:p>
        </w:tc>
        <w:tc>
          <w:tcPr>
            <w:tcW w:w="160" w:type="dxa"/>
            <w:vAlign w:val="bottom"/>
          </w:tcPr>
          <w:p>
            <w:pPr>
              <w:spacing w:after="0"/>
              <w:rPr>
                <w:sz w:val="15"/>
                <w:szCs w:val="15"/>
                <w:color w:val="auto"/>
              </w:rPr>
            </w:pPr>
          </w:p>
        </w:tc>
        <w:tc>
          <w:tcPr>
            <w:tcW w:w="1200" w:type="dxa"/>
            <w:vAlign w:val="bottom"/>
          </w:tcPr>
          <w:p>
            <w:pPr>
              <w:jc w:val="right"/>
              <w:spacing w:after="0" w:line="182" w:lineRule="exact"/>
              <w:rPr>
                <w:sz w:val="20"/>
                <w:szCs w:val="20"/>
                <w:color w:val="auto"/>
              </w:rPr>
            </w:pPr>
            <w:r>
              <w:rPr>
                <w:rFonts w:ascii="Arial" w:cs="Arial" w:eastAsia="Arial" w:hAnsi="Arial"/>
                <w:sz w:val="18"/>
                <w:szCs w:val="18"/>
                <w:color w:val="auto"/>
              </w:rPr>
              <w:t>88,422</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jc w:val="right"/>
              <w:spacing w:after="0" w:line="182" w:lineRule="exact"/>
              <w:rPr>
                <w:sz w:val="20"/>
                <w:szCs w:val="20"/>
                <w:color w:val="auto"/>
              </w:rPr>
            </w:pPr>
            <w:r>
              <w:rPr>
                <w:rFonts w:ascii="Arial" w:cs="Arial" w:eastAsia="Arial" w:hAnsi="Arial"/>
                <w:sz w:val="18"/>
                <w:szCs w:val="18"/>
                <w:color w:val="auto"/>
              </w:rPr>
              <w:t>69,850</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22,000</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63,000</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Long-term lease liability, net</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122,682</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131,451</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Financing lease obligation, net</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184</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274</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long-term liabilities</w:t>
            </w: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4,157</w:t>
            </w:r>
          </w:p>
        </w:tc>
        <w:tc>
          <w:tcPr>
            <w:tcW w:w="16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4,340</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Liabilities</w:t>
            </w:r>
          </w:p>
        </w:tc>
        <w:tc>
          <w:tcPr>
            <w:tcW w:w="16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237,445</w:t>
            </w: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268,915</w:t>
            </w:r>
          </w:p>
        </w:tc>
      </w:tr>
      <w:tr>
        <w:trPr>
          <w:trHeight w:val="183"/>
        </w:trPr>
        <w:tc>
          <w:tcPr>
            <w:tcW w:w="8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Stockholders’ Equity:</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r>
      <w:tr>
        <w:trPr>
          <w:trHeight w:val="161"/>
        </w:trPr>
        <w:tc>
          <w:tcPr>
            <w:tcW w:w="8360" w:type="dxa"/>
            <w:vAlign w:val="bottom"/>
          </w:tcPr>
          <w:p>
            <w:pPr>
              <w:spacing w:after="0" w:line="161" w:lineRule="exact"/>
              <w:rPr>
                <w:sz w:val="20"/>
                <w:szCs w:val="20"/>
                <w:color w:val="auto"/>
              </w:rPr>
            </w:pPr>
            <w:r>
              <w:rPr>
                <w:rFonts w:ascii="Arial" w:cs="Arial" w:eastAsia="Arial" w:hAnsi="Arial"/>
                <w:sz w:val="18"/>
                <w:szCs w:val="18"/>
                <w:color w:val="auto"/>
                <w:w w:val="96"/>
              </w:rPr>
              <w:t>Common stock, par value $0.0001; authorized: 100,000,000 shares; issued and outstanding: 51,370,167 and</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7"/>
        </w:trPr>
        <w:tc>
          <w:tcPr>
            <w:tcW w:w="8360" w:type="dxa"/>
            <w:vAlign w:val="bottom"/>
          </w:tcPr>
          <w:p>
            <w:pPr>
              <w:spacing w:after="0"/>
              <w:rPr>
                <w:sz w:val="20"/>
                <w:szCs w:val="20"/>
                <w:color w:val="auto"/>
              </w:rPr>
            </w:pPr>
            <w:r>
              <w:rPr>
                <w:rFonts w:ascii="Arial" w:cs="Arial" w:eastAsia="Arial" w:hAnsi="Arial"/>
                <w:sz w:val="18"/>
                <w:szCs w:val="18"/>
                <w:color w:val="auto"/>
              </w:rPr>
              <w:t>50,806,674 shares, respectively</w:t>
            </w: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Preferred stock, par value $0.0001; authorized: 10,000,000 shares; issued and outstanding: 0 shares</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Additional paid-in-capital</w:t>
            </w:r>
          </w:p>
        </w:tc>
        <w:tc>
          <w:tcPr>
            <w:tcW w:w="160" w:type="dxa"/>
            <w:vAlign w:val="bottom"/>
          </w:tcPr>
          <w:p>
            <w:pPr>
              <w:spacing w:after="0"/>
              <w:rPr>
                <w:sz w:val="16"/>
                <w:szCs w:val="16"/>
                <w:color w:val="auto"/>
              </w:rPr>
            </w:pP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157,493</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156,482</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(22,776)</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(25,518)</w:t>
            </w:r>
          </w:p>
        </w:tc>
      </w:tr>
      <w:tr>
        <w:trPr>
          <w:trHeight w:val="189"/>
        </w:trPr>
        <w:tc>
          <w:tcPr>
            <w:tcW w:w="8360" w:type="dxa"/>
            <w:vAlign w:val="bottom"/>
          </w:tcPr>
          <w:p>
            <w:pPr>
              <w:spacing w:after="0" w:line="189" w:lineRule="exact"/>
              <w:rPr>
                <w:sz w:val="20"/>
                <w:szCs w:val="20"/>
                <w:color w:val="auto"/>
              </w:rPr>
            </w:pPr>
            <w:r>
              <w:rPr>
                <w:rFonts w:ascii="Arial" w:cs="Arial" w:eastAsia="Arial" w:hAnsi="Arial"/>
                <w:sz w:val="18"/>
                <w:szCs w:val="18"/>
                <w:color w:val="auto"/>
              </w:rPr>
              <w:t>Accumulated other comprehensive loss</w:t>
            </w:r>
          </w:p>
        </w:tc>
        <w:tc>
          <w:tcPr>
            <w:tcW w:w="160" w:type="dxa"/>
            <w:vAlign w:val="bottom"/>
          </w:tcPr>
          <w:p>
            <w:pPr>
              <w:spacing w:after="0"/>
              <w:rPr>
                <w:sz w:val="16"/>
                <w:szCs w:val="16"/>
                <w:color w:val="auto"/>
              </w:rPr>
            </w:pPr>
          </w:p>
        </w:tc>
        <w:tc>
          <w:tcPr>
            <w:tcW w:w="13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(84)</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(70)</w:t>
            </w:r>
          </w:p>
        </w:tc>
      </w:tr>
      <w:tr>
        <w:trPr>
          <w:trHeight w:val="183"/>
        </w:trPr>
        <w:tc>
          <w:tcPr>
            <w:tcW w:w="836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Total Stockholders' Equity</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12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134,638</w:t>
            </w:r>
          </w:p>
        </w:tc>
        <w:tc>
          <w:tcPr>
            <w:tcW w:w="1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122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130,899</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b w:val="1"/>
                <w:bCs w:val="1"/>
                <w:color w:val="auto"/>
              </w:rPr>
              <w:t>Total Liabilities and Stockholders' Equity</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372,083</w:t>
            </w:r>
          </w:p>
        </w:tc>
        <w:tc>
          <w:tcPr>
            <w:tcW w:w="1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399,814</w:t>
            </w:r>
          </w:p>
        </w:tc>
      </w:tr>
      <w:tr>
        <w:trPr>
          <w:trHeight w:val="20"/>
        </w:trPr>
        <w:tc>
          <w:tcPr>
            <w:tcW w:w="8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5"/>
        </w:trPr>
        <w:tc>
          <w:tcPr>
            <w:tcW w:w="3620" w:type="dxa"/>
            <w:vAlign w:val="bottom"/>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2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485"/>
        </w:trPr>
        <w:tc>
          <w:tcPr>
            <w:tcW w:w="3620" w:type="dxa"/>
            <w:vAlign w:val="bottom"/>
          </w:tcPr>
          <w:p>
            <w:pPr>
              <w:spacing w:after="0"/>
              <w:rPr>
                <w:sz w:val="24"/>
                <w:szCs w:val="24"/>
                <w:color w:val="auto"/>
              </w:rPr>
            </w:pPr>
          </w:p>
        </w:tc>
        <w:tc>
          <w:tcPr>
            <w:tcW w:w="408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0"/>
              </w:rPr>
              <w:t>Tile Shop Holdings, Inc. and Subsidiaries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89"/>
        </w:trPr>
        <w:tc>
          <w:tcPr>
            <w:tcW w:w="3620" w:type="dxa"/>
            <w:vAlign w:val="bottom"/>
          </w:tcPr>
          <w:p>
            <w:pPr>
              <w:spacing w:after="0"/>
              <w:rPr>
                <w:sz w:val="16"/>
                <w:szCs w:val="16"/>
                <w:color w:val="auto"/>
              </w:rPr>
            </w:pPr>
          </w:p>
        </w:tc>
        <w:tc>
          <w:tcPr>
            <w:tcW w:w="4080" w:type="dxa"/>
            <w:vAlign w:val="bottom"/>
            <w:gridSpan w:val="4"/>
          </w:tcPr>
          <w:p>
            <w:pPr>
              <w:jc w:val="center"/>
              <w:ind w:right="60"/>
              <w:spacing w:after="0" w:line="189" w:lineRule="exact"/>
              <w:rPr>
                <w:sz w:val="20"/>
                <w:szCs w:val="20"/>
                <w:color w:val="auto"/>
              </w:rPr>
            </w:pPr>
            <w:r>
              <w:rPr>
                <w:rFonts w:ascii="Arial" w:cs="Arial" w:eastAsia="Arial" w:hAnsi="Arial"/>
                <w:sz w:val="18"/>
                <w:szCs w:val="18"/>
                <w:color w:val="auto"/>
                <w:w w:val="89"/>
              </w:rPr>
              <w:t>Consolidated Statements of Operations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189"/>
        </w:trPr>
        <w:tc>
          <w:tcPr>
            <w:tcW w:w="3620" w:type="dxa"/>
            <w:vAlign w:val="bottom"/>
          </w:tcPr>
          <w:p>
            <w:pPr>
              <w:spacing w:after="0"/>
              <w:rPr>
                <w:sz w:val="16"/>
                <w:szCs w:val="16"/>
                <w:color w:val="auto"/>
              </w:rPr>
            </w:pPr>
          </w:p>
        </w:tc>
        <w:tc>
          <w:tcPr>
            <w:tcW w:w="4080" w:type="dxa"/>
            <w:vAlign w:val="bottom"/>
            <w:gridSpan w:val="4"/>
          </w:tcPr>
          <w:p>
            <w:pPr>
              <w:jc w:val="center"/>
              <w:ind w:right="120"/>
              <w:spacing w:after="0" w:line="189" w:lineRule="exact"/>
              <w:rPr>
                <w:sz w:val="20"/>
                <w:szCs w:val="20"/>
                <w:color w:val="auto"/>
              </w:rPr>
            </w:pPr>
            <w:r>
              <w:rPr>
                <w:rFonts w:ascii="Arial" w:cs="Arial" w:eastAsia="Arial" w:hAnsi="Arial"/>
                <w:sz w:val="18"/>
                <w:szCs w:val="18"/>
                <w:color w:val="auto"/>
                <w:w w:val="88"/>
              </w:rPr>
              <w:t>(dollars in thousands, except per share data)</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30"/>
        </w:trPr>
        <w:tc>
          <w:tcPr>
            <w:tcW w:w="3620" w:type="dxa"/>
            <w:vAlign w:val="bottom"/>
          </w:tcPr>
          <w:p>
            <w:pPr>
              <w:spacing w:after="0"/>
              <w:rPr>
                <w:sz w:val="20"/>
                <w:szCs w:val="20"/>
                <w:color w:val="auto"/>
              </w:rPr>
            </w:pPr>
          </w:p>
        </w:tc>
        <w:tc>
          <w:tcPr>
            <w:tcW w:w="3100" w:type="dxa"/>
            <w:vAlign w:val="bottom"/>
            <w:gridSpan w:val="2"/>
          </w:tcPr>
          <w:p>
            <w:pPr>
              <w:jc w:val="center"/>
              <w:ind w:left="810"/>
              <w:spacing w:after="0"/>
              <w:rPr>
                <w:sz w:val="20"/>
                <w:szCs w:val="20"/>
                <w:color w:val="auto"/>
              </w:rPr>
            </w:pPr>
            <w:r>
              <w:rPr>
                <w:rFonts w:ascii="Arial" w:cs="Arial" w:eastAsia="Arial" w:hAnsi="Arial"/>
                <w:sz w:val="18"/>
                <w:szCs w:val="18"/>
                <w:color w:val="auto"/>
                <w:w w:val="92"/>
              </w:rPr>
              <w:t>(unaudited)</w:t>
            </w:r>
          </w:p>
        </w:tc>
        <w:tc>
          <w:tcPr>
            <w:tcW w:w="9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96"/>
        </w:trPr>
        <w:tc>
          <w:tcPr>
            <w:tcW w:w="36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60" w:type="dxa"/>
            <w:vAlign w:val="bottom"/>
            <w:gridSpan w:val="6"/>
          </w:tcPr>
          <w:p>
            <w:pPr>
              <w:jc w:val="center"/>
              <w:ind w:right="200"/>
              <w:spacing w:after="0"/>
              <w:rPr>
                <w:sz w:val="20"/>
                <w:szCs w:val="20"/>
                <w:color w:val="auto"/>
              </w:rPr>
            </w:pPr>
            <w:r>
              <w:rPr>
                <w:rFonts w:ascii="Arial" w:cs="Arial" w:eastAsia="Arial" w:hAnsi="Arial"/>
                <w:sz w:val="18"/>
                <w:szCs w:val="18"/>
                <w:color w:val="auto"/>
                <w:w w:val="90"/>
              </w:rPr>
              <w:t>Three Months Ended</w:t>
            </w: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40" w:type="dxa"/>
            <w:vAlign w:val="bottom"/>
            <w:gridSpan w:val="4"/>
          </w:tcPr>
          <w:p>
            <w:pPr>
              <w:jc w:val="right"/>
              <w:ind w:right="390"/>
              <w:spacing w:after="0"/>
              <w:rPr>
                <w:sz w:val="20"/>
                <w:szCs w:val="20"/>
                <w:color w:val="auto"/>
              </w:rPr>
            </w:pPr>
            <w:r>
              <w:rPr>
                <w:rFonts w:ascii="Arial" w:cs="Arial" w:eastAsia="Arial" w:hAnsi="Arial"/>
                <w:sz w:val="18"/>
                <w:szCs w:val="18"/>
                <w:color w:val="auto"/>
              </w:rPr>
              <w:t>Six Months Ended</w:t>
            </w:r>
          </w:p>
        </w:tc>
      </w:tr>
      <w:tr>
        <w:trPr>
          <w:trHeight w:val="217"/>
        </w:trPr>
        <w:tc>
          <w:tcPr>
            <w:tcW w:w="36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60" w:type="dxa"/>
            <w:vAlign w:val="bottom"/>
            <w:gridSpan w:val="6"/>
          </w:tcPr>
          <w:p>
            <w:pPr>
              <w:jc w:val="center"/>
              <w:ind w:right="200"/>
              <w:spacing w:after="0"/>
              <w:rPr>
                <w:sz w:val="20"/>
                <w:szCs w:val="20"/>
                <w:color w:val="auto"/>
              </w:rPr>
            </w:pPr>
            <w:r>
              <w:rPr>
                <w:rFonts w:ascii="Arial" w:cs="Arial" w:eastAsia="Arial" w:hAnsi="Arial"/>
                <w:sz w:val="18"/>
                <w:szCs w:val="18"/>
                <w:color w:val="auto"/>
                <w:w w:val="86"/>
              </w:rPr>
              <w:t>June 30,</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4"/>
          </w:tcPr>
          <w:p>
            <w:pPr>
              <w:jc w:val="right"/>
              <w:ind w:right="770"/>
              <w:spacing w:after="0"/>
              <w:rPr>
                <w:sz w:val="20"/>
                <w:szCs w:val="20"/>
                <w:color w:val="auto"/>
              </w:rPr>
            </w:pPr>
            <w:r>
              <w:rPr>
                <w:rFonts w:ascii="Arial" w:cs="Arial" w:eastAsia="Arial" w:hAnsi="Arial"/>
                <w:sz w:val="18"/>
                <w:szCs w:val="18"/>
                <w:color w:val="auto"/>
              </w:rPr>
              <w:t>June 30,</w:t>
            </w:r>
          </w:p>
        </w:tc>
      </w:tr>
      <w:tr>
        <w:trPr>
          <w:trHeight w:val="209"/>
        </w:trPr>
        <w:tc>
          <w:tcPr>
            <w:tcW w:w="3620" w:type="dxa"/>
            <w:vAlign w:val="bottom"/>
            <w:tcBorders>
              <w:bottom w:val="single" w:sz="8" w:color="CCEEFF"/>
            </w:tcBorders>
          </w:tcPr>
          <w:p>
            <w:pPr>
              <w:spacing w:after="0"/>
              <w:rPr>
                <w:sz w:val="18"/>
                <w:szCs w:val="18"/>
                <w:color w:val="auto"/>
              </w:rPr>
            </w:pPr>
          </w:p>
        </w:tc>
        <w:tc>
          <w:tcPr>
            <w:tcW w:w="294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60" w:type="dxa"/>
            <w:vAlign w:val="bottom"/>
            <w:tcBorders>
              <w:top w:val="single" w:sz="8" w:color="auto"/>
              <w:bottom w:val="single" w:sz="8" w:color="CCEEFF"/>
            </w:tcBorders>
          </w:tcPr>
          <w:p>
            <w:pPr>
              <w:spacing w:after="0"/>
              <w:rPr>
                <w:sz w:val="18"/>
                <w:szCs w:val="18"/>
                <w:color w:val="auto"/>
              </w:rPr>
            </w:pPr>
          </w:p>
        </w:tc>
        <w:tc>
          <w:tcPr>
            <w:tcW w:w="4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color w:val="auto"/>
              </w:rPr>
              <w:t>2019</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2020</w:t>
            </w:r>
          </w:p>
        </w:tc>
        <w:tc>
          <w:tcPr>
            <w:tcW w:w="100" w:type="dxa"/>
            <w:vAlign w:val="bottom"/>
            <w:tcBorders>
              <w:top w:val="single" w:sz="8" w:color="auto"/>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2019</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67,730</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88,903</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162,009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175,811</w:t>
            </w:r>
          </w:p>
        </w:tc>
      </w:tr>
      <w:tr>
        <w:trPr>
          <w:trHeight w:val="229"/>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2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22,316</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27,543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51,640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52,609</w:t>
            </w: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45,414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61,360</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123,202</w:t>
            </w:r>
          </w:p>
        </w:tc>
      </w:tr>
      <w:tr>
        <w:trPr>
          <w:trHeight w:val="229"/>
        </w:trPr>
        <w:tc>
          <w:tcPr>
            <w:tcW w:w="36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 expenses</w:t>
            </w:r>
          </w:p>
        </w:tc>
        <w:tc>
          <w:tcPr>
            <w:tcW w:w="29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47,208</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60,562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119,510</w:t>
            </w:r>
          </w:p>
        </w:tc>
      </w:tr>
      <w:tr>
        <w:trPr>
          <w:trHeight w:val="20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(Loss) income from operations</w:t>
            </w:r>
          </w:p>
        </w:tc>
        <w:tc>
          <w:tcPr>
            <w:tcW w:w="2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(1,794)</w:t>
            </w: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3,692</w:t>
            </w:r>
          </w:p>
        </w:tc>
      </w:tr>
      <w:tr>
        <w:trPr>
          <w:trHeight w:val="230"/>
        </w:trPr>
        <w:tc>
          <w:tcPr>
            <w:tcW w:w="3620" w:type="dxa"/>
            <w:vAlign w:val="bottom"/>
          </w:tcPr>
          <w:p>
            <w:pPr>
              <w:spacing w:after="0"/>
              <w:rPr>
                <w:sz w:val="20"/>
                <w:szCs w:val="20"/>
                <w:color w:val="auto"/>
              </w:rPr>
            </w:pPr>
            <w:r>
              <w:rPr>
                <w:rFonts w:ascii="Arial" w:cs="Arial" w:eastAsia="Arial" w:hAnsi="Arial"/>
                <w:sz w:val="18"/>
                <w:szCs w:val="18"/>
                <w:color w:val="auto"/>
              </w:rPr>
              <w:t>Interest expense</w:t>
            </w: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(559)</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(943)</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(1,407)</w:t>
            </w: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(1,921)</w:t>
            </w:r>
          </w:p>
        </w:tc>
      </w:tr>
      <w:tr>
        <w:trPr>
          <w:trHeight w:val="229"/>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9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r>
      <w:tr>
        <w:trPr>
          <w:trHeight w:val="209"/>
        </w:trPr>
        <w:tc>
          <w:tcPr>
            <w:tcW w:w="362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2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(2,353)</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1,788</w:t>
            </w:r>
          </w:p>
        </w:tc>
      </w:tr>
      <w:tr>
        <w:trPr>
          <w:trHeight w:val="230"/>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Benefit (provision) for income taxes</w:t>
            </w: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w:t>
            </w:r>
          </w:p>
        </w:tc>
      </w:tr>
      <w:tr>
        <w:trPr>
          <w:trHeight w:val="236"/>
        </w:trPr>
        <w:tc>
          <w:tcPr>
            <w:tcW w:w="362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Net (loss) income</w:t>
            </w:r>
          </w:p>
        </w:tc>
        <w:tc>
          <w:tcPr>
            <w:tcW w:w="29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(760)</w:t>
            </w:r>
          </w:p>
        </w:tc>
        <w:tc>
          <w:tcPr>
            <w:tcW w:w="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(154)</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1,166</w:t>
            </w:r>
          </w:p>
        </w:tc>
      </w:tr>
      <w:tr>
        <w:trPr>
          <w:trHeight w:val="183"/>
        </w:trPr>
        <w:tc>
          <w:tcPr>
            <w:tcW w:w="3620" w:type="dxa"/>
            <w:vAlign w:val="bottom"/>
            <w:shd w:val="clear" w:color="auto" w:fill="CCEEFF"/>
          </w:tcPr>
          <w:p>
            <w:pPr>
              <w:spacing w:after="0"/>
              <w:rPr>
                <w:sz w:val="15"/>
                <w:szCs w:val="15"/>
                <w:color w:val="auto"/>
              </w:rPr>
            </w:pPr>
          </w:p>
        </w:tc>
        <w:tc>
          <w:tcPr>
            <w:tcW w:w="29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(Loss) income per common share:</w:t>
            </w: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9"/>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31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w:t>
            </w:r>
          </w:p>
        </w:tc>
        <w:tc>
          <w:tcPr>
            <w:tcW w:w="22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30"/>
        </w:trPr>
        <w:tc>
          <w:tcPr>
            <w:tcW w:w="3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31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(0.02)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(0.00)</w:t>
            </w:r>
          </w:p>
        </w:tc>
        <w:tc>
          <w:tcPr>
            <w:tcW w:w="2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0.05</w:t>
            </w:r>
          </w:p>
        </w:tc>
        <w:tc>
          <w:tcPr>
            <w:tcW w:w="100" w:type="dxa"/>
            <w:vAlign w:val="bottom"/>
          </w:tcPr>
          <w:p>
            <w:pPr>
              <w:spacing w:after="0"/>
              <w:rPr>
                <w:sz w:val="19"/>
                <w:szCs w:val="19"/>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29"/>
        </w:trPr>
        <w:tc>
          <w:tcPr>
            <w:tcW w:w="3620" w:type="dxa"/>
            <w:vAlign w:val="bottom"/>
            <w:shd w:val="clear" w:color="auto" w:fill="CCEEFF"/>
          </w:tcPr>
          <w:p>
            <w:pPr>
              <w:spacing w:after="0"/>
              <w:rPr>
                <w:sz w:val="19"/>
                <w:szCs w:val="19"/>
                <w:color w:val="auto"/>
              </w:rPr>
            </w:pP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620" w:type="dxa"/>
            <w:vAlign w:val="bottom"/>
          </w:tcPr>
          <w:p>
            <w:pPr>
              <w:spacing w:after="0"/>
              <w:rPr>
                <w:sz w:val="20"/>
                <w:szCs w:val="20"/>
                <w:color w:val="auto"/>
              </w:rPr>
            </w:pPr>
            <w:r>
              <w:rPr>
                <w:rFonts w:ascii="Arial" w:cs="Arial" w:eastAsia="Arial" w:hAnsi="Arial"/>
                <w:sz w:val="18"/>
                <w:szCs w:val="18"/>
                <w:color w:val="auto"/>
              </w:rPr>
              <w:t>Weighted average shares outstanding:</w:t>
            </w:r>
          </w:p>
        </w:tc>
        <w:tc>
          <w:tcPr>
            <w:tcW w:w="2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36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Basic</w:t>
            </w:r>
          </w:p>
        </w:tc>
        <w:tc>
          <w:tcPr>
            <w:tcW w:w="29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49,926,267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50,999,341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49,884,169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51,476,442</w:t>
            </w:r>
          </w:p>
        </w:tc>
      </w:tr>
      <w:tr>
        <w:trPr>
          <w:trHeight w:val="243"/>
        </w:trPr>
        <w:tc>
          <w:tcPr>
            <w:tcW w:w="3620" w:type="dxa"/>
            <w:vAlign w:val="bottom"/>
          </w:tcPr>
          <w:p>
            <w:pPr>
              <w:ind w:left="220"/>
              <w:spacing w:after="0"/>
              <w:rPr>
                <w:sz w:val="20"/>
                <w:szCs w:val="20"/>
                <w:color w:val="auto"/>
              </w:rPr>
            </w:pPr>
            <w:r>
              <w:rPr>
                <w:rFonts w:ascii="Arial" w:cs="Arial" w:eastAsia="Arial" w:hAnsi="Arial"/>
                <w:sz w:val="18"/>
                <w:szCs w:val="18"/>
                <w:color w:val="auto"/>
              </w:rPr>
              <w:t>Diluted</w:t>
            </w:r>
          </w:p>
        </w:tc>
        <w:tc>
          <w:tcPr>
            <w:tcW w:w="29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49,926,267</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50,999,341</w:t>
            </w: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50,052,990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51,573,410</w:t>
            </w:r>
          </w:p>
        </w:tc>
      </w:tr>
    </w:tbl>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Comprehensive Income (Loss)</w:t>
      </w:r>
    </w:p>
    <w:p>
      <w:pPr>
        <w:jc w:val="center"/>
        <w:spacing w:after="0" w:line="219"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0" w:type="dxa"/>
            <w:vAlign w:val="bottom"/>
            <w:gridSpan w:val="5"/>
          </w:tcPr>
          <w:p>
            <w:pPr>
              <w:jc w:val="right"/>
              <w:ind w:right="520"/>
              <w:spacing w:after="0"/>
              <w:rPr>
                <w:sz w:val="20"/>
                <w:szCs w:val="20"/>
                <w:color w:val="auto"/>
              </w:rPr>
            </w:pPr>
            <w:r>
              <w:rPr>
                <w:rFonts w:ascii="Arial" w:cs="Arial" w:eastAsia="Arial" w:hAnsi="Arial"/>
                <w:sz w:val="18"/>
                <w:szCs w:val="18"/>
                <w:color w:val="auto"/>
                <w:w w:val="98"/>
              </w:rPr>
              <w:t>Three Months Ended</w:t>
            </w:r>
          </w:p>
        </w:tc>
        <w:tc>
          <w:tcPr>
            <w:tcW w:w="220" w:type="dxa"/>
            <w:vAlign w:val="bottom"/>
          </w:tcPr>
          <w:p>
            <w:pPr>
              <w:spacing w:after="0"/>
              <w:rPr>
                <w:sz w:val="19"/>
                <w:szCs w:val="19"/>
                <w:color w:val="auto"/>
              </w:rPr>
            </w:pPr>
          </w:p>
        </w:tc>
        <w:tc>
          <w:tcPr>
            <w:tcW w:w="2020" w:type="dxa"/>
            <w:vAlign w:val="bottom"/>
            <w:gridSpan w:val="4"/>
          </w:tcPr>
          <w:p>
            <w:pPr>
              <w:jc w:val="right"/>
              <w:ind w:right="370"/>
              <w:spacing w:after="0"/>
              <w:rPr>
                <w:sz w:val="20"/>
                <w:szCs w:val="20"/>
                <w:color w:val="auto"/>
              </w:rPr>
            </w:pPr>
            <w:r>
              <w:rPr>
                <w:rFonts w:ascii="Arial" w:cs="Arial" w:eastAsia="Arial" w:hAnsi="Arial"/>
                <w:sz w:val="18"/>
                <w:szCs w:val="18"/>
                <w:color w:val="auto"/>
              </w:rPr>
              <w:t>Six Months Ended</w:t>
            </w:r>
          </w:p>
        </w:tc>
      </w:tr>
      <w:tr>
        <w:trPr>
          <w:trHeight w:val="217"/>
        </w:trPr>
        <w:tc>
          <w:tcPr>
            <w:tcW w:w="65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760" w:type="dxa"/>
            <w:vAlign w:val="bottom"/>
            <w:tcBorders>
              <w:bottom w:val="single" w:sz="8" w:color="auto"/>
            </w:tcBorders>
          </w:tcPr>
          <w:p>
            <w:pPr>
              <w:spacing w:after="0"/>
              <w:rPr>
                <w:sz w:val="18"/>
                <w:szCs w:val="18"/>
                <w:color w:val="auto"/>
              </w:rPr>
            </w:pPr>
          </w:p>
        </w:tc>
      </w:tr>
      <w:tr>
        <w:trPr>
          <w:trHeight w:val="209"/>
        </w:trPr>
        <w:tc>
          <w:tcPr>
            <w:tcW w:w="65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2019</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2019</w:t>
            </w:r>
          </w:p>
        </w:tc>
      </w:tr>
      <w:tr>
        <w:trPr>
          <w:trHeight w:val="210"/>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2,742</w:t>
            </w: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w:t>
            </w:r>
          </w:p>
        </w:tc>
      </w:tr>
      <w:tr>
        <w:trPr>
          <w:trHeight w:val="229"/>
        </w:trPr>
        <w:tc>
          <w:tcPr>
            <w:tcW w:w="6560" w:type="dxa"/>
            <w:vAlign w:val="bottom"/>
          </w:tcPr>
          <w:p>
            <w:pPr>
              <w:spacing w:after="0"/>
              <w:rPr>
                <w:sz w:val="20"/>
                <w:szCs w:val="20"/>
                <w:color w:val="auto"/>
              </w:rPr>
            </w:pPr>
            <w:r>
              <w:rPr>
                <w:rFonts w:ascii="Arial" w:cs="Arial" w:eastAsia="Arial" w:hAnsi="Arial"/>
                <w:sz w:val="18"/>
                <w:szCs w:val="18"/>
                <w:color w:val="auto"/>
              </w:rPr>
              <w:t>Currency translation adjustment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9"/>
                <w:szCs w:val="19"/>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(14)</w:t>
            </w:r>
          </w:p>
        </w:tc>
        <w:tc>
          <w:tcPr>
            <w:tcW w:w="2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comprehensive (loss) income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196"/>
        </w:trPr>
        <w:tc>
          <w:tcPr>
            <w:tcW w:w="6560" w:type="dxa"/>
            <w:vAlign w:val="bottom"/>
          </w:tcPr>
          <w:p>
            <w:pPr>
              <w:spacing w:after="0" w:line="196" w:lineRule="exact"/>
              <w:rPr>
                <w:sz w:val="20"/>
                <w:szCs w:val="20"/>
                <w:color w:val="auto"/>
              </w:rPr>
            </w:pPr>
            <w:r>
              <w:rPr>
                <w:rFonts w:ascii="Arial" w:cs="Arial" w:eastAsia="Arial" w:hAnsi="Arial"/>
                <w:sz w:val="18"/>
                <w:szCs w:val="18"/>
                <w:b w:val="1"/>
                <w:bCs w:val="1"/>
                <w:color w:val="auto"/>
              </w:rPr>
              <w:t>Comprehensive (loss) income</w:t>
            </w: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b w:val="1"/>
                <w:bCs w:val="1"/>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(758)</w:t>
            </w:r>
          </w:p>
        </w:tc>
        <w:tc>
          <w:tcPr>
            <w:tcW w:w="140" w:type="dxa"/>
            <w:vAlign w:val="bottom"/>
          </w:tcPr>
          <w:p>
            <w:pPr>
              <w:spacing w:after="0"/>
              <w:rPr>
                <w:sz w:val="17"/>
                <w:szCs w:val="17"/>
                <w:color w:val="auto"/>
              </w:rPr>
            </w:pPr>
          </w:p>
        </w:tc>
        <w:tc>
          <w:tcPr>
            <w:tcW w:w="300" w:type="dxa"/>
            <w:vAlign w:val="bottom"/>
            <w:tcBorders>
              <w:bottom w:val="single" w:sz="8" w:color="auto"/>
            </w:tcBorders>
          </w:tcPr>
          <w:p>
            <w:pPr>
              <w:jc w:val="right"/>
              <w:ind w:right="110"/>
              <w:spacing w:after="0" w:line="196" w:lineRule="exact"/>
              <w:rPr>
                <w:sz w:val="20"/>
                <w:szCs w:val="20"/>
                <w:color w:val="auto"/>
              </w:rPr>
            </w:pPr>
            <w:r>
              <w:rPr>
                <w:rFonts w:ascii="Arial" w:cs="Arial" w:eastAsia="Arial" w:hAnsi="Arial"/>
                <w:sz w:val="18"/>
                <w:szCs w:val="18"/>
                <w:b w:val="1"/>
                <w:bCs w:val="1"/>
                <w:color w:val="auto"/>
                <w:w w:val="79"/>
              </w:rPr>
              <w:t>$</w:t>
            </w:r>
          </w:p>
        </w:tc>
        <w:tc>
          <w:tcPr>
            <w:tcW w:w="7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(179)</w:t>
            </w:r>
          </w:p>
        </w:tc>
        <w:tc>
          <w:tcPr>
            <w:tcW w:w="140" w:type="dxa"/>
            <w:vAlign w:val="bottom"/>
          </w:tcPr>
          <w:p>
            <w:pPr>
              <w:spacing w:after="0"/>
              <w:rPr>
                <w:sz w:val="17"/>
                <w:szCs w:val="17"/>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b w:val="1"/>
                <w:bCs w:val="1"/>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2,728</w:t>
            </w:r>
          </w:p>
        </w:tc>
        <w:tc>
          <w:tcPr>
            <w:tcW w:w="140" w:type="dxa"/>
            <w:vAlign w:val="bottom"/>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7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1,168</w:t>
            </w:r>
          </w:p>
        </w:tc>
      </w:tr>
      <w:tr>
        <w:trPr>
          <w:trHeight w:val="20"/>
        </w:trPr>
        <w:tc>
          <w:tcPr>
            <w:tcW w:w="6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jc w:val="center"/>
        <w:ind w:right="40"/>
        <w:spacing w:after="0" w:line="219" w:lineRule="auto"/>
        <w:rPr>
          <w:sz w:val="20"/>
          <w:szCs w:val="20"/>
          <w:color w:val="auto"/>
        </w:rPr>
      </w:pPr>
      <w:r>
        <w:rPr>
          <w:rFonts w:ascii="Arial" w:cs="Arial" w:eastAsia="Arial" w:hAnsi="Arial"/>
          <w:sz w:val="18"/>
          <w:szCs w:val="18"/>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3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color w:val="auto"/>
                <w:w w:val="93"/>
              </w:rPr>
              <w:t>Accumulated</w:t>
            </w: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Retained</w:t>
            </w: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other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paid-in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earnings</w:t>
            </w: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comprehensive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80" w:type="dxa"/>
            <w:vAlign w:val="bottom"/>
          </w:tcPr>
          <w:p>
            <w:pPr>
              <w:spacing w:after="0"/>
              <w:rPr>
                <w:sz w:val="14"/>
                <w:szCs w:val="14"/>
                <w:color w:val="auto"/>
              </w:rPr>
            </w:pPr>
          </w:p>
        </w:tc>
        <w:tc>
          <w:tcPr>
            <w:tcW w:w="1580" w:type="dxa"/>
            <w:vAlign w:val="bottom"/>
            <w:gridSpan w:val="2"/>
          </w:tcPr>
          <w:p>
            <w:pPr>
              <w:ind w:left="5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capital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income (loss)</w:t>
            </w:r>
          </w:p>
        </w:tc>
        <w:tc>
          <w:tcPr>
            <w:tcW w:w="240" w:type="dxa"/>
            <w:vAlign w:val="bottom"/>
          </w:tcPr>
          <w:p>
            <w:pPr>
              <w:spacing w:after="0"/>
              <w:rPr>
                <w:sz w:val="14"/>
                <w:szCs w:val="14"/>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at March 31, 2019</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52,901,733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170,306</w:t>
            </w: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(17,997)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152,285</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Adoption of lease standard</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(1,738)</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March 31, 2019</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52,901,733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170,306</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(19,735)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150,547</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Issuance of restricted shares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780" w:type="dxa"/>
            <w:vAlign w:val="bottom"/>
            <w:vMerge w:val="continue"/>
          </w:tcPr>
          <w:p>
            <w:pPr>
              <w:spacing w:after="0"/>
              <w:rPr>
                <w:sz w:val="15"/>
                <w:szCs w:val="15"/>
                <w:color w:val="auto"/>
              </w:rPr>
            </w:pPr>
          </w:p>
        </w:tc>
        <w:tc>
          <w:tcPr>
            <w:tcW w:w="1480" w:type="dxa"/>
            <w:vAlign w:val="bottom"/>
          </w:tcPr>
          <w:p>
            <w:pPr>
              <w:jc w:val="right"/>
              <w:spacing w:after="0" w:line="183" w:lineRule="exact"/>
              <w:rPr>
                <w:sz w:val="20"/>
                <w:szCs w:val="20"/>
                <w:color w:val="auto"/>
              </w:rPr>
            </w:pPr>
            <w:r>
              <w:rPr>
                <w:rFonts w:ascii="Arial" w:cs="Arial" w:eastAsia="Arial" w:hAnsi="Arial"/>
                <w:sz w:val="18"/>
                <w:szCs w:val="18"/>
                <w:color w:val="auto"/>
              </w:rPr>
              <w:t>76,275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2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Cancellation of restricted shares</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(55,496)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Repurchase of common stock</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(2,307,023)</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(10,455)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161"/>
        </w:trPr>
        <w:tc>
          <w:tcPr>
            <w:tcW w:w="3780" w:type="dxa"/>
            <w:vAlign w:val="bottom"/>
          </w:tcPr>
          <w:p>
            <w:pPr>
              <w:spacing w:after="0" w:line="161" w:lineRule="exact"/>
              <w:rPr>
                <w:sz w:val="20"/>
                <w:szCs w:val="20"/>
                <w:color w:val="auto"/>
              </w:rPr>
            </w:pPr>
            <w:r>
              <w:rPr>
                <w:rFonts w:ascii="Arial" w:cs="Arial" w:eastAsia="Arial" w:hAnsi="Arial"/>
                <w:sz w:val="18"/>
                <w:szCs w:val="18"/>
                <w:color w:val="auto"/>
                <w:w w:val="96"/>
              </w:rPr>
              <w:t>Tax withholdings related to net share settlements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of stock based compensation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Dividends paid ($0.05 per share)</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(2,606)</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Foreign currency translation adjustments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(25)</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Balance at June 30, 2019</w:t>
            </w:r>
          </w:p>
        </w:tc>
        <w:tc>
          <w:tcPr>
            <w:tcW w:w="14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50,615,489</w:t>
            </w:r>
          </w:p>
        </w:tc>
        <w:tc>
          <w:tcPr>
            <w:tcW w:w="100" w:type="dxa"/>
            <w:vAlign w:val="bottom"/>
            <w:tcBorders>
              <w:bottom w:val="single" w:sz="8" w:color="CCEEFF"/>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157,961</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(19,889)</w:t>
            </w:r>
          </w:p>
        </w:tc>
        <w:tc>
          <w:tcPr>
            <w:tcW w:w="100" w:type="dxa"/>
            <w:vAlign w:val="bottom"/>
            <w:tcBorders>
              <w:bottom w:val="single" w:sz="8" w:color="CCEEFF"/>
            </w:tcBorders>
          </w:tcPr>
          <w:p>
            <w:pPr>
              <w:spacing w:after="0"/>
              <w:rPr>
                <w:sz w:val="20"/>
                <w:szCs w:val="20"/>
                <w:color w:val="auto"/>
              </w:rPr>
            </w:pPr>
          </w:p>
        </w:tc>
        <w:tc>
          <w:tcPr>
            <w:tcW w:w="180" w:type="dxa"/>
            <w:vAlign w:val="bottom"/>
            <w:tcBorders>
              <w:top w:val="single" w:sz="8" w:color="auto"/>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138,023</w:t>
            </w: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3780" w:type="dxa"/>
            <w:vAlign w:val="bottom"/>
            <w:tcBorders>
              <w:bottom w:val="single" w:sz="8" w:color="CCEEFF"/>
            </w:tcBorders>
          </w:tcPr>
          <w:p>
            <w:pPr>
              <w:spacing w:after="0" w:line="196" w:lineRule="exact"/>
              <w:rPr>
                <w:sz w:val="20"/>
                <w:szCs w:val="20"/>
                <w:color w:val="auto"/>
              </w:rPr>
            </w:pPr>
            <w:r>
              <w:rPr>
                <w:rFonts w:ascii="Arial" w:cs="Arial" w:eastAsia="Arial" w:hAnsi="Arial"/>
                <w:sz w:val="18"/>
                <w:szCs w:val="18"/>
                <w:b w:val="1"/>
                <w:bCs w:val="1"/>
                <w:color w:val="auto"/>
              </w:rPr>
              <w:t>Balance at March 31, 2020</w:t>
            </w: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51,396,986</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156,969</w:t>
            </w: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(22,016)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134,872</w:t>
            </w:r>
          </w:p>
        </w:tc>
        <w:tc>
          <w:tcPr>
            <w:tcW w:w="0" w:type="dxa"/>
            <w:vAlign w:val="bottom"/>
          </w:tcPr>
          <w:p>
            <w:pPr>
              <w:spacing w:after="0"/>
              <w:rPr>
                <w:sz w:val="1"/>
                <w:szCs w:val="1"/>
                <w:color w:val="auto"/>
              </w:rPr>
            </w:pPr>
          </w:p>
        </w:tc>
      </w:tr>
      <w:tr>
        <w:trPr>
          <w:trHeight w:val="183"/>
        </w:trPr>
        <w:tc>
          <w:tcPr>
            <w:tcW w:w="378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Issuance of restricted shares</w:t>
            </w:r>
          </w:p>
        </w:tc>
        <w:tc>
          <w:tcPr>
            <w:tcW w:w="14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28,494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tcPr>
          <w:p>
            <w:pPr>
              <w:spacing w:after="0"/>
              <w:rPr>
                <w:sz w:val="20"/>
                <w:szCs w:val="20"/>
                <w:color w:val="auto"/>
              </w:rPr>
            </w:pPr>
            <w:r>
              <w:rPr>
                <w:rFonts w:ascii="Arial" w:cs="Arial" w:eastAsia="Arial" w:hAnsi="Arial"/>
                <w:sz w:val="18"/>
                <w:szCs w:val="18"/>
                <w:color w:val="auto"/>
              </w:rPr>
              <w:t>Cancellation of restricted shares</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(55,313)</w:t>
            </w: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0" w:type="dxa"/>
            <w:vAlign w:val="bottom"/>
          </w:tcPr>
          <w:p>
            <w:pPr>
              <w:spacing w:after="0"/>
              <w:rPr>
                <w:sz w:val="1"/>
                <w:szCs w:val="1"/>
                <w:color w:val="auto"/>
              </w:rPr>
            </w:pPr>
          </w:p>
        </w:tc>
      </w:tr>
      <w:tr>
        <w:trPr>
          <w:trHeight w:val="161"/>
        </w:trPr>
        <w:tc>
          <w:tcPr>
            <w:tcW w:w="3780" w:type="dxa"/>
            <w:vAlign w:val="bottom"/>
          </w:tcPr>
          <w:p>
            <w:pPr>
              <w:spacing w:after="0" w:line="161" w:lineRule="exact"/>
              <w:rPr>
                <w:sz w:val="20"/>
                <w:szCs w:val="20"/>
                <w:color w:val="auto"/>
              </w:rPr>
            </w:pPr>
            <w:r>
              <w:rPr>
                <w:rFonts w:ascii="Arial" w:cs="Arial" w:eastAsia="Arial" w:hAnsi="Arial"/>
                <w:sz w:val="18"/>
                <w:szCs w:val="18"/>
                <w:color w:val="auto"/>
                <w:w w:val="96"/>
              </w:rPr>
              <w:t>Tax withholdings related to net share settlements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of stock based compensation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adjustments</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378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(760)</w:t>
            </w:r>
          </w:p>
        </w:tc>
        <w:tc>
          <w:tcPr>
            <w:tcW w:w="1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(760)</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Balance at June 30, 2020</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51,370,167</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157,493</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(22,776)</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134,638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3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ind w:right="4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37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21" w:lineRule="auto"/>
        <w:rPr>
          <w:sz w:val="20"/>
          <w:szCs w:val="20"/>
          <w:color w:val="auto"/>
        </w:rPr>
      </w:pPr>
      <w:r>
        <w:rPr>
          <w:rFonts w:ascii="Arial" w:cs="Arial" w:eastAsia="Arial" w:hAnsi="Arial"/>
          <w:sz w:val="18"/>
          <w:szCs w:val="18"/>
          <w:color w:val="auto"/>
        </w:rPr>
        <w:t>Consolidated Statements of Stockholders’ Equity</w:t>
      </w:r>
    </w:p>
    <w:p>
      <w:pPr>
        <w:jc w:val="center"/>
        <w:ind w:right="40"/>
        <w:spacing w:after="0" w:line="219" w:lineRule="auto"/>
        <w:rPr>
          <w:sz w:val="20"/>
          <w:szCs w:val="20"/>
          <w:color w:val="auto"/>
        </w:rPr>
      </w:pPr>
      <w:r>
        <w:rPr>
          <w:rFonts w:ascii="Arial" w:cs="Arial" w:eastAsia="Arial" w:hAnsi="Arial"/>
          <w:sz w:val="18"/>
          <w:szCs w:val="18"/>
          <w:color w:val="auto"/>
        </w:rPr>
        <w:t>(dollars in thousands, except share and per share data)</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3780" w:type="dxa"/>
            <w:vAlign w:val="bottom"/>
          </w:tcPr>
          <w:p>
            <w:pPr>
              <w:spacing w:after="0"/>
              <w:rPr>
                <w:sz w:val="14"/>
                <w:szCs w:val="14"/>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Common stock</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vMerge w:val="restart"/>
          </w:tcPr>
          <w:p>
            <w:pPr>
              <w:jc w:val="center"/>
              <w:ind w:right="280"/>
              <w:spacing w:after="0"/>
              <w:rPr>
                <w:sz w:val="20"/>
                <w:szCs w:val="20"/>
                <w:color w:val="auto"/>
              </w:rPr>
            </w:pPr>
            <w:r>
              <w:rPr>
                <w:rFonts w:ascii="Arial" w:cs="Arial" w:eastAsia="Arial" w:hAnsi="Arial"/>
                <w:sz w:val="14"/>
                <w:szCs w:val="14"/>
                <w:color w:val="auto"/>
                <w:w w:val="93"/>
              </w:rPr>
              <w:t>Accumulated</w:t>
            </w: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378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2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8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color w:val="auto"/>
              </w:rPr>
              <w:t>Additional</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89"/>
              </w:rPr>
              <w:t>Retained</w:t>
            </w:r>
          </w:p>
        </w:tc>
        <w:tc>
          <w:tcPr>
            <w:tcW w:w="180" w:type="dxa"/>
            <w:vAlign w:val="bottom"/>
          </w:tcPr>
          <w:p>
            <w:pPr>
              <w:spacing w:after="0"/>
              <w:rPr>
                <w:sz w:val="12"/>
                <w:szCs w:val="12"/>
                <w:color w:val="auto"/>
              </w:rPr>
            </w:pPr>
          </w:p>
        </w:tc>
        <w:tc>
          <w:tcPr>
            <w:tcW w:w="13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3"/>
              </w:rPr>
              <w:t>other</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color w:val="auto"/>
                <w:w w:val="95"/>
              </w:rPr>
              <w:t>paid-in</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3"/>
              </w:rPr>
              <w:t>earnings</w:t>
            </w: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2"/>
              </w:rPr>
              <w:t>comprehensive</w:t>
            </w: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780" w:type="dxa"/>
            <w:vAlign w:val="bottom"/>
          </w:tcPr>
          <w:p>
            <w:pPr>
              <w:spacing w:after="0"/>
              <w:rPr>
                <w:sz w:val="14"/>
                <w:szCs w:val="14"/>
                <w:color w:val="auto"/>
              </w:rPr>
            </w:pPr>
          </w:p>
        </w:tc>
        <w:tc>
          <w:tcPr>
            <w:tcW w:w="1580" w:type="dxa"/>
            <w:vAlign w:val="bottom"/>
            <w:gridSpan w:val="2"/>
          </w:tcPr>
          <w:p>
            <w:pPr>
              <w:ind w:left="560"/>
              <w:spacing w:after="0"/>
              <w:rPr>
                <w:sz w:val="20"/>
                <w:szCs w:val="20"/>
                <w:color w:val="auto"/>
              </w:rPr>
            </w:pPr>
            <w:r>
              <w:rPr>
                <w:rFonts w:ascii="Arial" w:cs="Arial" w:eastAsia="Arial" w:hAnsi="Arial"/>
                <w:sz w:val="14"/>
                <w:szCs w:val="14"/>
                <w:color w:val="auto"/>
              </w:rPr>
              <w:t>Shares</w:t>
            </w:r>
          </w:p>
        </w:tc>
        <w:tc>
          <w:tcPr>
            <w:tcW w:w="12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color w:val="auto"/>
              </w:rPr>
              <w:t>Amount</w:t>
            </w:r>
          </w:p>
        </w:tc>
        <w:tc>
          <w:tcPr>
            <w:tcW w:w="16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color w:val="auto"/>
                <w:w w:val="93"/>
              </w:rPr>
              <w:t>capital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color w:val="auto"/>
              </w:rPr>
              <w:t>(deficit)</w:t>
            </w: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income (loss)</w:t>
            </w:r>
          </w:p>
        </w:tc>
        <w:tc>
          <w:tcPr>
            <w:tcW w:w="240" w:type="dxa"/>
            <w:vAlign w:val="bottom"/>
          </w:tcPr>
          <w:p>
            <w:pPr>
              <w:spacing w:after="0"/>
              <w:rPr>
                <w:sz w:val="14"/>
                <w:szCs w:val="14"/>
                <w:color w:val="auto"/>
              </w:rPr>
            </w:pPr>
          </w:p>
        </w:tc>
        <w:tc>
          <w:tcPr>
            <w:tcW w:w="860" w:type="dxa"/>
            <w:vAlign w:val="bottom"/>
          </w:tcPr>
          <w:p>
            <w:pPr>
              <w:jc w:val="right"/>
              <w:ind w:right="31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183"/>
        </w:trPr>
        <w:tc>
          <w:tcPr>
            <w:tcW w:w="37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December 31, 2018</w:t>
            </w:r>
          </w:p>
        </w:tc>
        <w:tc>
          <w:tcPr>
            <w:tcW w:w="14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52,707,879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172,255</w:t>
            </w:r>
          </w:p>
        </w:tc>
        <w:tc>
          <w:tcPr>
            <w:tcW w:w="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(25,857)</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w:t>
            </w:r>
          </w:p>
        </w:tc>
        <w:tc>
          <w:tcPr>
            <w:tcW w:w="10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146,347</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Adoption of lease standard</w:t>
            </w:r>
          </w:p>
        </w:tc>
        <w:tc>
          <w:tcPr>
            <w:tcW w:w="1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4,802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4,802</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January 1, 2019</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52,707,879</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172,255</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(21,055)</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151,149</w:t>
            </w:r>
          </w:p>
        </w:tc>
        <w:tc>
          <w:tcPr>
            <w:tcW w:w="0" w:type="dxa"/>
            <w:vAlign w:val="bottom"/>
          </w:tcPr>
          <w:p>
            <w:pPr>
              <w:spacing w:after="0"/>
              <w:rPr>
                <w:sz w:val="1"/>
                <w:szCs w:val="1"/>
                <w:color w:val="auto"/>
              </w:rPr>
            </w:pPr>
          </w:p>
        </w:tc>
      </w:tr>
      <w:tr>
        <w:trPr>
          <w:trHeight w:val="20"/>
        </w:trPr>
        <w:tc>
          <w:tcPr>
            <w:tcW w:w="3780" w:type="dxa"/>
            <w:vAlign w:val="bottom"/>
            <w:vMerge w:val="restart"/>
          </w:tcPr>
          <w:p>
            <w:pPr>
              <w:spacing w:after="0"/>
              <w:rPr>
                <w:sz w:val="20"/>
                <w:szCs w:val="20"/>
                <w:color w:val="auto"/>
              </w:rPr>
            </w:pPr>
            <w:r>
              <w:rPr>
                <w:rFonts w:ascii="Arial" w:cs="Arial" w:eastAsia="Arial" w:hAnsi="Arial"/>
                <w:sz w:val="18"/>
                <w:szCs w:val="18"/>
                <w:color w:val="auto"/>
              </w:rPr>
              <w:t>Issuance of restricted shares</w:t>
            </w: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3780" w:type="dxa"/>
            <w:vAlign w:val="bottom"/>
            <w:vMerge w:val="continue"/>
          </w:tcPr>
          <w:p>
            <w:pPr>
              <w:spacing w:after="0"/>
              <w:rPr>
                <w:sz w:val="14"/>
                <w:szCs w:val="14"/>
                <w:color w:val="auto"/>
              </w:rPr>
            </w:pPr>
          </w:p>
        </w:tc>
        <w:tc>
          <w:tcPr>
            <w:tcW w:w="1480" w:type="dxa"/>
            <w:vAlign w:val="bottom"/>
          </w:tcPr>
          <w:p>
            <w:pPr>
              <w:jc w:val="right"/>
              <w:spacing w:after="0" w:line="170" w:lineRule="exact"/>
              <w:rPr>
                <w:sz w:val="20"/>
                <w:szCs w:val="20"/>
                <w:color w:val="auto"/>
              </w:rPr>
            </w:pPr>
            <w:r>
              <w:rPr>
                <w:rFonts w:ascii="Arial" w:cs="Arial" w:eastAsia="Arial" w:hAnsi="Arial"/>
                <w:sz w:val="18"/>
                <w:szCs w:val="18"/>
                <w:color w:val="auto"/>
              </w:rPr>
              <w:t>357,448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58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(142,815)</w:t>
            </w: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8"/>
                <w:szCs w:val="18"/>
                <w:color w:val="auto"/>
              </w:rPr>
              <w:t>Repurchase of common stock</w:t>
            </w:r>
          </w:p>
        </w:tc>
        <w:tc>
          <w:tcPr>
            <w:tcW w:w="15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(2,307,023)</w:t>
            </w: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gridSpan w:val="2"/>
          </w:tcPr>
          <w:p>
            <w:pPr>
              <w:jc w:val="right"/>
              <w:ind w:right="40"/>
              <w:spacing w:after="0" w:line="189" w:lineRule="exact"/>
              <w:rPr>
                <w:sz w:val="20"/>
                <w:szCs w:val="20"/>
                <w:color w:val="auto"/>
              </w:rPr>
            </w:pPr>
            <w:r>
              <w:rPr>
                <w:rFonts w:ascii="Arial" w:cs="Arial" w:eastAsia="Arial" w:hAnsi="Arial"/>
                <w:sz w:val="18"/>
                <w:szCs w:val="18"/>
                <w:color w:val="auto"/>
              </w:rPr>
              <w:t>(10,455)</w:t>
            </w: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(10,455)</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1,509</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1,509</w:t>
            </w:r>
          </w:p>
        </w:tc>
        <w:tc>
          <w:tcPr>
            <w:tcW w:w="0" w:type="dxa"/>
            <w:vAlign w:val="bottom"/>
          </w:tcPr>
          <w:p>
            <w:pPr>
              <w:spacing w:after="0"/>
              <w:rPr>
                <w:sz w:val="1"/>
                <w:szCs w:val="1"/>
                <w:color w:val="auto"/>
              </w:rPr>
            </w:pPr>
          </w:p>
        </w:tc>
      </w:tr>
      <w:tr>
        <w:trPr>
          <w:trHeight w:val="161"/>
        </w:trPr>
        <w:tc>
          <w:tcPr>
            <w:tcW w:w="3780" w:type="dxa"/>
            <w:vAlign w:val="bottom"/>
          </w:tcPr>
          <w:p>
            <w:pPr>
              <w:spacing w:after="0" w:line="161" w:lineRule="exact"/>
              <w:rPr>
                <w:sz w:val="20"/>
                <w:szCs w:val="20"/>
                <w:color w:val="auto"/>
              </w:rPr>
            </w:pPr>
            <w:r>
              <w:rPr>
                <w:rFonts w:ascii="Arial" w:cs="Arial" w:eastAsia="Arial" w:hAnsi="Arial"/>
                <w:sz w:val="18"/>
                <w:szCs w:val="18"/>
                <w:color w:val="auto"/>
                <w:w w:val="96"/>
              </w:rPr>
              <w:t>Tax withholdings related to net share settlements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of stock based compensation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(136)</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Dividends paid ($0.10 per share)</w:t>
            </w: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(5,212)</w:t>
            </w: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(5,212)</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1,166</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June 30, 2019</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50,615,489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157,961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(19,889)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138,023</w:t>
            </w: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spacing w:after="0"/>
              <w:rPr>
                <w:sz w:val="14"/>
                <w:szCs w:val="14"/>
                <w:color w:val="auto"/>
              </w:rPr>
            </w:pPr>
          </w:p>
        </w:tc>
        <w:tc>
          <w:tcPr>
            <w:tcW w:w="14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940" w:type="dxa"/>
            <w:vAlign w:val="bottom"/>
            <w:tcBorders>
              <w:bottom w:val="single" w:sz="8" w:color="auto"/>
            </w:tcBorders>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1220" w:type="dxa"/>
            <w:vAlign w:val="bottom"/>
            <w:tcBorders>
              <w:bottom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378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b w:val="1"/>
                <w:bCs w:val="1"/>
                <w:color w:val="auto"/>
              </w:rPr>
              <w:t>Balance at December 31, 2019</w:t>
            </w:r>
          </w:p>
        </w:tc>
        <w:tc>
          <w:tcPr>
            <w:tcW w:w="14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50,806,674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156,482</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(25,518)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130,899</w:t>
            </w:r>
          </w:p>
        </w:tc>
        <w:tc>
          <w:tcPr>
            <w:tcW w:w="0" w:type="dxa"/>
            <w:vAlign w:val="bottom"/>
          </w:tcPr>
          <w:p>
            <w:pPr>
              <w:spacing w:after="0"/>
              <w:rPr>
                <w:sz w:val="1"/>
                <w:szCs w:val="1"/>
                <w:color w:val="auto"/>
              </w:rPr>
            </w:pPr>
          </w:p>
        </w:tc>
      </w:tr>
      <w:tr>
        <w:trPr>
          <w:trHeight w:val="169"/>
        </w:trPr>
        <w:tc>
          <w:tcPr>
            <w:tcW w:w="37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Issuance of restricted shares</w:t>
            </w:r>
          </w:p>
        </w:tc>
        <w:tc>
          <w:tcPr>
            <w:tcW w:w="14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698,103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tcPr>
          <w:p>
            <w:pPr>
              <w:spacing w:after="0" w:line="189" w:lineRule="exact"/>
              <w:rPr>
                <w:sz w:val="20"/>
                <w:szCs w:val="20"/>
                <w:color w:val="auto"/>
              </w:rPr>
            </w:pPr>
            <w:r>
              <w:rPr>
                <w:rFonts w:ascii="Arial" w:cs="Arial" w:eastAsia="Arial" w:hAnsi="Arial"/>
                <w:sz w:val="18"/>
                <w:szCs w:val="18"/>
                <w:color w:val="auto"/>
              </w:rPr>
              <w:t>Cancellation of restricted shares</w:t>
            </w:r>
          </w:p>
        </w:tc>
        <w:tc>
          <w:tcPr>
            <w:tcW w:w="1580" w:type="dxa"/>
            <w:vAlign w:val="bottom"/>
            <w:gridSpan w:val="2"/>
          </w:tcPr>
          <w:p>
            <w:pPr>
              <w:jc w:val="right"/>
              <w:ind w:right="100"/>
              <w:spacing w:after="0" w:line="189" w:lineRule="exact"/>
              <w:rPr>
                <w:sz w:val="20"/>
                <w:szCs w:val="20"/>
                <w:color w:val="auto"/>
              </w:rPr>
            </w:pPr>
            <w:r>
              <w:rPr>
                <w:rFonts w:ascii="Arial" w:cs="Arial" w:eastAsia="Arial" w:hAnsi="Arial"/>
                <w:sz w:val="18"/>
                <w:szCs w:val="18"/>
                <w:color w:val="auto"/>
              </w:rPr>
              <w:t>(134,610)</w:t>
            </w:r>
          </w:p>
        </w:tc>
        <w:tc>
          <w:tcPr>
            <w:tcW w:w="120" w:type="dxa"/>
            <w:vAlign w:val="bottom"/>
          </w:tcPr>
          <w:p>
            <w:pPr>
              <w:spacing w:after="0"/>
              <w:rPr>
                <w:sz w:val="16"/>
                <w:szCs w:val="16"/>
                <w:color w:val="auto"/>
              </w:rPr>
            </w:pPr>
          </w:p>
        </w:tc>
        <w:tc>
          <w:tcPr>
            <w:tcW w:w="7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1,104</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1,104</w:t>
            </w:r>
          </w:p>
        </w:tc>
        <w:tc>
          <w:tcPr>
            <w:tcW w:w="0" w:type="dxa"/>
            <w:vAlign w:val="bottom"/>
          </w:tcPr>
          <w:p>
            <w:pPr>
              <w:spacing w:after="0"/>
              <w:rPr>
                <w:sz w:val="1"/>
                <w:szCs w:val="1"/>
                <w:color w:val="auto"/>
              </w:rPr>
            </w:pPr>
          </w:p>
        </w:tc>
      </w:tr>
      <w:tr>
        <w:trPr>
          <w:trHeight w:val="161"/>
        </w:trPr>
        <w:tc>
          <w:tcPr>
            <w:tcW w:w="3780" w:type="dxa"/>
            <w:vAlign w:val="bottom"/>
          </w:tcPr>
          <w:p>
            <w:pPr>
              <w:spacing w:after="0" w:line="161" w:lineRule="exact"/>
              <w:rPr>
                <w:sz w:val="20"/>
                <w:szCs w:val="20"/>
                <w:color w:val="auto"/>
              </w:rPr>
            </w:pPr>
            <w:r>
              <w:rPr>
                <w:rFonts w:ascii="Arial" w:cs="Arial" w:eastAsia="Arial" w:hAnsi="Arial"/>
                <w:sz w:val="18"/>
                <w:szCs w:val="18"/>
                <w:color w:val="auto"/>
                <w:w w:val="96"/>
              </w:rPr>
              <w:t>Tax withholdings related to net share settlements</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of stock based compensation awards</w:t>
            </w: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189"/>
        </w:trPr>
        <w:tc>
          <w:tcPr>
            <w:tcW w:w="37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Foreign currency translation adjustments</w:t>
            </w:r>
          </w:p>
        </w:tc>
        <w:tc>
          <w:tcPr>
            <w:tcW w:w="14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100"/>
              <w:spacing w:after="0" w:line="189" w:lineRule="exact"/>
              <w:rPr>
                <w:sz w:val="20"/>
                <w:szCs w:val="20"/>
                <w:color w:val="auto"/>
              </w:rPr>
            </w:pPr>
            <w:r>
              <w:rPr>
                <w:rFonts w:ascii="Arial" w:cs="Arial" w:eastAsia="Arial" w:hAnsi="Arial"/>
                <w:sz w:val="18"/>
                <w:szCs w:val="18"/>
                <w:color w:val="auto"/>
              </w:rPr>
              <w:t>(14)</w:t>
            </w: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89"/>
        </w:trPr>
        <w:tc>
          <w:tcPr>
            <w:tcW w:w="378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Net income</w:t>
            </w:r>
          </w:p>
        </w:tc>
        <w:tc>
          <w:tcPr>
            <w:tcW w:w="14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2,742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2,742</w:t>
            </w:r>
          </w:p>
        </w:tc>
        <w:tc>
          <w:tcPr>
            <w:tcW w:w="0" w:type="dxa"/>
            <w:vAlign w:val="bottom"/>
          </w:tcPr>
          <w:p>
            <w:pPr>
              <w:spacing w:after="0"/>
              <w:rPr>
                <w:sz w:val="1"/>
                <w:szCs w:val="1"/>
                <w:color w:val="auto"/>
              </w:rPr>
            </w:pPr>
          </w:p>
        </w:tc>
      </w:tr>
      <w:tr>
        <w:trPr>
          <w:trHeight w:val="183"/>
        </w:trPr>
        <w:tc>
          <w:tcPr>
            <w:tcW w:w="378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Balance at June 30, 2020</w:t>
            </w:r>
          </w:p>
        </w:tc>
        <w:tc>
          <w:tcPr>
            <w:tcW w:w="14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51,370,167</w:t>
            </w:r>
          </w:p>
        </w:tc>
        <w:tc>
          <w:tcPr>
            <w:tcW w:w="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157,493</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(22,776)</w:t>
            </w:r>
          </w:p>
        </w:tc>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134,638</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360" w:type="dxa"/>
            <w:vAlign w:val="bottom"/>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96"/>
        </w:trPr>
        <w:tc>
          <w:tcPr>
            <w:tcW w:w="8360" w:type="dxa"/>
            <w:vAlign w:val="bottom"/>
          </w:tcPr>
          <w:p>
            <w:pPr>
              <w:jc w:val="center"/>
              <w:ind w:left="2790"/>
              <w:spacing w:after="0"/>
              <w:rPr>
                <w:sz w:val="20"/>
                <w:szCs w:val="20"/>
                <w:color w:val="auto"/>
              </w:rPr>
            </w:pPr>
            <w:r>
              <w:rPr>
                <w:rFonts w:ascii="Arial" w:cs="Arial" w:eastAsia="Arial" w:hAnsi="Arial"/>
                <w:sz w:val="18"/>
                <w:szCs w:val="18"/>
                <w:b w:val="1"/>
                <w:bCs w:val="1"/>
                <w:color w:val="auto"/>
                <w:w w:val="89"/>
              </w:rPr>
              <w:t>Tile Shop Holdings, Inc. and Subsidiaries</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89"/>
        </w:trPr>
        <w:tc>
          <w:tcPr>
            <w:tcW w:w="8360" w:type="dxa"/>
            <w:vAlign w:val="bottom"/>
          </w:tcPr>
          <w:p>
            <w:pPr>
              <w:ind w:left="4160"/>
              <w:spacing w:after="0" w:line="189" w:lineRule="exact"/>
              <w:rPr>
                <w:sz w:val="20"/>
                <w:szCs w:val="20"/>
                <w:color w:val="auto"/>
              </w:rPr>
            </w:pPr>
            <w:r>
              <w:rPr>
                <w:rFonts w:ascii="Arial" w:cs="Arial" w:eastAsia="Arial" w:hAnsi="Arial"/>
                <w:sz w:val="18"/>
                <w:szCs w:val="18"/>
                <w:color w:val="auto"/>
              </w:rPr>
              <w:t>Consolidated Statements of Cash Flows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189"/>
        </w:trPr>
        <w:tc>
          <w:tcPr>
            <w:tcW w:w="8360" w:type="dxa"/>
            <w:vAlign w:val="bottom"/>
          </w:tcPr>
          <w:p>
            <w:pPr>
              <w:jc w:val="center"/>
              <w:ind w:left="2790"/>
              <w:spacing w:after="0" w:line="189" w:lineRule="exact"/>
              <w:rPr>
                <w:sz w:val="20"/>
                <w:szCs w:val="20"/>
                <w:color w:val="auto"/>
              </w:rPr>
            </w:pPr>
            <w:r>
              <w:rPr>
                <w:rFonts w:ascii="Arial" w:cs="Arial" w:eastAsia="Arial" w:hAnsi="Arial"/>
                <w:sz w:val="18"/>
                <w:szCs w:val="18"/>
                <w:color w:val="auto"/>
                <w:w w:val="90"/>
              </w:rPr>
              <w:t>(dollars in thousands)</w:t>
            </w: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r>
      <w:tr>
        <w:trPr>
          <w:trHeight w:val="230"/>
        </w:trPr>
        <w:tc>
          <w:tcPr>
            <w:tcW w:w="8360" w:type="dxa"/>
            <w:vAlign w:val="bottom"/>
          </w:tcPr>
          <w:p>
            <w:pPr>
              <w:jc w:val="center"/>
              <w:ind w:left="2790"/>
              <w:spacing w:after="0"/>
              <w:rPr>
                <w:sz w:val="20"/>
                <w:szCs w:val="20"/>
                <w:color w:val="auto"/>
              </w:rPr>
            </w:pPr>
            <w:r>
              <w:rPr>
                <w:rFonts w:ascii="Arial" w:cs="Arial" w:eastAsia="Arial" w:hAnsi="Arial"/>
                <w:sz w:val="18"/>
                <w:szCs w:val="18"/>
                <w:color w:val="auto"/>
                <w:w w:val="92"/>
              </w:rPr>
              <w:t>(unaudited)</w:t>
            </w: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64"/>
        </w:trPr>
        <w:tc>
          <w:tcPr>
            <w:tcW w:w="8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0" w:type="dxa"/>
            <w:vAlign w:val="bottom"/>
            <w:gridSpan w:val="5"/>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17"/>
        </w:trPr>
        <w:tc>
          <w:tcPr>
            <w:tcW w:w="83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4"/>
          </w:tcPr>
          <w:p>
            <w:pPr>
              <w:jc w:val="right"/>
              <w:ind w:right="67"/>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18"/>
                <w:szCs w:val="18"/>
                <w:color w:val="auto"/>
              </w:rPr>
            </w:pPr>
          </w:p>
        </w:tc>
      </w:tr>
      <w:tr>
        <w:trPr>
          <w:trHeight w:val="183"/>
        </w:trPr>
        <w:tc>
          <w:tcPr>
            <w:tcW w:w="836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Operating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Net income</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2,742</w:t>
            </w:r>
          </w:p>
        </w:tc>
        <w:tc>
          <w:tcPr>
            <w:tcW w:w="80" w:type="dxa"/>
            <w:vAlign w:val="bottom"/>
          </w:tcPr>
          <w:p>
            <w:pPr>
              <w:spacing w:after="0"/>
              <w:rPr>
                <w:sz w:val="16"/>
                <w:szCs w:val="16"/>
                <w:color w:val="auto"/>
              </w:rPr>
            </w:pPr>
          </w:p>
        </w:tc>
        <w:tc>
          <w:tcPr>
            <w:tcW w:w="440" w:type="dxa"/>
            <w:vAlign w:val="bottom"/>
            <w:gridSpan w:val="2"/>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1,166</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Adjustments to reconcile net income to net cash provided by operating activities: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16,082</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16,200</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debt issuance costs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298</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Loss on disposals of property, plant and equipment</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85</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Impairment charges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2,155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Change in leases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3,276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Stock based compensation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1,104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1,509</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Deferred income taxes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3,058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285</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Changes in operating assets and liabilities: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Receivables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145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(1,878)</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18,567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3,438</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Prepaid expenses and other assets</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908</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(290)</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Accounts payable</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(4,939)</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496</w:t>
            </w: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Income tax receivable / payable</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(6,445)</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(136)</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Accrued expenses and other liabilities</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4,037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786</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provided by operating activities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40,988</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21,959</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Investing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Purchases of property, plant and equipment</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(929)</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(17,823)</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Proceeds from insurance</w:t>
            </w:r>
          </w:p>
        </w:tc>
        <w:tc>
          <w:tcPr>
            <w:tcW w:w="2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610</w:t>
            </w:r>
          </w:p>
        </w:tc>
      </w:tr>
      <w:tr>
        <w:trPr>
          <w:trHeight w:val="183"/>
        </w:trPr>
        <w:tc>
          <w:tcPr>
            <w:tcW w:w="8360" w:type="dxa"/>
            <w:vAlign w:val="bottom"/>
            <w:tcBorders>
              <w:bottom w:val="single" w:sz="8" w:color="CCEEFF"/>
            </w:tcBorders>
          </w:tcPr>
          <w:p>
            <w:pPr>
              <w:ind w:left="440"/>
              <w:spacing w:after="0" w:line="182" w:lineRule="exact"/>
              <w:rPr>
                <w:sz w:val="20"/>
                <w:szCs w:val="20"/>
                <w:color w:val="auto"/>
              </w:rPr>
            </w:pPr>
            <w:r>
              <w:rPr>
                <w:rFonts w:ascii="Arial" w:cs="Arial" w:eastAsia="Arial" w:hAnsi="Arial"/>
                <w:sz w:val="18"/>
                <w:szCs w:val="18"/>
                <w:b w:val="1"/>
                <w:bCs w:val="1"/>
                <w:color w:val="auto"/>
              </w:rPr>
              <w:t>Net cash used in investing activities</w:t>
            </w: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(929)</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(17,213)</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Flows From Financing Activities</w:t>
            </w:r>
          </w:p>
        </w:tc>
        <w:tc>
          <w:tcPr>
            <w:tcW w:w="2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Payments of long-term debt and financing lease obligations</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(97,223)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(33,102)</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Advances on line of credit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56,099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43,000</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Dividends paid</w:t>
            </w:r>
          </w:p>
        </w:tc>
        <w:tc>
          <w:tcPr>
            <w:tcW w:w="28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(5,212)</w:t>
            </w:r>
          </w:p>
        </w:tc>
      </w:tr>
      <w:tr>
        <w:trPr>
          <w:trHeight w:val="189"/>
        </w:trPr>
        <w:tc>
          <w:tcPr>
            <w:tcW w:w="83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Repurchases of common stock</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(10,455)</w:t>
            </w:r>
          </w:p>
        </w:tc>
      </w:tr>
      <w:tr>
        <w:trPr>
          <w:trHeight w:val="189"/>
        </w:trPr>
        <w:tc>
          <w:tcPr>
            <w:tcW w:w="8360" w:type="dxa"/>
            <w:vAlign w:val="bottom"/>
          </w:tcPr>
          <w:p>
            <w:pPr>
              <w:ind w:left="120"/>
              <w:spacing w:after="0" w:line="189" w:lineRule="exact"/>
              <w:rPr>
                <w:sz w:val="20"/>
                <w:szCs w:val="20"/>
                <w:color w:val="auto"/>
              </w:rPr>
            </w:pPr>
            <w:r>
              <w:rPr>
                <w:rFonts w:ascii="Arial" w:cs="Arial" w:eastAsia="Arial" w:hAnsi="Arial"/>
                <w:sz w:val="18"/>
                <w:szCs w:val="18"/>
                <w:color w:val="auto"/>
              </w:rPr>
              <w:t>Employee taxes paid for shares withheld</w:t>
            </w:r>
          </w:p>
        </w:tc>
        <w:tc>
          <w:tcPr>
            <w:tcW w:w="280" w:type="dxa"/>
            <w:vAlign w:val="bottom"/>
          </w:tcPr>
          <w:p>
            <w:pPr>
              <w:spacing w:after="0"/>
              <w:rPr>
                <w:sz w:val="16"/>
                <w:szCs w:val="16"/>
                <w:color w:val="auto"/>
              </w:rPr>
            </w:pPr>
          </w:p>
        </w:tc>
        <w:tc>
          <w:tcPr>
            <w:tcW w:w="1160" w:type="dxa"/>
            <w:vAlign w:val="bottom"/>
            <w:gridSpan w:val="2"/>
          </w:tcPr>
          <w:p>
            <w:pPr>
              <w:jc w:val="right"/>
              <w:ind w:right="80"/>
              <w:spacing w:after="0" w:line="189" w:lineRule="exact"/>
              <w:rPr>
                <w:sz w:val="20"/>
                <w:szCs w:val="20"/>
                <w:color w:val="auto"/>
              </w:rPr>
            </w:pPr>
            <w:r>
              <w:rPr>
                <w:rFonts w:ascii="Arial" w:cs="Arial" w:eastAsia="Arial" w:hAnsi="Arial"/>
                <w:sz w:val="18"/>
                <w:szCs w:val="18"/>
                <w:color w:val="auto"/>
              </w:rPr>
              <w:t>(93)</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(136)</w:t>
            </w:r>
          </w:p>
        </w:tc>
      </w:tr>
      <w:tr>
        <w:trPr>
          <w:trHeight w:val="182"/>
        </w:trPr>
        <w:tc>
          <w:tcPr>
            <w:tcW w:w="8360" w:type="dxa"/>
            <w:vAlign w:val="bottom"/>
            <w:tcBorders>
              <w:top w:val="single" w:sz="8" w:color="CCEEFF"/>
            </w:tcBorders>
            <w:shd w:val="clear" w:color="auto" w:fill="CCEEFF"/>
          </w:tcPr>
          <w:p>
            <w:pPr>
              <w:ind w:left="440"/>
              <w:spacing w:after="0" w:line="182" w:lineRule="exact"/>
              <w:rPr>
                <w:sz w:val="20"/>
                <w:szCs w:val="20"/>
                <w:color w:val="auto"/>
              </w:rPr>
            </w:pPr>
            <w:r>
              <w:rPr>
                <w:rFonts w:ascii="Arial" w:cs="Arial" w:eastAsia="Arial" w:hAnsi="Arial"/>
                <w:sz w:val="18"/>
                <w:szCs w:val="18"/>
                <w:b w:val="1"/>
                <w:bCs w:val="1"/>
                <w:color w:val="auto"/>
              </w:rPr>
              <w:t>Net cash used in financing activities</w:t>
            </w: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(41,217)</w:t>
            </w: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spacing w:after="0"/>
              <w:rPr>
                <w:sz w:val="15"/>
                <w:szCs w:val="15"/>
                <w:color w:val="auto"/>
              </w:rPr>
            </w:pP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(5,905)</w:t>
            </w:r>
          </w:p>
        </w:tc>
      </w:tr>
      <w:tr>
        <w:trPr>
          <w:trHeight w:val="183"/>
        </w:trPr>
        <w:tc>
          <w:tcPr>
            <w:tcW w:w="8360" w:type="dxa"/>
            <w:vAlign w:val="bottom"/>
          </w:tcPr>
          <w:p>
            <w:pPr>
              <w:spacing w:after="0" w:line="182" w:lineRule="exact"/>
              <w:rPr>
                <w:sz w:val="20"/>
                <w:szCs w:val="20"/>
                <w:color w:val="auto"/>
              </w:rPr>
            </w:pPr>
            <w:r>
              <w:rPr>
                <w:rFonts w:ascii="Arial" w:cs="Arial" w:eastAsia="Arial" w:hAnsi="Arial"/>
                <w:sz w:val="18"/>
                <w:szCs w:val="18"/>
                <w:color w:val="auto"/>
              </w:rPr>
              <w:t>Effect of exchange rate changes on cash</w:t>
            </w:r>
          </w:p>
        </w:tc>
        <w:tc>
          <w:tcPr>
            <w:tcW w:w="280" w:type="dxa"/>
            <w:vAlign w:val="bottom"/>
          </w:tcPr>
          <w:p>
            <w:pPr>
              <w:spacing w:after="0"/>
              <w:rPr>
                <w:sz w:val="15"/>
                <w:szCs w:val="15"/>
                <w:color w:val="auto"/>
              </w:rPr>
            </w:pPr>
          </w:p>
        </w:tc>
        <w:tc>
          <w:tcPr>
            <w:tcW w:w="108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tcPr>
          <w:p>
            <w:pPr>
              <w:jc w:val="right"/>
              <w:spacing w:after="0" w:line="182" w:lineRule="exact"/>
              <w:rPr>
                <w:sz w:val="20"/>
                <w:szCs w:val="20"/>
                <w:color w:val="auto"/>
              </w:rPr>
            </w:pPr>
            <w:r>
              <w:rPr>
                <w:rFonts w:ascii="Arial" w:cs="Arial" w:eastAsia="Arial" w:hAnsi="Arial"/>
                <w:sz w:val="18"/>
                <w:szCs w:val="18"/>
                <w:color w:val="auto"/>
              </w:rPr>
              <w:t>5</w:t>
            </w: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change in cash, cash equivalents and restricted cash</w:t>
            </w:r>
          </w:p>
        </w:tc>
        <w:tc>
          <w:tcPr>
            <w:tcW w:w="28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80"/>
              <w:spacing w:after="0" w:line="189" w:lineRule="exact"/>
              <w:rPr>
                <w:sz w:val="20"/>
                <w:szCs w:val="20"/>
                <w:color w:val="auto"/>
              </w:rPr>
            </w:pPr>
            <w:r>
              <w:rPr>
                <w:rFonts w:ascii="Arial" w:cs="Arial" w:eastAsia="Arial" w:hAnsi="Arial"/>
                <w:sz w:val="18"/>
                <w:szCs w:val="18"/>
                <w:color w:val="auto"/>
              </w:rPr>
              <w:t>(1,168)</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(1,154)</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Cash, cash equivalents and restricted cash beginning of period</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9,919</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6,382</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8,751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5,228</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69"/>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7,936</w:t>
            </w:r>
          </w:p>
        </w:tc>
        <w:tc>
          <w:tcPr>
            <w:tcW w:w="80" w:type="dxa"/>
            <w:vAlign w:val="bottom"/>
            <w:shd w:val="clear" w:color="auto" w:fill="CCEEFF"/>
          </w:tcPr>
          <w:p>
            <w:pPr>
              <w:spacing w:after="0"/>
              <w:rPr>
                <w:sz w:val="16"/>
                <w:szCs w:val="16"/>
                <w:color w:val="auto"/>
              </w:rPr>
            </w:pPr>
          </w:p>
        </w:tc>
        <w:tc>
          <w:tcPr>
            <w:tcW w:w="440" w:type="dxa"/>
            <w:vAlign w:val="bottom"/>
            <w:gridSpan w:val="2"/>
            <w:shd w:val="clear" w:color="auto" w:fill="CCEEFF"/>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4,403</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Restricted cash</w:t>
            </w: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815</w:t>
            </w:r>
          </w:p>
        </w:tc>
        <w:tc>
          <w:tcPr>
            <w:tcW w:w="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825</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b w:val="1"/>
                <w:bCs w:val="1"/>
                <w:color w:val="auto"/>
              </w:rPr>
              <w:t>Cash, cash equivalents and restricted cash end of period</w:t>
            </w:r>
          </w:p>
        </w:tc>
        <w:tc>
          <w:tcPr>
            <w:tcW w:w="28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8,751</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5,228</w:t>
            </w:r>
          </w:p>
        </w:tc>
      </w:tr>
      <w:tr>
        <w:trPr>
          <w:trHeight w:val="20"/>
        </w:trPr>
        <w:tc>
          <w:tcPr>
            <w:tcW w:w="83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70"/>
        </w:trPr>
        <w:tc>
          <w:tcPr>
            <w:tcW w:w="8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89"/>
        </w:trPr>
        <w:tc>
          <w:tcPr>
            <w:tcW w:w="8360" w:type="dxa"/>
            <w:vAlign w:val="bottom"/>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Supplemental disclosure of cash flow information</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189"/>
        </w:trPr>
        <w:tc>
          <w:tcPr>
            <w:tcW w:w="8360" w:type="dxa"/>
            <w:vAlign w:val="bottom"/>
          </w:tcPr>
          <w:p>
            <w:pPr>
              <w:ind w:left="220"/>
              <w:spacing w:after="0" w:line="189" w:lineRule="exact"/>
              <w:rPr>
                <w:sz w:val="20"/>
                <w:szCs w:val="20"/>
                <w:color w:val="auto"/>
              </w:rPr>
            </w:pPr>
            <w:r>
              <w:rPr>
                <w:rFonts w:ascii="Arial" w:cs="Arial" w:eastAsia="Arial" w:hAnsi="Arial"/>
                <w:sz w:val="18"/>
                <w:szCs w:val="18"/>
                <w:color w:val="auto"/>
              </w:rPr>
              <w:t>Purchases of property, plant and equipment included in accounts payable and accrued expenses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103</w:t>
            </w:r>
          </w:p>
        </w:tc>
        <w:tc>
          <w:tcPr>
            <w:tcW w:w="80" w:type="dxa"/>
            <w:vAlign w:val="bottom"/>
          </w:tcPr>
          <w:p>
            <w:pPr>
              <w:spacing w:after="0"/>
              <w:rPr>
                <w:sz w:val="16"/>
                <w:szCs w:val="16"/>
                <w:color w:val="auto"/>
              </w:rPr>
            </w:pPr>
          </w:p>
        </w:tc>
        <w:tc>
          <w:tcPr>
            <w:tcW w:w="440" w:type="dxa"/>
            <w:vAlign w:val="bottom"/>
            <w:gridSpan w:val="2"/>
          </w:tcPr>
          <w:p>
            <w:pPr>
              <w:jc w:val="right"/>
              <w:ind w:right="207"/>
              <w:spacing w:after="0" w:line="189"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89" w:lineRule="exact"/>
              <w:rPr>
                <w:sz w:val="20"/>
                <w:szCs w:val="20"/>
                <w:color w:val="auto"/>
              </w:rPr>
            </w:pPr>
            <w:r>
              <w:rPr>
                <w:rFonts w:ascii="Arial" w:cs="Arial" w:eastAsia="Arial" w:hAnsi="Arial"/>
                <w:sz w:val="18"/>
                <w:szCs w:val="18"/>
                <w:color w:val="auto"/>
              </w:rPr>
              <w:t>1,225</w:t>
            </w:r>
          </w:p>
        </w:tc>
      </w:tr>
      <w:tr>
        <w:trPr>
          <w:trHeight w:val="189"/>
        </w:trPr>
        <w:tc>
          <w:tcPr>
            <w:tcW w:w="836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Cash paid for interest</w:t>
            </w:r>
          </w:p>
        </w:tc>
        <w:tc>
          <w:tcPr>
            <w:tcW w:w="28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1,445</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1,828</w:t>
            </w:r>
          </w:p>
        </w:tc>
      </w:tr>
      <w:tr>
        <w:trPr>
          <w:trHeight w:val="230"/>
        </w:trPr>
        <w:tc>
          <w:tcPr>
            <w:tcW w:w="8360" w:type="dxa"/>
            <w:vAlign w:val="bottom"/>
          </w:tcPr>
          <w:p>
            <w:pPr>
              <w:ind w:left="220"/>
              <w:spacing w:after="0"/>
              <w:rPr>
                <w:sz w:val="20"/>
                <w:szCs w:val="20"/>
                <w:color w:val="auto"/>
              </w:rPr>
            </w:pPr>
            <w:r>
              <w:rPr>
                <w:rFonts w:ascii="Arial" w:cs="Arial" w:eastAsia="Arial" w:hAnsi="Arial"/>
                <w:sz w:val="18"/>
                <w:szCs w:val="18"/>
                <w:color w:val="auto"/>
              </w:rPr>
              <w:t>Cash paid for income taxes, net</w:t>
            </w: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471</w:t>
            </w:r>
          </w:p>
        </w:tc>
      </w:tr>
    </w:tbl>
    <w:p>
      <w:pPr>
        <w:spacing w:after="0" w:line="12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8" w:name="page9"/>
    <w:bookmarkEnd w:id="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Background</w:t>
      </w:r>
    </w:p>
    <w:p>
      <w:pPr>
        <w:spacing w:after="0" w:line="175"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Tile Shop Holdings, Inc. (“Holdings,” and together with its wholly owned subsidiaries, the “Company” or “we”) was incorporated in Delaware in June 2012.</w:t>
      </w:r>
    </w:p>
    <w:p>
      <w:pPr>
        <w:spacing w:after="0" w:line="143" w:lineRule="exact"/>
        <w:rPr>
          <w:sz w:val="20"/>
          <w:szCs w:val="20"/>
          <w:color w:val="auto"/>
        </w:rPr>
      </w:pPr>
    </w:p>
    <w:p>
      <w:pPr>
        <w:ind w:right="80"/>
        <w:spacing w:after="0" w:line="228" w:lineRule="auto"/>
        <w:rPr>
          <w:sz w:val="20"/>
          <w:szCs w:val="20"/>
          <w:color w:val="auto"/>
        </w:rPr>
      </w:pPr>
      <w:r>
        <w:rPr>
          <w:rFonts w:ascii="Arial" w:cs="Arial" w:eastAsia="Arial" w:hAnsi="Arial"/>
          <w:sz w:val="18"/>
          <w:szCs w:val="18"/>
          <w:color w:val="auto"/>
        </w:rPr>
        <w:t>The Company is a specialty retailer of natural stone and man-made tiles, setting and maintenance materials, and related accessories in the United States. The Company manufactures its own setting and maintenance materials, such as thinset, grout, and sealers. The Company’s primary market is retail sales to consumers, contractors, designers and home builders. As of June 30, 2020, the Company had 142 stores in 31 states and the District of Columbia, with an average size of approximately 20,000 square feet. The Company has distribution centers located in Michigan, New Jersey, Oklahoma, Virginia and Wisconsin. The Company has a sourcing operation located in China.</w:t>
      </w:r>
    </w:p>
    <w:p>
      <w:pPr>
        <w:spacing w:after="0" w:line="151"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The accompanying Consolidated Financial Statements of the Company have been prepared in accordance with accounting principles generally accepted in the United States for interim financial information and with the rules and regulations for reporting on Form 10-Q. Accordingly, they do not include certain information and disclosures required for comprehensive financial statements. In the opinion of management, all adjustments considered necessary for a fair presentation have been included and are of a normal recurring nature, including the elimination of all intercompany transactions. Operating results for the three and six months ended June 30, 2020 are not necessarily indicative of the results that may be expected for the fiscal year ending December 31, 2020.</w:t>
      </w:r>
    </w:p>
    <w:p>
      <w:pPr>
        <w:spacing w:after="0" w:line="134"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These statements should be read in conjunction with the Consolidated Financial Statements and footnotes included in the Company’s Annual Report on Form 10-K for the fiscal year ended December 31, 2019. The accounting policies used in preparing these Consolidated Financial Statements are the same as those described in Note 1 to the Consolidated Financial Statements in such Form 10-K.</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Pronouncements Not Yet Adopted</w:t>
      </w:r>
    </w:p>
    <w:p>
      <w:pPr>
        <w:spacing w:after="0" w:line="171"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In June 2016, the Financial Accounting Standards Board (“FASB”) issued a final standard on accounting for credit losses. The new standard was initially effective for the Company in 2020, and requires a change in credit loss calculations using the expected loss method. In November 2019, the FASB issued Accounting Standards Update 2019-10, “Financial Instruments – Credit Losses (Topic 326), Derivatives and Hedging (Topic 815), and Leases (Topic 842): Effective Dates,” which, among other things, defers the effective date of Accounting Standards Update 2016-13, the standard on accounting for credit losses, for public filers that are considered smaller reporting companies as defined by the Securities and Exchange Commission to fiscal years beginning after December 15, 2022, including interim periods within those years. Early adoption is permitted. The Company is evaluating the effect of this standard on its consolidated financial statements and related disclosures.</w:t>
      </w:r>
    </w:p>
    <w:p>
      <w:pPr>
        <w:spacing w:after="0" w:line="149" w:lineRule="exact"/>
        <w:rPr>
          <w:sz w:val="20"/>
          <w:szCs w:val="20"/>
          <w:color w:val="auto"/>
        </w:rPr>
      </w:pPr>
    </w:p>
    <w:p>
      <w:pPr>
        <w:ind w:right="20"/>
        <w:spacing w:after="0" w:line="231" w:lineRule="auto"/>
        <w:rPr>
          <w:sz w:val="20"/>
          <w:szCs w:val="20"/>
          <w:color w:val="auto"/>
        </w:rPr>
      </w:pPr>
      <w:r>
        <w:rPr>
          <w:rFonts w:ascii="Arial" w:cs="Arial" w:eastAsia="Arial" w:hAnsi="Arial"/>
          <w:sz w:val="18"/>
          <w:szCs w:val="18"/>
          <w:color w:val="auto"/>
        </w:rPr>
        <w:t>In March 2020, the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beginning of the reporting period when the election is made through December 31, 2022. The Company is currently evaluating the impact this guidance will have on its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Impact of the COVID-19 Pandemic</w:t>
      </w:r>
    </w:p>
    <w:p>
      <w:pPr>
        <w:spacing w:after="0" w:line="175"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COVID-19 pandemic has impacted, and is likely to continue impacting, the Company’s operations. As previously announced, the Company’s sales and traffic decreased by approximately 50% during the weeks immediately following the end of the first quarter of 2020 when compared to the same period in 2019. As shelter in place orders started to ease throughout the quarter, the Company’s traffic and sales started to recover. The proliferation of COVID-19 across the world has also resulted in supply chain disruptions, as a number of the Company’s suppliers have been adversely impacted by restrictions placed on their operations.</w:t>
      </w:r>
    </w:p>
    <w:p>
      <w:pPr>
        <w:spacing w:after="0" w:line="15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Following the onset of COVID-19, the Company took immediate steps to curtail operating expenses. These activities included workforce reductions, the suspension of incentive compensation programs, salaried employee wage reductions, and adjustments to the number of replenishment trucks sent from the Company’s distribution centers to its stores. These cost savings measures, combined with a lower level of variable selling expenses, resulted in a $13.4 million reduction in selling, general and administrative expenses during the second quarter of 2020 when compared to the second quarter of 2019.</w:t>
      </w:r>
    </w:p>
    <w:p>
      <w:pPr>
        <w:spacing w:after="0" w:line="1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Additionally, the Company took actions to conserve cash by limiting inventory purchases, cutting anticipated spending on capital projects, and negotiating rent deferrals with the Company’s landlords. These actions contributed to the cash generating activities that enabled the Company to reduce its debt balance by $15.5 million during the second quarter of 2020.</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9" w:name="page10"/>
    <w:bookmarkEnd w:id="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4"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While the Company is cautiously optimistic that it will continue to benefit from improved traffic and sales trends, the recent escalation of COVID-19 cases across many of the markets the Company serves could have a negative impact on the Company. Specifically, the Company could be adversely impacted by limitations on the Company’s employees to perform their work due to illness caused by the pandemic or local, state, or federal orders requiring the Company’s stores to close or employees to remain at home; limitation of carriers to deliver the Company’s product to customers; limitations on the ability of the Company’s customers to conduct their business and purchase the Company’s products and services; and limitations on the ability of the Company’s customers to pay the Company in a timely manner. These events could have a material, adverse effect on the Company’s results of operations, cash flows and liquidity. In addition, even after the COVID-19 pandemic has subsided, the Company may continue to experience adverse impacts to its business as a result of the economic impact of the pandemic, including any recession that has occurred or may occur in the future.</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Company’s Credit Agreement with Bank of America, N.A., Fifth Third Bank, and Citizen’s Bank (the “Credit Agreement”) provides the Company with a senior credit facility consisting of a $100.0 million revolving line of credit through September 18, 2023. Borrowings outstanding consisted of $22.0 million on the revolving line of credit as of June 30, 2020. The Credit Agreement includes financial and other covenants, including covenants to maintain certain fixed charge ratios and consolidated total rent adjusted leverage ratios. The Company was in compliance with its covenants as of June 30, 2020.</w:t>
      </w:r>
    </w:p>
    <w:p>
      <w:pPr>
        <w:spacing w:after="0" w:line="129" w:lineRule="exact"/>
        <w:rPr>
          <w:sz w:val="20"/>
          <w:szCs w:val="20"/>
          <w:color w:val="auto"/>
        </w:rPr>
      </w:pPr>
    </w:p>
    <w:p>
      <w:pPr>
        <w:jc w:val="both"/>
        <w:spacing w:after="0" w:line="225" w:lineRule="auto"/>
        <w:rPr>
          <w:sz w:val="20"/>
          <w:szCs w:val="20"/>
          <w:color w:val="auto"/>
        </w:rPr>
      </w:pPr>
      <w:r>
        <w:rPr>
          <w:rFonts w:ascii="Arial" w:cs="Arial" w:eastAsia="Arial" w:hAnsi="Arial"/>
          <w:sz w:val="18"/>
          <w:szCs w:val="18"/>
          <w:color w:val="auto"/>
        </w:rPr>
        <w:t>Prior to the outbreak of the COVID-19 pandemic in the United States, the Company believed that it had the ability to comply with the financial covenants under the Credit Agreement over the next twelve months; however, given the uncertainty surrounding the COVID-19 pandemic, there can be no assurances as to the Company’s ability to do so. If the escalation of COVID-19 cases results in a decline in sales and traffic similar to what the Company experienced during the initial weeks of the second quarter of 2020, it is likely that the Company will be unable to comply with certain covenants (such as the leverage ratio) in its Credit Agreement. Under the terms of the Credit Agreement, the lenders could call the debt in advance of its maturity in the event of default. If an event of default were to occur, the Company anticipates it would enter into discussions with the lenders to waive the event of default. Failure to obtain such a waiver or refinance the debt if such an event were to occur would have a material adverse effect on the Company’s liquidity, financial condition and results of operations.</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Revenues</w:t>
      </w:r>
    </w:p>
    <w:p>
      <w:pPr>
        <w:spacing w:after="0" w:line="175"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Revenues are recognized when control of the promised goods or services is transferred to the Company’s customers, in an amount that reflects the consideration received in exchange for those goods or services. Sales taxes are excluded from revenues.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The following table presents revenues disaggregated by product category:</w:t>
            </w:r>
          </w:p>
        </w:tc>
        <w:tc>
          <w:tcPr>
            <w:tcW w:w="2500" w:type="dxa"/>
            <w:vAlign w:val="bottom"/>
            <w:gridSpan w:val="5"/>
            <w:vMerge w:val="restart"/>
          </w:tcPr>
          <w:p>
            <w:pPr>
              <w:jc w:val="center"/>
              <w:ind w:right="120"/>
              <w:spacing w:after="0"/>
              <w:rPr>
                <w:sz w:val="20"/>
                <w:szCs w:val="20"/>
                <w:color w:val="auto"/>
              </w:rPr>
            </w:pPr>
            <w:r>
              <w:rPr>
                <w:rFonts w:ascii="Arial" w:cs="Arial" w:eastAsia="Arial" w:hAnsi="Arial"/>
                <w:sz w:val="18"/>
                <w:szCs w:val="18"/>
                <w:color w:val="auto"/>
                <w:w w:val="89"/>
              </w:rPr>
              <w:t>For the three months ended</w:t>
            </w:r>
          </w:p>
        </w:tc>
        <w:tc>
          <w:tcPr>
            <w:tcW w:w="2400" w:type="dxa"/>
            <w:vAlign w:val="bottom"/>
            <w:gridSpan w:val="4"/>
            <w:vMerge w:val="restart"/>
          </w:tcPr>
          <w:p>
            <w:pPr>
              <w:jc w:val="center"/>
              <w:spacing w:after="0"/>
              <w:rPr>
                <w:sz w:val="20"/>
                <w:szCs w:val="20"/>
                <w:color w:val="auto"/>
              </w:rPr>
            </w:pPr>
            <w:r>
              <w:rPr>
                <w:rFonts w:ascii="Arial" w:cs="Arial" w:eastAsia="Arial" w:hAnsi="Arial"/>
                <w:sz w:val="18"/>
                <w:szCs w:val="18"/>
                <w:color w:val="auto"/>
                <w:w w:val="89"/>
              </w:rPr>
              <w:t>For the six months ended</w:t>
            </w:r>
          </w:p>
        </w:tc>
        <w:tc>
          <w:tcPr>
            <w:tcW w:w="0" w:type="dxa"/>
            <w:vAlign w:val="bottom"/>
          </w:tcPr>
          <w:p>
            <w:pPr>
              <w:spacing w:after="0"/>
              <w:rPr>
                <w:sz w:val="1"/>
                <w:szCs w:val="1"/>
                <w:color w:val="auto"/>
              </w:rPr>
            </w:pPr>
          </w:p>
        </w:tc>
      </w:tr>
      <w:tr>
        <w:trPr>
          <w:trHeight w:val="188"/>
        </w:trPr>
        <w:tc>
          <w:tcPr>
            <w:tcW w:w="63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240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6340" w:type="dxa"/>
            <w:vAlign w:val="bottom"/>
          </w:tcPr>
          <w:p>
            <w:pPr>
              <w:spacing w:after="0"/>
              <w:rPr>
                <w:sz w:val="18"/>
                <w:szCs w:val="18"/>
                <w:color w:val="auto"/>
              </w:rPr>
            </w:pPr>
          </w:p>
        </w:tc>
        <w:tc>
          <w:tcPr>
            <w:tcW w:w="15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color w:val="auto"/>
                <w:w w:val="86"/>
              </w:rPr>
              <w:t>June 30,</w:t>
            </w:r>
          </w:p>
        </w:tc>
        <w:tc>
          <w:tcPr>
            <w:tcW w:w="8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Borders>
              <w:bottom w:val="single" w:sz="8" w:color="auto"/>
            </w:tcBorders>
            <w:gridSpan w:val="3"/>
          </w:tcPr>
          <w:p>
            <w:pPr>
              <w:jc w:val="center"/>
              <w:ind w:left="730"/>
              <w:spacing w:after="0"/>
              <w:rPr>
                <w:sz w:val="20"/>
                <w:szCs w:val="20"/>
                <w:color w:val="auto"/>
              </w:rPr>
            </w:pPr>
            <w:r>
              <w:rPr>
                <w:rFonts w:ascii="Arial" w:cs="Arial" w:eastAsia="Arial" w:hAnsi="Arial"/>
                <w:sz w:val="18"/>
                <w:szCs w:val="18"/>
                <w:color w:val="auto"/>
                <w:w w:val="86"/>
              </w:rPr>
              <w:t>June 30,</w:t>
            </w:r>
          </w:p>
        </w:tc>
        <w:tc>
          <w:tcPr>
            <w:tcW w:w="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6340" w:type="dxa"/>
            <w:vAlign w:val="bottom"/>
            <w:tcBorders>
              <w:bottom w:val="single" w:sz="8" w:color="CCEEFF"/>
            </w:tcBorders>
          </w:tcPr>
          <w:p>
            <w:pPr>
              <w:spacing w:after="0"/>
              <w:rPr>
                <w:sz w:val="15"/>
                <w:szCs w:val="15"/>
                <w:color w:val="auto"/>
              </w:rPr>
            </w:pPr>
          </w:p>
        </w:tc>
        <w:tc>
          <w:tcPr>
            <w:tcW w:w="1120" w:type="dxa"/>
            <w:vAlign w:val="bottom"/>
            <w:tcBorders>
              <w:bottom w:val="single" w:sz="8" w:color="auto"/>
            </w:tcBorders>
          </w:tcPr>
          <w:p>
            <w:pPr>
              <w:jc w:val="right"/>
              <w:ind w:right="290"/>
              <w:spacing w:after="0" w:line="182"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w w:val="99"/>
              </w:rPr>
              <w:t>2019</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10"/>
              <w:spacing w:after="0" w:line="182" w:lineRule="exact"/>
              <w:rPr>
                <w:sz w:val="20"/>
                <w:szCs w:val="20"/>
                <w:color w:val="auto"/>
              </w:rPr>
            </w:pPr>
            <w:r>
              <w:rPr>
                <w:rFonts w:ascii="Arial" w:cs="Arial" w:eastAsia="Arial" w:hAnsi="Arial"/>
                <w:sz w:val="18"/>
                <w:szCs w:val="18"/>
                <w:color w:val="auto"/>
                <w:w w:val="99"/>
              </w:rPr>
              <w:t>2019</w:t>
            </w:r>
          </w:p>
        </w:tc>
        <w:tc>
          <w:tcPr>
            <w:tcW w:w="0" w:type="dxa"/>
            <w:vAlign w:val="bottom"/>
          </w:tcPr>
          <w:p>
            <w:pPr>
              <w:spacing w:after="0"/>
              <w:rPr>
                <w:sz w:val="1"/>
                <w:szCs w:val="1"/>
                <w:color w:val="auto"/>
              </w:rPr>
            </w:pPr>
          </w:p>
        </w:tc>
      </w:tr>
      <w:tr>
        <w:trPr>
          <w:trHeight w:val="183"/>
        </w:trPr>
        <w:tc>
          <w:tcPr>
            <w:tcW w:w="6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Man-made tiles</w:t>
            </w:r>
          </w:p>
        </w:tc>
        <w:tc>
          <w:tcPr>
            <w:tcW w:w="11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47 %</w:t>
            </w: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46 %</w:t>
            </w: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47 %</w:t>
            </w: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8"/>
                <w:szCs w:val="18"/>
                <w:color w:val="auto"/>
              </w:rPr>
              <w:t>Natural stone tiles</w:t>
            </w:r>
          </w:p>
        </w:tc>
        <w:tc>
          <w:tcPr>
            <w:tcW w:w="112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28</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6"/>
                <w:szCs w:val="16"/>
                <w:color w:val="auto"/>
              </w:rPr>
            </w:pPr>
          </w:p>
        </w:tc>
        <w:tc>
          <w:tcPr>
            <w:tcW w:w="114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29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Setting and maintenance materials</w:t>
            </w:r>
          </w:p>
        </w:tc>
        <w:tc>
          <w:tcPr>
            <w:tcW w:w="1120" w:type="dxa"/>
            <w:vAlign w:val="bottom"/>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20" w:type="dxa"/>
            <w:vAlign w:val="bottom"/>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189"/>
        </w:trPr>
        <w:tc>
          <w:tcPr>
            <w:tcW w:w="6340" w:type="dxa"/>
            <w:vAlign w:val="bottom"/>
          </w:tcPr>
          <w:p>
            <w:pPr>
              <w:spacing w:after="0" w:line="189" w:lineRule="exact"/>
              <w:rPr>
                <w:sz w:val="20"/>
                <w:szCs w:val="20"/>
                <w:color w:val="auto"/>
              </w:rPr>
            </w:pPr>
            <w:r>
              <w:rPr>
                <w:rFonts w:ascii="Arial" w:cs="Arial" w:eastAsia="Arial" w:hAnsi="Arial"/>
                <w:sz w:val="18"/>
                <w:szCs w:val="18"/>
                <w:color w:val="auto"/>
              </w:rPr>
              <w:t>Accessories</w:t>
            </w:r>
          </w:p>
        </w:tc>
        <w:tc>
          <w:tcPr>
            <w:tcW w:w="1120" w:type="dxa"/>
            <w:vAlign w:val="bottom"/>
          </w:tcPr>
          <w:p>
            <w:pPr>
              <w:jc w:val="right"/>
              <w:ind w:right="170"/>
              <w:spacing w:after="0" w:line="189"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10</w:t>
            </w:r>
          </w:p>
        </w:tc>
        <w:tc>
          <w:tcPr>
            <w:tcW w:w="120" w:type="dxa"/>
            <w:vAlign w:val="bottom"/>
          </w:tcPr>
          <w:p>
            <w:pPr>
              <w:spacing w:after="0"/>
              <w:rPr>
                <w:sz w:val="16"/>
                <w:szCs w:val="16"/>
                <w:color w:val="auto"/>
              </w:rPr>
            </w:pPr>
          </w:p>
        </w:tc>
        <w:tc>
          <w:tcPr>
            <w:tcW w:w="114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9</w:t>
            </w: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tcPr>
          <w:p>
            <w:pPr>
              <w:jc w:val="right"/>
              <w:ind w:right="190"/>
              <w:spacing w:after="0" w:line="189" w:lineRule="exact"/>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189"/>
        </w:trPr>
        <w:tc>
          <w:tcPr>
            <w:tcW w:w="6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Delivery service</w:t>
            </w:r>
          </w:p>
        </w:tc>
        <w:tc>
          <w:tcPr>
            <w:tcW w:w="1120" w:type="dxa"/>
            <w:vAlign w:val="bottom"/>
            <w:tcBorders>
              <w:bottom w:val="single" w:sz="8" w:color="auto"/>
            </w:tcBorders>
            <w:shd w:val="clear" w:color="auto" w:fill="CCEEFF"/>
          </w:tcPr>
          <w:p>
            <w:pPr>
              <w:jc w:val="right"/>
              <w:ind w:right="170"/>
              <w:spacing w:after="0" w:line="189"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jc w:val="right"/>
              <w:ind w:right="190"/>
              <w:spacing w:after="0" w:line="189"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83"/>
        </w:trPr>
        <w:tc>
          <w:tcPr>
            <w:tcW w:w="6340" w:type="dxa"/>
            <w:vAlign w:val="bottom"/>
          </w:tcPr>
          <w:p>
            <w:pPr>
              <w:spacing w:after="0" w:line="182" w:lineRule="exact"/>
              <w:rPr>
                <w:sz w:val="20"/>
                <w:szCs w:val="20"/>
                <w:color w:val="auto"/>
              </w:rPr>
            </w:pPr>
            <w:r>
              <w:rPr>
                <w:rFonts w:ascii="Arial" w:cs="Arial" w:eastAsia="Arial" w:hAnsi="Arial"/>
                <w:sz w:val="18"/>
                <w:szCs w:val="18"/>
                <w:color w:val="auto"/>
              </w:rPr>
              <w:t>Total</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100 %</w:t>
            </w:r>
          </w:p>
        </w:tc>
        <w:tc>
          <w:tcPr>
            <w:tcW w:w="12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634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generates revenues by selling tile products, setting and maintenance materials, accessories, and delivery services to its customers through its store locations. The timing of revenue recognition coincides with the transfer of control of goods and services ordered by the customer, which falls into one of three categories described below:</w:t>
      </w:r>
    </w:p>
    <w:p>
      <w:pPr>
        <w:spacing w:after="0" w:line="148"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Revenue recognized when an order is placed – If a customer places an order in a store and the contents of their order are available, the Company recognizes revenue concurrent with the exchange of goods for consideration from the customer.</w:t>
      </w:r>
    </w:p>
    <w:p>
      <w:pPr>
        <w:spacing w:after="0" w:line="143" w:lineRule="exact"/>
        <w:rPr>
          <w:sz w:val="20"/>
          <w:szCs w:val="20"/>
          <w:color w:val="auto"/>
        </w:rPr>
      </w:pPr>
    </w:p>
    <w:p>
      <w:pPr>
        <w:jc w:val="both"/>
        <w:ind w:left="660"/>
        <w:spacing w:after="0" w:line="231" w:lineRule="auto"/>
        <w:rPr>
          <w:sz w:val="20"/>
          <w:szCs w:val="20"/>
          <w:color w:val="auto"/>
        </w:rPr>
      </w:pPr>
      <w:r>
        <w:rPr>
          <w:rFonts w:ascii="Arial" w:cs="Arial" w:eastAsia="Arial" w:hAnsi="Arial"/>
          <w:sz w:val="18"/>
          <w:szCs w:val="18"/>
          <w:color w:val="auto"/>
        </w:rPr>
        <w:t>Revenue recognized when an order is picked up – If a customer places an order for items held in a centralized distribution center, the Company requests a deposit from the customer at the time they place the order. Subsequently when the contents of the customer’s order are delivered to the store, the customer returns to the store and picks up the items that were ordered. The Company recognizes revenue on this transaction when the customer picks up their order.</w:t>
      </w:r>
    </w:p>
    <w:p>
      <w:pPr>
        <w:spacing w:after="0" w:line="148" w:lineRule="exact"/>
        <w:rPr>
          <w:sz w:val="20"/>
          <w:szCs w:val="20"/>
          <w:color w:val="auto"/>
        </w:rPr>
      </w:pPr>
    </w:p>
    <w:p>
      <w:pPr>
        <w:jc w:val="both"/>
        <w:ind w:left="660"/>
        <w:spacing w:after="0" w:line="307" w:lineRule="auto"/>
        <w:rPr>
          <w:sz w:val="20"/>
          <w:szCs w:val="20"/>
          <w:color w:val="auto"/>
        </w:rPr>
      </w:pPr>
      <w:r>
        <w:rPr>
          <w:rFonts w:ascii="Arial" w:cs="Arial" w:eastAsia="Arial" w:hAnsi="Arial"/>
          <w:sz w:val="16"/>
          <w:szCs w:val="16"/>
          <w:color w:val="auto"/>
        </w:rPr>
        <w:t>Revenue recognized when an order is delivered – If a customer places an order in a store and requests delivery of their order, the Company prepares the contents of their order, initiates the delivery service, and recognizes revenue once the contents of the customer’s order are delivered.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0" w:name="page11"/>
    <w:bookmarkEnd w:id="1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3"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The Company determines the transaction price of its contracts based on the pricing established at the time a customer places an order. The transaction price does not include sales tax as the Company is a pass-through conduit for collecting and remitting sales tax. Any discounts applied to an order are allocated proportionately to the base price of the goods and services ordered. Deposits made by customers are recorded in other accrued liabilities. Deferred revenues associated with customer deposits are recognized at the time the Company transfers control of the items ordered or renders the delivery service. In the event an order is partially fulfilled as of the end of a reporting period, revenue will be recognized based on the transaction price allocated to the goods delivered and services rendered. Customer deposits are presented as an other accrued liability in the Consolidated Balance Sheet. The customer deposit balance was $9.7 million and $7.7 million as of June 30, 2020 and December 31, 2019, respectively. Revenues recognized during the six-month period ended June 30, 2020 that were included in the customer deposit balance as of the beginning of the period were $7.5 million.</w:t>
      </w:r>
    </w:p>
    <w:p>
      <w:pPr>
        <w:spacing w:after="0" w:line="1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The Company extends financing to qualified professional customers who apply for credit. Customers who qualify for an account receive 30-day payment terms. The accounts receivable balance was $3.2 million and $3.4 million at June 30, 2020 and December 31, 2019, respectively. The Company expects that the customer will pay for the goods and services ordered within one year from the date the order is placed. Accordingly, the Company qualifies for the practical expedient outlined in ASC 606-10-32-18 and does not adjust the promised amount of consideration for the effects of the financing component.</w:t>
      </w:r>
    </w:p>
    <w:p>
      <w:pPr>
        <w:spacing w:after="0" w:line="129" w:lineRule="exact"/>
        <w:rPr>
          <w:sz w:val="20"/>
          <w:szCs w:val="20"/>
          <w:color w:val="auto"/>
        </w:rPr>
      </w:pPr>
    </w:p>
    <w:p>
      <w:pPr>
        <w:jc w:val="both"/>
        <w:spacing w:after="0" w:line="244" w:lineRule="auto"/>
        <w:rPr>
          <w:sz w:val="20"/>
          <w:szCs w:val="20"/>
          <w:color w:val="auto"/>
        </w:rPr>
      </w:pPr>
      <w:r>
        <w:rPr>
          <w:rFonts w:ascii="Arial" w:cs="Arial" w:eastAsia="Arial" w:hAnsi="Arial"/>
          <w:sz w:val="17"/>
          <w:szCs w:val="17"/>
          <w:color w:val="auto"/>
        </w:rPr>
        <w:t>Customers may return purchased items for an exchange or refund. The Company records a reserve for estimated product returns based on the historical returns trends and the current product sales performance. The Company presents the sales returns reserve as an other current (accrued) liability and the estimated value of the inventory that will be returned as an other current asset in the Consolidated Balance Sheet. The components of the sales returns reserve reflected in the Consolidated Balance Sheet as of June 30, 2020 and December 31, 2019 are as follows:</w:t>
      </w:r>
    </w:p>
    <w:tbl>
      <w:tblPr>
        <w:tblLayout w:type="fixed"/>
        <w:tblInd w:w="0" w:type="dxa"/>
        <w:tblCellMar>
          <w:top w:w="0" w:type="dxa"/>
          <w:left w:w="0" w:type="dxa"/>
          <w:bottom w:w="0" w:type="dxa"/>
          <w:right w:w="0" w:type="dxa"/>
        </w:tblCellMar>
      </w:tblPr>
      <w:tr>
        <w:trPr>
          <w:trHeight w:val="177"/>
        </w:trPr>
        <w:tc>
          <w:tcPr>
            <w:tcW w:w="8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60" w:type="dxa"/>
            <w:vAlign w:val="bottom"/>
            <w:gridSpan w:val="4"/>
          </w:tcPr>
          <w:p>
            <w:pPr>
              <w:jc w:val="right"/>
              <w:ind w:right="850"/>
              <w:spacing w:after="0" w:line="177" w:lineRule="exact"/>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Other current (accrued) liabilities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4,989</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5,434</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1,471</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1,659</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Sales returns reserve, net</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3,518</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3,775</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Inventories</w:t>
      </w:r>
    </w:p>
    <w:p>
      <w:pPr>
        <w:spacing w:after="0" w:line="175" w:lineRule="exact"/>
        <w:rPr>
          <w:sz w:val="20"/>
          <w:szCs w:val="20"/>
          <w:color w:val="auto"/>
        </w:rPr>
      </w:pPr>
    </w:p>
    <w:p>
      <w:pPr>
        <w:ind w:right="480"/>
        <w:spacing w:after="0" w:line="257" w:lineRule="auto"/>
        <w:rPr>
          <w:sz w:val="20"/>
          <w:szCs w:val="20"/>
          <w:color w:val="auto"/>
        </w:rPr>
      </w:pPr>
      <w:r>
        <w:rPr>
          <w:rFonts w:ascii="Arial" w:cs="Arial" w:eastAsia="Arial" w:hAnsi="Arial"/>
          <w:sz w:val="17"/>
          <w:szCs w:val="17"/>
          <w:color w:val="auto"/>
        </w:rPr>
        <w:t>Inventories are stated at the lower of cost (determined using the moving average cost method) or net realizable value. Inventories consist primarily of merchandise held for sale. Inventories were comprised of the following as of June 30, 2020 and December 31, 2019:</w:t>
      </w:r>
    </w:p>
    <w:tbl>
      <w:tblPr>
        <w:tblLayout w:type="fixed"/>
        <w:tblInd w:w="0" w:type="dxa"/>
        <w:tblCellMar>
          <w:top w:w="0" w:type="dxa"/>
          <w:left w:w="0" w:type="dxa"/>
          <w:bottom w:w="0" w:type="dxa"/>
          <w:right w:w="0" w:type="dxa"/>
        </w:tblCellMar>
      </w:tblP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60" w:type="dxa"/>
            <w:vAlign w:val="bottom"/>
            <w:gridSpan w:val="4"/>
          </w:tcPr>
          <w:p>
            <w:pPr>
              <w:jc w:val="right"/>
              <w:ind w:right="850"/>
              <w:spacing w:after="0" w:line="189" w:lineRule="exact"/>
              <w:rPr>
                <w:sz w:val="20"/>
                <w:szCs w:val="20"/>
                <w:color w:val="auto"/>
              </w:rPr>
            </w:pPr>
            <w:r>
              <w:rPr>
                <w:rFonts w:ascii="Arial" w:cs="Arial" w:eastAsia="Arial" w:hAnsi="Arial"/>
                <w:sz w:val="18"/>
                <w:szCs w:val="18"/>
                <w:color w:val="auto"/>
              </w:rPr>
              <w:t>(in thousands)</w:t>
            </w:r>
          </w:p>
        </w:tc>
      </w:tr>
      <w:tr>
        <w:trPr>
          <w:trHeight w:val="189"/>
        </w:trPr>
        <w:tc>
          <w:tcPr>
            <w:tcW w:w="8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tcPr>
          <w:p>
            <w:pPr>
              <w:jc w:val="right"/>
              <w:ind w:right="290"/>
              <w:spacing w:after="0" w:line="189" w:lineRule="exact"/>
              <w:rPr>
                <w:sz w:val="20"/>
                <w:szCs w:val="20"/>
                <w:color w:val="auto"/>
              </w:rPr>
            </w:pPr>
            <w:r>
              <w:rPr>
                <w:rFonts w:ascii="Arial" w:cs="Arial" w:eastAsia="Arial" w:hAnsi="Arial"/>
                <w:sz w:val="18"/>
                <w:szCs w:val="18"/>
                <w:color w:val="auto"/>
              </w:rPr>
              <w:t>June 30,</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90"/>
              <w:spacing w:after="0" w:line="189" w:lineRule="exact"/>
              <w:rPr>
                <w:sz w:val="20"/>
                <w:szCs w:val="20"/>
                <w:color w:val="auto"/>
              </w:rPr>
            </w:pPr>
            <w:r>
              <w:rPr>
                <w:rFonts w:ascii="Arial" w:cs="Arial" w:eastAsia="Arial" w:hAnsi="Arial"/>
                <w:sz w:val="18"/>
                <w:szCs w:val="18"/>
                <w:color w:val="auto"/>
                <w:w w:val="90"/>
              </w:rPr>
              <w:t>December 31,</w:t>
            </w:r>
          </w:p>
        </w:tc>
      </w:tr>
      <w:tr>
        <w:trPr>
          <w:trHeight w:val="217"/>
        </w:trPr>
        <w:tc>
          <w:tcPr>
            <w:tcW w:w="83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r>
      <w:tr>
        <w:trPr>
          <w:trHeight w:val="183"/>
        </w:trPr>
        <w:tc>
          <w:tcPr>
            <w:tcW w:w="83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Finished goods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77,170</w:t>
            </w: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95,435</w:t>
            </w:r>
          </w:p>
        </w:tc>
      </w:tr>
      <w:tr>
        <w:trPr>
          <w:trHeight w:val="189"/>
        </w:trPr>
        <w:tc>
          <w:tcPr>
            <w:tcW w:w="83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Raw materials</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1,883</w:t>
            </w:r>
          </w:p>
        </w:tc>
        <w:tc>
          <w:tcPr>
            <w:tcW w:w="1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2,185</w:t>
            </w:r>
          </w:p>
        </w:tc>
      </w:tr>
      <w:tr>
        <w:trPr>
          <w:trHeight w:val="183"/>
        </w:trPr>
        <w:tc>
          <w:tcPr>
            <w:tcW w:w="83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w:t>
            </w: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79,053</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97,620</w:t>
            </w:r>
          </w:p>
        </w:tc>
      </w:tr>
      <w:tr>
        <w:trPr>
          <w:trHeight w:val="20"/>
        </w:trPr>
        <w:tc>
          <w:tcPr>
            <w:tcW w:w="8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140"/>
        <w:spacing w:after="0" w:line="253" w:lineRule="auto"/>
        <w:rPr>
          <w:sz w:val="20"/>
          <w:szCs w:val="20"/>
          <w:color w:val="auto"/>
        </w:rPr>
      </w:pPr>
      <w:r>
        <w:rPr>
          <w:rFonts w:ascii="Arial" w:cs="Arial" w:eastAsia="Arial" w:hAnsi="Arial"/>
          <w:sz w:val="17"/>
          <w:szCs w:val="17"/>
          <w:color w:val="auto"/>
        </w:rPr>
        <w:t>The Company provides provisions for losses related to shrinkage and other amounts that are otherwise not expected to be fully recoverable. These provisions are calculated based on historical shrinkage, selling price, margin and current business trends. The provision for losses related to shrinkage and other amounts was $0.7 million and $0.2 million as of June 30, 2020 and December 31, 2019, respectively.</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Income Taxes</w:t>
      </w:r>
    </w:p>
    <w:p>
      <w:pPr>
        <w:spacing w:after="0" w:line="175"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color w:val="auto"/>
        </w:rPr>
        <w:t>The Coronavirus Aid, Relief, and Economic Security Act (the “CARES Act”), enacted on March 27, 2020, includes significant income and payroll tax provisions. Additionally, the CARES Act modified the rules associated with net operating losses (“NOLs”) and made technical corrections to tax depreciation methods for qualified improvement property. Under the temporary provisions of CARES Act, NOL carryforwards and carrybacks may offset 100% of taxable income for taxable years beginning before 2021. In addition, NOLs arising in 2018, 2019 and 2020 taxable years may be carried back to each of the preceding five years to generate a refund.</w:t>
      </w:r>
    </w:p>
    <w:p>
      <w:pPr>
        <w:spacing w:after="0" w:line="151" w:lineRule="exact"/>
        <w:rPr>
          <w:sz w:val="20"/>
          <w:szCs w:val="20"/>
          <w:color w:val="auto"/>
        </w:rPr>
      </w:pPr>
    </w:p>
    <w:p>
      <w:pPr>
        <w:ind w:right="20"/>
        <w:spacing w:after="0" w:line="246" w:lineRule="auto"/>
        <w:rPr>
          <w:sz w:val="20"/>
          <w:szCs w:val="20"/>
          <w:color w:val="auto"/>
        </w:rPr>
      </w:pPr>
      <w:r>
        <w:rPr>
          <w:rFonts w:ascii="Arial" w:cs="Arial" w:eastAsia="Arial" w:hAnsi="Arial"/>
          <w:sz w:val="18"/>
          <w:szCs w:val="18"/>
          <w:color w:val="auto"/>
        </w:rPr>
        <w:t>The Company's effective tax rate for the three months ended June 30, 2020 and 2019 was 67.7% and (7.7)%, respectively. The Company's effective tax rate for the six months ended June 30, 2020 and 2019 was 551.7% and 34.8%, respectively. The difference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1" w:name="page12"/>
    <w:bookmarkEnd w:id="1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ind w:right="100"/>
        <w:spacing w:after="0" w:line="227" w:lineRule="auto"/>
        <w:rPr>
          <w:sz w:val="20"/>
          <w:szCs w:val="20"/>
          <w:color w:val="auto"/>
        </w:rPr>
      </w:pPr>
      <w:r>
        <w:rPr>
          <w:rFonts w:ascii="Arial" w:cs="Arial" w:eastAsia="Arial" w:hAnsi="Arial"/>
          <w:sz w:val="18"/>
          <w:szCs w:val="18"/>
          <w:color w:val="auto"/>
        </w:rPr>
        <w:t>between the Company’s effective rate of 551.7% and the expected federal statutory rate of 21.0% for the six months ended June 30, 2020 is primarily due to refinement of estimates associated with the CARES Act which gives the Company the ability to carry back federal NOLs to years with a federal statutory tax rate of 35%. For the three months ended June 30, 2020 and 2019, the Company recorded a (benefit) provision for income taxes of $(1.6) million and $0.0 million, respectively. For the six months ended June 30, 2020 and 2019, the Company recorded a (benefit) provision for income taxes of $(3.3) million and $0.6 million, respectively. The decrease in the provision for income taxes is due to lower pretax earnings and the benefit generated from the NOL carryback tax rate differential.</w:t>
      </w:r>
    </w:p>
    <w:p>
      <w:pPr>
        <w:spacing w:after="0" w:line="148" w:lineRule="exact"/>
        <w:rPr>
          <w:sz w:val="20"/>
          <w:szCs w:val="20"/>
          <w:color w:val="auto"/>
        </w:rPr>
      </w:pPr>
    </w:p>
    <w:p>
      <w:pPr>
        <w:ind w:right="200"/>
        <w:spacing w:after="0" w:line="307" w:lineRule="auto"/>
        <w:rPr>
          <w:sz w:val="20"/>
          <w:szCs w:val="20"/>
          <w:color w:val="auto"/>
        </w:rPr>
      </w:pPr>
      <w:r>
        <w:rPr>
          <w:rFonts w:ascii="Arial" w:cs="Arial" w:eastAsia="Arial" w:hAnsi="Arial"/>
          <w:sz w:val="16"/>
          <w:szCs w:val="16"/>
          <w:color w:val="auto"/>
        </w:rPr>
        <w:t>The Company records interest and penalties relating to uncertain tax positions in income tax expense when applicable. As of June 30, 2020 and 2019, the Company has not recognized any liabilities for uncertain tax positions, nor have interest and penalties related to uncertain tax positions been accrued.</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Earnings (Loss) Per Share</w:t>
      </w:r>
    </w:p>
    <w:p>
      <w:pPr>
        <w:spacing w:after="0" w:line="175"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color w:val="auto"/>
        </w:rPr>
        <w:t>Basic earnings (loss) per share is calculated by dividing net income (loss) by the weighted-average number of common shares outstanding during the period. Diluted earnings (loss) per share is calculated by dividing net income (loss) by the weighted-average number of common shares outstanding, after taking into consideration all dilutive potential shares outstanding during the period.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4"/>
              </w:rPr>
              <w:t>Basic and diluted earnings (loss) per share were calculated as follows: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600" w:type="dxa"/>
            <w:vAlign w:val="bottom"/>
            <w:gridSpan w:val="14"/>
            <w:vMerge w:val="restart"/>
          </w:tcPr>
          <w:p>
            <w:pPr>
              <w:jc w:val="right"/>
              <w:ind w:right="230"/>
              <w:spacing w:after="0"/>
              <w:rPr>
                <w:sz w:val="20"/>
                <w:szCs w:val="20"/>
                <w:color w:val="auto"/>
              </w:rPr>
            </w:pPr>
            <w:r>
              <w:rPr>
                <w:rFonts w:ascii="Arial" w:cs="Arial" w:eastAsia="Arial" w:hAnsi="Arial"/>
                <w:sz w:val="18"/>
                <w:szCs w:val="18"/>
                <w:color w:val="auto"/>
                <w:w w:val="89"/>
              </w:rPr>
              <w:t>(all amounts in thousands except share and per share data)</w:t>
            </w:r>
          </w:p>
        </w:tc>
        <w:tc>
          <w:tcPr>
            <w:tcW w:w="0" w:type="dxa"/>
            <w:vAlign w:val="bottom"/>
          </w:tcPr>
          <w:p>
            <w:pPr>
              <w:spacing w:after="0"/>
              <w:rPr>
                <w:sz w:val="1"/>
                <w:szCs w:val="1"/>
                <w:color w:val="auto"/>
              </w:rPr>
            </w:pPr>
          </w:p>
        </w:tc>
      </w:tr>
      <w:tr>
        <w:trPr>
          <w:trHeight w:val="188"/>
        </w:trPr>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0" w:type="dxa"/>
            <w:vAlign w:val="bottom"/>
            <w:gridSpan w:val="1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20" w:type="dxa"/>
            <w:vAlign w:val="bottom"/>
            <w:gridSpan w:val="5"/>
          </w:tcPr>
          <w:p>
            <w:pPr>
              <w:jc w:val="right"/>
              <w:ind w:right="121"/>
              <w:spacing w:after="0" w:line="189" w:lineRule="exact"/>
              <w:rPr>
                <w:sz w:val="20"/>
                <w:szCs w:val="20"/>
                <w:color w:val="auto"/>
              </w:rPr>
            </w:pPr>
            <w:r>
              <w:rPr>
                <w:rFonts w:ascii="Arial" w:cs="Arial" w:eastAsia="Arial" w:hAnsi="Arial"/>
                <w:sz w:val="18"/>
                <w:szCs w:val="18"/>
                <w:color w:val="auto"/>
                <w:w w:val="90"/>
              </w:rPr>
              <w:t>For the 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140" w:type="dxa"/>
            <w:vAlign w:val="bottom"/>
            <w:gridSpan w:val="7"/>
          </w:tcPr>
          <w:p>
            <w:pPr>
              <w:jc w:val="right"/>
              <w:ind w:right="150"/>
              <w:spacing w:after="0" w:line="189" w:lineRule="exact"/>
              <w:rPr>
                <w:sz w:val="20"/>
                <w:szCs w:val="20"/>
                <w:color w:val="auto"/>
              </w:rPr>
            </w:pPr>
            <w:r>
              <w:rPr>
                <w:rFonts w:ascii="Arial" w:cs="Arial" w:eastAsia="Arial" w:hAnsi="Arial"/>
                <w:sz w:val="18"/>
                <w:szCs w:val="18"/>
                <w:color w:val="auto"/>
                <w:w w:val="92"/>
              </w:rPr>
              <w:t>For the six months ended</w:t>
            </w:r>
          </w:p>
        </w:tc>
        <w:tc>
          <w:tcPr>
            <w:tcW w:w="0" w:type="dxa"/>
            <w:vAlign w:val="bottom"/>
          </w:tcPr>
          <w:p>
            <w:pPr>
              <w:spacing w:after="0"/>
              <w:rPr>
                <w:sz w:val="1"/>
                <w:szCs w:val="1"/>
                <w:color w:val="auto"/>
              </w:rPr>
            </w:pPr>
          </w:p>
        </w:tc>
      </w:tr>
      <w:tr>
        <w:trPr>
          <w:trHeight w:val="217"/>
        </w:trPr>
        <w:tc>
          <w:tcPr>
            <w:tcW w:w="5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3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5"/>
          </w:tcPr>
          <w:p>
            <w:pPr>
              <w:jc w:val="right"/>
              <w:ind w:right="750"/>
              <w:spacing w:after="0"/>
              <w:rPr>
                <w:sz w:val="20"/>
                <w:szCs w:val="20"/>
                <w:color w:val="auto"/>
              </w:rPr>
            </w:pPr>
            <w:r>
              <w:rPr>
                <w:rFonts w:ascii="Arial" w:cs="Arial" w:eastAsia="Arial" w:hAnsi="Arial"/>
                <w:sz w:val="18"/>
                <w:szCs w:val="18"/>
                <w:color w:val="auto"/>
                <w:w w:val="95"/>
              </w:rPr>
              <w:t>June 30,</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tcPr>
          <w:p>
            <w:pPr>
              <w:spacing w:after="0"/>
              <w:rPr>
                <w:sz w:val="15"/>
                <w:szCs w:val="15"/>
                <w:color w:val="auto"/>
              </w:rPr>
            </w:pPr>
          </w:p>
        </w:tc>
        <w:tc>
          <w:tcPr>
            <w:tcW w:w="1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ind w:left="240"/>
              <w:spacing w:after="0" w:line="182" w:lineRule="exact"/>
              <w:rPr>
                <w:sz w:val="20"/>
                <w:szCs w:val="20"/>
                <w:color w:val="auto"/>
              </w:rPr>
            </w:pPr>
            <w:r>
              <w:rPr>
                <w:rFonts w:ascii="Arial" w:cs="Arial" w:eastAsia="Arial" w:hAnsi="Arial"/>
                <w:sz w:val="18"/>
                <w:szCs w:val="18"/>
                <w:color w:val="auto"/>
              </w:rPr>
              <w:t>2020</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301"/>
              <w:spacing w:after="0" w:line="182" w:lineRule="exact"/>
              <w:rPr>
                <w:sz w:val="20"/>
                <w:szCs w:val="20"/>
                <w:color w:val="auto"/>
              </w:rPr>
            </w:pPr>
            <w:r>
              <w:rPr>
                <w:rFonts w:ascii="Arial" w:cs="Arial" w:eastAsia="Arial" w:hAnsi="Arial"/>
                <w:sz w:val="18"/>
                <w:szCs w:val="18"/>
                <w:color w:val="auto"/>
              </w:rPr>
              <w:t>2019</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gridSpan w:val="2"/>
          </w:tcPr>
          <w:p>
            <w:pPr>
              <w:ind w:left="220"/>
              <w:spacing w:after="0" w:line="182" w:lineRule="exact"/>
              <w:rPr>
                <w:sz w:val="20"/>
                <w:szCs w:val="20"/>
                <w:color w:val="auto"/>
              </w:rPr>
            </w:pPr>
            <w:r>
              <w:rPr>
                <w:rFonts w:ascii="Arial" w:cs="Arial" w:eastAsia="Arial" w:hAnsi="Arial"/>
                <w:sz w:val="18"/>
                <w:szCs w:val="18"/>
                <w:color w:val="auto"/>
                <w:w w:val="94"/>
              </w:rPr>
              <w:t>2020</w:t>
            </w: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70"/>
              <w:spacing w:after="0" w:line="182" w:lineRule="exact"/>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3"/>
        </w:trPr>
        <w:tc>
          <w:tcPr>
            <w:tcW w:w="5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(loss) income</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(760)</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(154)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960" w:type="dxa"/>
            <w:vAlign w:val="bottom"/>
            <w:gridSpan w:val="4"/>
            <w:shd w:val="clear" w:color="auto" w:fill="CCEEFF"/>
          </w:tcPr>
          <w:p>
            <w:pPr>
              <w:jc w:val="right"/>
              <w:ind w:right="7"/>
              <w:spacing w:after="0" w:line="182" w:lineRule="exact"/>
              <w:rPr>
                <w:sz w:val="20"/>
                <w:szCs w:val="20"/>
                <w:color w:val="auto"/>
              </w:rPr>
            </w:pPr>
            <w:r>
              <w:rPr>
                <w:rFonts w:ascii="Arial" w:cs="Arial" w:eastAsia="Arial" w:hAnsi="Arial"/>
                <w:sz w:val="18"/>
                <w:szCs w:val="18"/>
                <w:color w:val="auto"/>
              </w:rPr>
              <w:t>2,742</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1,166</w:t>
            </w: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Weighted average shares outstanding - basic</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w w:val="99"/>
              </w:rPr>
              <w:t>49,926,267</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gridSpan w:val="2"/>
          </w:tcPr>
          <w:p>
            <w:pPr>
              <w:jc w:val="right"/>
              <w:ind w:right="1"/>
              <w:spacing w:after="0" w:line="189" w:lineRule="exact"/>
              <w:rPr>
                <w:sz w:val="20"/>
                <w:szCs w:val="20"/>
                <w:color w:val="auto"/>
              </w:rPr>
            </w:pPr>
            <w:r>
              <w:rPr>
                <w:rFonts w:ascii="Arial" w:cs="Arial" w:eastAsia="Arial" w:hAnsi="Arial"/>
                <w:sz w:val="18"/>
                <w:szCs w:val="18"/>
                <w:color w:val="auto"/>
                <w:w w:val="86"/>
              </w:rPr>
              <w:t>50,999,341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4"/>
          </w:tcPr>
          <w:p>
            <w:pPr>
              <w:jc w:val="right"/>
              <w:ind w:right="7"/>
              <w:spacing w:after="0" w:line="189" w:lineRule="exact"/>
              <w:rPr>
                <w:sz w:val="20"/>
                <w:szCs w:val="20"/>
                <w:color w:val="auto"/>
              </w:rPr>
            </w:pPr>
            <w:r>
              <w:rPr>
                <w:rFonts w:ascii="Arial" w:cs="Arial" w:eastAsia="Arial" w:hAnsi="Arial"/>
                <w:sz w:val="18"/>
                <w:szCs w:val="18"/>
                <w:color w:val="auto"/>
                <w:w w:val="95"/>
              </w:rPr>
              <w:t>49,884,169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w w:val="90"/>
              </w:rPr>
              <w:t>51,476,442</w:t>
            </w: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Effect of dilutive securities attributable to stock based awards</w:t>
            </w:r>
          </w:p>
        </w:tc>
        <w:tc>
          <w:tcPr>
            <w:tcW w:w="12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gridSpan w:val="2"/>
            <w:shd w:val="clear" w:color="auto" w:fill="CCEEFF"/>
          </w:tcPr>
          <w:p>
            <w:pPr>
              <w:jc w:val="right"/>
              <w:ind w:right="1"/>
              <w:spacing w:after="0" w:line="189"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gridSpan w:val="4"/>
            <w:shd w:val="clear" w:color="auto" w:fill="CCEEFF"/>
          </w:tcPr>
          <w:p>
            <w:pPr>
              <w:jc w:val="right"/>
              <w:ind w:right="7"/>
              <w:spacing w:after="0" w:line="189" w:lineRule="exact"/>
              <w:rPr>
                <w:sz w:val="20"/>
                <w:szCs w:val="20"/>
                <w:color w:val="auto"/>
              </w:rPr>
            </w:pPr>
            <w:r>
              <w:rPr>
                <w:rFonts w:ascii="Arial" w:cs="Arial" w:eastAsia="Arial" w:hAnsi="Arial"/>
                <w:sz w:val="18"/>
                <w:szCs w:val="18"/>
                <w:color w:val="auto"/>
              </w:rPr>
              <w:t>168,821</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96,968</w:t>
            </w:r>
          </w:p>
        </w:tc>
        <w:tc>
          <w:tcPr>
            <w:tcW w:w="0" w:type="dxa"/>
            <w:vAlign w:val="bottom"/>
          </w:tcPr>
          <w:p>
            <w:pPr>
              <w:spacing w:after="0"/>
              <w:rPr>
                <w:sz w:val="1"/>
                <w:szCs w:val="1"/>
                <w:color w:val="auto"/>
              </w:rPr>
            </w:pPr>
          </w:p>
        </w:tc>
      </w:tr>
      <w:tr>
        <w:trPr>
          <w:trHeight w:val="183"/>
        </w:trPr>
        <w:tc>
          <w:tcPr>
            <w:tcW w:w="530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Weighted average shares outstanding - diluted</w:t>
            </w:r>
          </w:p>
        </w:tc>
        <w:tc>
          <w:tcPr>
            <w:tcW w:w="12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9"/>
              </w:rPr>
              <w:t>49,926,267</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2"/>
          </w:tcPr>
          <w:p>
            <w:pPr>
              <w:jc w:val="right"/>
              <w:ind w:right="1"/>
              <w:spacing w:after="0" w:line="182" w:lineRule="exact"/>
              <w:rPr>
                <w:sz w:val="20"/>
                <w:szCs w:val="20"/>
                <w:color w:val="auto"/>
              </w:rPr>
            </w:pPr>
            <w:r>
              <w:rPr>
                <w:rFonts w:ascii="Arial" w:cs="Arial" w:eastAsia="Arial" w:hAnsi="Arial"/>
                <w:sz w:val="18"/>
                <w:szCs w:val="18"/>
                <w:color w:val="auto"/>
                <w:w w:val="86"/>
              </w:rPr>
              <w:t>50,999,341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4"/>
          </w:tcPr>
          <w:p>
            <w:pPr>
              <w:jc w:val="right"/>
              <w:ind w:right="7"/>
              <w:spacing w:after="0" w:line="182" w:lineRule="exact"/>
              <w:rPr>
                <w:sz w:val="20"/>
                <w:szCs w:val="20"/>
                <w:color w:val="auto"/>
              </w:rPr>
            </w:pPr>
            <w:r>
              <w:rPr>
                <w:rFonts w:ascii="Arial" w:cs="Arial" w:eastAsia="Arial" w:hAnsi="Arial"/>
                <w:sz w:val="18"/>
                <w:szCs w:val="18"/>
                <w:color w:val="auto"/>
                <w:w w:val="95"/>
              </w:rPr>
              <w:t>50,052,990</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90"/>
              </w:rPr>
              <w:t>51,573,410</w:t>
            </w:r>
          </w:p>
        </w:tc>
        <w:tc>
          <w:tcPr>
            <w:tcW w:w="0" w:type="dxa"/>
            <w:vAlign w:val="bottom"/>
          </w:tcPr>
          <w:p>
            <w:pPr>
              <w:spacing w:after="0"/>
              <w:rPr>
                <w:sz w:val="1"/>
                <w:szCs w:val="1"/>
                <w:color w:val="auto"/>
              </w:rPr>
            </w:pPr>
          </w:p>
        </w:tc>
      </w:tr>
      <w:tr>
        <w:trPr>
          <w:trHeight w:val="183"/>
        </w:trPr>
        <w:tc>
          <w:tcPr>
            <w:tcW w:w="5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 income per common share:</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300" w:type="dxa"/>
            <w:vAlign w:val="bottom"/>
          </w:tcPr>
          <w:p>
            <w:pPr>
              <w:ind w:left="220"/>
              <w:spacing w:after="0" w:line="189" w:lineRule="exact"/>
              <w:rPr>
                <w:sz w:val="20"/>
                <w:szCs w:val="20"/>
                <w:color w:val="auto"/>
              </w:rPr>
            </w:pPr>
            <w:r>
              <w:rPr>
                <w:rFonts w:ascii="Arial" w:cs="Arial" w:eastAsia="Arial" w:hAnsi="Arial"/>
                <w:sz w:val="18"/>
                <w:szCs w:val="18"/>
                <w:color w:val="auto"/>
              </w:rPr>
              <w:t>Basic</w:t>
            </w:r>
          </w:p>
        </w:tc>
        <w:tc>
          <w:tcPr>
            <w:tcW w:w="13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tcPr>
          <w:p>
            <w:pPr>
              <w:jc w:val="right"/>
              <w:spacing w:after="0" w:line="189" w:lineRule="exact"/>
              <w:rPr>
                <w:sz w:val="20"/>
                <w:szCs w:val="20"/>
                <w:color w:val="auto"/>
              </w:rPr>
            </w:pPr>
            <w:r>
              <w:rPr>
                <w:rFonts w:ascii="Arial" w:cs="Arial" w:eastAsia="Arial" w:hAnsi="Arial"/>
                <w:sz w:val="18"/>
                <w:szCs w:val="18"/>
                <w:color w:val="auto"/>
              </w:rPr>
              <w:t>(0.02)</w:t>
            </w:r>
          </w:p>
        </w:tc>
        <w:tc>
          <w:tcPr>
            <w:tcW w:w="100" w:type="dxa"/>
            <w:vAlign w:val="bottom"/>
          </w:tcPr>
          <w:p>
            <w:pPr>
              <w:spacing w:after="0"/>
              <w:rPr>
                <w:sz w:val="16"/>
                <w:szCs w:val="16"/>
                <w:color w:val="auto"/>
              </w:rPr>
            </w:pPr>
          </w:p>
        </w:tc>
        <w:tc>
          <w:tcPr>
            <w:tcW w:w="260" w:type="dxa"/>
            <w:vAlign w:val="bottom"/>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(0.00)</w:t>
            </w:r>
          </w:p>
        </w:tc>
        <w:tc>
          <w:tcPr>
            <w:tcW w:w="24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6"/>
                <w:szCs w:val="16"/>
                <w:color w:val="auto"/>
              </w:rPr>
            </w:pPr>
          </w:p>
        </w:tc>
        <w:tc>
          <w:tcPr>
            <w:tcW w:w="400" w:type="dxa"/>
            <w:vAlign w:val="bottom"/>
            <w:gridSpan w:val="3"/>
          </w:tcPr>
          <w:p>
            <w:pPr>
              <w:jc w:val="right"/>
              <w:ind w:right="7"/>
              <w:spacing w:after="0" w:line="189" w:lineRule="exact"/>
              <w:rPr>
                <w:sz w:val="20"/>
                <w:szCs w:val="20"/>
                <w:color w:val="auto"/>
              </w:rPr>
            </w:pPr>
            <w:r>
              <w:rPr>
                <w:rFonts w:ascii="Arial" w:cs="Arial" w:eastAsia="Arial" w:hAnsi="Arial"/>
                <w:sz w:val="18"/>
                <w:szCs w:val="18"/>
                <w:color w:val="auto"/>
                <w:w w:val="85"/>
              </w:rPr>
              <w:t>0.05</w:t>
            </w:r>
          </w:p>
        </w:tc>
        <w:tc>
          <w:tcPr>
            <w:tcW w:w="280" w:type="dxa"/>
            <w:vAlign w:val="bottom"/>
            <w:gridSpan w:val="2"/>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ind w:left="220"/>
              <w:spacing w:after="0" w:line="189" w:lineRule="exact"/>
              <w:rPr>
                <w:sz w:val="20"/>
                <w:szCs w:val="20"/>
                <w:color w:val="auto"/>
              </w:rPr>
            </w:pPr>
            <w:r>
              <w:rPr>
                <w:rFonts w:ascii="Arial" w:cs="Arial" w:eastAsia="Arial" w:hAnsi="Arial"/>
                <w:sz w:val="18"/>
                <w:szCs w:val="18"/>
                <w:color w:val="auto"/>
              </w:rPr>
              <w:t>Diluted</w:t>
            </w:r>
          </w:p>
        </w:tc>
        <w:tc>
          <w:tcPr>
            <w:tcW w:w="13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(0.00)</w:t>
            </w:r>
          </w:p>
        </w:tc>
        <w:tc>
          <w:tcPr>
            <w:tcW w:w="24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6"/>
                <w:szCs w:val="16"/>
                <w:color w:val="auto"/>
              </w:rPr>
            </w:pPr>
          </w:p>
        </w:tc>
        <w:tc>
          <w:tcPr>
            <w:tcW w:w="400" w:type="dxa"/>
            <w:vAlign w:val="bottom"/>
            <w:gridSpan w:val="3"/>
            <w:shd w:val="clear" w:color="auto" w:fill="CCEEFF"/>
          </w:tcPr>
          <w:p>
            <w:pPr>
              <w:jc w:val="right"/>
              <w:ind w:right="7"/>
              <w:spacing w:after="0" w:line="189" w:lineRule="exact"/>
              <w:rPr>
                <w:sz w:val="20"/>
                <w:szCs w:val="20"/>
                <w:color w:val="auto"/>
              </w:rPr>
            </w:pPr>
            <w:r>
              <w:rPr>
                <w:rFonts w:ascii="Arial" w:cs="Arial" w:eastAsia="Arial" w:hAnsi="Arial"/>
                <w:sz w:val="18"/>
                <w:szCs w:val="18"/>
                <w:color w:val="auto"/>
                <w:w w:val="85"/>
              </w:rPr>
              <w:t>0.05</w:t>
            </w:r>
          </w:p>
        </w:tc>
        <w:tc>
          <w:tcPr>
            <w:tcW w:w="280" w:type="dxa"/>
            <w:vAlign w:val="bottom"/>
            <w:gridSpan w:val="2"/>
            <w:shd w:val="clear" w:color="auto" w:fill="CCEEFF"/>
          </w:tcPr>
          <w:p>
            <w:pPr>
              <w:jc w:val="right"/>
              <w:ind w:right="10"/>
              <w:spacing w:after="0" w:line="189"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w w:val="98"/>
              </w:rPr>
              <w:t>Anti-dilutive securities excluded from earnings per share calculation</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ind w:left="260"/>
              <w:spacing w:after="0"/>
              <w:rPr>
                <w:sz w:val="20"/>
                <w:szCs w:val="20"/>
                <w:color w:val="auto"/>
              </w:rPr>
            </w:pPr>
            <w:r>
              <w:rPr>
                <w:rFonts w:ascii="Arial" w:cs="Arial" w:eastAsia="Arial" w:hAnsi="Arial"/>
                <w:sz w:val="18"/>
                <w:szCs w:val="18"/>
                <w:color w:val="auto"/>
                <w:w w:val="99"/>
              </w:rPr>
              <w:t>2,585,401</w:t>
            </w:r>
          </w:p>
        </w:tc>
        <w:tc>
          <w:tcPr>
            <w:tcW w:w="260" w:type="dxa"/>
            <w:vAlign w:val="bottom"/>
          </w:tcPr>
          <w:p>
            <w:pPr>
              <w:spacing w:after="0"/>
              <w:rPr>
                <w:sz w:val="20"/>
                <w:szCs w:val="20"/>
                <w:color w:val="auto"/>
              </w:rPr>
            </w:pPr>
          </w:p>
        </w:tc>
        <w:tc>
          <w:tcPr>
            <w:tcW w:w="880" w:type="dxa"/>
            <w:vAlign w:val="bottom"/>
            <w:gridSpan w:val="2"/>
          </w:tcPr>
          <w:p>
            <w:pPr>
              <w:jc w:val="right"/>
              <w:ind w:right="1"/>
              <w:spacing w:after="0"/>
              <w:rPr>
                <w:sz w:val="20"/>
                <w:szCs w:val="20"/>
                <w:color w:val="auto"/>
              </w:rPr>
            </w:pPr>
            <w:r>
              <w:rPr>
                <w:rFonts w:ascii="Arial" w:cs="Arial" w:eastAsia="Arial" w:hAnsi="Arial"/>
                <w:sz w:val="18"/>
                <w:szCs w:val="18"/>
                <w:color w:val="auto"/>
                <w:w w:val="97"/>
              </w:rPr>
              <w:t>2,835,890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gridSpan w:val="4"/>
          </w:tcPr>
          <w:p>
            <w:pPr>
              <w:ind w:left="240"/>
              <w:spacing w:after="0"/>
              <w:rPr>
                <w:sz w:val="20"/>
                <w:szCs w:val="20"/>
                <w:color w:val="auto"/>
              </w:rPr>
            </w:pPr>
            <w:r>
              <w:rPr>
                <w:rFonts w:ascii="Arial" w:cs="Arial" w:eastAsia="Arial" w:hAnsi="Arial"/>
                <w:sz w:val="18"/>
                <w:szCs w:val="18"/>
                <w:color w:val="auto"/>
                <w:w w:val="87"/>
              </w:rPr>
              <w:t>1,903,737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2,047,585</w:t>
            </w:r>
          </w:p>
        </w:tc>
        <w:tc>
          <w:tcPr>
            <w:tcW w:w="0" w:type="dxa"/>
            <w:vAlign w:val="bottom"/>
          </w:tcPr>
          <w:p>
            <w:pPr>
              <w:spacing w:after="0"/>
              <w:rPr>
                <w:sz w:val="1"/>
                <w:szCs w:val="1"/>
                <w:color w:val="auto"/>
              </w:rPr>
            </w:pPr>
          </w:p>
        </w:tc>
      </w:tr>
      <w:tr>
        <w:trPr>
          <w:trHeight w:val="350"/>
        </w:trPr>
        <w:tc>
          <w:tcPr>
            <w:tcW w:w="5300" w:type="dxa"/>
            <w:vAlign w:val="bottom"/>
          </w:tcPr>
          <w:p>
            <w:pPr>
              <w:spacing w:after="0"/>
              <w:rPr>
                <w:sz w:val="20"/>
                <w:szCs w:val="20"/>
                <w:color w:val="auto"/>
              </w:rPr>
            </w:pPr>
            <w:r>
              <w:rPr>
                <w:rFonts w:ascii="Arial" w:cs="Arial" w:eastAsia="Arial" w:hAnsi="Arial"/>
                <w:sz w:val="18"/>
                <w:szCs w:val="18"/>
                <w:b w:val="1"/>
                <w:bCs w:val="1"/>
                <w:color w:val="auto"/>
              </w:rPr>
              <w:t>Note 7: Other Accrued Liabilities</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300" w:type="dxa"/>
            <w:vAlign w:val="bottom"/>
          </w:tcPr>
          <w:p>
            <w:pPr>
              <w:spacing w:after="0"/>
              <w:rPr>
                <w:sz w:val="20"/>
                <w:szCs w:val="20"/>
                <w:color w:val="auto"/>
              </w:rPr>
            </w:pPr>
            <w:r>
              <w:rPr>
                <w:rFonts w:ascii="Arial" w:cs="Arial" w:eastAsia="Arial" w:hAnsi="Arial"/>
                <w:sz w:val="18"/>
                <w:szCs w:val="18"/>
                <w:color w:val="auto"/>
              </w:rPr>
              <w:t>Other accrued liabilities consisted of the following:</w:t>
            </w:r>
          </w:p>
        </w:tc>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gridSpan w:val="6"/>
            <w:vMerge w:val="restart"/>
          </w:tcPr>
          <w:p>
            <w:pPr>
              <w:jc w:val="right"/>
              <w:spacing w:after="0"/>
              <w:rPr>
                <w:sz w:val="20"/>
                <w:szCs w:val="20"/>
                <w:color w:val="auto"/>
              </w:rPr>
            </w:pPr>
            <w:r>
              <w:rPr>
                <w:rFonts w:ascii="Arial" w:cs="Arial" w:eastAsia="Arial" w:hAnsi="Arial"/>
                <w:sz w:val="18"/>
                <w:szCs w:val="18"/>
                <w:color w:val="auto"/>
              </w:rPr>
              <w:t>(in thousands)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6"/>
            <w:vMerge w:val="continue"/>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300" w:type="dxa"/>
            <w:vAlign w:val="bottom"/>
            <w:gridSpan w:val="4"/>
          </w:tcPr>
          <w:p>
            <w:pPr>
              <w:jc w:val="right"/>
              <w:ind w:right="230"/>
              <w:spacing w:after="0" w:line="189" w:lineRule="exact"/>
              <w:rPr>
                <w:sz w:val="20"/>
                <w:szCs w:val="20"/>
                <w:color w:val="auto"/>
              </w:rPr>
            </w:pPr>
            <w:r>
              <w:rPr>
                <w:rFonts w:ascii="Arial" w:cs="Arial" w:eastAsia="Arial" w:hAnsi="Arial"/>
                <w:sz w:val="18"/>
                <w:szCs w:val="18"/>
                <w:color w:val="auto"/>
              </w:rPr>
              <w:t>June 30,</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jc w:val="right"/>
              <w:ind w:right="90"/>
              <w:spacing w:after="0" w:line="189" w:lineRule="exact"/>
              <w:rPr>
                <w:sz w:val="20"/>
                <w:szCs w:val="20"/>
                <w:color w:val="auto"/>
              </w:rPr>
            </w:pPr>
            <w:r>
              <w:rPr>
                <w:rFonts w:ascii="Arial" w:cs="Arial" w:eastAsia="Arial" w:hAnsi="Arial"/>
                <w:sz w:val="18"/>
                <w:szCs w:val="18"/>
                <w:color w:val="auto"/>
                <w:w w:val="86"/>
              </w:rPr>
              <w:t>December 31,</w:t>
            </w:r>
          </w:p>
        </w:tc>
        <w:tc>
          <w:tcPr>
            <w:tcW w:w="0" w:type="dxa"/>
            <w:vAlign w:val="bottom"/>
          </w:tcPr>
          <w:p>
            <w:pPr>
              <w:spacing w:after="0"/>
              <w:rPr>
                <w:sz w:val="1"/>
                <w:szCs w:val="1"/>
                <w:color w:val="auto"/>
              </w:rPr>
            </w:pPr>
          </w:p>
        </w:tc>
      </w:tr>
      <w:tr>
        <w:trPr>
          <w:trHeight w:val="217"/>
        </w:trPr>
        <w:tc>
          <w:tcPr>
            <w:tcW w:w="5300" w:type="dxa"/>
            <w:vAlign w:val="bottom"/>
            <w:tcBorders>
              <w:bottom w:val="single" w:sz="8" w:color="CCEEFF"/>
            </w:tcBorders>
          </w:tcPr>
          <w:p>
            <w:pPr>
              <w:spacing w:after="0"/>
              <w:rPr>
                <w:sz w:val="18"/>
                <w:szCs w:val="18"/>
                <w:color w:val="auto"/>
              </w:rPr>
            </w:pPr>
          </w:p>
        </w:tc>
        <w:tc>
          <w:tcPr>
            <w:tcW w:w="1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9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CCEEFF"/>
            </w:tcBorders>
          </w:tcPr>
          <w:p>
            <w:pPr>
              <w:spacing w:after="0"/>
              <w:rPr>
                <w:sz w:val="18"/>
                <w:szCs w:val="18"/>
                <w:color w:val="auto"/>
              </w:rPr>
            </w:pPr>
          </w:p>
        </w:tc>
        <w:tc>
          <w:tcPr>
            <w:tcW w:w="3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3"/>
          </w:tcPr>
          <w:p>
            <w:pPr>
              <w:jc w:val="right"/>
              <w:ind w:right="350"/>
              <w:spacing w:after="0"/>
              <w:rPr>
                <w:sz w:val="20"/>
                <w:szCs w:val="20"/>
                <w:color w:val="auto"/>
              </w:rPr>
            </w:pPr>
            <w:r>
              <w:rPr>
                <w:rFonts w:ascii="Arial" w:cs="Arial" w:eastAsia="Arial" w:hAnsi="Arial"/>
                <w:sz w:val="18"/>
                <w:szCs w:val="18"/>
                <w:color w:val="auto"/>
                <w:w w:val="84"/>
              </w:rPr>
              <w:t>2020</w:t>
            </w:r>
          </w:p>
        </w:tc>
        <w:tc>
          <w:tcPr>
            <w:tcW w:w="6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4"/>
              </w:rPr>
              <w:t>2019</w:t>
            </w:r>
          </w:p>
        </w:tc>
        <w:tc>
          <w:tcPr>
            <w:tcW w:w="0" w:type="dxa"/>
            <w:vAlign w:val="bottom"/>
          </w:tcPr>
          <w:p>
            <w:pPr>
              <w:spacing w:after="0"/>
              <w:rPr>
                <w:sz w:val="1"/>
                <w:szCs w:val="1"/>
                <w:color w:val="auto"/>
              </w:rPr>
            </w:pPr>
          </w:p>
        </w:tc>
      </w:tr>
      <w:tr>
        <w:trPr>
          <w:trHeight w:val="183"/>
        </w:trPr>
        <w:tc>
          <w:tcPr>
            <w:tcW w:w="530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Legal settlement accrual</w:t>
            </w:r>
          </w:p>
        </w:tc>
        <w:tc>
          <w:tcPr>
            <w:tcW w:w="1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14,500</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Customer deposits</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9,715</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7,727</w:t>
            </w: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Sales returns reserve</w:t>
            </w: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4,989</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5,434</w:t>
            </w:r>
          </w:p>
        </w:tc>
        <w:tc>
          <w:tcPr>
            <w:tcW w:w="0" w:type="dxa"/>
            <w:vAlign w:val="bottom"/>
          </w:tcPr>
          <w:p>
            <w:pPr>
              <w:spacing w:after="0"/>
              <w:rPr>
                <w:sz w:val="1"/>
                <w:szCs w:val="1"/>
                <w:color w:val="auto"/>
              </w:rPr>
            </w:pPr>
          </w:p>
        </w:tc>
      </w:tr>
      <w:tr>
        <w:trPr>
          <w:trHeight w:val="189"/>
        </w:trPr>
        <w:tc>
          <w:tcPr>
            <w:tcW w:w="5300" w:type="dxa"/>
            <w:vAlign w:val="bottom"/>
          </w:tcPr>
          <w:p>
            <w:pPr>
              <w:spacing w:after="0" w:line="189" w:lineRule="exact"/>
              <w:rPr>
                <w:sz w:val="20"/>
                <w:szCs w:val="20"/>
                <w:color w:val="auto"/>
              </w:rPr>
            </w:pPr>
            <w:r>
              <w:rPr>
                <w:rFonts w:ascii="Arial" w:cs="Arial" w:eastAsia="Arial" w:hAnsi="Arial"/>
                <w:sz w:val="18"/>
                <w:szCs w:val="18"/>
                <w:color w:val="auto"/>
              </w:rPr>
              <w:t>Accrued wages and salaries</w:t>
            </w: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line="189" w:lineRule="exact"/>
              <w:rPr>
                <w:sz w:val="20"/>
                <w:szCs w:val="20"/>
                <w:color w:val="auto"/>
              </w:rPr>
            </w:pPr>
            <w:r>
              <w:rPr>
                <w:rFonts w:ascii="Arial" w:cs="Arial" w:eastAsia="Arial" w:hAnsi="Arial"/>
                <w:sz w:val="18"/>
                <w:szCs w:val="18"/>
                <w:color w:val="auto"/>
              </w:rPr>
              <w:t>4,083</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jc w:val="right"/>
              <w:spacing w:after="0" w:line="189" w:lineRule="exact"/>
              <w:rPr>
                <w:sz w:val="20"/>
                <w:szCs w:val="20"/>
                <w:color w:val="auto"/>
              </w:rPr>
            </w:pPr>
            <w:r>
              <w:rPr>
                <w:rFonts w:ascii="Arial" w:cs="Arial" w:eastAsia="Arial" w:hAnsi="Arial"/>
                <w:sz w:val="18"/>
                <w:szCs w:val="18"/>
                <w:color w:val="auto"/>
              </w:rPr>
              <w:t>4,064</w:t>
            </w:r>
          </w:p>
        </w:tc>
        <w:tc>
          <w:tcPr>
            <w:tcW w:w="0" w:type="dxa"/>
            <w:vAlign w:val="bottom"/>
          </w:tcPr>
          <w:p>
            <w:pPr>
              <w:spacing w:after="0"/>
              <w:rPr>
                <w:sz w:val="1"/>
                <w:szCs w:val="1"/>
                <w:color w:val="auto"/>
              </w:rPr>
            </w:pPr>
          </w:p>
        </w:tc>
      </w:tr>
      <w:tr>
        <w:trPr>
          <w:trHeight w:val="189"/>
        </w:trPr>
        <w:tc>
          <w:tcPr>
            <w:tcW w:w="530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Payroll and sales taxes</w:t>
            </w:r>
          </w:p>
        </w:tc>
        <w:tc>
          <w:tcPr>
            <w:tcW w:w="1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4,085</w:t>
            </w: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2,764</w:t>
            </w:r>
          </w:p>
        </w:tc>
        <w:tc>
          <w:tcPr>
            <w:tcW w:w="0" w:type="dxa"/>
            <w:vAlign w:val="bottom"/>
          </w:tcPr>
          <w:p>
            <w:pPr>
              <w:spacing w:after="0"/>
              <w:rPr>
                <w:sz w:val="1"/>
                <w:szCs w:val="1"/>
                <w:color w:val="auto"/>
              </w:rPr>
            </w:pPr>
          </w:p>
        </w:tc>
      </w:tr>
      <w:tr>
        <w:trPr>
          <w:trHeight w:val="189"/>
        </w:trPr>
        <w:tc>
          <w:tcPr>
            <w:tcW w:w="530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Other current liabilities</w:t>
            </w:r>
          </w:p>
        </w:tc>
        <w:tc>
          <w:tcPr>
            <w:tcW w:w="12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5,348</w:t>
            </w: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4,600</w:t>
            </w:r>
          </w:p>
        </w:tc>
        <w:tc>
          <w:tcPr>
            <w:tcW w:w="0" w:type="dxa"/>
            <w:vAlign w:val="bottom"/>
          </w:tcPr>
          <w:p>
            <w:pPr>
              <w:spacing w:after="0"/>
              <w:rPr>
                <w:sz w:val="1"/>
                <w:szCs w:val="1"/>
                <w:color w:val="auto"/>
              </w:rPr>
            </w:pPr>
          </w:p>
        </w:tc>
      </w:tr>
      <w:tr>
        <w:trPr>
          <w:trHeight w:val="182"/>
        </w:trPr>
        <w:tc>
          <w:tcPr>
            <w:tcW w:w="5300" w:type="dxa"/>
            <w:vAlign w:val="bottom"/>
            <w:tcBorders>
              <w:bottom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Total other accrued liabilities</w:t>
            </w:r>
          </w:p>
        </w:tc>
        <w:tc>
          <w:tcPr>
            <w:tcW w:w="120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98"/>
              </w:rPr>
              <w:t>42,720</w:t>
            </w:r>
          </w:p>
        </w:tc>
        <w:tc>
          <w:tcPr>
            <w:tcW w:w="60" w:type="dxa"/>
            <w:vAlign w:val="bottom"/>
            <w:tcBorders>
              <w:bottom w:val="single" w:sz="8" w:color="auto"/>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80" w:type="dxa"/>
            <w:vAlign w:val="bottom"/>
            <w:tcBorders>
              <w:bottom w:val="single" w:sz="8" w:color="auto"/>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24,589</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0" w:type="dxa"/>
            <w:vAlign w:val="bottom"/>
            <w:vMerge w:val="restart"/>
          </w:tcPr>
          <w:p>
            <w:pPr>
              <w:jc w:val="right"/>
              <w:ind w:right="690"/>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00" w:type="dxa"/>
            <w:vAlign w:val="bottom"/>
          </w:tcPr>
          <w:p>
            <w:pPr>
              <w:spacing w:after="0"/>
              <w:rPr>
                <w:sz w:val="24"/>
                <w:szCs w:val="24"/>
                <w:color w:val="auto"/>
              </w:rPr>
            </w:pPr>
          </w:p>
        </w:tc>
        <w:tc>
          <w:tcPr>
            <w:tcW w:w="12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530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2" w:name="page13"/>
    <w:bookmarkEnd w:id="12"/>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Long-term Debt</w:t>
      </w:r>
    </w:p>
    <w:p>
      <w:pPr>
        <w:spacing w:after="0" w:line="175" w:lineRule="exact"/>
        <w:rPr>
          <w:sz w:val="20"/>
          <w:szCs w:val="20"/>
          <w:color w:val="auto"/>
        </w:rPr>
      </w:pPr>
    </w:p>
    <w:p>
      <w:pPr>
        <w:jc w:val="both"/>
        <w:spacing w:after="0" w:line="237" w:lineRule="auto"/>
        <w:rPr>
          <w:sz w:val="20"/>
          <w:szCs w:val="20"/>
          <w:color w:val="auto"/>
        </w:rPr>
      </w:pPr>
      <w:r>
        <w:rPr>
          <w:rFonts w:ascii="Arial" w:cs="Arial" w:eastAsia="Arial" w:hAnsi="Arial"/>
          <w:sz w:val="17"/>
          <w:szCs w:val="17"/>
          <w:color w:val="auto"/>
        </w:rPr>
        <w:t>On September 18, 2018, Holdings and its operating subsidiary, The Tile Shop, LLC, entered into the Credit Agreement with Bank of America, N.A., Fifth Third Bank and Citizens Bank.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the Company’s rent adjusted leverage ratio. The base rate is equal to the greatest of (a) the Federal funds rate plus 0.50%, (b) the Bank of America “prime rate,” and (c) the Eurodollar rate plus 1.00%, in each case plus 0.50% to 1.25% depending on the Company’s rent adjusted leverage ratio. At June 30, 2020 the base interest rate was 4.25% and the LIBOR-based interest rate was 2.16%. Borrowings outstanding consisted of $22.0 million on the revolving line of credit as of June 30, 2020. In addition, the Company has standby letters of credit outstanding related to its workers compensation and medical insurance policies. Standby letters of credit totaled $1.3 million on both June 30, 2020 and December 31, 2019. There was $76.7 million available for borrowing on the revolving line of credit as of June 30, 2020, which may be used to support the Company’s growth and for working capital purposes.</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The Credit Agreement is secured by virtually all of the assets of the Company, including but not limited to, inventory, receivables, equipment and real property. The Credit Agreement contains customary events of default, conditions to borrowings, and restrictive covenants, including restrictions on the Company’s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The Company was in compliance with the covenants as of June 30, 2020.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Leases</w:t>
      </w:r>
    </w:p>
    <w:p>
      <w:pPr>
        <w:spacing w:after="0" w:line="175"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 leases its retail stores, certain distribution space, and office space. Leases generally have a term of ten to fifteen years, and contain renewal options. Assets acquired under operating leases are included in the Company’s right of use assets in the accompanying Consolidated Balance Sheet. The Company’s lease agreements do not contain significant residual value guarantees, restrictions or covenants. The depreciable life of assets and leasehold improvements is limited by the expected lease term.</w:t>
      </w:r>
    </w:p>
    <w:p>
      <w:pPr>
        <w:spacing w:after="0" w:line="175"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 xml:space="preserve">In accordance with the FASB’s recent Staff Q&amp;A regarding rent concessions related to the effects of the COVID-19 pandemic, the Company has elected to account for the concessions verbally agreed to by landlords that do not result in a substantial increase in the rights of the lessor or the obligations of the lessee as though enforceable rights and obligations for those concessions existed in the original lease agreements and the Company has elected to not re-measure the related lease liabilities and right-of-use assets. For qualifying rent abatement concessions, the Company has recorded negative lease expense for the amount of the concession during the period of relief. During the three months ended June 30, 2020, the Company recognized less than $0.1 million of negative lease expense related to rent abatement concessions. </w:t>
      </w:r>
      <w:r>
        <w:rPr>
          <w:rFonts w:ascii="Arial" w:cs="Arial" w:eastAsia="Arial" w:hAnsi="Arial"/>
          <w:sz w:val="19"/>
          <w:szCs w:val="19"/>
          <w:color w:val="auto"/>
        </w:rPr>
        <w:t>F</w:t>
      </w:r>
      <w:r>
        <w:rPr>
          <w:rFonts w:ascii="Arial" w:cs="Arial" w:eastAsia="Arial" w:hAnsi="Arial"/>
          <w:sz w:val="16"/>
          <w:szCs w:val="16"/>
          <w:color w:val="auto"/>
        </w:rPr>
        <w:t>or qualifying deferrals of rental payments, the Company has recognized a non-interest bearing payable classified as a Current portion of lease liability in the Consolidated Balance Sheet in lieu of recognizing a decrease in cash for the lease payment that would have been made based on the original terms of the lease agreement. The deferred rent payment balance will be reduced in future periods as amounts due are repaid. Rental payments deferred during the three-month period ending June 30, 2020 totaled $4.9 million. The majority of the repayments are expected to occur between the third quarter of 2020 and the third quarter of 2021.</w:t>
      </w:r>
    </w:p>
    <w:tbl>
      <w:tblPr>
        <w:tblLayout w:type="fixed"/>
        <w:tblInd w:w="0" w:type="dxa"/>
        <w:tblCellMar>
          <w:top w:w="0" w:type="dxa"/>
          <w:left w:w="0" w:type="dxa"/>
          <w:bottom w:w="0" w:type="dxa"/>
          <w:right w:w="0" w:type="dxa"/>
        </w:tblCellMar>
      </w:tblPr>
      <w:tr>
        <w:trPr>
          <w:trHeight w:val="201"/>
        </w:trPr>
        <w:tc>
          <w:tcPr>
            <w:tcW w:w="2340" w:type="dxa"/>
            <w:vAlign w:val="bottom"/>
          </w:tcPr>
          <w:p>
            <w:pPr>
              <w:spacing w:after="0"/>
              <w:rPr>
                <w:sz w:val="17"/>
                <w:szCs w:val="17"/>
                <w:color w:val="auto"/>
              </w:rPr>
            </w:pPr>
          </w:p>
        </w:tc>
        <w:tc>
          <w:tcPr>
            <w:tcW w:w="6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right"/>
              <w:ind w:right="30"/>
              <w:spacing w:after="0" w:line="201" w:lineRule="exact"/>
              <w:rPr>
                <w:sz w:val="20"/>
                <w:szCs w:val="20"/>
                <w:color w:val="auto"/>
              </w:rPr>
            </w:pPr>
            <w:r>
              <w:rPr>
                <w:rFonts w:ascii="Arial" w:cs="Arial" w:eastAsia="Arial" w:hAnsi="Arial"/>
                <w:sz w:val="18"/>
                <w:szCs w:val="18"/>
                <w:color w:val="auto"/>
                <w:w w:val="93"/>
              </w:rPr>
              <w:t>December 31,</w:t>
            </w:r>
          </w:p>
        </w:tc>
        <w:tc>
          <w:tcPr>
            <w:tcW w:w="0" w:type="dxa"/>
            <w:vAlign w:val="bottom"/>
          </w:tcPr>
          <w:p>
            <w:pPr>
              <w:spacing w:after="0"/>
              <w:rPr>
                <w:sz w:val="1"/>
                <w:szCs w:val="1"/>
                <w:color w:val="auto"/>
              </w:rPr>
            </w:pPr>
          </w:p>
        </w:tc>
      </w:tr>
      <w:tr>
        <w:trPr>
          <w:trHeight w:val="217"/>
        </w:trPr>
        <w:tc>
          <w:tcPr>
            <w:tcW w:w="2340" w:type="dxa"/>
            <w:vAlign w:val="bottom"/>
          </w:tcPr>
          <w:p>
            <w:pPr>
              <w:spacing w:after="0"/>
              <w:rPr>
                <w:sz w:val="20"/>
                <w:szCs w:val="20"/>
                <w:color w:val="auto"/>
              </w:rPr>
            </w:pPr>
            <w:r>
              <w:rPr>
                <w:rFonts w:ascii="Arial" w:cs="Arial" w:eastAsia="Arial" w:hAnsi="Arial"/>
                <w:sz w:val="18"/>
                <w:szCs w:val="18"/>
                <w:color w:val="auto"/>
              </w:rPr>
              <w:t>Leases (in thousands)</w:t>
            </w:r>
          </w:p>
        </w:tc>
        <w:tc>
          <w:tcPr>
            <w:tcW w:w="6020" w:type="dxa"/>
            <w:vAlign w:val="bottom"/>
          </w:tcPr>
          <w:p>
            <w:pPr>
              <w:ind w:left="740"/>
              <w:spacing w:after="0"/>
              <w:rPr>
                <w:sz w:val="20"/>
                <w:szCs w:val="20"/>
                <w:color w:val="auto"/>
              </w:rPr>
            </w:pPr>
            <w:r>
              <w:rPr>
                <w:rFonts w:ascii="Arial" w:cs="Arial" w:eastAsia="Arial" w:hAnsi="Arial"/>
                <w:sz w:val="18"/>
                <w:szCs w:val="18"/>
                <w:color w:val="auto"/>
              </w:rPr>
              <w:t>Classification</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Arial" w:cs="Arial" w:eastAsia="Arial" w:hAnsi="Arial"/>
                <w:sz w:val="18"/>
                <w:szCs w:val="18"/>
                <w:color w:val="auto"/>
              </w:rPr>
              <w:t>June 30, 2020</w:t>
            </w:r>
          </w:p>
        </w:tc>
        <w:tc>
          <w:tcPr>
            <w:tcW w:w="160" w:type="dxa"/>
            <w:vAlign w:val="bottom"/>
          </w:tcPr>
          <w:p>
            <w:pPr>
              <w:spacing w:after="0"/>
              <w:rPr>
                <w:sz w:val="18"/>
                <w:szCs w:val="18"/>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0" w:type="dxa"/>
            <w:vAlign w:val="bottom"/>
          </w:tcPr>
          <w:p>
            <w:pPr>
              <w:spacing w:after="0"/>
              <w:rPr>
                <w:sz w:val="1"/>
                <w:szCs w:val="1"/>
                <w:color w:val="auto"/>
              </w:rPr>
            </w:pPr>
          </w:p>
        </w:tc>
      </w:tr>
      <w:tr>
        <w:trPr>
          <w:trHeight w:val="183"/>
        </w:trPr>
        <w:tc>
          <w:tcPr>
            <w:tcW w:w="234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60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line="189" w:lineRule="exact"/>
              <w:rPr>
                <w:sz w:val="20"/>
                <w:szCs w:val="20"/>
                <w:color w:val="auto"/>
              </w:rPr>
            </w:pPr>
            <w:r>
              <w:rPr>
                <w:rFonts w:ascii="Arial" w:cs="Arial" w:eastAsia="Arial" w:hAnsi="Arial"/>
                <w:sz w:val="18"/>
                <w:szCs w:val="18"/>
                <w:color w:val="auto"/>
              </w:rPr>
              <w:t>Operating lease assets</w:t>
            </w:r>
          </w:p>
        </w:tc>
        <w:tc>
          <w:tcPr>
            <w:tcW w:w="6020" w:type="dxa"/>
            <w:vAlign w:val="bottom"/>
          </w:tcPr>
          <w:p>
            <w:pPr>
              <w:ind w:left="740"/>
              <w:spacing w:after="0" w:line="189" w:lineRule="exact"/>
              <w:rPr>
                <w:sz w:val="20"/>
                <w:szCs w:val="20"/>
                <w:color w:val="auto"/>
              </w:rPr>
            </w:pPr>
            <w:r>
              <w:rPr>
                <w:rFonts w:ascii="Arial" w:cs="Arial" w:eastAsia="Arial" w:hAnsi="Arial"/>
                <w:sz w:val="18"/>
                <w:szCs w:val="18"/>
                <w:color w:val="auto"/>
              </w:rPr>
              <w:t>Right of use asset</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130,397</w:t>
            </w:r>
          </w:p>
        </w:tc>
        <w:tc>
          <w:tcPr>
            <w:tcW w:w="12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137,737</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Financing lease assets</w:t>
            </w:r>
          </w:p>
        </w:tc>
        <w:tc>
          <w:tcPr>
            <w:tcW w:w="6020" w:type="dxa"/>
            <w:vAlign w:val="bottom"/>
            <w:shd w:val="clear" w:color="auto" w:fill="CCEEFF"/>
          </w:tcPr>
          <w:p>
            <w:pPr>
              <w:ind w:left="740"/>
              <w:spacing w:after="0" w:line="189" w:lineRule="exact"/>
              <w:rPr>
                <w:sz w:val="20"/>
                <w:szCs w:val="20"/>
                <w:color w:val="auto"/>
              </w:rPr>
            </w:pPr>
            <w:r>
              <w:rPr>
                <w:rFonts w:ascii="Arial" w:cs="Arial" w:eastAsia="Arial" w:hAnsi="Arial"/>
                <w:sz w:val="18"/>
                <w:szCs w:val="18"/>
                <w:color w:val="auto"/>
              </w:rPr>
              <w:t>Property, plant and equipment, net of accumulated depreciation</w:t>
            </w:r>
          </w:p>
        </w:tc>
        <w:tc>
          <w:tcPr>
            <w:tcW w:w="14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89</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23"/>
        </w:trPr>
        <w:tc>
          <w:tcPr>
            <w:tcW w:w="2340" w:type="dxa"/>
            <w:vAlign w:val="bottom"/>
            <w:tcBorders>
              <w:bottom w:val="single" w:sz="8" w:color="CCEEFF"/>
            </w:tcBorders>
          </w:tcPr>
          <w:p>
            <w:pPr>
              <w:spacing w:after="0" w:line="182" w:lineRule="exact"/>
              <w:rPr>
                <w:sz w:val="20"/>
                <w:szCs w:val="20"/>
                <w:color w:val="auto"/>
              </w:rPr>
            </w:pPr>
            <w:r>
              <w:rPr>
                <w:rFonts w:ascii="Arial" w:cs="Arial" w:eastAsia="Arial" w:hAnsi="Arial"/>
                <w:sz w:val="18"/>
                <w:szCs w:val="18"/>
                <w:color w:val="auto"/>
              </w:rPr>
              <w:t>Total leased assets</w:t>
            </w:r>
          </w:p>
        </w:tc>
        <w:tc>
          <w:tcPr>
            <w:tcW w:w="60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130,486</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137,850</w:t>
            </w:r>
          </w:p>
        </w:tc>
        <w:tc>
          <w:tcPr>
            <w:tcW w:w="0" w:type="dxa"/>
            <w:vAlign w:val="bottom"/>
          </w:tcPr>
          <w:p>
            <w:pPr>
              <w:spacing w:after="0"/>
              <w:rPr>
                <w:sz w:val="1"/>
                <w:szCs w:val="1"/>
                <w:color w:val="auto"/>
              </w:rPr>
            </w:pPr>
          </w:p>
        </w:tc>
      </w:tr>
      <w:tr>
        <w:trPr>
          <w:trHeight w:val="169"/>
        </w:trPr>
        <w:tc>
          <w:tcPr>
            <w:tcW w:w="2340" w:type="dxa"/>
            <w:vAlign w:val="bottom"/>
            <w:shd w:val="clear" w:color="auto" w:fill="CCEEFF"/>
          </w:tcPr>
          <w:p>
            <w:pPr>
              <w:spacing w:after="0"/>
              <w:rPr>
                <w:sz w:val="14"/>
                <w:szCs w:val="14"/>
                <w:color w:val="auto"/>
              </w:rPr>
            </w:pPr>
          </w:p>
        </w:tc>
        <w:tc>
          <w:tcPr>
            <w:tcW w:w="60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340" w:type="dxa"/>
            <w:vAlign w:val="bottom"/>
          </w:tcPr>
          <w:p>
            <w:pPr>
              <w:spacing w:after="0" w:line="189" w:lineRule="exact"/>
              <w:rPr>
                <w:sz w:val="20"/>
                <w:szCs w:val="20"/>
                <w:color w:val="auto"/>
              </w:rPr>
            </w:pPr>
            <w:r>
              <w:rPr>
                <w:rFonts w:ascii="Arial" w:cs="Arial" w:eastAsia="Arial" w:hAnsi="Arial"/>
                <w:sz w:val="18"/>
                <w:szCs w:val="18"/>
                <w:color w:val="auto"/>
              </w:rPr>
              <w:t>Liabilities</w:t>
            </w:r>
          </w:p>
        </w:tc>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Current</w:t>
            </w:r>
          </w:p>
        </w:tc>
        <w:tc>
          <w:tcPr>
            <w:tcW w:w="6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tcPr>
          <w:p>
            <w:pPr>
              <w:ind w:left="120"/>
              <w:spacing w:after="0" w:line="189" w:lineRule="exact"/>
              <w:rPr>
                <w:sz w:val="20"/>
                <w:szCs w:val="20"/>
                <w:color w:val="auto"/>
              </w:rPr>
            </w:pPr>
            <w:r>
              <w:rPr>
                <w:rFonts w:ascii="Arial" w:cs="Arial" w:eastAsia="Arial" w:hAnsi="Arial"/>
                <w:sz w:val="18"/>
                <w:szCs w:val="18"/>
                <w:color w:val="auto"/>
              </w:rPr>
              <w:t>Operating</w:t>
            </w:r>
          </w:p>
        </w:tc>
        <w:tc>
          <w:tcPr>
            <w:tcW w:w="6020" w:type="dxa"/>
            <w:vAlign w:val="bottom"/>
          </w:tcPr>
          <w:p>
            <w:pPr>
              <w:ind w:left="740"/>
              <w:spacing w:after="0" w:line="189" w:lineRule="exact"/>
              <w:rPr>
                <w:sz w:val="20"/>
                <w:szCs w:val="20"/>
                <w:color w:val="auto"/>
              </w:rPr>
            </w:pPr>
            <w:r>
              <w:rPr>
                <w:rFonts w:ascii="Arial" w:cs="Arial" w:eastAsia="Arial" w:hAnsi="Arial"/>
                <w:sz w:val="18"/>
                <w:szCs w:val="18"/>
                <w:color w:val="auto"/>
              </w:rPr>
              <w:t>Current portion of lease liability</w:t>
            </w:r>
          </w:p>
        </w:tc>
        <w:tc>
          <w:tcPr>
            <w:tcW w:w="280" w:type="dxa"/>
            <w:vAlign w:val="bottom"/>
            <w:gridSpan w:val="2"/>
          </w:tcPr>
          <w:p>
            <w:pPr>
              <w:jc w:val="right"/>
              <w:spacing w:after="0" w:line="189" w:lineRule="exact"/>
              <w:rPr>
                <w:sz w:val="20"/>
                <w:szCs w:val="20"/>
                <w:color w:val="auto"/>
              </w:rPr>
            </w:pPr>
            <w:r>
              <w:rPr>
                <w:rFonts w:ascii="Arial" w:cs="Arial" w:eastAsia="Arial" w:hAnsi="Arial"/>
                <w:sz w:val="18"/>
                <w:szCs w:val="18"/>
                <w:color w:val="auto"/>
              </w:rPr>
              <w:t>$</w:t>
            </w:r>
          </w:p>
        </w:tc>
        <w:tc>
          <w:tcPr>
            <w:tcW w:w="1120" w:type="dxa"/>
            <w:vAlign w:val="bottom"/>
          </w:tcPr>
          <w:p>
            <w:pPr>
              <w:jc w:val="right"/>
              <w:spacing w:after="0" w:line="189" w:lineRule="exact"/>
              <w:rPr>
                <w:sz w:val="20"/>
                <w:szCs w:val="20"/>
                <w:color w:val="auto"/>
              </w:rPr>
            </w:pPr>
            <w:r>
              <w:rPr>
                <w:rFonts w:ascii="Arial" w:cs="Arial" w:eastAsia="Arial" w:hAnsi="Arial"/>
                <w:sz w:val="18"/>
                <w:szCs w:val="18"/>
                <w:color w:val="auto"/>
              </w:rPr>
              <w:t>32,270</w:t>
            </w:r>
          </w:p>
        </w:tc>
        <w:tc>
          <w:tcPr>
            <w:tcW w:w="120" w:type="dxa"/>
            <w:vAlign w:val="bottom"/>
          </w:tcPr>
          <w:p>
            <w:pPr>
              <w:spacing w:after="0"/>
              <w:rPr>
                <w:sz w:val="16"/>
                <w:szCs w:val="16"/>
                <w:color w:val="auto"/>
              </w:rPr>
            </w:pPr>
          </w:p>
        </w:tc>
        <w:tc>
          <w:tcPr>
            <w:tcW w:w="160" w:type="dxa"/>
            <w:vAlign w:val="bottom"/>
          </w:tcPr>
          <w:p>
            <w:pPr>
              <w:jc w:val="right"/>
              <w:spacing w:after="0" w:line="189" w:lineRule="exact"/>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line="189" w:lineRule="exact"/>
              <w:rPr>
                <w:sz w:val="20"/>
                <w:szCs w:val="20"/>
                <w:color w:val="auto"/>
              </w:rPr>
            </w:pPr>
            <w:r>
              <w:rPr>
                <w:rFonts w:ascii="Arial" w:cs="Arial" w:eastAsia="Arial" w:hAnsi="Arial"/>
                <w:sz w:val="18"/>
                <w:szCs w:val="18"/>
                <w:color w:val="auto"/>
              </w:rPr>
              <w:t>26,993</w:t>
            </w: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Financing</w:t>
            </w:r>
          </w:p>
        </w:tc>
        <w:tc>
          <w:tcPr>
            <w:tcW w:w="6020" w:type="dxa"/>
            <w:vAlign w:val="bottom"/>
            <w:shd w:val="clear" w:color="auto" w:fill="CCEEFF"/>
          </w:tcPr>
          <w:p>
            <w:pPr>
              <w:ind w:left="740"/>
              <w:spacing w:after="0" w:line="189" w:lineRule="exact"/>
              <w:rPr>
                <w:sz w:val="20"/>
                <w:szCs w:val="20"/>
                <w:color w:val="auto"/>
              </w:rPr>
            </w:pPr>
            <w:r>
              <w:rPr>
                <w:rFonts w:ascii="Arial" w:cs="Arial" w:eastAsia="Arial" w:hAnsi="Arial"/>
                <w:sz w:val="18"/>
                <w:szCs w:val="18"/>
                <w:color w:val="auto"/>
              </w:rPr>
              <w:t>Other accrued liabilities</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174</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189"/>
        </w:trPr>
        <w:tc>
          <w:tcPr>
            <w:tcW w:w="2340" w:type="dxa"/>
            <w:vAlign w:val="bottom"/>
          </w:tcPr>
          <w:p>
            <w:pPr>
              <w:spacing w:after="0" w:line="189" w:lineRule="exact"/>
              <w:rPr>
                <w:sz w:val="20"/>
                <w:szCs w:val="20"/>
                <w:color w:val="auto"/>
              </w:rPr>
            </w:pPr>
            <w:r>
              <w:rPr>
                <w:rFonts w:ascii="Arial" w:cs="Arial" w:eastAsia="Arial" w:hAnsi="Arial"/>
                <w:sz w:val="18"/>
                <w:szCs w:val="18"/>
                <w:color w:val="auto"/>
              </w:rPr>
              <w:t>Noncurrent</w:t>
            </w:r>
          </w:p>
        </w:tc>
        <w:tc>
          <w:tcPr>
            <w:tcW w:w="6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34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w:t>
            </w:r>
          </w:p>
        </w:tc>
        <w:tc>
          <w:tcPr>
            <w:tcW w:w="6020" w:type="dxa"/>
            <w:vAlign w:val="bottom"/>
            <w:shd w:val="clear" w:color="auto" w:fill="CCEEFF"/>
          </w:tcPr>
          <w:p>
            <w:pPr>
              <w:ind w:left="740"/>
              <w:spacing w:after="0" w:line="189" w:lineRule="exact"/>
              <w:rPr>
                <w:sz w:val="20"/>
                <w:szCs w:val="20"/>
                <w:color w:val="auto"/>
              </w:rPr>
            </w:pPr>
            <w:r>
              <w:rPr>
                <w:rFonts w:ascii="Arial" w:cs="Arial" w:eastAsia="Arial" w:hAnsi="Arial"/>
                <w:sz w:val="18"/>
                <w:szCs w:val="18"/>
                <w:color w:val="auto"/>
              </w:rPr>
              <w:t>Long-term lease liability, net</w:t>
            </w:r>
          </w:p>
        </w:tc>
        <w:tc>
          <w:tcPr>
            <w:tcW w:w="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122,682</w:t>
            </w: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131,451</w:t>
            </w:r>
          </w:p>
        </w:tc>
        <w:tc>
          <w:tcPr>
            <w:tcW w:w="0" w:type="dxa"/>
            <w:vAlign w:val="bottom"/>
          </w:tcPr>
          <w:p>
            <w:pPr>
              <w:spacing w:after="0"/>
              <w:rPr>
                <w:sz w:val="1"/>
                <w:szCs w:val="1"/>
                <w:color w:val="auto"/>
              </w:rPr>
            </w:pPr>
          </w:p>
        </w:tc>
      </w:tr>
      <w:tr>
        <w:trPr>
          <w:trHeight w:val="189"/>
        </w:trPr>
        <w:tc>
          <w:tcPr>
            <w:tcW w:w="2340" w:type="dxa"/>
            <w:vAlign w:val="bottom"/>
            <w:tcBorders>
              <w:bottom w:val="single" w:sz="8" w:color="CCEEFF"/>
            </w:tcBorders>
          </w:tcPr>
          <w:p>
            <w:pPr>
              <w:ind w:left="120"/>
              <w:spacing w:after="0" w:line="189" w:lineRule="exact"/>
              <w:rPr>
                <w:sz w:val="20"/>
                <w:szCs w:val="20"/>
                <w:color w:val="auto"/>
              </w:rPr>
            </w:pPr>
            <w:r>
              <w:rPr>
                <w:rFonts w:ascii="Arial" w:cs="Arial" w:eastAsia="Arial" w:hAnsi="Arial"/>
                <w:sz w:val="18"/>
                <w:szCs w:val="18"/>
                <w:color w:val="auto"/>
              </w:rPr>
              <w:t>Financing</w:t>
            </w:r>
          </w:p>
        </w:tc>
        <w:tc>
          <w:tcPr>
            <w:tcW w:w="6020" w:type="dxa"/>
            <w:vAlign w:val="bottom"/>
            <w:tcBorders>
              <w:bottom w:val="single" w:sz="8" w:color="CCEEFF"/>
            </w:tcBorders>
          </w:tcPr>
          <w:p>
            <w:pPr>
              <w:ind w:left="740"/>
              <w:spacing w:after="0" w:line="189" w:lineRule="exact"/>
              <w:rPr>
                <w:sz w:val="20"/>
                <w:szCs w:val="20"/>
                <w:color w:val="auto"/>
              </w:rPr>
            </w:pPr>
            <w:r>
              <w:rPr>
                <w:rFonts w:ascii="Arial" w:cs="Arial" w:eastAsia="Arial" w:hAnsi="Arial"/>
                <w:sz w:val="18"/>
                <w:szCs w:val="18"/>
                <w:color w:val="auto"/>
              </w:rPr>
              <w:t>Financing lease obligation, net</w:t>
            </w:r>
          </w:p>
        </w:tc>
        <w:tc>
          <w:tcPr>
            <w:tcW w:w="14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184</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183"/>
        </w:trPr>
        <w:tc>
          <w:tcPr>
            <w:tcW w:w="234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Total lease liabilities</w:t>
            </w:r>
          </w:p>
        </w:tc>
        <w:tc>
          <w:tcPr>
            <w:tcW w:w="60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155,310</w:t>
            </w:r>
          </w:p>
        </w:tc>
        <w:tc>
          <w:tcPr>
            <w:tcW w:w="1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158,880</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6020" w:type="dxa"/>
            <w:vAlign w:val="bottom"/>
            <w:vMerge w:val="restart"/>
          </w:tcPr>
          <w:p>
            <w:pPr>
              <w:ind w:left="3200"/>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7"/>
        </w:trPr>
        <w:tc>
          <w:tcPr>
            <w:tcW w:w="234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340" w:type="dxa"/>
            <w:vAlign w:val="bottom"/>
            <w:tcBorders>
              <w:bottom w:val="single" w:sz="8" w:color="9A9A9A"/>
            </w:tcBorders>
          </w:tcPr>
          <w:p>
            <w:pPr>
              <w:spacing w:after="0"/>
              <w:rPr>
                <w:sz w:val="24"/>
                <w:szCs w:val="24"/>
                <w:color w:val="auto"/>
              </w:rPr>
            </w:pPr>
          </w:p>
        </w:tc>
        <w:tc>
          <w:tcPr>
            <w:tcW w:w="6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3" w:name="page14"/>
    <w:bookmarkEnd w:id="1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66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700" w:type="dxa"/>
            <w:vAlign w:val="bottom"/>
            <w:gridSpan w:val="4"/>
          </w:tcPr>
          <w:p>
            <w:pPr>
              <w:jc w:val="right"/>
              <w:ind w:right="610"/>
              <w:spacing w:after="0"/>
              <w:rPr>
                <w:sz w:val="20"/>
                <w:szCs w:val="20"/>
                <w:color w:val="auto"/>
              </w:rPr>
            </w:pPr>
            <w:r>
              <w:rPr>
                <w:rFonts w:ascii="Arial" w:cs="Arial" w:eastAsia="Arial" w:hAnsi="Arial"/>
                <w:sz w:val="18"/>
                <w:szCs w:val="18"/>
                <w:color w:val="auto"/>
              </w:rPr>
              <w:t>Three Months Ended</w:t>
            </w:r>
          </w:p>
        </w:tc>
      </w:tr>
      <w:tr>
        <w:trPr>
          <w:trHeight w:val="217"/>
        </w:trPr>
        <w:tc>
          <w:tcPr>
            <w:tcW w:w="2660" w:type="dxa"/>
            <w:vAlign w:val="bottom"/>
          </w:tcPr>
          <w:p>
            <w:pPr>
              <w:spacing w:after="0"/>
              <w:rPr>
                <w:sz w:val="20"/>
                <w:szCs w:val="20"/>
                <w:color w:val="auto"/>
              </w:rPr>
            </w:pPr>
            <w:r>
              <w:rPr>
                <w:rFonts w:ascii="Arial" w:cs="Arial" w:eastAsia="Arial" w:hAnsi="Arial"/>
                <w:sz w:val="18"/>
                <w:szCs w:val="18"/>
                <w:color w:val="auto"/>
              </w:rPr>
              <w:t>Lease cost (in thousands)</w:t>
            </w:r>
          </w:p>
        </w:tc>
        <w:tc>
          <w:tcPr>
            <w:tcW w:w="5500" w:type="dxa"/>
            <w:vAlign w:val="bottom"/>
          </w:tcPr>
          <w:p>
            <w:pPr>
              <w:ind w:left="420"/>
              <w:spacing w:after="0"/>
              <w:rPr>
                <w:sz w:val="20"/>
                <w:szCs w:val="20"/>
                <w:color w:val="auto"/>
              </w:rPr>
            </w:pPr>
            <w:r>
              <w:rPr>
                <w:rFonts w:ascii="Arial" w:cs="Arial" w:eastAsia="Arial" w:hAnsi="Arial"/>
                <w:sz w:val="18"/>
                <w:szCs w:val="18"/>
                <w:color w:val="auto"/>
              </w:rPr>
              <w:t>Classification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92"/>
              </w:rPr>
              <w:t>June 30, 2019</w:t>
            </w:r>
          </w:p>
        </w:tc>
      </w:tr>
      <w:tr>
        <w:trPr>
          <w:trHeight w:val="183"/>
        </w:trPr>
        <w:tc>
          <w:tcPr>
            <w:tcW w:w="26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5500" w:type="dxa"/>
            <w:vAlign w:val="bottom"/>
            <w:tcBorders>
              <w:top w:val="single" w:sz="8" w:color="auto"/>
            </w:tcBorders>
            <w:shd w:val="clear" w:color="auto" w:fill="CCEEFF"/>
          </w:tcPr>
          <w:p>
            <w:pPr>
              <w:ind w:left="420"/>
              <w:spacing w:after="0" w:line="182" w:lineRule="exact"/>
              <w:rPr>
                <w:sz w:val="20"/>
                <w:szCs w:val="20"/>
                <w:color w:val="auto"/>
              </w:rPr>
            </w:pPr>
            <w:r>
              <w:rPr>
                <w:rFonts w:ascii="Arial" w:cs="Arial" w:eastAsia="Arial" w:hAnsi="Arial"/>
                <w:sz w:val="18"/>
                <w:szCs w:val="18"/>
                <w:color w:val="auto"/>
              </w:rPr>
              <w:t>SG&amp;A expenses</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8,236</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7,998</w:t>
            </w:r>
          </w:p>
        </w:tc>
      </w:tr>
      <w:tr>
        <w:trPr>
          <w:trHeight w:val="189"/>
        </w:trPr>
        <w:tc>
          <w:tcPr>
            <w:tcW w:w="266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26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550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12</w:t>
            </w:r>
          </w:p>
        </w:tc>
      </w:tr>
      <w:tr>
        <w:trPr>
          <w:trHeight w:val="189"/>
        </w:trPr>
        <w:tc>
          <w:tcPr>
            <w:tcW w:w="266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5500" w:type="dxa"/>
            <w:vAlign w:val="bottom"/>
          </w:tcPr>
          <w:p>
            <w:pPr>
              <w:ind w:left="420"/>
              <w:spacing w:after="0" w:line="189"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14</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19</w:t>
            </w:r>
          </w:p>
        </w:tc>
      </w:tr>
      <w:tr>
        <w:trPr>
          <w:trHeight w:val="256"/>
        </w:trPr>
        <w:tc>
          <w:tcPr>
            <w:tcW w:w="2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expenses</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189"/>
        </w:trPr>
        <w:tc>
          <w:tcPr>
            <w:tcW w:w="26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5500" w:type="dxa"/>
            <w:vAlign w:val="bottom"/>
            <w:tcBorders>
              <w:bottom w:val="single" w:sz="8" w:color="CCEEFF"/>
            </w:tcBorders>
          </w:tcPr>
          <w:p>
            <w:pPr>
              <w:ind w:left="420"/>
              <w:spacing w:after="0" w:line="189" w:lineRule="exact"/>
              <w:rPr>
                <w:sz w:val="20"/>
                <w:szCs w:val="20"/>
                <w:color w:val="auto"/>
              </w:rPr>
            </w:pPr>
            <w:r>
              <w:rPr>
                <w:rFonts w:ascii="Arial" w:cs="Arial" w:eastAsia="Arial" w:hAnsi="Arial"/>
                <w:sz w:val="18"/>
                <w:szCs w:val="18"/>
                <w:color w:val="auto"/>
              </w:rPr>
              <w:t>SG&amp;A expenses</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153</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218</w:t>
            </w:r>
          </w:p>
        </w:tc>
      </w:tr>
      <w:tr>
        <w:trPr>
          <w:trHeight w:val="183"/>
        </w:trPr>
        <w:tc>
          <w:tcPr>
            <w:tcW w:w="26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5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11,922</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11,580</w:t>
            </w:r>
          </w:p>
        </w:tc>
      </w:tr>
      <w:tr>
        <w:trPr>
          <w:trHeight w:val="20"/>
        </w:trPr>
        <w:tc>
          <w:tcPr>
            <w:tcW w:w="26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r>
      <w:tr>
        <w:trPr>
          <w:trHeight w:val="358"/>
        </w:trPr>
        <w:tc>
          <w:tcPr>
            <w:tcW w:w="266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700" w:type="dxa"/>
            <w:vAlign w:val="bottom"/>
            <w:gridSpan w:val="4"/>
          </w:tcPr>
          <w:p>
            <w:pPr>
              <w:jc w:val="right"/>
              <w:ind w:right="710"/>
              <w:spacing w:after="0"/>
              <w:rPr>
                <w:sz w:val="20"/>
                <w:szCs w:val="20"/>
                <w:color w:val="auto"/>
              </w:rPr>
            </w:pPr>
            <w:r>
              <w:rPr>
                <w:rFonts w:ascii="Arial" w:cs="Arial" w:eastAsia="Arial" w:hAnsi="Arial"/>
                <w:sz w:val="18"/>
                <w:szCs w:val="18"/>
                <w:color w:val="auto"/>
              </w:rPr>
              <w:t>Six Months Ended</w:t>
            </w:r>
          </w:p>
        </w:tc>
      </w:tr>
      <w:tr>
        <w:trPr>
          <w:trHeight w:val="217"/>
        </w:trPr>
        <w:tc>
          <w:tcPr>
            <w:tcW w:w="2660" w:type="dxa"/>
            <w:vAlign w:val="bottom"/>
          </w:tcPr>
          <w:p>
            <w:pPr>
              <w:spacing w:after="0"/>
              <w:rPr>
                <w:sz w:val="20"/>
                <w:szCs w:val="20"/>
                <w:color w:val="auto"/>
              </w:rPr>
            </w:pPr>
            <w:r>
              <w:rPr>
                <w:rFonts w:ascii="Arial" w:cs="Arial" w:eastAsia="Arial" w:hAnsi="Arial"/>
                <w:sz w:val="18"/>
                <w:szCs w:val="18"/>
                <w:color w:val="auto"/>
              </w:rPr>
              <w:t>Lease cost (in thousands)</w:t>
            </w:r>
          </w:p>
        </w:tc>
        <w:tc>
          <w:tcPr>
            <w:tcW w:w="5500" w:type="dxa"/>
            <w:vAlign w:val="bottom"/>
          </w:tcPr>
          <w:p>
            <w:pPr>
              <w:ind w:left="420"/>
              <w:spacing w:after="0"/>
              <w:rPr>
                <w:sz w:val="20"/>
                <w:szCs w:val="20"/>
                <w:color w:val="auto"/>
              </w:rPr>
            </w:pPr>
            <w:r>
              <w:rPr>
                <w:rFonts w:ascii="Arial" w:cs="Arial" w:eastAsia="Arial" w:hAnsi="Arial"/>
                <w:sz w:val="18"/>
                <w:szCs w:val="18"/>
                <w:color w:val="auto"/>
              </w:rPr>
              <w:t>Classification</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gridSpan w:val="2"/>
          </w:tcPr>
          <w:p>
            <w:pPr>
              <w:ind w:left="100"/>
              <w:spacing w:after="0"/>
              <w:rPr>
                <w:sz w:val="20"/>
                <w:szCs w:val="20"/>
                <w:color w:val="auto"/>
              </w:rPr>
            </w:pPr>
            <w:r>
              <w:rPr>
                <w:rFonts w:ascii="Arial" w:cs="Arial" w:eastAsia="Arial" w:hAnsi="Arial"/>
                <w:sz w:val="18"/>
                <w:szCs w:val="18"/>
                <w:color w:val="auto"/>
              </w:rPr>
              <w:t>June 30, 2020</w:t>
            </w:r>
          </w:p>
        </w:tc>
        <w:tc>
          <w:tcPr>
            <w:tcW w:w="180" w:type="dxa"/>
            <w:vAlign w:val="bottom"/>
          </w:tcPr>
          <w:p>
            <w:pPr>
              <w:spacing w:after="0"/>
              <w:rPr>
                <w:sz w:val="18"/>
                <w:szCs w:val="18"/>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w w:val="92"/>
              </w:rPr>
              <w:t>June 30, 2019</w:t>
            </w:r>
          </w:p>
        </w:tc>
      </w:tr>
      <w:tr>
        <w:trPr>
          <w:trHeight w:val="183"/>
        </w:trPr>
        <w:tc>
          <w:tcPr>
            <w:tcW w:w="266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Operating lease cost</w:t>
            </w:r>
          </w:p>
        </w:tc>
        <w:tc>
          <w:tcPr>
            <w:tcW w:w="5500" w:type="dxa"/>
            <w:vAlign w:val="bottom"/>
            <w:tcBorders>
              <w:top w:val="single" w:sz="8" w:color="auto"/>
            </w:tcBorders>
            <w:shd w:val="clear" w:color="auto" w:fill="CCEEFF"/>
          </w:tcPr>
          <w:p>
            <w:pPr>
              <w:ind w:left="420"/>
              <w:spacing w:after="0" w:line="182" w:lineRule="exact"/>
              <w:rPr>
                <w:sz w:val="20"/>
                <w:szCs w:val="20"/>
                <w:color w:val="auto"/>
              </w:rPr>
            </w:pPr>
            <w:r>
              <w:rPr>
                <w:rFonts w:ascii="Arial" w:cs="Arial" w:eastAsia="Arial" w:hAnsi="Arial"/>
                <w:sz w:val="18"/>
                <w:szCs w:val="18"/>
                <w:color w:val="auto"/>
              </w:rPr>
              <w:t>SG&amp;A expenses</w:t>
            </w:r>
          </w:p>
        </w:tc>
        <w:tc>
          <w:tcPr>
            <w:tcW w:w="2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16,457</w:t>
            </w:r>
          </w:p>
        </w:tc>
        <w:tc>
          <w:tcPr>
            <w:tcW w:w="1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16,010</w:t>
            </w:r>
          </w:p>
        </w:tc>
      </w:tr>
      <w:tr>
        <w:trPr>
          <w:trHeight w:val="189"/>
        </w:trPr>
        <w:tc>
          <w:tcPr>
            <w:tcW w:w="2660" w:type="dxa"/>
            <w:vAlign w:val="bottom"/>
          </w:tcPr>
          <w:p>
            <w:pPr>
              <w:spacing w:after="0" w:line="189" w:lineRule="exact"/>
              <w:rPr>
                <w:sz w:val="20"/>
                <w:szCs w:val="20"/>
                <w:color w:val="auto"/>
              </w:rPr>
            </w:pPr>
            <w:r>
              <w:rPr>
                <w:rFonts w:ascii="Arial" w:cs="Arial" w:eastAsia="Arial" w:hAnsi="Arial"/>
                <w:sz w:val="18"/>
                <w:szCs w:val="18"/>
                <w:color w:val="auto"/>
              </w:rPr>
              <w:t>Financing lease cost</w:t>
            </w:r>
          </w:p>
        </w:tc>
        <w:tc>
          <w:tcPr>
            <w:tcW w:w="5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189"/>
        </w:trPr>
        <w:tc>
          <w:tcPr>
            <w:tcW w:w="26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Amortization of leased assets</w:t>
            </w:r>
          </w:p>
        </w:tc>
        <w:tc>
          <w:tcPr>
            <w:tcW w:w="5500" w:type="dxa"/>
            <w:vAlign w:val="bottom"/>
            <w:shd w:val="clear" w:color="auto" w:fill="CCEEFF"/>
          </w:tcPr>
          <w:p>
            <w:pPr>
              <w:ind w:left="420"/>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w:t>
            </w:r>
          </w:p>
        </w:tc>
      </w:tr>
      <w:tr>
        <w:trPr>
          <w:trHeight w:val="189"/>
        </w:trPr>
        <w:tc>
          <w:tcPr>
            <w:tcW w:w="2660" w:type="dxa"/>
            <w:vAlign w:val="bottom"/>
          </w:tcPr>
          <w:p>
            <w:pPr>
              <w:ind w:left="120"/>
              <w:spacing w:after="0" w:line="189" w:lineRule="exact"/>
              <w:rPr>
                <w:sz w:val="20"/>
                <w:szCs w:val="20"/>
                <w:color w:val="auto"/>
              </w:rPr>
            </w:pPr>
            <w:r>
              <w:rPr>
                <w:rFonts w:ascii="Arial" w:cs="Arial" w:eastAsia="Arial" w:hAnsi="Arial"/>
                <w:sz w:val="18"/>
                <w:szCs w:val="18"/>
                <w:color w:val="auto"/>
              </w:rPr>
              <w:t>Interest on lease liabilities</w:t>
            </w:r>
          </w:p>
        </w:tc>
        <w:tc>
          <w:tcPr>
            <w:tcW w:w="5500" w:type="dxa"/>
            <w:vAlign w:val="bottom"/>
          </w:tcPr>
          <w:p>
            <w:pPr>
              <w:ind w:left="420"/>
              <w:spacing w:after="0" w:line="189"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Arial" w:cs="Arial" w:eastAsia="Arial" w:hAnsi="Arial"/>
                <w:sz w:val="18"/>
                <w:szCs w:val="18"/>
                <w:color w:val="auto"/>
              </w:rPr>
              <w:t>30</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Arial" w:cs="Arial" w:eastAsia="Arial" w:hAnsi="Arial"/>
                <w:sz w:val="18"/>
                <w:szCs w:val="18"/>
                <w:color w:val="auto"/>
              </w:rPr>
              <w:t>40</w:t>
            </w:r>
          </w:p>
        </w:tc>
      </w:tr>
      <w:tr>
        <w:trPr>
          <w:trHeight w:val="257"/>
        </w:trPr>
        <w:tc>
          <w:tcPr>
            <w:tcW w:w="266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Variable lease cost</w:t>
            </w:r>
            <w:r>
              <w:rPr>
                <w:rFonts w:ascii="Arial" w:cs="Arial" w:eastAsia="Arial" w:hAnsi="Arial"/>
                <w:sz w:val="29"/>
                <w:szCs w:val="29"/>
                <w:color w:val="auto"/>
                <w:vertAlign w:val="superscript"/>
              </w:rPr>
              <w:t>(1)</w:t>
            </w:r>
          </w:p>
        </w:tc>
        <w:tc>
          <w:tcPr>
            <w:tcW w:w="55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SG&amp;A expenses</w:t>
            </w:r>
          </w:p>
        </w:tc>
        <w:tc>
          <w:tcPr>
            <w:tcW w:w="2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6,905</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w:t>
            </w:r>
          </w:p>
        </w:tc>
      </w:tr>
      <w:tr>
        <w:trPr>
          <w:trHeight w:val="189"/>
        </w:trPr>
        <w:tc>
          <w:tcPr>
            <w:tcW w:w="2660" w:type="dxa"/>
            <w:vAlign w:val="bottom"/>
            <w:tcBorders>
              <w:bottom w:val="single" w:sz="8" w:color="CCEEFF"/>
            </w:tcBorders>
          </w:tcPr>
          <w:p>
            <w:pPr>
              <w:spacing w:after="0" w:line="189" w:lineRule="exact"/>
              <w:rPr>
                <w:sz w:val="20"/>
                <w:szCs w:val="20"/>
                <w:color w:val="auto"/>
              </w:rPr>
            </w:pPr>
            <w:r>
              <w:rPr>
                <w:rFonts w:ascii="Arial" w:cs="Arial" w:eastAsia="Arial" w:hAnsi="Arial"/>
                <w:sz w:val="18"/>
                <w:szCs w:val="18"/>
                <w:color w:val="auto"/>
              </w:rPr>
              <w:t>Short term lease cost</w:t>
            </w:r>
          </w:p>
        </w:tc>
        <w:tc>
          <w:tcPr>
            <w:tcW w:w="5500" w:type="dxa"/>
            <w:vAlign w:val="bottom"/>
            <w:tcBorders>
              <w:bottom w:val="single" w:sz="8" w:color="CCEEFF"/>
            </w:tcBorders>
          </w:tcPr>
          <w:p>
            <w:pPr>
              <w:ind w:left="420"/>
              <w:spacing w:after="0" w:line="189" w:lineRule="exact"/>
              <w:rPr>
                <w:sz w:val="20"/>
                <w:szCs w:val="20"/>
                <w:color w:val="auto"/>
              </w:rPr>
            </w:pPr>
            <w:r>
              <w:rPr>
                <w:rFonts w:ascii="Arial" w:cs="Arial" w:eastAsia="Arial" w:hAnsi="Arial"/>
                <w:sz w:val="18"/>
                <w:szCs w:val="18"/>
                <w:color w:val="auto"/>
              </w:rPr>
              <w:t>SG&amp;A expenses</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482</w:t>
            </w:r>
          </w:p>
        </w:tc>
      </w:tr>
      <w:tr>
        <w:trPr>
          <w:trHeight w:val="183"/>
        </w:trPr>
        <w:tc>
          <w:tcPr>
            <w:tcW w:w="2660" w:type="dxa"/>
            <w:vAlign w:val="bottom"/>
            <w:tcBorders>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lease cost</w:t>
            </w:r>
          </w:p>
        </w:tc>
        <w:tc>
          <w:tcPr>
            <w:tcW w:w="55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23,817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23,114</w:t>
            </w:r>
          </w:p>
        </w:tc>
      </w:tr>
      <w:tr>
        <w:trPr>
          <w:trHeight w:val="20"/>
        </w:trPr>
        <w:tc>
          <w:tcPr>
            <w:tcW w:w="266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left="40"/>
        <w:spacing w:after="0"/>
        <w:rPr>
          <w:sz w:val="20"/>
          <w:szCs w:val="20"/>
          <w:color w:val="auto"/>
        </w:rPr>
      </w:pPr>
      <w:r>
        <w:rPr>
          <w:rFonts w:ascii="Arial" w:cs="Arial" w:eastAsia="Arial" w:hAnsi="Arial"/>
          <w:sz w:val="17"/>
          <w:szCs w:val="17"/>
          <w:color w:val="auto"/>
        </w:rPr>
        <w:t>(1)  Variable lease costs consist primarily of taxes, insurance, and common area or other maintenance costs for the Company’s leased facilities.</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3740" w:type="dxa"/>
            <w:vAlign w:val="bottom"/>
            <w:gridSpan w:val="4"/>
          </w:tcPr>
          <w:p>
            <w:pPr>
              <w:jc w:val="right"/>
              <w:ind w:right="1290"/>
              <w:spacing w:after="0"/>
              <w:rPr>
                <w:sz w:val="20"/>
                <w:szCs w:val="20"/>
                <w:color w:val="auto"/>
              </w:rPr>
            </w:pPr>
            <w:r>
              <w:rPr>
                <w:rFonts w:ascii="Arial" w:cs="Arial" w:eastAsia="Arial" w:hAnsi="Arial"/>
                <w:sz w:val="18"/>
                <w:szCs w:val="18"/>
                <w:color w:val="auto"/>
              </w:rPr>
              <w:t>Six Months Ended</w:t>
            </w:r>
          </w:p>
        </w:tc>
      </w:tr>
      <w:tr>
        <w:trPr>
          <w:trHeight w:val="217"/>
        </w:trPr>
        <w:tc>
          <w:tcPr>
            <w:tcW w:w="6120" w:type="dxa"/>
            <w:vAlign w:val="bottom"/>
          </w:tcPr>
          <w:p>
            <w:pPr>
              <w:spacing w:after="0"/>
              <w:rPr>
                <w:sz w:val="20"/>
                <w:szCs w:val="20"/>
                <w:color w:val="auto"/>
              </w:rPr>
            </w:pPr>
            <w:r>
              <w:rPr>
                <w:rFonts w:ascii="Arial" w:cs="Arial" w:eastAsia="Arial" w:hAnsi="Arial"/>
                <w:sz w:val="18"/>
                <w:szCs w:val="18"/>
                <w:color w:val="auto"/>
              </w:rPr>
              <w:t>Other Information (in thousands)</w:t>
            </w:r>
          </w:p>
        </w:tc>
        <w:tc>
          <w:tcPr>
            <w:tcW w:w="1380" w:type="dxa"/>
            <w:vAlign w:val="bottom"/>
          </w:tcPr>
          <w:p>
            <w:pPr>
              <w:spacing w:after="0"/>
              <w:rPr>
                <w:sz w:val="18"/>
                <w:szCs w:val="18"/>
                <w:color w:val="auto"/>
              </w:rPr>
            </w:pPr>
          </w:p>
        </w:tc>
        <w:tc>
          <w:tcPr>
            <w:tcW w:w="1740" w:type="dxa"/>
            <w:vAlign w:val="bottom"/>
            <w:gridSpan w:val="2"/>
          </w:tcPr>
          <w:p>
            <w:pPr>
              <w:ind w:left="220"/>
              <w:spacing w:after="0"/>
              <w:rPr>
                <w:sz w:val="20"/>
                <w:szCs w:val="20"/>
                <w:color w:val="auto"/>
              </w:rPr>
            </w:pPr>
            <w:r>
              <w:rPr>
                <w:rFonts w:ascii="Arial" w:cs="Arial" w:eastAsia="Arial" w:hAnsi="Arial"/>
                <w:sz w:val="18"/>
                <w:szCs w:val="18"/>
                <w:color w:val="auto"/>
              </w:rPr>
              <w:t>June 30, 2020</w:t>
            </w:r>
          </w:p>
        </w:tc>
        <w:tc>
          <w:tcPr>
            <w:tcW w:w="340" w:type="dxa"/>
            <w:vAlign w:val="bottom"/>
          </w:tcPr>
          <w:p>
            <w:pPr>
              <w:spacing w:after="0"/>
              <w:rPr>
                <w:sz w:val="18"/>
                <w:szCs w:val="18"/>
                <w:color w:val="auto"/>
              </w:rPr>
            </w:pPr>
          </w:p>
        </w:tc>
        <w:tc>
          <w:tcPr>
            <w:tcW w:w="1660" w:type="dxa"/>
            <w:vAlign w:val="bottom"/>
          </w:tcPr>
          <w:p>
            <w:pPr>
              <w:jc w:val="right"/>
              <w:ind w:right="310"/>
              <w:spacing w:after="0"/>
              <w:rPr>
                <w:sz w:val="20"/>
                <w:szCs w:val="20"/>
                <w:color w:val="auto"/>
              </w:rPr>
            </w:pPr>
            <w:r>
              <w:rPr>
                <w:rFonts w:ascii="Arial" w:cs="Arial" w:eastAsia="Arial" w:hAnsi="Arial"/>
                <w:sz w:val="18"/>
                <w:szCs w:val="18"/>
                <w:color w:val="auto"/>
              </w:rPr>
              <w:t>June 30, 2019</w:t>
            </w:r>
          </w:p>
        </w:tc>
      </w:tr>
      <w:tr>
        <w:trPr>
          <w:trHeight w:val="183"/>
        </w:trPr>
        <w:tc>
          <w:tcPr>
            <w:tcW w:w="612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rPr>
              <w:t>Cash paid for amounts included in the measurement of lease liabilities</w:t>
            </w:r>
          </w:p>
        </w:tc>
        <w:tc>
          <w:tcPr>
            <w:tcW w:w="1380" w:type="dxa"/>
            <w:vAlign w:val="bottom"/>
            <w:tcBorders>
              <w:top w:val="single" w:sz="8" w:color="auto"/>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60" w:type="dxa"/>
            <w:vAlign w:val="bottom"/>
            <w:tcBorders>
              <w:top w:val="single" w:sz="8" w:color="auto"/>
            </w:tcBorders>
            <w:shd w:val="clear" w:color="auto" w:fill="CCEEFF"/>
          </w:tcPr>
          <w:p>
            <w:pPr>
              <w:spacing w:after="0"/>
              <w:rPr>
                <w:sz w:val="15"/>
                <w:szCs w:val="15"/>
                <w:color w:val="auto"/>
              </w:rPr>
            </w:pPr>
          </w:p>
        </w:tc>
      </w:tr>
      <w:tr>
        <w:trPr>
          <w:trHeight w:val="189"/>
        </w:trPr>
        <w:tc>
          <w:tcPr>
            <w:tcW w:w="6120" w:type="dxa"/>
            <w:vAlign w:val="bottom"/>
          </w:tcPr>
          <w:p>
            <w:pPr>
              <w:ind w:left="120"/>
              <w:spacing w:after="0" w:line="189" w:lineRule="exact"/>
              <w:rPr>
                <w:sz w:val="20"/>
                <w:szCs w:val="20"/>
                <w:color w:val="auto"/>
              </w:rPr>
            </w:pPr>
            <w:r>
              <w:rPr>
                <w:rFonts w:ascii="Arial" w:cs="Arial" w:eastAsia="Arial" w:hAnsi="Arial"/>
                <w:sz w:val="18"/>
                <w:szCs w:val="18"/>
                <w:color w:val="auto"/>
              </w:rPr>
              <w:t>Operating cash flows from operating leases</w:t>
            </w:r>
          </w:p>
        </w:tc>
        <w:tc>
          <w:tcPr>
            <w:tcW w:w="1380" w:type="dxa"/>
            <w:vAlign w:val="bottom"/>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560" w:type="dxa"/>
            <w:vAlign w:val="bottom"/>
          </w:tcPr>
          <w:p>
            <w:pPr>
              <w:jc w:val="right"/>
              <w:spacing w:after="0" w:line="189" w:lineRule="exact"/>
              <w:rPr>
                <w:sz w:val="20"/>
                <w:szCs w:val="20"/>
                <w:color w:val="auto"/>
              </w:rPr>
            </w:pPr>
            <w:r>
              <w:rPr>
                <w:rFonts w:ascii="Arial" w:cs="Arial" w:eastAsia="Arial" w:hAnsi="Arial"/>
                <w:sz w:val="18"/>
                <w:szCs w:val="18"/>
                <w:color w:val="auto"/>
              </w:rPr>
              <w:t>13,205</w:t>
            </w:r>
          </w:p>
        </w:tc>
        <w:tc>
          <w:tcPr>
            <w:tcW w:w="180" w:type="dxa"/>
            <w:vAlign w:val="bottom"/>
          </w:tcPr>
          <w:p>
            <w:pPr>
              <w:spacing w:after="0"/>
              <w:rPr>
                <w:sz w:val="16"/>
                <w:szCs w:val="16"/>
                <w:color w:val="auto"/>
              </w:rPr>
            </w:pPr>
          </w:p>
        </w:tc>
        <w:tc>
          <w:tcPr>
            <w:tcW w:w="340" w:type="dxa"/>
            <w:vAlign w:val="bottom"/>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line="189" w:lineRule="exact"/>
              <w:rPr>
                <w:sz w:val="20"/>
                <w:szCs w:val="20"/>
                <w:color w:val="auto"/>
              </w:rPr>
            </w:pPr>
            <w:r>
              <w:rPr>
                <w:rFonts w:ascii="Arial" w:cs="Arial" w:eastAsia="Arial" w:hAnsi="Arial"/>
                <w:sz w:val="18"/>
                <w:szCs w:val="18"/>
                <w:color w:val="auto"/>
              </w:rPr>
              <w:t>17,311</w:t>
            </w:r>
          </w:p>
        </w:tc>
      </w:tr>
      <w:tr>
        <w:trPr>
          <w:trHeight w:val="189"/>
        </w:trPr>
        <w:tc>
          <w:tcPr>
            <w:tcW w:w="612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Operating cash flows from financing leases</w:t>
            </w:r>
          </w:p>
        </w:tc>
        <w:tc>
          <w:tcPr>
            <w:tcW w:w="1380" w:type="dxa"/>
            <w:vAlign w:val="bottom"/>
            <w:shd w:val="clear" w:color="auto" w:fill="CCEEFF"/>
          </w:tcPr>
          <w:p>
            <w:pPr>
              <w:jc w:val="right"/>
              <w:ind w:right="130"/>
              <w:spacing w:after="0" w:line="189" w:lineRule="exact"/>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44</w:t>
            </w:r>
          </w:p>
        </w:tc>
        <w:tc>
          <w:tcPr>
            <w:tcW w:w="18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0"/>
              <w:spacing w:after="0" w:line="189" w:lineRule="exact"/>
              <w:rPr>
                <w:sz w:val="20"/>
                <w:szCs w:val="20"/>
                <w:color w:val="auto"/>
              </w:rPr>
            </w:pPr>
            <w:r>
              <w:rPr>
                <w:rFonts w:ascii="Arial" w:cs="Arial" w:eastAsia="Arial" w:hAnsi="Arial"/>
                <w:sz w:val="18"/>
                <w:szCs w:val="18"/>
                <w:color w:val="auto"/>
                <w:w w:val="79"/>
              </w:rPr>
              <w:t>$</w:t>
            </w:r>
          </w:p>
        </w:tc>
        <w:tc>
          <w:tcPr>
            <w:tcW w:w="16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35</w:t>
            </w:r>
          </w:p>
        </w:tc>
      </w:tr>
      <w:tr>
        <w:trPr>
          <w:trHeight w:val="230"/>
        </w:trPr>
        <w:tc>
          <w:tcPr>
            <w:tcW w:w="6120" w:type="dxa"/>
            <w:vAlign w:val="bottom"/>
          </w:tcPr>
          <w:p>
            <w:pPr>
              <w:ind w:left="120"/>
              <w:spacing w:after="0"/>
              <w:rPr>
                <w:sz w:val="20"/>
                <w:szCs w:val="20"/>
                <w:color w:val="auto"/>
              </w:rPr>
            </w:pPr>
            <w:r>
              <w:rPr>
                <w:rFonts w:ascii="Arial" w:cs="Arial" w:eastAsia="Arial" w:hAnsi="Arial"/>
                <w:sz w:val="18"/>
                <w:szCs w:val="18"/>
                <w:color w:val="auto"/>
              </w:rPr>
              <w:t>Financing cash flows from financing leases</w:t>
            </w:r>
          </w:p>
        </w:tc>
        <w:tc>
          <w:tcPr>
            <w:tcW w:w="1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122</w:t>
            </w:r>
          </w:p>
        </w:tc>
        <w:tc>
          <w:tcPr>
            <w:tcW w:w="18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(102)</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Commitments and Contingencies</w:t>
      </w:r>
    </w:p>
    <w:p>
      <w:pPr>
        <w:spacing w:after="0" w:line="175"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Company is, from time to time, party to lawsuits, threatened lawsuits, disputes and other claims arising in the normal course of business. The Company assesses its liabilities and contingencies in connection with outstanding legal proceedings utilizing the latest information available. Where it is probable that the Company will incur a loss and the amount of the loss can be reasonably estimated, the Company records a liability in its consolidated financial statements. These legal accruals may be increased or decreased to reflect any relevant developments on a quarterly basis. Where a loss is not probable or the amount of the loss is not estimable, the Company does not record an accrual, consistent with applicable accounting guidance. Based on information currently available to the Company, advice of counsel, and available insurance coverage, the Company believes that its established accruals are adequate and the liabilities arising from the legal proceedings will not have a material adverse effect on its consolidated financial condition. However, in light of the inherent uncertainty in legal proceedings, there can be no assurance that the ultimate resolution of a matter will not exceed established accruals. As a result, the outcome of a particular matter or a combination of matters may be material to the Company’s results of operations for a particular period, depending upon the size of the loss or the Company’s income for that particular period.</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6"/>
          <w:szCs w:val="16"/>
          <w:color w:val="auto"/>
        </w:rPr>
        <w:t>As previously disclosed, the Company is a nominal defendant and certain current and former directors are individual defendants in litigation brought by K-Bar Holdings LLC and Wynnefield Capital, Inc. (“Plaintiffs”), in the Delaware Court of Chancery (the “Action”), in November 2019. Plaintiffs pleaded the Action as a derivative claim on behalf of the Company and also on behalf of a putative class of certain holders of the Company’s common stock as of October 18, 2019 (the “Putative Class”). Plaintiffs alleged breaches of fiduciary duty in connection with, among other things, the Company’s decision to delist from Nasdaq and deregister its common stock under the Securities Exchange Act of 1934, as amended. As previously disclosed, on June 30, 2020, the Company, the individual defendants, and Plaintiffs reached an agreement to settle all claims in the Action (the “Settlement Agreement”), which will be documented in a Stipulation of Settlement. Among other terms, the Settlement Agreement provides for a settlement fund of $12.0 million, which will be funded by the Company’s insurers, and which will be distributed to members of the Putative Class pursuant to an allocation and claims distribution process to be proposed by the Plaintiffs and approved by the Court. The Company also expects the Plaintiffs’ counsel to apply to the Court for a $2.5 million to $3.0 million award of attorney’s fees in connection with the settlement of the derivative claims. The Company’s insurers have agreed to cover this anticipated fee award to the Plaintiffs’ attorneys. The Company recorded a $14.5 million other current liability and a $14.5 million other current asset in the Consolidated Balance Sheet as of June 30, 2020 to reflect the Company’s obligation to the Putative Class, the low end of the potential range of the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4" w:name="page15"/>
    <w:bookmarkEnd w:id="14"/>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spacing w:after="0" w:line="253" w:lineRule="auto"/>
        <w:rPr>
          <w:sz w:val="20"/>
          <w:szCs w:val="20"/>
          <w:color w:val="auto"/>
        </w:rPr>
      </w:pPr>
      <w:r>
        <w:rPr>
          <w:rFonts w:ascii="Arial" w:cs="Arial" w:eastAsia="Arial" w:hAnsi="Arial"/>
          <w:sz w:val="17"/>
          <w:szCs w:val="17"/>
          <w:color w:val="auto"/>
        </w:rPr>
        <w:t>attorney fee award and the corresponding receivable from the insurance companies. The Settlement Agreement is subject to both preliminary and final approval by the Court. If approved, the Settlement Agreement will resolve the Action. Additional information regarding the Settlement Agreement also will be disclosed in upcoming public filings in the Court of Chancery, including a disclosure statement approved by the Court.</w:t>
      </w:r>
    </w:p>
    <w:p>
      <w:pPr>
        <w:spacing w:after="0" w:line="138"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is also, from time to time, subject to claims and disputes arising in the normal course of business. In the opinion of management, while the outcome of such claims and disputes cannot be predicted with certainty, the Company’s ultimate liability in connection with these matters is not expected to have a material adverse effect on the results of operations, financial position, or 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Fair Value of Financial Instruments</w:t>
      </w:r>
    </w:p>
    <w:p>
      <w:pPr>
        <w:spacing w:after="0" w:line="175" w:lineRule="exact"/>
        <w:rPr>
          <w:sz w:val="20"/>
          <w:szCs w:val="20"/>
          <w:color w:val="auto"/>
        </w:rPr>
      </w:pPr>
    </w:p>
    <w:p>
      <w:pPr>
        <w:jc w:val="both"/>
        <w:ind w:right="220"/>
        <w:spacing w:after="0" w:line="235"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To measure fair value, the Company uses a three-tier valuation hierarchy based upon observable and non-observable inputs:</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that are available in active markets for the identical assets or liabilities at the measurement date.</w:t>
      </w:r>
    </w:p>
    <w:p>
      <w:pPr>
        <w:spacing w:after="0" w:line="171" w:lineRule="exact"/>
        <w:rPr>
          <w:sz w:val="20"/>
          <w:szCs w:val="20"/>
          <w:color w:val="auto"/>
        </w:rPr>
      </w:pPr>
    </w:p>
    <w:p>
      <w:pPr>
        <w:ind w:left="660" w:right="320"/>
        <w:spacing w:after="0" w:line="246" w:lineRule="auto"/>
        <w:rPr>
          <w:sz w:val="20"/>
          <w:szCs w:val="20"/>
          <w:color w:val="auto"/>
        </w:rPr>
      </w:pPr>
      <w:r>
        <w:rPr>
          <w:rFonts w:ascii="Arial" w:cs="Arial" w:eastAsia="Arial" w:hAnsi="Arial"/>
          <w:sz w:val="18"/>
          <w:szCs w:val="18"/>
          <w:color w:val="auto"/>
        </w:rPr>
        <w:t>Level 2 – Significant other observable inputs available at the measurement date, other than quoted prices included in Level 1, either directly or indirectly, including:</w:t>
      </w:r>
    </w:p>
    <w:p>
      <w:pPr>
        <w:spacing w:after="0" w:line="129"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similar assets or liabilities in active markets;</w:t>
      </w:r>
    </w:p>
    <w:p>
      <w:pPr>
        <w:spacing w:after="0" w:line="17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Quoted prices for identical or similar assets or liabilities in non-active markets;</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other than quoted prices that are observable for the asset or liability; and</w:t>
      </w:r>
    </w:p>
    <w:p>
      <w:pPr>
        <w:spacing w:after="0" w:line="15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Inputs that are derived principally from or corroborated by other observable market data.</w:t>
      </w:r>
    </w:p>
    <w:p>
      <w:pPr>
        <w:spacing w:after="0" w:line="171" w:lineRule="exact"/>
        <w:rPr>
          <w:sz w:val="20"/>
          <w:szCs w:val="20"/>
          <w:color w:val="auto"/>
        </w:rPr>
      </w:pPr>
    </w:p>
    <w:p>
      <w:pPr>
        <w:ind w:left="660" w:right="300"/>
        <w:spacing w:after="0" w:line="246" w:lineRule="auto"/>
        <w:rPr>
          <w:sz w:val="20"/>
          <w:szCs w:val="20"/>
          <w:color w:val="auto"/>
        </w:rPr>
      </w:pPr>
      <w:r>
        <w:rPr>
          <w:rFonts w:ascii="Arial" w:cs="Arial" w:eastAsia="Arial" w:hAnsi="Arial"/>
          <w:sz w:val="18"/>
          <w:szCs w:val="18"/>
          <w:color w:val="auto"/>
        </w:rPr>
        <w:t>Level 3 – Significant unobservable inputs that cannot be corroborated by observable market data and reflect the use of significant management judgment.</w:t>
      </w:r>
    </w:p>
    <w:p>
      <w:pPr>
        <w:spacing w:after="0" w:line="143" w:lineRule="exact"/>
        <w:rPr>
          <w:sz w:val="20"/>
          <w:szCs w:val="20"/>
          <w:color w:val="auto"/>
        </w:rPr>
      </w:pPr>
    </w:p>
    <w:p>
      <w:pPr>
        <w:jc w:val="both"/>
        <w:ind w:right="160"/>
        <w:spacing w:after="0" w:line="235" w:lineRule="auto"/>
        <w:rPr>
          <w:sz w:val="20"/>
          <w:szCs w:val="20"/>
          <w:color w:val="auto"/>
        </w:rPr>
      </w:pPr>
      <w:r>
        <w:rPr>
          <w:rFonts w:ascii="Arial" w:cs="Arial" w:eastAsia="Arial" w:hAnsi="Arial"/>
          <w:sz w:val="18"/>
          <w:szCs w:val="18"/>
          <w:color w:val="auto"/>
        </w:rPr>
        <w:t>The following table sets forth by Level within the fair value hierarchy the Company’s financial assets that were accounted for at fair value on a recurring basis at June 30, 2020 and December 31, 2019 according to the valuation techniques the Company uses to determine their fair values. There have been no transfers of assets among the fair value hierarchies presented.</w:t>
      </w:r>
    </w:p>
    <w:tbl>
      <w:tblPr>
        <w:tblLayout w:type="fixed"/>
        <w:tblInd w:w="0" w:type="dxa"/>
        <w:tblCellMar>
          <w:top w:w="0" w:type="dxa"/>
          <w:left w:w="0" w:type="dxa"/>
          <w:bottom w:w="0" w:type="dxa"/>
          <w:right w:w="0" w:type="dxa"/>
        </w:tblCellMar>
      </w:tblPr>
      <w:tr>
        <w:trPr>
          <w:trHeight w:val="188"/>
        </w:trPr>
        <w:tc>
          <w:tcPr>
            <w:tcW w:w="6540" w:type="dxa"/>
            <w:vAlign w:val="bottom"/>
          </w:tcPr>
          <w:p>
            <w:pPr>
              <w:spacing w:after="0"/>
              <w:rPr>
                <w:sz w:val="16"/>
                <w:szCs w:val="16"/>
                <w:color w:val="auto"/>
              </w:rPr>
            </w:pPr>
          </w:p>
        </w:tc>
        <w:tc>
          <w:tcPr>
            <w:tcW w:w="1080" w:type="dxa"/>
            <w:vAlign w:val="bottom"/>
          </w:tcPr>
          <w:p>
            <w:pPr>
              <w:jc w:val="center"/>
              <w:spacing w:after="0" w:line="189" w:lineRule="exact"/>
              <w:rPr>
                <w:sz w:val="20"/>
                <w:szCs w:val="20"/>
                <w:color w:val="auto"/>
              </w:rPr>
            </w:pPr>
            <w:r>
              <w:rPr>
                <w:rFonts w:ascii="Arial" w:cs="Arial" w:eastAsia="Arial" w:hAnsi="Arial"/>
                <w:sz w:val="18"/>
                <w:szCs w:val="18"/>
                <w:color w:val="auto"/>
                <w:w w:val="94"/>
              </w:rPr>
              <w:t>Pricing</w:t>
            </w:r>
          </w:p>
        </w:tc>
        <w:tc>
          <w:tcPr>
            <w:tcW w:w="420" w:type="dxa"/>
            <w:vAlign w:val="bottom"/>
          </w:tcPr>
          <w:p>
            <w:pPr>
              <w:spacing w:after="0"/>
              <w:rPr>
                <w:sz w:val="16"/>
                <w:szCs w:val="16"/>
                <w:color w:val="auto"/>
              </w:rPr>
            </w:pPr>
          </w:p>
        </w:tc>
        <w:tc>
          <w:tcPr>
            <w:tcW w:w="3200" w:type="dxa"/>
            <w:vAlign w:val="bottom"/>
            <w:gridSpan w:val="3"/>
          </w:tcPr>
          <w:p>
            <w:pPr>
              <w:jc w:val="right"/>
              <w:ind w:right="1150"/>
              <w:spacing w:after="0" w:line="189" w:lineRule="exact"/>
              <w:rPr>
                <w:sz w:val="20"/>
                <w:szCs w:val="20"/>
                <w:color w:val="auto"/>
              </w:rPr>
            </w:pPr>
            <w:r>
              <w:rPr>
                <w:rFonts w:ascii="Arial" w:cs="Arial" w:eastAsia="Arial" w:hAnsi="Arial"/>
                <w:sz w:val="18"/>
                <w:szCs w:val="18"/>
                <w:color w:val="auto"/>
              </w:rPr>
              <w:t>Fair Value at</w:t>
            </w:r>
          </w:p>
        </w:tc>
        <w:tc>
          <w:tcPr>
            <w:tcW w:w="0" w:type="dxa"/>
            <w:vAlign w:val="bottom"/>
          </w:tcPr>
          <w:p>
            <w:pPr>
              <w:spacing w:after="0"/>
              <w:rPr>
                <w:sz w:val="1"/>
                <w:szCs w:val="1"/>
                <w:color w:val="auto"/>
              </w:rPr>
            </w:pPr>
          </w:p>
        </w:tc>
      </w:tr>
      <w:tr>
        <w:trPr>
          <w:trHeight w:val="217"/>
        </w:trPr>
        <w:tc>
          <w:tcPr>
            <w:tcW w:w="6540" w:type="dxa"/>
            <w:vAlign w:val="bottom"/>
            <w:vMerge w:val="restart"/>
          </w:tcPr>
          <w:p>
            <w:pPr>
              <w:spacing w:after="0"/>
              <w:rPr>
                <w:sz w:val="20"/>
                <w:szCs w:val="20"/>
                <w:color w:val="auto"/>
              </w:rPr>
            </w:pPr>
            <w:r>
              <w:rPr>
                <w:rFonts w:ascii="Arial" w:cs="Arial" w:eastAsia="Arial" w:hAnsi="Arial"/>
                <w:sz w:val="18"/>
                <w:szCs w:val="18"/>
                <w:b w:val="1"/>
                <w:bCs w:val="1"/>
                <w:color w:val="auto"/>
              </w:rPr>
              <w:t>Assets</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Category</w:t>
            </w:r>
          </w:p>
        </w:tc>
        <w:tc>
          <w:tcPr>
            <w:tcW w:w="4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6"/>
              </w:rPr>
              <w:t>June 30, 2020</w:t>
            </w:r>
          </w:p>
        </w:tc>
        <w:tc>
          <w:tcPr>
            <w:tcW w:w="2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183"/>
        </w:trPr>
        <w:tc>
          <w:tcPr>
            <w:tcW w:w="6540" w:type="dxa"/>
            <w:vAlign w:val="bottom"/>
            <w:vMerge w:val="continue"/>
          </w:tcPr>
          <w:p>
            <w:pPr>
              <w:spacing w:after="0"/>
              <w:rPr>
                <w:sz w:val="15"/>
                <w:szCs w:val="15"/>
                <w:color w:val="auto"/>
              </w:rPr>
            </w:pPr>
          </w:p>
        </w:tc>
        <w:tc>
          <w:tcPr>
            <w:tcW w:w="1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80" w:type="dxa"/>
            <w:vAlign w:val="bottom"/>
          </w:tcPr>
          <w:p>
            <w:pPr>
              <w:jc w:val="right"/>
              <w:ind w:right="30"/>
              <w:spacing w:after="0" w:line="182" w:lineRule="exact"/>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5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Cash and cash equivalents</w:t>
            </w:r>
          </w:p>
        </w:tc>
        <w:tc>
          <w:tcPr>
            <w:tcW w:w="1080" w:type="dxa"/>
            <w:vAlign w:val="bottom"/>
            <w:shd w:val="clear" w:color="auto" w:fill="CCEEFF"/>
          </w:tcPr>
          <w:p>
            <w:pPr>
              <w:jc w:val="center"/>
              <w:spacing w:after="0" w:line="189" w:lineRule="exact"/>
              <w:rPr>
                <w:sz w:val="20"/>
                <w:szCs w:val="20"/>
                <w:color w:val="auto"/>
              </w:rPr>
            </w:pPr>
            <w:r>
              <w:rPr>
                <w:rFonts w:ascii="Arial" w:cs="Arial" w:eastAsia="Arial" w:hAnsi="Arial"/>
                <w:sz w:val="18"/>
                <w:szCs w:val="18"/>
                <w:color w:val="auto"/>
                <w:w w:val="92"/>
              </w:rPr>
              <w:t>Level 1</w:t>
            </w:r>
          </w:p>
        </w:tc>
        <w:tc>
          <w:tcPr>
            <w:tcW w:w="42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w:t>
            </w:r>
          </w:p>
        </w:tc>
        <w:tc>
          <w:tcPr>
            <w:tcW w:w="1480" w:type="dxa"/>
            <w:vAlign w:val="bottom"/>
            <w:shd w:val="clear" w:color="auto" w:fill="CCEEFF"/>
          </w:tcPr>
          <w:p>
            <w:pPr>
              <w:jc w:val="right"/>
              <w:ind w:right="30"/>
              <w:spacing w:after="0" w:line="189" w:lineRule="exact"/>
              <w:rPr>
                <w:sz w:val="20"/>
                <w:szCs w:val="20"/>
                <w:color w:val="auto"/>
              </w:rPr>
            </w:pPr>
            <w:r>
              <w:rPr>
                <w:rFonts w:ascii="Arial" w:cs="Arial" w:eastAsia="Arial" w:hAnsi="Arial"/>
                <w:sz w:val="18"/>
                <w:szCs w:val="18"/>
                <w:color w:val="auto"/>
              </w:rPr>
              <w:t>7,936</w:t>
            </w:r>
          </w:p>
        </w:tc>
        <w:tc>
          <w:tcPr>
            <w:tcW w:w="2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5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9,104</w:t>
            </w:r>
          </w:p>
        </w:tc>
        <w:tc>
          <w:tcPr>
            <w:tcW w:w="0" w:type="dxa"/>
            <w:vAlign w:val="bottom"/>
          </w:tcPr>
          <w:p>
            <w:pPr>
              <w:spacing w:after="0"/>
              <w:rPr>
                <w:sz w:val="1"/>
                <w:szCs w:val="1"/>
                <w:color w:val="auto"/>
              </w:rPr>
            </w:pPr>
          </w:p>
        </w:tc>
      </w:tr>
      <w:tr>
        <w:trPr>
          <w:trHeight w:val="230"/>
        </w:trPr>
        <w:tc>
          <w:tcPr>
            <w:tcW w:w="6540" w:type="dxa"/>
            <w:vAlign w:val="bottom"/>
          </w:tcPr>
          <w:p>
            <w:pPr>
              <w:spacing w:after="0"/>
              <w:rPr>
                <w:sz w:val="20"/>
                <w:szCs w:val="20"/>
                <w:color w:val="auto"/>
              </w:rPr>
            </w:pPr>
            <w:r>
              <w:rPr>
                <w:rFonts w:ascii="Arial" w:cs="Arial" w:eastAsia="Arial" w:hAnsi="Arial"/>
                <w:sz w:val="18"/>
                <w:szCs w:val="18"/>
                <w:color w:val="auto"/>
              </w:rPr>
              <w:t>Restricted cash</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Level 1</w:t>
            </w:r>
          </w:p>
        </w:tc>
        <w:tc>
          <w:tcPr>
            <w:tcW w:w="420" w:type="dxa"/>
            <w:vAlign w:val="bottom"/>
          </w:tcPr>
          <w:p>
            <w:pPr>
              <w:spacing w:after="0"/>
              <w:rPr>
                <w:sz w:val="20"/>
                <w:szCs w:val="20"/>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815</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The following methods and assumptions were used to estimate the fair value of each class of financial instrument. There have been no changes in the valuation techniques used by the Company to value the Company’s financial instruments.</w:t>
      </w:r>
    </w:p>
    <w:p>
      <w:pPr>
        <w:spacing w:after="0" w:line="143" w:lineRule="exact"/>
        <w:rPr>
          <w:sz w:val="20"/>
          <w:szCs w:val="20"/>
          <w:color w:val="auto"/>
        </w:rPr>
      </w:pPr>
    </w:p>
    <w:p>
      <w:pPr>
        <w:ind w:left="980" w:right="560"/>
        <w:spacing w:after="0" w:line="246"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Consists of cash on hand and bank deposits. The value was measured using quoted market prices in active</w:t>
      </w:r>
      <w:r>
        <w:rPr>
          <w:rFonts w:ascii="Arial" w:cs="Arial" w:eastAsia="Arial" w:hAnsi="Arial"/>
          <w:sz w:val="18"/>
          <w:szCs w:val="18"/>
          <w:i w:val="1"/>
          <w:iCs w:val="1"/>
          <w:color w:val="auto"/>
        </w:rPr>
        <w:t xml:space="preserve"> </w:t>
      </w:r>
      <w:r>
        <w:rPr>
          <w:rFonts w:ascii="Arial" w:cs="Arial" w:eastAsia="Arial" w:hAnsi="Arial"/>
          <w:sz w:val="18"/>
          <w:szCs w:val="18"/>
          <w:color w:val="auto"/>
        </w:rPr>
        <w:t>markets. The carrying amount approximates fair value.</w:t>
      </w:r>
    </w:p>
    <w:p>
      <w:pPr>
        <w:spacing w:after="0" w:line="143" w:lineRule="exact"/>
        <w:rPr>
          <w:sz w:val="20"/>
          <w:szCs w:val="20"/>
          <w:color w:val="auto"/>
        </w:rPr>
      </w:pPr>
    </w:p>
    <w:p>
      <w:pPr>
        <w:ind w:left="980" w:right="100"/>
        <w:spacing w:after="0" w:line="235"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Consists of cash and cash equivalents held in bank deposit accounts restricted as to withdrawal or that are under the terms of</w:t>
      </w:r>
      <w:r>
        <w:rPr>
          <w:rFonts w:ascii="Arial" w:cs="Arial" w:eastAsia="Arial" w:hAnsi="Arial"/>
          <w:sz w:val="18"/>
          <w:szCs w:val="18"/>
          <w:i w:val="1"/>
          <w:iCs w:val="1"/>
          <w:color w:val="auto"/>
        </w:rPr>
        <w:t xml:space="preserve"> </w:t>
      </w:r>
      <w:r>
        <w:rPr>
          <w:rFonts w:ascii="Arial" w:cs="Arial" w:eastAsia="Arial" w:hAnsi="Arial"/>
          <w:sz w:val="18"/>
          <w:szCs w:val="18"/>
          <w:color w:val="auto"/>
        </w:rPr>
        <w:t>use for current operations. The value was measured using quoted market prices in active markets. The carrying amount approximates fair value.</w:t>
      </w:r>
    </w:p>
    <w:p>
      <w:pPr>
        <w:spacing w:after="0" w:line="148"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Fair value measurements also apply to certain non-financial assets and liabilities measured at fair value on a nonrecurring basis. Property, plant and equipment and right of use assets are measured at fair value when an impairment is recognized and the related assets are written down to fair value. During the six months ended June 30, 2020, the Company recognized a $2.2 million charge in selling, general and administrative expenses to write-down property, plant, and equipment and right of use assets to their estimated fair values. The Company measured the fair value of these assets based on projected cash flows, an estimated risk-adjusted rate of return, and market rental rates for comparable properties. Projected cash flows are considered Level 3 inputs. Market rental rates for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15" w:name="page16"/>
    <w:bookmarkEnd w:id="1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3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comparable properties are considered Level 2 inputs. No impairment charges were recorded during the three or six months ended June 30, 2019 or the three months ended June 30, 2020.</w:t>
      </w:r>
    </w:p>
    <w:p>
      <w:pPr>
        <w:spacing w:after="0" w:line="143"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The carrying value of the Company’s borrowings under its Credit Agreement approximate fair value based upon Level 2 inputs of the market interest rates available to the Company for debt obligations with similar risks and maturities.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Equity Incentive Plans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75" w:lineRule="exact"/>
        <w:rPr>
          <w:sz w:val="20"/>
          <w:szCs w:val="20"/>
          <w:color w:val="auto"/>
        </w:rPr>
      </w:pPr>
    </w:p>
    <w:p>
      <w:pPr>
        <w:ind w:right="40"/>
        <w:spacing w:after="0" w:line="239" w:lineRule="auto"/>
        <w:rPr>
          <w:sz w:val="20"/>
          <w:szCs w:val="20"/>
          <w:color w:val="auto"/>
        </w:rPr>
      </w:pPr>
      <w:r>
        <w:rPr>
          <w:rFonts w:ascii="Arial" w:cs="Arial" w:eastAsia="Arial" w:hAnsi="Arial"/>
          <w:sz w:val="17"/>
          <w:szCs w:val="17"/>
          <w:color w:val="auto"/>
        </w:rPr>
        <w:t>The Company measures and recognizes compensation expense for all stock based awards at fair value. The financial statements for the three and six months ended June 30, 2020 and 2019 include compensation expense for the portion of outstanding awards that vested during those periods. The Company recognizes stock based compensation expenses on a straight-line basis over the requisite service period of the award, which is generally the option vesting term. Total stock based compensation expense related to stock options was $0.1 million and $0.3 million for the three months ended June 30, 2020 and 2019, respectively. Total stock based compensation expense related to stock options was $0.2 million and $0.5 million for the six months ended June 30, 2020 and 2019, respectively. Stock based compensation expense pertaining to stock options is included in selling, general and administrative expenses in the accompanying Consolidated Statements of Operations.</w:t>
      </w:r>
    </w:p>
    <w:p>
      <w:pPr>
        <w:spacing w:after="0" w:line="149"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As of June 30, 2020, the Company had outstanding stock options to purchase 1,153,097 shares of common stock at a weighted average exercise price of $11.09.</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175"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Company awards restricted common shares to selected employees and to non-employee directors. Recipients are not required to provide any consideration upon vesting of the award. Restricted stock awards are subject to certain restrictions on transfer, and all or part of the shares awarded may be subject to forfeiture upon the occurrence of certain events, including employment termination. Certain awards are also subject to forfeiture if the Company fails to attain certain performance targets. The restricted stock is valued at its grant date fair value and expensed over the requisite service period or the vesting term of the awards. The Company adjusts the cumulative expense recognized on awards with performance conditions based on the probability of achieving the performance condition. Total stock based compensation expense related to restricted stock was $0.4 million and $0.5 million for the three months ended June 30, 2020 and 2019, respectively. Total stock based compensation expense related to restricted stock was $0.9 million and $1.0 million for the six months ended June 30, 2020 and 2019, respectively. Stock based compensation expense pertaining to restricted stock awards is included in selling, general and administrative expenses in the accompanying Consolidated Statements of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 Company had 1,436,688 outstanding restricted common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New Markets Tax Credit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New Markets Tax Credit</w:t>
      </w:r>
    </w:p>
    <w:p>
      <w:pPr>
        <w:spacing w:after="0" w:line="171" w:lineRule="exact"/>
        <w:rPr>
          <w:sz w:val="20"/>
          <w:szCs w:val="20"/>
          <w:color w:val="auto"/>
        </w:rPr>
      </w:pPr>
    </w:p>
    <w:p>
      <w:pPr>
        <w:ind w:right="100"/>
        <w:spacing w:after="0" w:line="225" w:lineRule="auto"/>
        <w:rPr>
          <w:sz w:val="20"/>
          <w:szCs w:val="20"/>
          <w:color w:val="auto"/>
        </w:rPr>
      </w:pPr>
      <w:r>
        <w:rPr>
          <w:rFonts w:ascii="Arial" w:cs="Arial" w:eastAsia="Arial" w:hAnsi="Arial"/>
          <w:sz w:val="18"/>
          <w:szCs w:val="18"/>
          <w:color w:val="auto"/>
        </w:rPr>
        <w:t>In December 2016, the Company entered into a financing transaction with U.S. Bank Community, LLC (“U.S. Bank”) related to a $9.2 million expansion of the Company’s facility in Durant, Oklahoma. U.S. Bank made a capital contribution to, and Tile Shop Lending, Inc. (“Tile Shop Lending”) made a loan to, Twain Investment Fund 192 LLC (the “Investment Fund”) under a qualified New Markets Tax Credit (“NMTC”) program. The NMTC program was provided for in the Community Renewal Tax Relief Act of 2000 (the “Act”) and is intended to induce capital investment in qualified lower income communities. The Act permits taxpayers to claim credits against their federal income taxes for up to 39% of qualified investments in the equity of community development entities (“CDEs”). CDEs are privately managed investment institutions that are certified to make qualified low-income community investments.</w:t>
      </w:r>
    </w:p>
    <w:p>
      <w:pPr>
        <w:spacing w:after="0" w:line="154" w:lineRule="exact"/>
        <w:rPr>
          <w:sz w:val="20"/>
          <w:szCs w:val="20"/>
          <w:color w:val="auto"/>
        </w:rPr>
      </w:pPr>
    </w:p>
    <w:p>
      <w:pPr>
        <w:ind w:right="60"/>
        <w:spacing w:after="0" w:line="231" w:lineRule="auto"/>
        <w:rPr>
          <w:sz w:val="20"/>
          <w:szCs w:val="20"/>
          <w:color w:val="auto"/>
        </w:rPr>
      </w:pPr>
      <w:r>
        <w:rPr>
          <w:rFonts w:ascii="Arial" w:cs="Arial" w:eastAsia="Arial" w:hAnsi="Arial"/>
          <w:sz w:val="18"/>
          <w:szCs w:val="18"/>
          <w:color w:val="auto"/>
        </w:rPr>
        <w:t>In this transaction, Tile Shop Lending loaned $6.7 million to the Investment Fund at an interest rate of 1.37% per year and with a maturity date of December 31, 2046. The Investment Fund then contributed the loan to a CDE, which, in turn, loaned the funds on similar terms to Tile Shop of Oklahoma, LLC, an indirect, wholly-owned subsidiary of Holdings. The proceeds of the loans from the CDEs (including loans representing the capital contribution made by U.S. Bank, net of syndication fees) were used to partially fund the distribution center project.</w:t>
      </w:r>
    </w:p>
    <w:p>
      <w:pPr>
        <w:spacing w:after="0" w:line="2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16" w:name="page17"/>
    <w:bookmarkEnd w:id="1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3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304" w:lineRule="exact"/>
        <w:rPr>
          <w:sz w:val="20"/>
          <w:szCs w:val="20"/>
          <w:color w:val="auto"/>
        </w:rPr>
      </w:pPr>
    </w:p>
    <w:p>
      <w:pPr>
        <w:spacing w:after="0" w:line="237" w:lineRule="auto"/>
        <w:rPr>
          <w:sz w:val="20"/>
          <w:szCs w:val="20"/>
          <w:color w:val="auto"/>
        </w:rPr>
      </w:pPr>
      <w:r>
        <w:rPr>
          <w:rFonts w:ascii="Arial" w:cs="Arial" w:eastAsia="Arial" w:hAnsi="Arial"/>
          <w:sz w:val="17"/>
          <w:szCs w:val="17"/>
          <w:color w:val="auto"/>
        </w:rPr>
        <w:t>In December 2016, U.S. Bank also contributed $3.2 million to the Investment Fund and, by virtue of such contribution, is entitled to substantially all of the tax benefits derived from the NMTC, while the Company effectively received net loan proceeds equal to U.S. Bank’s contributions to the Investment Fund. This transaction includes a put/call provision whereby the Company may be obligated or entitled to repurchase U.S. Bank’s interest. The Company believes that U.S. Bank will exercise the put option in December 2023 at the end of the recapture period. The value attributed to the put/call is de minimis. The NMTC is subject to 100% recapture for a period of seven years as provided in the Internal Revenue Code. The Company is required to be in compliance with various regulations and contractual provisions that apply to the NMTC arrangement. Non-compliance with applicable requirements could result in projected tax benefits not being realized and, therefore, could require the Company to indemnify U.S. Bank for any loss or recapture of NMTCs related to the financing until such time as the obligation to deliver tax benefits is relieved. The Company does not anticipate any credit recaptures will be required in connection with this arrangement.</w:t>
      </w:r>
    </w:p>
    <w:p>
      <w:pPr>
        <w:spacing w:after="0" w:line="153" w:lineRule="exact"/>
        <w:rPr>
          <w:sz w:val="20"/>
          <w:szCs w:val="20"/>
          <w:color w:val="auto"/>
        </w:rPr>
      </w:pPr>
    </w:p>
    <w:p>
      <w:pPr>
        <w:ind w:right="100"/>
        <w:spacing w:after="0" w:line="235" w:lineRule="auto"/>
        <w:rPr>
          <w:sz w:val="20"/>
          <w:szCs w:val="20"/>
          <w:color w:val="auto"/>
        </w:rPr>
      </w:pPr>
      <w:r>
        <w:rPr>
          <w:rFonts w:ascii="Arial" w:cs="Arial" w:eastAsia="Arial" w:hAnsi="Arial"/>
          <w:sz w:val="17"/>
          <w:szCs w:val="17"/>
          <w:color w:val="auto"/>
        </w:rPr>
        <w:t>The Company has determined that the financing arrangement with the Investment Fund and CDEs contains a variable interest entity (“VIE”). The ongoing activities of the Investment Fund – collecting and remitting interest and fees and NMTC compliance – were all considered in the initial design and are not expected to significantly affect economic performance throughout the life of the Investment Fund. Management considered the contractual arrangements that obligate the Company to deliver tax benefits and provide various other guarantees to the structure; U.S. Bank’s lack of a material interest in the underlying economics of the project; and the fact that the Company is obligated to absorb losses of the Investment Fund. The Company concluded that it is the primary beneficiary of the VIE and consolidated the Investment Fund, as a VIE, in accordance with the accounting standards for consolidation. In 2016, U.S. Bank’s contributions of $3.2 million, net of syndication fees, were included in cash, restricted cash, other accrued liabilities and other long-term liabilities in the consolidated balance sheet. The Company incurred $1.3 million of syndication fees in connection with this transaction, which were classified as other current assets and other non-current assets in the consolidated balance sheet. The Company is recognizing the benefit of this net $1.9 million contribution over the seven-year compliance period as it is being earned through the on-going compliance with the conditions of the NMTC program. As of June 30, 2020, the balance of the contribution liability was $1.6 million, of which $0.5 million was classified as other accrued liabilities on the Consolidated Balance Sheet and $1.1 million was classified as other long-term liabilities on the Consolidated Balance Sheet.</w:t>
      </w:r>
    </w:p>
    <w:p>
      <w:pPr>
        <w:spacing w:after="0" w:line="158" w:lineRule="exact"/>
        <w:rPr>
          <w:sz w:val="20"/>
          <w:szCs w:val="20"/>
          <w:color w:val="auto"/>
        </w:rPr>
      </w:pPr>
    </w:p>
    <w:p>
      <w:pPr>
        <w:ind w:right="180"/>
        <w:spacing w:after="0" w:line="231" w:lineRule="auto"/>
        <w:rPr>
          <w:sz w:val="20"/>
          <w:szCs w:val="20"/>
          <w:color w:val="auto"/>
        </w:rPr>
      </w:pPr>
      <w:r>
        <w:rPr>
          <w:rFonts w:ascii="Arial" w:cs="Arial" w:eastAsia="Arial" w:hAnsi="Arial"/>
          <w:sz w:val="18"/>
          <w:szCs w:val="18"/>
          <w:color w:val="auto"/>
        </w:rPr>
        <w:t>The Company is able to request reimbursement for certain expenditures made in connection with the expansion of the distribution center in Durant, Oklahoma from the Investment Fund. Expenditures that qualify for reimbursement include building costs, equipment purchases, and other expenditures tied to the expansion of the facility. As of June 30, 2020, the balance in the Investment Fund available for reimbursement to the Company was $0.8 million.</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2013 New Markets Tax Credit</w:t>
      </w:r>
    </w:p>
    <w:p>
      <w:pPr>
        <w:spacing w:after="0" w:line="171" w:lineRule="exact"/>
        <w:rPr>
          <w:sz w:val="20"/>
          <w:szCs w:val="20"/>
          <w:color w:val="auto"/>
        </w:rPr>
      </w:pPr>
    </w:p>
    <w:p>
      <w:pPr>
        <w:spacing w:after="0" w:line="252" w:lineRule="auto"/>
        <w:rPr>
          <w:sz w:val="20"/>
          <w:szCs w:val="20"/>
          <w:color w:val="auto"/>
        </w:rPr>
      </w:pPr>
      <w:r>
        <w:rPr>
          <w:rFonts w:ascii="Arial" w:cs="Arial" w:eastAsia="Arial" w:hAnsi="Arial"/>
          <w:sz w:val="16"/>
          <w:szCs w:val="16"/>
          <w:color w:val="auto"/>
        </w:rPr>
        <w:t>In July 2013, the Company entered into a financing transaction with U.S. Bank and Chase Community Equity (“Chase”, and collectively with U.S. Bank, the “investors”) related to the $19.1 million acquisition, rehabilitation, and construction of the Company’s distribution center and manufacturing facilities in Durant, Oklahoma. In this transaction, Tile Shop Lending loaned $13.5 million to the Tile Shop Investment Fund LLC. The investors contributed $5.6 million to the Tile Shop Investment Fund LLC. The investors were entitled to the tax benefits derived from the NMTC by virtue of their contribution while the Company received the proceeds, net of syndication fees, to apply toward the construction project. This transaction included a put/call provision whereby the Company may have been obligated or entitled to repurchase the investors’ interest. The value attributed to the put/call prior to the exercise of the put option was de minimis. The NMTC was subject to 100% recapture for a period of seven years as provided in the Internal Revenue Code. The Company was required to be in compliance with various regulations and contractual provisions that applied to the NMTC arrangement. Non-compliance with applicable requirements could have resulted in projected tax benefits not being realized and, therefore, could have required the Company to indemnify the investors for any loss or recapture of NMTCs related to the financing until such time as the obligation to deliver tax benefits was relieved. No credit recaptures were required in connection with this arrangement.</w:t>
      </w:r>
    </w:p>
    <w:p>
      <w:pPr>
        <w:spacing w:after="0" w:line="143"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The Company determined that this financing arrangement contained a VIE. The ongoing activities of the Tile Shop Investment Fund LLC – collecting and remitting interest and fees and NMTC compliance – were all considered in the initial design and are not expected to significantly affect economic performance throughout the life of the Tile Shop Investment Fund LLC. Management considered the contractual arrangements that obligate the Company to deliver tax benefits and provide various other guarantees to the structure; the investors’ lack of a material interest in the underlying economics of the project; and the fact that the Company is obligated to absorb losses of The Tile Shop Investment Fund LLC. The Company concluded that it is the primary beneficiary of the VIE and consolidated the Tile Shop Investment Fund LLC, as a VIE, in accordance with the accounting standards for consolidation. In 2013, the investors’ contributions, of $5.6 million, net of syndication fees, were included in cash, restricted cash, other accrued liabilities and other long-term liabilities in the consolidated balance sheet. The Company incurred $1.2 million of syndication fees in connection with this transaction which were classified as other current assets and other non-current assets in the consolidated balance sheet. The Company recognized the benefit of this net $4.4 million contribution over the seven-year compliance period as it</w:t>
      </w:r>
    </w:p>
    <w:p>
      <w:pPr>
        <w:spacing w:after="0" w:line="10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jc w:val="center"/>
        <w:ind w:right="-139"/>
        <w:spacing w:after="0" w:line="221" w:lineRule="auto"/>
        <w:rPr>
          <w:sz w:val="20"/>
          <w:szCs w:val="20"/>
          <w:color w:val="auto"/>
        </w:rPr>
      </w:pPr>
      <w:r>
        <w:rPr>
          <w:rFonts w:ascii="Arial" w:cs="Arial" w:eastAsia="Arial" w:hAnsi="Arial"/>
          <w:sz w:val="18"/>
          <w:szCs w:val="18"/>
          <w:b w:val="1"/>
          <w:bCs w:val="1"/>
          <w:color w:val="auto"/>
        </w:rPr>
        <w:t>Tile Shop Holdings, Inc. and Subsidiaries</w:t>
      </w:r>
    </w:p>
    <w:p>
      <w:pPr>
        <w:jc w:val="center"/>
        <w:ind w:right="-139"/>
        <w:spacing w:after="0" w:line="219" w:lineRule="auto"/>
        <w:rPr>
          <w:sz w:val="20"/>
          <w:szCs w:val="20"/>
          <w:color w:val="auto"/>
        </w:rPr>
      </w:pPr>
      <w:r>
        <w:rPr>
          <w:rFonts w:ascii="Arial" w:cs="Arial" w:eastAsia="Arial" w:hAnsi="Arial"/>
          <w:sz w:val="18"/>
          <w:szCs w:val="18"/>
          <w:b w:val="1"/>
          <w:bCs w:val="1"/>
          <w:color w:val="auto"/>
        </w:rPr>
        <w:t>Notes to Consolidated Financial Statements</w:t>
      </w:r>
    </w:p>
    <w:p>
      <w:pPr>
        <w:spacing w:after="0" w:line="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11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was earned through the on-going compliance with the conditions of the NMTC program. As of June 30, 2020, the balance of the contribution liability was $0.1 million, all of which was classified as other accrued liabilities on the Consolidated Balance Sheet.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July 2020, the investors exercised the put option to purchase the investors’ interest in the Investment Fund at the end of the tax credit recapture period.</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This transaction did not have a significant impact on the Company’s financial position, results of operations, or cash flows.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75"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On July 9, 2018, Fumitake Nishi, a former Company employee and the brother-in-law of Robert A. Rucker, our former Interim Chief Executive Officer and President, and former member of the Company’s Board of Directors, from which he resigned on February 12, 2020, informed the Company he had reacquired a majority of the equity of one of its key vendors, Nanyang Helin Stone Co. Ltd (“Nanyang”). Nanyang supplies the Company with natural stone products including hand-crafted mosaics, listellos and other accessories. During the twelve months ended December 31, 2019, the Company purchased $5.1 million of products from Nanyang. During the three and six months ended June 30, 2020, the Company purchased $0.9 million and $2.9 million of products from Nanyang, respectively. Mr. Nishi’s employment with the Company was terminated on January 1, 2014 as a result of several violations of the Company’s code of business conduct and ethics policy. Certain of those violations involved his undisclosed ownership of Nanyang at that time.</w:t>
      </w:r>
    </w:p>
    <w:p>
      <w:pPr>
        <w:spacing w:after="0" w:line="149" w:lineRule="exact"/>
        <w:rPr>
          <w:sz w:val="20"/>
          <w:szCs w:val="20"/>
          <w:color w:val="auto"/>
        </w:rPr>
      </w:pPr>
    </w:p>
    <w:p>
      <w:pPr>
        <w:spacing w:after="0" w:line="228" w:lineRule="auto"/>
        <w:rPr>
          <w:sz w:val="20"/>
          <w:szCs w:val="20"/>
          <w:color w:val="auto"/>
        </w:rPr>
      </w:pPr>
      <w:r>
        <w:rPr>
          <w:rFonts w:ascii="Arial" w:cs="Arial" w:eastAsia="Arial" w:hAnsi="Arial"/>
          <w:sz w:val="18"/>
          <w:szCs w:val="18"/>
          <w:color w:val="auto"/>
        </w:rPr>
        <w:t>Management and the Audit Committee have evaluated the relationship and determined that it would be in the Company’s best interests to continue purchasing products from Nanyang. The Company believes Nanyang provides an important combination of quality, product availability and pricing, and relying solely on other vendors to supply similar product to the Company would not be in the Company’s best interests. The Company and the Audit Committee have and will continue to review future purchases from Nanyang and compare the pricing for products purchased from Nanyang to the pricing of same or similar products purchased from unrelated vendors.</w:t>
      </w:r>
    </w:p>
    <w:p>
      <w:pPr>
        <w:spacing w:after="0" w:line="200" w:lineRule="exact"/>
        <w:rPr>
          <w:sz w:val="20"/>
          <w:szCs w:val="20"/>
          <w:color w:val="auto"/>
        </w:rPr>
      </w:pPr>
    </w:p>
    <w:p>
      <w:pPr>
        <w:spacing w:after="0" w:line="28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108" w:right="479" w:bottom="1440" w:gutter="0" w:footer="0" w:header="0"/>
        </w:sectPr>
      </w:pPr>
    </w:p>
    <w:bookmarkStart w:id="18" w:name="page19"/>
    <w:bookmarkEnd w:id="1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right="40"/>
        <w:spacing w:after="0" w:line="235" w:lineRule="auto"/>
        <w:rPr>
          <w:sz w:val="20"/>
          <w:szCs w:val="20"/>
          <w:color w:val="auto"/>
        </w:rPr>
      </w:pPr>
      <w:r>
        <w:rPr>
          <w:rFonts w:ascii="Arial" w:cs="Arial" w:eastAsia="Arial" w:hAnsi="Arial"/>
          <w:sz w:val="18"/>
          <w:szCs w:val="18"/>
          <w:i w:val="1"/>
          <w:iCs w:val="1"/>
          <w:color w:val="auto"/>
        </w:rPr>
        <w:t>The following discussion and analysis of our financial condition and results of operations should be read in conjunction with our Annual Report on Form 10-K for the year ended December 31, 2019 and our consolidated financial statements and related notes appearing elsewhere in this Quarterly Report on Form 10-Q.</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“safe harbor” provisions of the Private Securities Litigation Reform Act of 1995. In some cases, you can identify these statements by words such as, but not limited to, “anticipate,” “believe,” “can,” “continue,” “could,” “depend,” “estimate,” “expect,” “intend,” “may,” “might,” “plan,” “project,” “seek,” “should,” “target,” “will,” “will likely result,” “would,” and similar expressions or variations, although some forward-looking statements are expressed differently. All statements other than statements of historical fact are statements that could be deemed forward-looking statements. The forward-looking statements in this Quarterly Report on Form 10-Q relate to, among other things, our anticipated new store openings, remodeling plans, and growth opportunities; our business strengths, marketing strategies, competitive advantages and role in our industry and markets; our expectations regarding financing arrangements; our expectations regarding the potential impacts of COVID-19 on our business; our expectations with respect to ongoing compliance with the terms of our Credit Agreement (as defined below); and our expectations with respect to remediation of our identified material weaknesses.</w:t>
      </w:r>
    </w:p>
    <w:p>
      <w:pPr>
        <w:spacing w:after="0" w:line="153"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color w:val="auto"/>
        </w:rPr>
        <w:t>These forward-looking statements are based on current expectations and assumptions that are subject to risks and uncertainties that may cause our actual results, performance, or achievements to differ materially from any expected future results, performance, or achievements expressed or implied by such forward-looking statements. These risks and uncertainties, many of which have been, and may further be, exacerbated by the COVID-19 pandemic, include, but are not limited to, our anticipated new store openings, remodeling plans, and growth opportunities; our business strengths, marketing strategies, competitive advantages and role in our industry and markets; our expectations regarding the potential impacts on our business of the COVID-19 pandemic, including its effect on general economic conditions and credit markets and on customer traffic to our stores, as well as the potential duration of the COVID-19 pandemic and the length and adequacy of measures we have taken to attempt to mitigate the impact of the COVID-19 pandemic on our business; our ability to successfully implement our strategic plan and the anticipated benefits of our strategic plan; the effectiveness of our marketing strategy; our expectations regarding financing arrangements and our ability to obtain additional capital, including potential difficulties of obtaining refinancing due to market conditions resulting from the COVID-19 pandemic; supply costs and expectations, including the continued availability of sufficient products from our suppliers and the potential impact of the COVID-19 pandemic; our expectations with respect to ongoing compliance with the terms of the Credit Agreement, including the possibility that the impact of the COVID-19 pandemic on our business may result in our inability to maintain such compliance, as well as the potential impact of the phase out of LIBOR; the effect of regulations on us and our industry, and our suppliers’ compliance with such regulations; our expectations regarding the effects of employee recruiting, training, mentoring, and retention; the potential impact of cybersecurity breaches or disruptions to our management information systems; our ability to successfully implement our information technology initiatives, including our enterprise resource planning (“ERP”) system; our ability to remediate material weaknesses in our internal control over financial reporting; our proposed deregistration; the outcome of pending stockholder litigation; costs and adequacy of insurance; and those factors set forth in the section captioned “Risk Factors” in our Annual Report on Form 10-K for the year ended December 31, 2019 and the additional Risk Factors set forth in Part II, Item 1A of this Quarterly Report on Form 10-Q.</w:t>
      </w:r>
    </w:p>
    <w:p>
      <w:pPr>
        <w:spacing w:after="0" w:line="344"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i w:val="1"/>
          <w:iCs w:val="1"/>
          <w:color w:val="auto"/>
        </w:rPr>
        <w:t>There is no assurance that our expectations will be realized. If one or more of these risks or uncertainties materialize, or if our underlying assumptions prove incorrect, actual results may vary materially from those expected, estimated, or projected. These statements are based on the beliefs and assumptions of our management based on information currently available to management. Furthermore, such forward-looking statements speak only as of the date of this Quarterly Report on Form 10-Q. Except as required by law, we undertake no obligation to update any forward-looking statements to reflect events or circumstances after the date of such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 and Recent Trends</w:t>
      </w:r>
    </w:p>
    <w:p>
      <w:pPr>
        <w:spacing w:after="0" w:line="175" w:lineRule="exact"/>
        <w:rPr>
          <w:sz w:val="20"/>
          <w:szCs w:val="20"/>
          <w:color w:val="auto"/>
        </w:rPr>
      </w:pPr>
    </w:p>
    <w:p>
      <w:pPr>
        <w:ind w:right="60"/>
        <w:spacing w:after="0" w:line="253" w:lineRule="auto"/>
        <w:rPr>
          <w:sz w:val="20"/>
          <w:szCs w:val="20"/>
          <w:color w:val="auto"/>
        </w:rPr>
      </w:pPr>
      <w:r>
        <w:rPr>
          <w:rFonts w:ascii="Arial" w:cs="Arial" w:eastAsia="Arial" w:hAnsi="Arial"/>
          <w:sz w:val="17"/>
          <w:szCs w:val="17"/>
          <w:color w:val="auto"/>
        </w:rPr>
        <w:t>We are a specialty retailer of natural stone and man-made tiles, setting and maintenance materials, and related accessories in the United States. We offer a wide selection of products, attractive prices, and exceptional customer service in an extensive showroom setting. As of June 30, 2020, we operated 142 stores in 31 states and the District of Columbia, with an average size of approximately 20,000 square feet.</w:t>
      </w:r>
    </w:p>
    <w:p>
      <w:pPr>
        <w:spacing w:after="0" w:line="138"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purchase our tile products and accessories directly from suppliers and manufacture our own setting and maintenance materials, such as thinset, grout, and sealers. We believe that our long-term supplier relationships, together with our design, manufacturing and distribution capabilities, enable us to offer a broad assortment of high-quality products to our customers, who are primarily</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08"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right="260"/>
        <w:spacing w:after="0" w:line="307" w:lineRule="auto"/>
        <w:rPr>
          <w:sz w:val="20"/>
          <w:szCs w:val="20"/>
          <w:color w:val="auto"/>
        </w:rPr>
      </w:pPr>
      <w:r>
        <w:rPr>
          <w:rFonts w:ascii="Arial" w:cs="Arial" w:eastAsia="Arial" w:hAnsi="Arial"/>
          <w:sz w:val="16"/>
          <w:szCs w:val="16"/>
          <w:color w:val="auto"/>
        </w:rPr>
        <w:t>homeowners and professionals, at competitive prices. We have invested significant resources to develop our proprietary brands and product sources, and we believe that we are a leading retailer of natural stone and man-made tiles, accessories, and related materials in the United States.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the COVID-19 Pandemic</w:t>
      </w:r>
    </w:p>
    <w:p>
      <w:pPr>
        <w:spacing w:after="0" w:line="175" w:lineRule="exact"/>
        <w:rPr>
          <w:sz w:val="20"/>
          <w:szCs w:val="20"/>
          <w:color w:val="auto"/>
        </w:rPr>
      </w:pPr>
    </w:p>
    <w:p>
      <w:pPr>
        <w:ind w:right="40"/>
        <w:spacing w:after="0" w:line="246" w:lineRule="auto"/>
        <w:rPr>
          <w:sz w:val="20"/>
          <w:szCs w:val="20"/>
          <w:color w:val="auto"/>
        </w:rPr>
      </w:pPr>
      <w:r>
        <w:rPr>
          <w:rFonts w:ascii="Arial" w:cs="Arial" w:eastAsia="Arial" w:hAnsi="Arial"/>
          <w:sz w:val="17"/>
          <w:szCs w:val="17"/>
          <w:color w:val="auto"/>
        </w:rPr>
        <w:t>The COVID-19 pandemic has impacted, and is likely to continue impacting, our operations. As previously announced, our sales and traffic decreased by approximately 50% during the weeks immediately following the end of the first quarter of 2020 when compared to the same period in 2019. As shelter in place orders started to ease throughout the quarter, our traffic and sales started to recover. The proliferation of COVID-19 across the world has also resulted in supply chain disruptions, as a number of our suppliers have been adversely impacted by restrictions placed on their operations.</w:t>
      </w:r>
    </w:p>
    <w:p>
      <w:pPr>
        <w:spacing w:after="0" w:line="144"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color w:val="auto"/>
        </w:rPr>
        <w:t>Following the onset of COVID-19, we took immediate steps to curtail operating expenses. These activities included workforce reductions, the suspension of incentive compensation programs, salaried employee wage reductions, and adjustments to the number of replenishment trucks sent from our distribution centers to our stores. These cost savings measures, combined with a lower level of variable selling expenses, resulted in a $13.4 million reduction in selling, general and administrative (“SG&amp;A”) expenses during the second quarter of 2020 when compared to the second quarter of 2019.</w:t>
      </w:r>
    </w:p>
    <w:p>
      <w:pPr>
        <w:spacing w:after="0" w:line="129"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Additionally, we took actions to conserve cash by limiting inventory purchases, cutting anticipated spending on capital projects, and negotiating rent deferrals with our landlords. These actions contributed to the cash generating activities that enabled us to reduce our debt balance by $15.5 million during the second quarter of 2020.</w:t>
      </w:r>
    </w:p>
    <w:p>
      <w:pPr>
        <w:spacing w:after="0" w:line="148" w:lineRule="exact"/>
        <w:rPr>
          <w:sz w:val="20"/>
          <w:szCs w:val="20"/>
          <w:color w:val="auto"/>
        </w:rPr>
      </w:pPr>
    </w:p>
    <w:p>
      <w:pPr>
        <w:ind w:right="20"/>
        <w:spacing w:after="0" w:line="256" w:lineRule="auto"/>
        <w:rPr>
          <w:sz w:val="20"/>
          <w:szCs w:val="20"/>
          <w:color w:val="auto"/>
        </w:rPr>
      </w:pPr>
      <w:r>
        <w:rPr>
          <w:rFonts w:ascii="Arial" w:cs="Arial" w:eastAsia="Arial" w:hAnsi="Arial"/>
          <w:sz w:val="16"/>
          <w:szCs w:val="16"/>
          <w:color w:val="auto"/>
        </w:rPr>
        <w:t>While we are cautiously optimistic that we will continue to benefit from improved traffic and sales trends, the recent escalation of COVID-19 cases across many of the markets we serve could have a negative impact on our business. Specifically, we could be adversely impacted by limitations on our employees to perform their work due to illness caused by the pandemic or local, state, or federal orders requiring our stores to close or employees to remain at home; limitation of carriers to deliver our products to our customers; limitations on the ability of our customers to conduct their business and purchase our products and services; and limitations on the ability of our customers to pay us in a timely manner. These events could have a material, adverse effect on our results of operations, cash flows and liquidity. In addition, even after the COVID-19 pandemic has subsided, we may continue to experience adverse impacts to our business as a result of the economic impact of the pandemic, including any recession that has occurred or may occur in the future.</w:t>
      </w:r>
    </w:p>
    <w:p>
      <w:pPr>
        <w:spacing w:after="0" w:line="138" w:lineRule="exact"/>
        <w:rPr>
          <w:sz w:val="20"/>
          <w:szCs w:val="20"/>
          <w:color w:val="auto"/>
        </w:rPr>
      </w:pPr>
    </w:p>
    <w:p>
      <w:pPr>
        <w:spacing w:after="0" w:line="246" w:lineRule="auto"/>
        <w:rPr>
          <w:sz w:val="20"/>
          <w:szCs w:val="20"/>
          <w:color w:val="auto"/>
        </w:rPr>
      </w:pPr>
      <w:r>
        <w:rPr>
          <w:rFonts w:ascii="Arial" w:cs="Arial" w:eastAsia="Arial" w:hAnsi="Arial"/>
          <w:sz w:val="17"/>
          <w:szCs w:val="17"/>
          <w:color w:val="auto"/>
        </w:rPr>
        <w:t>Our Credit Agreement with Bank of America, N.A., Fifth Third Bank, and Citizen’s Bank (the “Credit Agreement”) provides us with a senior credit facility consisting of a $100.0 million revolving line of credit through September 18, 2023. Borrowings outstanding consisted of $22.0 million on the revolving line of credit as of June 30, 2020. The Credit Agreement includes financial and other covenants, including covenants to maintain certain fixed charge ratios and consolidated total rent adjusted leverage ratios. We were in compliance with the covenants as of June 30, 2020.</w:t>
      </w:r>
    </w:p>
    <w:p>
      <w:pPr>
        <w:spacing w:after="0" w:line="144"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Prior to the outbreak of the COVID-19 pandemic in the United States, we believed that we had the ability to comply with the financial covenants under the Credit Agreement over the next twelve months; however, given the uncertainty surrounding the COVID-19 pandemic, there can be no assurances as to our ability to do so. If the escalation of COVID-19 cases results in a decline in sales and traffic similar to what we experienced during the initial weeks of the second quarter of 2020, it is likely that we will be unable to comply with certain covenants (such as the leverage ratio) in the Credit Agreement. Under the terms of the Credit Agreement, the lenders could call our debt in advance of its maturity in the event of default. If an event of default were to occur, we anticipate we would enter into discussions with the lenders to waive the event of default. Failure to obtain such a waiver or refinance the debt if such an event were to occur would have a material adverse effect on our liquidity, financial condition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June 2020 Quarter Financial Overview</w:t>
      </w:r>
    </w:p>
    <w:p>
      <w:pPr>
        <w:spacing w:after="0" w:line="175" w:lineRule="exact"/>
        <w:rPr>
          <w:sz w:val="20"/>
          <w:szCs w:val="20"/>
          <w:color w:val="auto"/>
        </w:rPr>
      </w:pPr>
    </w:p>
    <w:p>
      <w:pPr>
        <w:spacing w:after="0" w:line="250" w:lineRule="auto"/>
        <w:rPr>
          <w:sz w:val="20"/>
          <w:szCs w:val="20"/>
          <w:color w:val="auto"/>
        </w:rPr>
      </w:pPr>
      <w:r>
        <w:rPr>
          <w:rFonts w:ascii="Arial" w:cs="Arial" w:eastAsia="Arial" w:hAnsi="Arial"/>
          <w:sz w:val="16"/>
          <w:szCs w:val="16"/>
          <w:color w:val="auto"/>
        </w:rPr>
        <w:t>For the three months ended June 30, 2020 and 2019, we reported net sales of $67.7 million and $88.9 million, respectively. The decrease in sales for the three months ended June 30, 2020 compared to the three months ended June 30, 2019 was primarily due to a decrease in traffic during the second quarter of 2020 following the onset of COVID-19 in the United States. Comparable store sales for the three months ended June 30, 2020 decreased 24.7%. Sales contributions from stores not included in the comparable store base increased $0.6 million during the three-month period ended June 30, 2020. Traffic and sales decreased approximately 50% during the weeks immediately following the end of the first quarter of 2020 when compared to the same period in</w:t>
      </w:r>
    </w:p>
    <w:p>
      <w:pPr>
        <w:spacing w:after="0" w:line="3" w:lineRule="exact"/>
        <w:rPr>
          <w:sz w:val="20"/>
          <w:szCs w:val="20"/>
          <w:color w:val="auto"/>
        </w:rPr>
      </w:pPr>
    </w:p>
    <w:p>
      <w:pPr>
        <w:jc w:val="both"/>
        <w:ind w:right="340"/>
        <w:spacing w:after="0" w:line="228" w:lineRule="auto"/>
        <w:rPr>
          <w:sz w:val="20"/>
          <w:szCs w:val="20"/>
          <w:color w:val="auto"/>
        </w:rPr>
      </w:pPr>
      <w:r>
        <w:rPr>
          <w:rFonts w:ascii="Arial" w:cs="Arial" w:eastAsia="Arial" w:hAnsi="Arial"/>
          <w:sz w:val="18"/>
          <w:szCs w:val="18"/>
          <w:color w:val="auto"/>
        </w:rPr>
        <w:t>2019. As shelter in place orders started to ease throughout the second quarter of 2020, our traffic and sales started to recover. While traffic trends have improved since the beginning of the second quarter of 2020, our traffic is still lower than during the comparable period in 2019 in the first weeks of the third quarter of 2020.</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0" w:name="page21"/>
    <w:bookmarkEnd w:id="2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6"/>
          <w:szCs w:val="16"/>
          <w:color w:val="auto"/>
        </w:rPr>
        <w:t>The table below sets forth information about our comparable store sales growth (decline) for the three and six months ended June 30, 2020 and 2019.</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580" w:type="dxa"/>
            <w:vAlign w:val="bottom"/>
          </w:tcPr>
          <w:p>
            <w:pPr>
              <w:spacing w:after="0"/>
              <w:rPr>
                <w:sz w:val="17"/>
                <w:szCs w:val="17"/>
                <w:color w:val="auto"/>
              </w:rPr>
            </w:pPr>
          </w:p>
        </w:tc>
        <w:tc>
          <w:tcPr>
            <w:tcW w:w="2500" w:type="dxa"/>
            <w:vAlign w:val="bottom"/>
            <w:gridSpan w:val="5"/>
          </w:tcPr>
          <w:p>
            <w:pPr>
              <w:jc w:val="center"/>
              <w:ind w:right="140"/>
              <w:spacing w:after="0"/>
              <w:rPr>
                <w:sz w:val="20"/>
                <w:szCs w:val="20"/>
                <w:color w:val="auto"/>
              </w:rPr>
            </w:pPr>
            <w:r>
              <w:rPr>
                <w:rFonts w:ascii="Arial" w:cs="Arial" w:eastAsia="Arial" w:hAnsi="Arial"/>
                <w:sz w:val="18"/>
                <w:szCs w:val="18"/>
                <w:color w:val="auto"/>
                <w:w w:val="88"/>
              </w:rPr>
              <w:t>For the three months ended</w:t>
            </w:r>
          </w:p>
        </w:tc>
        <w:tc>
          <w:tcPr>
            <w:tcW w:w="2160" w:type="dxa"/>
            <w:vAlign w:val="bottom"/>
            <w:gridSpan w:val="4"/>
          </w:tcPr>
          <w:p>
            <w:pPr>
              <w:jc w:val="center"/>
              <w:spacing w:after="0"/>
              <w:rPr>
                <w:sz w:val="20"/>
                <w:szCs w:val="20"/>
                <w:color w:val="auto"/>
              </w:rPr>
            </w:pPr>
            <w:r>
              <w:rPr>
                <w:rFonts w:ascii="Arial" w:cs="Arial" w:eastAsia="Arial" w:hAnsi="Arial"/>
                <w:sz w:val="18"/>
                <w:szCs w:val="18"/>
                <w:color w:val="auto"/>
                <w:w w:val="88"/>
              </w:rPr>
              <w:t>For the six months ended</w:t>
            </w:r>
          </w:p>
        </w:tc>
      </w:tr>
      <w:tr>
        <w:trPr>
          <w:trHeight w:val="217"/>
        </w:trPr>
        <w:tc>
          <w:tcPr>
            <w:tcW w:w="6580" w:type="dxa"/>
            <w:vAlign w:val="bottom"/>
          </w:tcPr>
          <w:p>
            <w:pPr>
              <w:spacing w:after="0"/>
              <w:rPr>
                <w:sz w:val="18"/>
                <w:szCs w:val="18"/>
                <w:color w:val="auto"/>
              </w:rPr>
            </w:pPr>
          </w:p>
        </w:tc>
        <w:tc>
          <w:tcPr>
            <w:tcW w:w="1580" w:type="dxa"/>
            <w:vAlign w:val="bottom"/>
            <w:tcBorders>
              <w:bottom w:val="single" w:sz="8" w:color="auto"/>
            </w:tcBorders>
            <w:gridSpan w:val="3"/>
          </w:tcPr>
          <w:p>
            <w:pPr>
              <w:jc w:val="center"/>
              <w:ind w:left="690"/>
              <w:spacing w:after="0"/>
              <w:rPr>
                <w:sz w:val="20"/>
                <w:szCs w:val="20"/>
                <w:color w:val="auto"/>
              </w:rPr>
            </w:pPr>
            <w:r>
              <w:rPr>
                <w:rFonts w:ascii="Arial" w:cs="Arial" w:eastAsia="Arial" w:hAnsi="Arial"/>
                <w:sz w:val="18"/>
                <w:szCs w:val="18"/>
                <w:color w:val="auto"/>
                <w:w w:val="86"/>
              </w:rPr>
              <w:t>June 30,</w:t>
            </w:r>
          </w:p>
        </w:tc>
        <w:tc>
          <w:tcPr>
            <w:tcW w:w="78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color w:val="auto"/>
                <w:w w:val="86"/>
              </w:rPr>
              <w:t>June 30,</w:t>
            </w:r>
          </w:p>
        </w:tc>
        <w:tc>
          <w:tcPr>
            <w:tcW w:w="740" w:type="dxa"/>
            <w:vAlign w:val="bottom"/>
            <w:tcBorders>
              <w:bottom w:val="single" w:sz="8" w:color="auto"/>
            </w:tcBorders>
          </w:tcPr>
          <w:p>
            <w:pPr>
              <w:spacing w:after="0"/>
              <w:rPr>
                <w:sz w:val="18"/>
                <w:szCs w:val="18"/>
                <w:color w:val="auto"/>
              </w:rPr>
            </w:pPr>
          </w:p>
        </w:tc>
      </w:tr>
      <w:tr>
        <w:trPr>
          <w:trHeight w:val="183"/>
        </w:trPr>
        <w:tc>
          <w:tcPr>
            <w:tcW w:w="658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tcPr>
          <w:p>
            <w:pPr>
              <w:jc w:val="right"/>
              <w:ind w:right="330"/>
              <w:spacing w:after="0" w:line="182" w:lineRule="exact"/>
              <w:rPr>
                <w:sz w:val="20"/>
                <w:szCs w:val="20"/>
                <w:color w:val="auto"/>
              </w:rPr>
            </w:pPr>
            <w:r>
              <w:rPr>
                <w:rFonts w:ascii="Arial" w:cs="Arial" w:eastAsia="Arial" w:hAnsi="Arial"/>
                <w:sz w:val="18"/>
                <w:szCs w:val="18"/>
                <w:color w:val="auto"/>
              </w:rPr>
              <w:t>2020</w:t>
            </w:r>
          </w:p>
        </w:tc>
        <w:tc>
          <w:tcPr>
            <w:tcW w:w="1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0"/>
              <w:spacing w:after="0" w:line="182" w:lineRule="exact"/>
              <w:rPr>
                <w:sz w:val="20"/>
                <w:szCs w:val="20"/>
                <w:color w:val="auto"/>
              </w:rPr>
            </w:pPr>
            <w:r>
              <w:rPr>
                <w:rFonts w:ascii="Arial" w:cs="Arial" w:eastAsia="Arial" w:hAnsi="Arial"/>
                <w:sz w:val="18"/>
                <w:szCs w:val="18"/>
                <w:color w:val="auto"/>
              </w:rPr>
              <w:t>2019</w:t>
            </w:r>
          </w:p>
        </w:tc>
        <w:tc>
          <w:tcPr>
            <w:tcW w:w="14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rPr>
              <w:t>2020</w:t>
            </w:r>
          </w:p>
        </w:tc>
        <w:tc>
          <w:tcPr>
            <w:tcW w:w="12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230"/>
              <w:spacing w:after="0" w:line="182" w:lineRule="exact"/>
              <w:rPr>
                <w:sz w:val="20"/>
                <w:szCs w:val="20"/>
                <w:color w:val="auto"/>
              </w:rPr>
            </w:pPr>
            <w:r>
              <w:rPr>
                <w:rFonts w:ascii="Arial" w:cs="Arial" w:eastAsia="Arial" w:hAnsi="Arial"/>
                <w:sz w:val="18"/>
                <w:szCs w:val="18"/>
                <w:color w:val="auto"/>
                <w:w w:val="99"/>
              </w:rPr>
              <w:t>2019</w:t>
            </w:r>
          </w:p>
        </w:tc>
      </w:tr>
      <w:tr>
        <w:trPr>
          <w:trHeight w:val="183"/>
        </w:trPr>
        <w:tc>
          <w:tcPr>
            <w:tcW w:w="6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Comparable store sales growth (decline)</w:t>
            </w:r>
          </w:p>
        </w:tc>
        <w:tc>
          <w:tcPr>
            <w:tcW w:w="118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rPr>
              <w:t>(24.7)%</w:t>
            </w:r>
          </w:p>
        </w:tc>
        <w:tc>
          <w:tcPr>
            <w:tcW w:w="1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(4.2)%</w:t>
            </w:r>
          </w:p>
        </w:tc>
        <w:tc>
          <w:tcPr>
            <w:tcW w:w="14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(9.2)%</w:t>
            </w:r>
          </w:p>
        </w:tc>
        <w:tc>
          <w:tcPr>
            <w:tcW w:w="1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(4.2)%</w:t>
            </w:r>
          </w:p>
        </w:tc>
      </w:tr>
    </w:tbl>
    <w:p>
      <w:pPr>
        <w:spacing w:after="0" w:line="161" w:lineRule="exact"/>
        <w:rPr>
          <w:sz w:val="20"/>
          <w:szCs w:val="20"/>
          <w:color w:val="auto"/>
        </w:rPr>
      </w:pPr>
    </w:p>
    <w:p>
      <w:pPr>
        <w:jc w:val="both"/>
        <w:ind w:right="140"/>
        <w:spacing w:after="0" w:line="231" w:lineRule="auto"/>
        <w:rPr>
          <w:sz w:val="20"/>
          <w:szCs w:val="20"/>
          <w:color w:val="auto"/>
        </w:rPr>
      </w:pPr>
      <w:r>
        <w:rPr>
          <w:rFonts w:ascii="Arial" w:cs="Arial" w:eastAsia="Arial" w:hAnsi="Arial"/>
          <w:sz w:val="18"/>
          <w:szCs w:val="18"/>
          <w:color w:val="auto"/>
        </w:rPr>
        <w:t>For the three months ended June 30, 2020 and 2019, we reported gross profit of $45.4 million and $61.4 million, respectively. The gross margin rate was 67.1% and 69.0% for the three months ended June 30, 2020 and 2019, respectively. The decrease in gross margin rate was primarily driven by an increase in cost of products sold and a higher mix of freight delivery services rendered to our customers during the three months ended June 30, 2020 compared to the three months ended June 30, 2019.</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For the three months ended June 30, 2020 and 2019, we reported a loss from operations of $1.8 million and income from operations of $0.8 million, respectively. The decrease in income from operations was primarily driven by a lower level of sales and gross margin, which was partially offset by a $13.4 million reduction in SG&amp;A expenses during the three months ended June 30, 2020 when compared to the same period in 2019. The decrease in SG&amp;A expenses was primarily due to a $8.1 million reduction in compensation and benefits due to lower variable compensation costs and headcount reductions made following the onset of COVID-19. Additionally, decreases in advertising expenses totaling $1.7 million and a reduction in replenishment trucks sent from our distribution centers to our stores resulting in a $1.3 million reduction in transportation costs contributed to the lower level of SG&amp;A expenses during the three months ended June 30, 2020.</w:t>
      </w:r>
    </w:p>
    <w:p>
      <w:pPr>
        <w:spacing w:after="0" w:line="154"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color w:val="auto"/>
        </w:rPr>
        <w:t>Net cash provided by operating activities was $41.0 million and $22.0 million for the six months ended June 30, 2020 and 2019, respectively. The operating cash flows generated during the six months ended June 30, 2020 were used primarily to sustain operations and reduce the Company’s debt balance by $41.0 million.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our Consolidated Statements of Operations</w:t>
      </w:r>
    </w:p>
    <w:p>
      <w:pPr>
        <w:spacing w:after="0" w:line="175" w:lineRule="exact"/>
        <w:rPr>
          <w:sz w:val="20"/>
          <w:szCs w:val="20"/>
          <w:color w:val="auto"/>
        </w:rPr>
      </w:pPr>
    </w:p>
    <w:p>
      <w:pPr>
        <w:ind w:right="20"/>
        <w:spacing w:after="0" w:line="26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 Net sales represents total charges to customers, net of returns, and includes freight charged to customers. We recognize sales at the time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customer takes control of the merchandise or final delivery of the product has occurred. We are required to charge and collect sales and other taxes on sales to our customers and remit these taxes back to government authorities. Total revenues do not include sales tax because we are a pass-through conduit for collecting and remitting sales tax. Sales are reduced by a reserve for anticipated sales returns that we estimate based on historical returns.</w:t>
      </w:r>
    </w:p>
    <w:p>
      <w:pPr>
        <w:spacing w:after="0" w:line="129" w:lineRule="exact"/>
        <w:rPr>
          <w:sz w:val="20"/>
          <w:szCs w:val="20"/>
          <w:color w:val="auto"/>
        </w:rPr>
      </w:pPr>
    </w:p>
    <w:p>
      <w:pPr>
        <w:spacing w:after="0" w:line="239" w:lineRule="auto"/>
        <w:rPr>
          <w:sz w:val="20"/>
          <w:szCs w:val="20"/>
          <w:color w:val="auto"/>
        </w:rPr>
      </w:pPr>
      <w:r>
        <w:rPr>
          <w:rFonts w:ascii="Arial" w:cs="Arial" w:eastAsia="Arial" w:hAnsi="Arial"/>
          <w:sz w:val="17"/>
          <w:szCs w:val="17"/>
          <w:color w:val="auto"/>
        </w:rPr>
        <w:t>The comparable store sales operating metric is the percentage change in sales of comparable stores period-over-period. A store is considered comparable on the first day of the 13th full month of operation. When a store is relocated, it is excluded from the comparable store sales calculation. Comparable store sales includes total charges to customers less any actual returns. We include the change in allowance for anticipated sales returns applicable to comparable stores in the comparable store sales calculation. Comparable store sales data reported by other companies may be prepared on a different basis and therefore may not be useful for purposes of comparing our results to those of other businesses. Company management believes the comparable store sales operating metric provides useful information to both management and investors to evaluate the Company’s performance, the effectiveness of its strategy and its competitive position.</w:t>
      </w:r>
    </w:p>
    <w:p>
      <w:pPr>
        <w:spacing w:after="0" w:line="149"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b w:val="1"/>
          <w:bCs w:val="1"/>
          <w:i w:val="1"/>
          <w:iCs w:val="1"/>
          <w:color w:val="auto"/>
        </w:rPr>
        <w:t xml:space="preserve">Cost of Sales </w:t>
      </w:r>
      <w:r>
        <w:rPr>
          <w:rFonts w:ascii="Arial" w:cs="Arial" w:eastAsia="Arial" w:hAnsi="Arial"/>
          <w:sz w:val="18"/>
          <w:szCs w:val="18"/>
          <w:color w:val="auto"/>
        </w:rPr>
        <w:t>– Cost of sales consists primarily of material costs, freight, customs and duties fees, and storage and delivery of product to the customers,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well as physical inventory losses and costs associated with manufacturing of setting and maintenance materials.</w:t>
      </w:r>
    </w:p>
    <w:p>
      <w:pPr>
        <w:spacing w:after="0" w:line="143" w:lineRule="exact"/>
        <w:rPr>
          <w:sz w:val="20"/>
          <w:szCs w:val="20"/>
          <w:color w:val="auto"/>
        </w:rPr>
      </w:pPr>
    </w:p>
    <w:p>
      <w:pPr>
        <w:ind w:right="1780"/>
        <w:spacing w:after="0" w:line="246" w:lineRule="auto"/>
        <w:rPr>
          <w:sz w:val="20"/>
          <w:szCs w:val="20"/>
          <w:color w:val="auto"/>
        </w:rPr>
      </w:pPr>
      <w:r>
        <w:rPr>
          <w:rFonts w:ascii="Arial" w:cs="Arial" w:eastAsia="Arial" w:hAnsi="Arial"/>
          <w:sz w:val="18"/>
          <w:szCs w:val="18"/>
          <w:b w:val="1"/>
          <w:bCs w:val="1"/>
          <w:i w:val="1"/>
          <w:iCs w:val="1"/>
          <w:color w:val="auto"/>
        </w:rPr>
        <w:t xml:space="preserve">Gross Profit </w:t>
      </w:r>
      <w:r>
        <w:rPr>
          <w:rFonts w:ascii="Arial" w:cs="Arial" w:eastAsia="Arial" w:hAnsi="Arial"/>
          <w:sz w:val="18"/>
          <w:szCs w:val="18"/>
          <w:color w:val="auto"/>
        </w:rPr>
        <w:t>– Gross profit is net sales less cost of sales. Gross margin rate is the percentage determined by dividing gross profit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net sales.</w:t>
      </w:r>
    </w:p>
    <w:p>
      <w:pPr>
        <w:spacing w:after="0" w:line="143" w:lineRule="exact"/>
        <w:rPr>
          <w:sz w:val="20"/>
          <w:szCs w:val="20"/>
          <w:color w:val="auto"/>
        </w:rPr>
      </w:pPr>
    </w:p>
    <w:p>
      <w:pPr>
        <w:ind w:right="280"/>
        <w:spacing w:after="0" w:line="307" w:lineRule="auto"/>
        <w:rPr>
          <w:sz w:val="20"/>
          <w:szCs w:val="20"/>
          <w:color w:val="auto"/>
        </w:rPr>
      </w:pPr>
      <w:r>
        <w:rPr>
          <w:rFonts w:ascii="Arial" w:cs="Arial" w:eastAsia="Arial" w:hAnsi="Arial"/>
          <w:sz w:val="16"/>
          <w:szCs w:val="16"/>
          <w:b w:val="1"/>
          <w:bCs w:val="1"/>
          <w:i w:val="1"/>
          <w:iCs w:val="1"/>
          <w:color w:val="auto"/>
        </w:rPr>
        <w:t xml:space="preserve">Selling, General, and Administrative Expenses </w:t>
      </w:r>
      <w:r>
        <w:rPr>
          <w:rFonts w:ascii="Arial" w:cs="Arial" w:eastAsia="Arial" w:hAnsi="Arial"/>
          <w:sz w:val="16"/>
          <w:szCs w:val="16"/>
          <w:color w:val="auto"/>
        </w:rPr>
        <w:t>– SG&amp;A expenses consist primarily of compensation costs, occupancy, utilities, maintenance costs,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advertising costs, shipping and transportation expenses to move inventory from our distribution centers to our stores, and depreciation and amortization.</w:t>
      </w:r>
    </w:p>
    <w:p>
      <w:pPr>
        <w:spacing w:after="0" w:line="96" w:lineRule="exact"/>
        <w:rPr>
          <w:sz w:val="20"/>
          <w:szCs w:val="20"/>
          <w:color w:val="auto"/>
        </w:rPr>
      </w:pPr>
    </w:p>
    <w:p>
      <w:pPr>
        <w:ind w:right="640"/>
        <w:spacing w:after="0" w:line="235" w:lineRule="auto"/>
        <w:rPr>
          <w:sz w:val="20"/>
          <w:szCs w:val="20"/>
          <w:color w:val="auto"/>
        </w:rPr>
      </w:pPr>
      <w:r>
        <w:rPr>
          <w:rFonts w:ascii="Arial" w:cs="Arial" w:eastAsia="Arial" w:hAnsi="Arial"/>
          <w:sz w:val="18"/>
          <w:szCs w:val="18"/>
          <w:b w:val="1"/>
          <w:bCs w:val="1"/>
          <w:i w:val="1"/>
          <w:iCs w:val="1"/>
          <w:color w:val="auto"/>
        </w:rPr>
        <w:t xml:space="preserve">Pre-opening Costs </w:t>
      </w:r>
      <w:r>
        <w:rPr>
          <w:rFonts w:ascii="Arial" w:cs="Arial" w:eastAsia="Arial" w:hAnsi="Arial"/>
          <w:sz w:val="18"/>
          <w:szCs w:val="18"/>
          <w:color w:val="auto"/>
        </w:rPr>
        <w:t>– Our pre-opening costs are those typically associated with the opening of a new store and generally include rent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compensation costs and promotional costs. We expense pre-opening costs as incurred and include these costs in selling, general, and administrative expenses.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Income Taxes </w:t>
      </w:r>
      <w:r>
        <w:rPr>
          <w:rFonts w:ascii="Arial" w:cs="Arial" w:eastAsia="Arial" w:hAnsi="Arial"/>
          <w:sz w:val="18"/>
          <w:szCs w:val="18"/>
          <w:color w:val="auto"/>
        </w:rPr>
        <w:t>– We are subject to income tax in the United States as well as other tax jurisdictions in which we conduct business.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235"/>
        </w:trPr>
        <w:tc>
          <w:tcPr>
            <w:tcW w:w="5380" w:type="dxa"/>
            <w:vAlign w:val="bottom"/>
            <w:gridSpan w:val="2"/>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b w:val="1"/>
                <w:bCs w:val="1"/>
                <w:color w:val="auto"/>
              </w:rPr>
              <w:t>Results of Operations</w:t>
            </w: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337"/>
        </w:trPr>
        <w:tc>
          <w:tcPr>
            <w:tcW w:w="9960" w:type="dxa"/>
            <w:vAlign w:val="bottom"/>
            <w:gridSpan w:val="12"/>
          </w:tcPr>
          <w:p>
            <w:pPr>
              <w:ind w:left="2020"/>
              <w:spacing w:after="0"/>
              <w:rPr>
                <w:sz w:val="20"/>
                <w:szCs w:val="20"/>
                <w:color w:val="auto"/>
              </w:rPr>
            </w:pPr>
            <w:r>
              <w:rPr>
                <w:rFonts w:ascii="Arial" w:cs="Arial" w:eastAsia="Arial" w:hAnsi="Arial"/>
                <w:sz w:val="18"/>
                <w:szCs w:val="18"/>
                <w:b w:val="1"/>
                <w:bCs w:val="1"/>
                <w:color w:val="auto"/>
                <w:w w:val="97"/>
              </w:rPr>
              <w:t>Comparison of the three months ended June 30, 2020 to the three months ended June 30, 2019</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9"/>
        </w:trPr>
        <w:tc>
          <w:tcPr>
            <w:tcW w:w="2020" w:type="dxa"/>
            <w:vAlign w:val="bottom"/>
          </w:tcPr>
          <w:p>
            <w:pPr>
              <w:spacing w:after="0"/>
              <w:rPr>
                <w:sz w:val="20"/>
                <w:szCs w:val="20"/>
                <w:color w:val="auto"/>
              </w:rPr>
            </w:pPr>
          </w:p>
        </w:tc>
        <w:tc>
          <w:tcPr>
            <w:tcW w:w="336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340" w:type="dxa"/>
            <w:vAlign w:val="bottom"/>
            <w:tcBorders>
              <w:top w:val="single" w:sz="8" w:color="auto"/>
            </w:tcBorders>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54"/>
        </w:trPr>
        <w:tc>
          <w:tcPr>
            <w:tcW w:w="2020" w:type="dxa"/>
            <w:vAlign w:val="bottom"/>
          </w:tcPr>
          <w:p>
            <w:pPr>
              <w:spacing w:after="0"/>
              <w:rPr>
                <w:sz w:val="22"/>
                <w:szCs w:val="22"/>
                <w:color w:val="auto"/>
              </w:rPr>
            </w:pPr>
          </w:p>
        </w:tc>
        <w:tc>
          <w:tcPr>
            <w:tcW w:w="33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2"/>
                <w:szCs w:val="22"/>
                <w:color w:val="auto"/>
              </w:rPr>
            </w:pPr>
          </w:p>
        </w:tc>
        <w:tc>
          <w:tcPr>
            <w:tcW w:w="1500" w:type="dxa"/>
            <w:vAlign w:val="bottom"/>
            <w:gridSpan w:val="3"/>
          </w:tcPr>
          <w:p>
            <w:pPr>
              <w:ind w:left="20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22"/>
                <w:szCs w:val="22"/>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 of sales</w:t>
            </w:r>
          </w:p>
        </w:tc>
      </w:tr>
      <w:tr>
        <w:trPr>
          <w:trHeight w:val="183"/>
        </w:trPr>
        <w:tc>
          <w:tcPr>
            <w:tcW w:w="53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67,730</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88,903</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r>
      <w:tr>
        <w:trPr>
          <w:trHeight w:val="189"/>
        </w:trPr>
        <w:tc>
          <w:tcPr>
            <w:tcW w:w="53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22,316</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32.9</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27,543</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31.0</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45,414</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67.1</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61,360</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69.0</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47,208</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69.7</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60,562</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68.1</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2"/>
        </w:trPr>
        <w:tc>
          <w:tcPr>
            <w:tcW w:w="53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(Loss) 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(1,794)</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(2.6)</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798</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0.9</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(559)</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(0.8)%</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(943)</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(1.1)%</w:t>
            </w:r>
          </w:p>
        </w:tc>
      </w:tr>
      <w:tr>
        <w:trPr>
          <w:trHeight w:val="189"/>
        </w:trPr>
        <w:tc>
          <w:tcPr>
            <w:tcW w:w="5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320" w:type="dxa"/>
            <w:vAlign w:val="bottom"/>
            <w:tcBorders>
              <w:bottom w:val="single" w:sz="8" w:color="auto"/>
            </w:tcBorders>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0.0 %</w:t>
            </w:r>
          </w:p>
        </w:tc>
      </w:tr>
      <w:tr>
        <w:trPr>
          <w:trHeight w:val="183"/>
        </w:trPr>
        <w:tc>
          <w:tcPr>
            <w:tcW w:w="5380" w:type="dxa"/>
            <w:vAlign w:val="bottom"/>
            <w:gridSpan w:val="2"/>
          </w:tcPr>
          <w:p>
            <w:pPr>
              <w:spacing w:after="0" w:line="182" w:lineRule="exact"/>
              <w:rPr>
                <w:sz w:val="20"/>
                <w:szCs w:val="20"/>
                <w:color w:val="auto"/>
              </w:rPr>
            </w:pPr>
            <w:r>
              <w:rPr>
                <w:rFonts w:ascii="Arial" w:cs="Arial" w:eastAsia="Arial" w:hAnsi="Arial"/>
                <w:sz w:val="18"/>
                <w:szCs w:val="18"/>
                <w:color w:val="auto"/>
              </w:rPr>
              <w:t>Loss before income taxes</w:t>
            </w:r>
          </w:p>
        </w:tc>
        <w:tc>
          <w:tcPr>
            <w:tcW w:w="30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(2,353)</w:t>
            </w:r>
          </w:p>
        </w:tc>
        <w:tc>
          <w:tcPr>
            <w:tcW w:w="160" w:type="dxa"/>
            <w:vAlign w:val="bottom"/>
          </w:tcPr>
          <w:p>
            <w:pPr>
              <w:spacing w:after="0"/>
              <w:rPr>
                <w:sz w:val="15"/>
                <w:szCs w:val="15"/>
                <w:color w:val="auto"/>
              </w:rPr>
            </w:pPr>
          </w:p>
        </w:tc>
        <w:tc>
          <w:tcPr>
            <w:tcW w:w="980" w:type="dxa"/>
            <w:vAlign w:val="bottom"/>
          </w:tcPr>
          <w:p>
            <w:pPr>
              <w:jc w:val="right"/>
              <w:spacing w:after="0" w:line="182" w:lineRule="exact"/>
              <w:rPr>
                <w:sz w:val="20"/>
                <w:szCs w:val="20"/>
                <w:color w:val="auto"/>
              </w:rPr>
            </w:pPr>
            <w:r>
              <w:rPr>
                <w:rFonts w:ascii="Arial" w:cs="Arial" w:eastAsia="Arial" w:hAnsi="Arial"/>
                <w:sz w:val="18"/>
                <w:szCs w:val="18"/>
                <w:color w:val="auto"/>
              </w:rPr>
              <w:t>(3.5)</w:t>
            </w:r>
          </w:p>
        </w:tc>
        <w:tc>
          <w:tcPr>
            <w:tcW w:w="340" w:type="dxa"/>
            <w:vAlign w:val="bottom"/>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(143)</w:t>
            </w:r>
          </w:p>
        </w:tc>
        <w:tc>
          <w:tcPr>
            <w:tcW w:w="1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(0.2)</w:t>
            </w:r>
          </w:p>
        </w:tc>
        <w:tc>
          <w:tcPr>
            <w:tcW w:w="32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1,593</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2.4</w:t>
            </w:r>
          </w:p>
        </w:tc>
        <w:tc>
          <w:tcPr>
            <w:tcW w:w="3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(11)</w:t>
            </w:r>
          </w:p>
        </w:tc>
        <w:tc>
          <w:tcPr>
            <w:tcW w:w="128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(0.0)%</w:t>
            </w:r>
          </w:p>
        </w:tc>
      </w:tr>
      <w:tr>
        <w:trPr>
          <w:trHeight w:val="183"/>
        </w:trPr>
        <w:tc>
          <w:tcPr>
            <w:tcW w:w="5380" w:type="dxa"/>
            <w:vAlign w:val="bottom"/>
            <w:gridSpan w:val="2"/>
          </w:tcPr>
          <w:p>
            <w:pPr>
              <w:spacing w:after="0" w:line="182" w:lineRule="exact"/>
              <w:rPr>
                <w:sz w:val="20"/>
                <w:szCs w:val="20"/>
                <w:color w:val="auto"/>
              </w:rPr>
            </w:pPr>
            <w:r>
              <w:rPr>
                <w:rFonts w:ascii="Arial" w:cs="Arial" w:eastAsia="Arial" w:hAnsi="Arial"/>
                <w:sz w:val="18"/>
                <w:szCs w:val="18"/>
                <w:color w:val="auto"/>
              </w:rPr>
              <w:t>Net loss</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(760)</w:t>
            </w:r>
          </w:p>
        </w:tc>
        <w:tc>
          <w:tcPr>
            <w:tcW w:w="16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(1.1)</w:t>
            </w:r>
          </w:p>
        </w:tc>
        <w:tc>
          <w:tcPr>
            <w:tcW w:w="340" w:type="dxa"/>
            <w:vAlign w:val="bottom"/>
            <w:tcBorders>
              <w:top w:val="single" w:sz="8" w:color="auto"/>
              <w:bottom w:val="single" w:sz="8" w:color="auto"/>
            </w:tcBorders>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60"/>
              <w:spacing w:after="0" w:line="182" w:lineRule="exact"/>
              <w:rPr>
                <w:sz w:val="20"/>
                <w:szCs w:val="20"/>
                <w:color w:val="auto"/>
              </w:rPr>
            </w:pPr>
            <w:r>
              <w:rPr>
                <w:rFonts w:ascii="Arial" w:cs="Arial" w:eastAsia="Arial" w:hAnsi="Arial"/>
                <w:sz w:val="18"/>
                <w:szCs w:val="18"/>
                <w:color w:val="auto"/>
              </w:rPr>
              <w:t>(154)</w:t>
            </w:r>
          </w:p>
        </w:tc>
        <w:tc>
          <w:tcPr>
            <w:tcW w:w="160" w:type="dxa"/>
            <w:vAlign w:val="bottom"/>
          </w:tcPr>
          <w:p>
            <w:pPr>
              <w:spacing w:after="0"/>
              <w:rPr>
                <w:sz w:val="15"/>
                <w:szCs w:val="15"/>
                <w:color w:val="auto"/>
              </w:rPr>
            </w:pPr>
          </w:p>
        </w:tc>
        <w:tc>
          <w:tcPr>
            <w:tcW w:w="96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(0.2)</w:t>
            </w:r>
          </w:p>
        </w:tc>
        <w:tc>
          <w:tcPr>
            <w:tcW w:w="320" w:type="dxa"/>
            <w:vAlign w:val="bottom"/>
            <w:tcBorders>
              <w:top w:val="single" w:sz="8" w:color="auto"/>
              <w:bottom w:val="single" w:sz="8" w:color="auto"/>
            </w:tcBorders>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20"/>
        </w:trPr>
        <w:tc>
          <w:tcPr>
            <w:tcW w:w="20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 w:lineRule="exact"/>
        <w:rPr>
          <w:sz w:val="20"/>
          <w:szCs w:val="20"/>
          <w:color w:val="auto"/>
        </w:rPr>
      </w:pPr>
    </w:p>
    <w:p>
      <w:pPr>
        <w:ind w:left="40"/>
        <w:spacing w:after="0"/>
        <w:rPr>
          <w:sz w:val="20"/>
          <w:szCs w:val="20"/>
          <w:color w:val="auto"/>
        </w:rPr>
      </w:pPr>
      <w:r>
        <w:rPr>
          <w:rFonts w:ascii="Arial" w:cs="Arial" w:eastAsia="Arial" w:hAnsi="Arial"/>
          <w:sz w:val="29"/>
          <w:szCs w:val="29"/>
          <w:color w:val="auto"/>
          <w:vertAlign w:val="superscript"/>
        </w:rPr>
        <w:t>(1)</w:t>
      </w:r>
      <w:r>
        <w:rPr>
          <w:rFonts w:ascii="Arial" w:cs="Arial" w:eastAsia="Arial" w:hAnsi="Arial"/>
          <w:sz w:val="18"/>
          <w:szCs w:val="18"/>
          <w:color w:val="auto"/>
        </w:rPr>
        <w:t xml:space="preserve"> Amounts do not foot due to rounding.</w:t>
      </w:r>
    </w:p>
    <w:p>
      <w:pPr>
        <w:spacing w:after="0" w:line="81"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b w:val="1"/>
          <w:bCs w:val="1"/>
          <w:i w:val="1"/>
          <w:iCs w:val="1"/>
          <w:color w:val="auto"/>
        </w:rPr>
        <w:t xml:space="preserve">Net Sales </w:t>
      </w:r>
      <w:r>
        <w:rPr>
          <w:rFonts w:ascii="Arial" w:cs="Arial" w:eastAsia="Arial" w:hAnsi="Arial"/>
          <w:sz w:val="16"/>
          <w:szCs w:val="16"/>
          <w:color w:val="auto"/>
        </w:rPr>
        <w:t>Net sales for the second quarter of 2020 decreased $21.2 million, or 23.8%, compared with the second quarter of 2019, primarily due to a $21.8</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million decrease in net sales generated by comparable stores. The decrease in sales at comparable stores for the three months ended June 30, 2020 was primarily due to a decrease in traffic following the onset of COVID-19 in the United States. Sales generated by stores not included in the comparable store base increased $0.6 million during the three months ended June 30, 2020 compared to the three months ended June 30, 2019.</w:t>
      </w:r>
    </w:p>
    <w:p>
      <w:pPr>
        <w:spacing w:after="0" w:line="129" w:lineRule="exact"/>
        <w:rPr>
          <w:sz w:val="20"/>
          <w:szCs w:val="20"/>
          <w:color w:val="auto"/>
        </w:rPr>
      </w:pPr>
    </w:p>
    <w:p>
      <w:pPr>
        <w:jc w:val="both"/>
        <w:ind w:right="80"/>
        <w:spacing w:after="0" w:line="27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second quarter of 2020 decreased $15.9 million, or 26.0%, compared with the second quarter of 2019 primarily due to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decrease in net sales. The gross margin rate was 67.1% and 69.0% for the three months ended June 30, 2020 and 2019, respectively. The decrease in gross margin rate was primarily driven by an increase in cost of products sold and a higher mix of delivery services rendered during the quarter.</w:t>
      </w:r>
    </w:p>
    <w:p>
      <w:pPr>
        <w:spacing w:after="0" w:line="121" w:lineRule="exact"/>
        <w:rPr>
          <w:sz w:val="20"/>
          <w:szCs w:val="20"/>
          <w:color w:val="auto"/>
        </w:rPr>
      </w:pPr>
    </w:p>
    <w:p>
      <w:pPr>
        <w:ind w:right="100"/>
        <w:spacing w:after="0"/>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SG&amp;A expenses for the second quarter of 2020 decreased $13.4 million, or 22.1%, compared with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second quarter of 2019. The decrease in SG&amp;A expenses was primarily due to a $8.1 million reduction in compensation and benefits due to lower variable compensation costs and headcount reductions made following the onset of COVID-19. Additionally, decreases in advertising expenses totaling $1.7 million and a reduction in replenishment trucks sent from our distribution centers to our stores resulting in a $1.3 million reduction in transportation costs contributed to the lower level of SG&amp;A expenses during the three months ended June 30, 2020. Legal expenses incurred in connection with shareholder litigation during the three months ended June 30, 2020 totaled $0.2 million.</w:t>
      </w:r>
    </w:p>
    <w:p>
      <w:pPr>
        <w:spacing w:after="0" w:line="150" w:lineRule="exact"/>
        <w:rPr>
          <w:sz w:val="20"/>
          <w:szCs w:val="20"/>
          <w:color w:val="auto"/>
        </w:rPr>
      </w:pPr>
    </w:p>
    <w:p>
      <w:pPr>
        <w:ind w:right="46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$0.6 million and $0.9 million for the second quarter of 2020 and 2019, respectively. The decrease was due to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lower average debt balance and lower interest rates during the second quarter of 2020.</w:t>
      </w:r>
    </w:p>
    <w:p>
      <w:pPr>
        <w:spacing w:after="0" w:line="143" w:lineRule="exact"/>
        <w:rPr>
          <w:sz w:val="20"/>
          <w:szCs w:val="20"/>
          <w:color w:val="auto"/>
        </w:rPr>
      </w:pPr>
    </w:p>
    <w:p>
      <w:pPr>
        <w:ind w:right="140"/>
        <w:spacing w:after="0" w:line="228"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Provision for income taxes decreased $1.6 million for the second quarter of 2020 compared with the second quarter of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effective tax rate for the three months ended June 30, 2020 and 2019 was 67.7% and (7.7)%, respectively. The tax benefit recognized during the three months ended June 30, 2020 and the change in the effective tax rate is primarily due to the refinement of estimates associated with the Coronavirus Aid, Relief, and Economic Security Act (the “CARES Act”), which gives the Company the ability to carry back federal net operating losses (“NOLs”) to years with a federal statutory tax rate of 35%.</w:t>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3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486"/>
        </w:trPr>
        <w:tc>
          <w:tcPr>
            <w:tcW w:w="2180" w:type="dxa"/>
            <w:vAlign w:val="bottom"/>
          </w:tcPr>
          <w:p>
            <w:pPr>
              <w:spacing w:after="0"/>
              <w:rPr>
                <w:sz w:val="24"/>
                <w:szCs w:val="24"/>
                <w:color w:val="auto"/>
              </w:rPr>
            </w:pPr>
          </w:p>
        </w:tc>
        <w:tc>
          <w:tcPr>
            <w:tcW w:w="7780" w:type="dxa"/>
            <w:vAlign w:val="bottom"/>
            <w:gridSpan w:val="11"/>
          </w:tcPr>
          <w:p>
            <w:pPr>
              <w:spacing w:after="0"/>
              <w:rPr>
                <w:sz w:val="20"/>
                <w:szCs w:val="20"/>
                <w:color w:val="auto"/>
              </w:rPr>
            </w:pPr>
            <w:r>
              <w:rPr>
                <w:rFonts w:ascii="Arial" w:cs="Arial" w:eastAsia="Arial" w:hAnsi="Arial"/>
                <w:sz w:val="18"/>
                <w:szCs w:val="18"/>
                <w:b w:val="1"/>
                <w:bCs w:val="1"/>
                <w:color w:val="auto"/>
              </w:rPr>
              <w:t>Comparison of the six months ended June 30, 2020 to the six months ended June 30, 2019</w:t>
            </w: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455"/>
        </w:trPr>
        <w:tc>
          <w:tcPr>
            <w:tcW w:w="2180" w:type="dxa"/>
            <w:vAlign w:val="bottom"/>
          </w:tcPr>
          <w:p>
            <w:pPr>
              <w:spacing w:after="0"/>
              <w:rPr>
                <w:sz w:val="24"/>
                <w:szCs w:val="24"/>
                <w:color w:val="auto"/>
              </w:rPr>
            </w:pPr>
          </w:p>
        </w:tc>
        <w:tc>
          <w:tcPr>
            <w:tcW w:w="32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940" w:type="dxa"/>
            <w:vAlign w:val="bottom"/>
            <w:tcBorders>
              <w:top w:val="single" w:sz="8" w:color="auto"/>
            </w:tcBorders>
            <w:gridSpan w:val="4"/>
          </w:tcPr>
          <w:p>
            <w:pPr>
              <w:jc w:val="right"/>
              <w:spacing w:after="0"/>
              <w:rPr>
                <w:sz w:val="20"/>
                <w:szCs w:val="20"/>
                <w:color w:val="auto"/>
              </w:rPr>
            </w:pPr>
            <w:r>
              <w:rPr>
                <w:rFonts w:ascii="Arial" w:cs="Arial" w:eastAsia="Arial" w:hAnsi="Arial"/>
                <w:sz w:val="18"/>
                <w:szCs w:val="18"/>
                <w:color w:val="auto"/>
              </w:rPr>
              <w:t>(in thousands)</w:t>
            </w:r>
          </w:p>
        </w:tc>
        <w:tc>
          <w:tcPr>
            <w:tcW w:w="180" w:type="dxa"/>
            <w:vAlign w:val="bottom"/>
            <w:tcBorders>
              <w:top w:val="single" w:sz="8" w:color="auto"/>
            </w:tcBorders>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54"/>
        </w:trPr>
        <w:tc>
          <w:tcPr>
            <w:tcW w:w="2180" w:type="dxa"/>
            <w:vAlign w:val="bottom"/>
          </w:tcPr>
          <w:p>
            <w:pPr>
              <w:spacing w:after="0"/>
              <w:rPr>
                <w:sz w:val="22"/>
                <w:szCs w:val="22"/>
                <w:color w:val="auto"/>
              </w:rPr>
            </w:pPr>
          </w:p>
        </w:tc>
        <w:tc>
          <w:tcPr>
            <w:tcW w:w="3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2"/>
                <w:szCs w:val="22"/>
                <w:color w:val="auto"/>
              </w:rPr>
            </w:pPr>
          </w:p>
        </w:tc>
        <w:tc>
          <w:tcPr>
            <w:tcW w:w="1500" w:type="dxa"/>
            <w:vAlign w:val="bottom"/>
            <w:gridSpan w:val="3"/>
          </w:tcPr>
          <w:p>
            <w:pPr>
              <w:ind w:left="200"/>
              <w:spacing w:after="0" w:line="253" w:lineRule="exact"/>
              <w:rPr>
                <w:sz w:val="20"/>
                <w:szCs w:val="20"/>
                <w:color w:val="auto"/>
              </w:rPr>
            </w:pPr>
            <w:r>
              <w:rPr>
                <w:rFonts w:ascii="Arial" w:cs="Arial" w:eastAsia="Arial" w:hAnsi="Arial"/>
                <w:sz w:val="18"/>
                <w:szCs w:val="18"/>
                <w:color w:val="auto"/>
              </w:rPr>
              <w:t>% of sales</w:t>
            </w:r>
            <w:r>
              <w:rPr>
                <w:rFonts w:ascii="Arial" w:cs="Arial" w:eastAsia="Arial" w:hAnsi="Arial"/>
                <w:sz w:val="29"/>
                <w:szCs w:val="29"/>
                <w:color w:val="auto"/>
                <w:vertAlign w:val="superscript"/>
              </w:rPr>
              <w:t>(1)</w:t>
            </w:r>
          </w:p>
        </w:tc>
        <w:tc>
          <w:tcPr>
            <w:tcW w:w="440" w:type="dxa"/>
            <w:vAlign w:val="bottom"/>
          </w:tcPr>
          <w:p>
            <w:pPr>
              <w:spacing w:after="0"/>
              <w:rPr>
                <w:sz w:val="22"/>
                <w:szCs w:val="22"/>
                <w:color w:val="auto"/>
              </w:rPr>
            </w:pPr>
          </w:p>
        </w:tc>
        <w:tc>
          <w:tcPr>
            <w:tcW w:w="920" w:type="dxa"/>
            <w:vAlign w:val="bottom"/>
            <w:gridSpan w:val="2"/>
          </w:tcPr>
          <w:p>
            <w:pPr>
              <w:jc w:val="right"/>
              <w:ind w:right="500"/>
              <w:spacing w:after="0"/>
              <w:rPr>
                <w:sz w:val="20"/>
                <w:szCs w:val="20"/>
                <w:color w:val="auto"/>
              </w:rPr>
            </w:pPr>
            <w:r>
              <w:rPr>
                <w:rFonts w:ascii="Arial" w:cs="Arial" w:eastAsia="Arial" w:hAnsi="Arial"/>
                <w:sz w:val="18"/>
                <w:szCs w:val="18"/>
                <w:color w:val="auto"/>
                <w:w w:val="99"/>
              </w:rPr>
              <w:t>2019</w:t>
            </w:r>
          </w:p>
        </w:tc>
        <w:tc>
          <w:tcPr>
            <w:tcW w:w="160" w:type="dxa"/>
            <w:vAlign w:val="bottom"/>
          </w:tcPr>
          <w:p>
            <w:pPr>
              <w:spacing w:after="0"/>
              <w:rPr>
                <w:sz w:val="22"/>
                <w:szCs w:val="22"/>
                <w:color w:val="auto"/>
              </w:rPr>
            </w:pPr>
          </w:p>
        </w:tc>
        <w:tc>
          <w:tcPr>
            <w:tcW w:w="1280" w:type="dxa"/>
            <w:vAlign w:val="bottom"/>
            <w:gridSpan w:val="2"/>
          </w:tcPr>
          <w:p>
            <w:pPr>
              <w:jc w:val="right"/>
              <w:ind w:right="190"/>
              <w:spacing w:after="0"/>
              <w:rPr>
                <w:sz w:val="20"/>
                <w:szCs w:val="20"/>
                <w:color w:val="auto"/>
              </w:rPr>
            </w:pPr>
            <w:r>
              <w:rPr>
                <w:rFonts w:ascii="Arial" w:cs="Arial" w:eastAsia="Arial" w:hAnsi="Arial"/>
                <w:sz w:val="18"/>
                <w:szCs w:val="18"/>
                <w:color w:val="auto"/>
              </w:rPr>
              <w:t>% of sales</w:t>
            </w:r>
          </w:p>
        </w:tc>
      </w:tr>
      <w:tr>
        <w:trPr>
          <w:trHeight w:val="183"/>
        </w:trPr>
        <w:tc>
          <w:tcPr>
            <w:tcW w:w="5380" w:type="dxa"/>
            <w:vAlign w:val="bottom"/>
            <w:tcBorders>
              <w:top w:val="single" w:sz="8" w:color="CCEEFF"/>
            </w:tcBorders>
            <w:gridSpan w:val="2"/>
            <w:shd w:val="clear" w:color="auto" w:fill="CCEEFF"/>
          </w:tcPr>
          <w:p>
            <w:pPr>
              <w:spacing w:after="0" w:line="182" w:lineRule="exact"/>
              <w:rPr>
                <w:sz w:val="20"/>
                <w:szCs w:val="20"/>
                <w:color w:val="auto"/>
              </w:rPr>
            </w:pPr>
            <w:r>
              <w:rPr>
                <w:rFonts w:ascii="Arial" w:cs="Arial" w:eastAsia="Arial" w:hAnsi="Arial"/>
                <w:sz w:val="18"/>
                <w:szCs w:val="18"/>
                <w:color w:val="auto"/>
              </w:rPr>
              <w:t>Net sales</w:t>
            </w:r>
          </w:p>
        </w:tc>
        <w:tc>
          <w:tcPr>
            <w:tcW w:w="300" w:type="dxa"/>
            <w:vAlign w:val="bottom"/>
            <w:tcBorders>
              <w:top w:val="single" w:sz="8" w:color="auto"/>
            </w:tcBorders>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162,009</w:t>
            </w:r>
          </w:p>
        </w:tc>
        <w:tc>
          <w:tcPr>
            <w:tcW w:w="160" w:type="dxa"/>
            <w:vAlign w:val="bottom"/>
            <w:tcBorders>
              <w:top w:val="single" w:sz="8" w:color="CCEEFF"/>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175,811</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r>
      <w:tr>
        <w:trPr>
          <w:trHeight w:val="189"/>
        </w:trPr>
        <w:tc>
          <w:tcPr>
            <w:tcW w:w="53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Cost of sales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51,640</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31.9</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52,609</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29.9</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Gross profit</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110,369</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68.1</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123,202</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70.1</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tcBorders>
              <w:bottom w:val="single" w:sz="8" w:color="CCEEFF"/>
            </w:tcBorders>
            <w:gridSpan w:val="2"/>
          </w:tcPr>
          <w:p>
            <w:pPr>
              <w:spacing w:after="0" w:line="189" w:lineRule="exact"/>
              <w:rPr>
                <w:sz w:val="20"/>
                <w:szCs w:val="20"/>
                <w:color w:val="auto"/>
              </w:rPr>
            </w:pPr>
            <w:r>
              <w:rPr>
                <w:rFonts w:ascii="Arial" w:cs="Arial" w:eastAsia="Arial" w:hAnsi="Arial"/>
                <w:sz w:val="18"/>
                <w:szCs w:val="18"/>
                <w:color w:val="auto"/>
              </w:rPr>
              <w:t>Selling, general and administrative expenses</w:t>
            </w:r>
          </w:p>
        </w:tc>
        <w:tc>
          <w:tcPr>
            <w:tcW w:w="3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109,569</w:t>
            </w:r>
          </w:p>
        </w:tc>
        <w:tc>
          <w:tcPr>
            <w:tcW w:w="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67.6</w:t>
            </w:r>
          </w:p>
        </w:tc>
        <w:tc>
          <w:tcPr>
            <w:tcW w:w="340" w:type="dxa"/>
            <w:vAlign w:val="bottom"/>
            <w:tcBorders>
              <w:bottom w:val="single" w:sz="8" w:color="auto"/>
            </w:tcBorders>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ind w:right="60"/>
              <w:spacing w:after="0" w:line="189" w:lineRule="exact"/>
              <w:rPr>
                <w:sz w:val="20"/>
                <w:szCs w:val="20"/>
                <w:color w:val="auto"/>
              </w:rPr>
            </w:pPr>
            <w:r>
              <w:rPr>
                <w:rFonts w:ascii="Arial" w:cs="Arial" w:eastAsia="Arial" w:hAnsi="Arial"/>
                <w:sz w:val="18"/>
                <w:szCs w:val="18"/>
                <w:color w:val="auto"/>
              </w:rPr>
              <w:t>119,510</w:t>
            </w:r>
          </w:p>
        </w:tc>
        <w:tc>
          <w:tcPr>
            <w:tcW w:w="16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8"/>
                <w:szCs w:val="18"/>
                <w:color w:val="auto"/>
              </w:rPr>
              <w:t>68.0</w:t>
            </w:r>
          </w:p>
        </w:tc>
        <w:tc>
          <w:tcPr>
            <w:tcW w:w="320" w:type="dxa"/>
            <w:vAlign w:val="bottom"/>
            <w:tcBorders>
              <w:bottom w:val="single" w:sz="8" w:color="auto"/>
            </w:tcBorders>
          </w:tcPr>
          <w:p>
            <w:pPr>
              <w:jc w:val="right"/>
              <w:ind w:right="5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53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rPr>
              <w:t>Income from operations</w:t>
            </w:r>
          </w:p>
        </w:tc>
        <w:tc>
          <w:tcPr>
            <w:tcW w:w="30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0.5</w:t>
            </w:r>
          </w:p>
        </w:tc>
        <w:tc>
          <w:tcPr>
            <w:tcW w:w="340" w:type="dxa"/>
            <w:vAlign w:val="bottom"/>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60"/>
              <w:spacing w:after="0" w:line="182" w:lineRule="exact"/>
              <w:rPr>
                <w:sz w:val="20"/>
                <w:szCs w:val="20"/>
                <w:color w:val="auto"/>
              </w:rPr>
            </w:pPr>
            <w:r>
              <w:rPr>
                <w:rFonts w:ascii="Arial" w:cs="Arial" w:eastAsia="Arial" w:hAnsi="Arial"/>
                <w:sz w:val="18"/>
                <w:szCs w:val="18"/>
                <w:color w:val="auto"/>
              </w:rPr>
              <w:t>3,692</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gridSpan w:val="2"/>
          </w:tcPr>
          <w:p>
            <w:pPr>
              <w:spacing w:after="0" w:line="189" w:lineRule="exact"/>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16"/>
                <w:szCs w:val="16"/>
                <w:color w:val="auto"/>
              </w:rPr>
            </w:pPr>
          </w:p>
        </w:tc>
        <w:tc>
          <w:tcPr>
            <w:tcW w:w="126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(1,407)</w:t>
            </w:r>
          </w:p>
        </w:tc>
        <w:tc>
          <w:tcPr>
            <w:tcW w:w="1320" w:type="dxa"/>
            <w:vAlign w:val="bottom"/>
            <w:gridSpan w:val="2"/>
          </w:tcPr>
          <w:p>
            <w:pPr>
              <w:jc w:val="right"/>
              <w:ind w:right="70"/>
              <w:spacing w:after="0" w:line="189" w:lineRule="exact"/>
              <w:rPr>
                <w:sz w:val="20"/>
                <w:szCs w:val="20"/>
                <w:color w:val="auto"/>
              </w:rPr>
            </w:pPr>
            <w:r>
              <w:rPr>
                <w:rFonts w:ascii="Arial" w:cs="Arial" w:eastAsia="Arial" w:hAnsi="Arial"/>
                <w:sz w:val="18"/>
                <w:szCs w:val="18"/>
                <w:color w:val="auto"/>
              </w:rPr>
              <w:t>(0.9)%</w:t>
            </w:r>
          </w:p>
        </w:tc>
        <w:tc>
          <w:tcPr>
            <w:tcW w:w="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80" w:type="dxa"/>
            <w:vAlign w:val="bottom"/>
            <w:gridSpan w:val="3"/>
          </w:tcPr>
          <w:p>
            <w:pPr>
              <w:jc w:val="right"/>
              <w:ind w:right="160"/>
              <w:spacing w:after="0" w:line="189" w:lineRule="exact"/>
              <w:rPr>
                <w:sz w:val="20"/>
                <w:szCs w:val="20"/>
                <w:color w:val="auto"/>
              </w:rPr>
            </w:pPr>
            <w:r>
              <w:rPr>
                <w:rFonts w:ascii="Arial" w:cs="Arial" w:eastAsia="Arial" w:hAnsi="Arial"/>
                <w:sz w:val="18"/>
                <w:szCs w:val="18"/>
                <w:color w:val="auto"/>
              </w:rPr>
              <w:t>(1,921)</w:t>
            </w:r>
          </w:p>
        </w:tc>
        <w:tc>
          <w:tcPr>
            <w:tcW w:w="1280" w:type="dxa"/>
            <w:vAlign w:val="bottom"/>
            <w:gridSpan w:val="2"/>
          </w:tcPr>
          <w:p>
            <w:pPr>
              <w:jc w:val="right"/>
              <w:ind w:right="50"/>
              <w:spacing w:after="0" w:line="189" w:lineRule="exact"/>
              <w:rPr>
                <w:sz w:val="20"/>
                <w:szCs w:val="20"/>
                <w:color w:val="auto"/>
              </w:rPr>
            </w:pPr>
            <w:r>
              <w:rPr>
                <w:rFonts w:ascii="Arial" w:cs="Arial" w:eastAsia="Arial" w:hAnsi="Arial"/>
                <w:sz w:val="18"/>
                <w:szCs w:val="18"/>
                <w:color w:val="auto"/>
              </w:rPr>
              <w:t>(1.1)%</w:t>
            </w:r>
          </w:p>
        </w:tc>
      </w:tr>
      <w:tr>
        <w:trPr>
          <w:trHeight w:val="189"/>
        </w:trPr>
        <w:tc>
          <w:tcPr>
            <w:tcW w:w="5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6"/>
                <w:szCs w:val="16"/>
                <w:color w:val="auto"/>
              </w:rPr>
            </w:pPr>
          </w:p>
        </w:tc>
        <w:tc>
          <w:tcPr>
            <w:tcW w:w="1320" w:type="dxa"/>
            <w:vAlign w:val="bottom"/>
            <w:tcBorders>
              <w:bottom w:val="single" w:sz="8" w:color="auto"/>
            </w:tcBorders>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gridSpan w:val="2"/>
            <w:shd w:val="clear" w:color="auto" w:fill="CCEEFF"/>
          </w:tcPr>
          <w:p>
            <w:pPr>
              <w:jc w:val="right"/>
              <w:ind w:right="60"/>
              <w:spacing w:after="0" w:line="189" w:lineRule="exact"/>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0.0 %</w:t>
            </w:r>
          </w:p>
        </w:tc>
      </w:tr>
      <w:tr>
        <w:trPr>
          <w:trHeight w:val="183"/>
        </w:trPr>
        <w:tc>
          <w:tcPr>
            <w:tcW w:w="5380" w:type="dxa"/>
            <w:vAlign w:val="bottom"/>
            <w:gridSpan w:val="2"/>
          </w:tcPr>
          <w:p>
            <w:pPr>
              <w:spacing w:after="0" w:line="182" w:lineRule="exact"/>
              <w:rPr>
                <w:sz w:val="20"/>
                <w:szCs w:val="20"/>
                <w:color w:val="auto"/>
              </w:rPr>
            </w:pPr>
            <w:r>
              <w:rPr>
                <w:rFonts w:ascii="Arial" w:cs="Arial" w:eastAsia="Arial" w:hAnsi="Arial"/>
                <w:sz w:val="18"/>
                <w:szCs w:val="18"/>
                <w:color w:val="auto"/>
              </w:rPr>
              <w:t>(Loss) income before income taxes</w:t>
            </w:r>
          </w:p>
        </w:tc>
        <w:tc>
          <w:tcPr>
            <w:tcW w:w="300" w:type="dxa"/>
            <w:vAlign w:val="bottom"/>
          </w:tcPr>
          <w:p>
            <w:pPr>
              <w:spacing w:after="0"/>
              <w:rPr>
                <w:sz w:val="15"/>
                <w:szCs w:val="15"/>
                <w:color w:val="auto"/>
              </w:rPr>
            </w:pPr>
          </w:p>
        </w:tc>
        <w:tc>
          <w:tcPr>
            <w:tcW w:w="1100" w:type="dxa"/>
            <w:vAlign w:val="bottom"/>
          </w:tcPr>
          <w:p>
            <w:pPr>
              <w:jc w:val="right"/>
              <w:spacing w:after="0" w:line="182" w:lineRule="exact"/>
              <w:rPr>
                <w:sz w:val="20"/>
                <w:szCs w:val="20"/>
                <w:color w:val="auto"/>
              </w:rPr>
            </w:pPr>
            <w:r>
              <w:rPr>
                <w:rFonts w:ascii="Arial" w:cs="Arial" w:eastAsia="Arial" w:hAnsi="Arial"/>
                <w:sz w:val="18"/>
                <w:szCs w:val="18"/>
                <w:color w:val="auto"/>
              </w:rPr>
              <w:t>(607)</w:t>
            </w:r>
          </w:p>
        </w:tc>
        <w:tc>
          <w:tcPr>
            <w:tcW w:w="160" w:type="dxa"/>
            <w:vAlign w:val="bottom"/>
          </w:tcPr>
          <w:p>
            <w:pPr>
              <w:spacing w:after="0"/>
              <w:rPr>
                <w:sz w:val="15"/>
                <w:szCs w:val="15"/>
                <w:color w:val="auto"/>
              </w:rPr>
            </w:pPr>
          </w:p>
        </w:tc>
        <w:tc>
          <w:tcPr>
            <w:tcW w:w="1320" w:type="dxa"/>
            <w:vAlign w:val="bottom"/>
            <w:gridSpan w:val="2"/>
          </w:tcPr>
          <w:p>
            <w:pPr>
              <w:jc w:val="right"/>
              <w:ind w:right="70"/>
              <w:spacing w:after="0" w:line="182" w:lineRule="exact"/>
              <w:rPr>
                <w:sz w:val="20"/>
                <w:szCs w:val="20"/>
                <w:color w:val="auto"/>
              </w:rPr>
            </w:pPr>
            <w:r>
              <w:rPr>
                <w:rFonts w:ascii="Arial" w:cs="Arial" w:eastAsia="Arial" w:hAnsi="Arial"/>
                <w:sz w:val="18"/>
                <w:szCs w:val="18"/>
                <w:color w:val="auto"/>
              </w:rPr>
              <w:t>(0.4)%</w:t>
            </w:r>
          </w:p>
        </w:tc>
        <w:tc>
          <w:tcPr>
            <w:tcW w:w="1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gridSpan w:val="2"/>
          </w:tcPr>
          <w:p>
            <w:pPr>
              <w:jc w:val="right"/>
              <w:ind w:right="60"/>
              <w:spacing w:after="0" w:line="182" w:lineRule="exact"/>
              <w:rPr>
                <w:sz w:val="20"/>
                <w:szCs w:val="20"/>
                <w:color w:val="auto"/>
              </w:rPr>
            </w:pPr>
            <w:r>
              <w:rPr>
                <w:rFonts w:ascii="Arial" w:cs="Arial" w:eastAsia="Arial" w:hAnsi="Arial"/>
                <w:sz w:val="18"/>
                <w:szCs w:val="18"/>
                <w:color w:val="auto"/>
              </w:rPr>
              <w:t>1,788</w:t>
            </w:r>
          </w:p>
        </w:tc>
        <w:tc>
          <w:tcPr>
            <w:tcW w:w="160" w:type="dxa"/>
            <w:vAlign w:val="bottom"/>
          </w:tcPr>
          <w:p>
            <w:pPr>
              <w:spacing w:after="0"/>
              <w:rPr>
                <w:sz w:val="15"/>
                <w:szCs w:val="15"/>
                <w:color w:val="auto"/>
              </w:rPr>
            </w:pPr>
          </w:p>
        </w:tc>
        <w:tc>
          <w:tcPr>
            <w:tcW w:w="960" w:type="dxa"/>
            <w:vAlign w:val="bottom"/>
          </w:tcPr>
          <w:p>
            <w:pPr>
              <w:jc w:val="right"/>
              <w:spacing w:after="0" w:line="182" w:lineRule="exact"/>
              <w:rPr>
                <w:sz w:val="20"/>
                <w:szCs w:val="20"/>
                <w:color w:val="auto"/>
              </w:rPr>
            </w:pPr>
            <w:r>
              <w:rPr>
                <w:rFonts w:ascii="Arial" w:cs="Arial" w:eastAsia="Arial" w:hAnsi="Arial"/>
                <w:sz w:val="18"/>
                <w:szCs w:val="18"/>
                <w:color w:val="auto"/>
              </w:rPr>
              <w:t>1.0</w:t>
            </w:r>
          </w:p>
        </w:tc>
        <w:tc>
          <w:tcPr>
            <w:tcW w:w="320" w:type="dxa"/>
            <w:vAlign w:val="bottom"/>
          </w:tcPr>
          <w:p>
            <w:pPr>
              <w:jc w:val="right"/>
              <w:ind w:right="50"/>
              <w:spacing w:after="0" w:line="182" w:lineRule="exact"/>
              <w:rPr>
                <w:sz w:val="20"/>
                <w:szCs w:val="20"/>
                <w:color w:val="auto"/>
              </w:rPr>
            </w:pPr>
            <w:r>
              <w:rPr>
                <w:rFonts w:ascii="Arial" w:cs="Arial" w:eastAsia="Arial" w:hAnsi="Arial"/>
                <w:sz w:val="18"/>
                <w:szCs w:val="18"/>
                <w:color w:val="auto"/>
                <w:w w:val="99"/>
              </w:rPr>
              <w:t>%</w:t>
            </w:r>
          </w:p>
        </w:tc>
      </w:tr>
      <w:tr>
        <w:trPr>
          <w:trHeight w:val="189"/>
        </w:trPr>
        <w:tc>
          <w:tcPr>
            <w:tcW w:w="53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Benefit (provision) for income taxes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3,349</w:t>
            </w: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3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080" w:type="dxa"/>
            <w:vAlign w:val="bottom"/>
            <w:gridSpan w:val="3"/>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(622)</w:t>
            </w:r>
          </w:p>
        </w:tc>
        <w:tc>
          <w:tcPr>
            <w:tcW w:w="1280" w:type="dxa"/>
            <w:vAlign w:val="bottom"/>
            <w:gridSpan w:val="2"/>
            <w:shd w:val="clear" w:color="auto" w:fill="CCEEFF"/>
          </w:tcPr>
          <w:p>
            <w:pPr>
              <w:jc w:val="right"/>
              <w:ind w:right="50"/>
              <w:spacing w:after="0" w:line="189" w:lineRule="exact"/>
              <w:rPr>
                <w:sz w:val="20"/>
                <w:szCs w:val="20"/>
                <w:color w:val="auto"/>
              </w:rPr>
            </w:pPr>
            <w:r>
              <w:rPr>
                <w:rFonts w:ascii="Arial" w:cs="Arial" w:eastAsia="Arial" w:hAnsi="Arial"/>
                <w:sz w:val="18"/>
                <w:szCs w:val="18"/>
                <w:color w:val="auto"/>
              </w:rPr>
              <w:t>(0.4)%</w:t>
            </w:r>
          </w:p>
        </w:tc>
      </w:tr>
      <w:tr>
        <w:trPr>
          <w:trHeight w:val="183"/>
        </w:trPr>
        <w:tc>
          <w:tcPr>
            <w:tcW w:w="5380" w:type="dxa"/>
            <w:vAlign w:val="bottom"/>
            <w:gridSpan w:val="2"/>
          </w:tcPr>
          <w:p>
            <w:pPr>
              <w:spacing w:after="0" w:line="182" w:lineRule="exact"/>
              <w:rPr>
                <w:sz w:val="20"/>
                <w:szCs w:val="20"/>
                <w:color w:val="auto"/>
              </w:rPr>
            </w:pPr>
            <w:r>
              <w:rPr>
                <w:rFonts w:ascii="Arial" w:cs="Arial" w:eastAsia="Arial" w:hAnsi="Arial"/>
                <w:sz w:val="18"/>
                <w:szCs w:val="18"/>
                <w:color w:val="auto"/>
              </w:rPr>
              <w:t>Net income</w:t>
            </w:r>
          </w:p>
        </w:tc>
        <w:tc>
          <w:tcPr>
            <w:tcW w:w="300" w:type="dxa"/>
            <w:vAlign w:val="bottom"/>
            <w:tcBorders>
              <w:top w:val="single" w:sz="8" w:color="auto"/>
              <w:bottom w:val="single" w:sz="8" w:color="auto"/>
            </w:tcBorders>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2,742</w:t>
            </w:r>
          </w:p>
        </w:tc>
        <w:tc>
          <w:tcPr>
            <w:tcW w:w="160" w:type="dxa"/>
            <w:vAlign w:val="bottom"/>
          </w:tcPr>
          <w:p>
            <w:pPr>
              <w:spacing w:after="0"/>
              <w:rPr>
                <w:sz w:val="15"/>
                <w:szCs w:val="15"/>
                <w:color w:val="auto"/>
              </w:rPr>
            </w:pPr>
          </w:p>
        </w:tc>
        <w:tc>
          <w:tcPr>
            <w:tcW w:w="1320" w:type="dxa"/>
            <w:vAlign w:val="bottom"/>
            <w:tcBorders>
              <w:top w:val="single" w:sz="8" w:color="auto"/>
              <w:bottom w:val="single" w:sz="8" w:color="auto"/>
            </w:tcBorders>
            <w:gridSpan w:val="2"/>
          </w:tcPr>
          <w:p>
            <w:pPr>
              <w:jc w:val="right"/>
              <w:ind w:right="70"/>
              <w:spacing w:after="0" w:line="182" w:lineRule="exact"/>
              <w:rPr>
                <w:sz w:val="20"/>
                <w:szCs w:val="20"/>
                <w:color w:val="auto"/>
              </w:rPr>
            </w:pPr>
            <w:r>
              <w:rPr>
                <w:rFonts w:ascii="Arial" w:cs="Arial" w:eastAsia="Arial" w:hAnsi="Arial"/>
                <w:sz w:val="18"/>
                <w:szCs w:val="18"/>
                <w:color w:val="auto"/>
              </w:rPr>
              <w:t>1.7 %</w:t>
            </w:r>
          </w:p>
        </w:tc>
        <w:tc>
          <w:tcPr>
            <w:tcW w:w="180" w:type="dxa"/>
            <w:vAlign w:val="bottom"/>
          </w:tcPr>
          <w:p>
            <w:pPr>
              <w:spacing w:after="0"/>
              <w:rPr>
                <w:sz w:val="15"/>
                <w:szCs w:val="15"/>
                <w:color w:val="auto"/>
              </w:rPr>
            </w:pPr>
          </w:p>
        </w:tc>
        <w:tc>
          <w:tcPr>
            <w:tcW w:w="440" w:type="dxa"/>
            <w:vAlign w:val="bottom"/>
            <w:tcBorders>
              <w:top w:val="single" w:sz="8" w:color="auto"/>
              <w:bottom w:val="single" w:sz="8" w:color="auto"/>
            </w:tcBorders>
          </w:tcPr>
          <w:p>
            <w:pPr>
              <w:jc w:val="right"/>
              <w:ind w:right="2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gridSpan w:val="2"/>
          </w:tcPr>
          <w:p>
            <w:pPr>
              <w:jc w:val="right"/>
              <w:ind w:right="60"/>
              <w:spacing w:after="0" w:line="182" w:lineRule="exact"/>
              <w:rPr>
                <w:sz w:val="20"/>
                <w:szCs w:val="20"/>
                <w:color w:val="auto"/>
              </w:rPr>
            </w:pPr>
            <w:r>
              <w:rPr>
                <w:rFonts w:ascii="Arial" w:cs="Arial" w:eastAsia="Arial" w:hAnsi="Arial"/>
                <w:sz w:val="18"/>
                <w:szCs w:val="18"/>
                <w:color w:val="auto"/>
              </w:rPr>
              <w:t>1,166</w:t>
            </w:r>
          </w:p>
        </w:tc>
        <w:tc>
          <w:tcPr>
            <w:tcW w:w="160" w:type="dxa"/>
            <w:vAlign w:val="bottom"/>
          </w:tcPr>
          <w:p>
            <w:pPr>
              <w:spacing w:after="0"/>
              <w:rPr>
                <w:sz w:val="15"/>
                <w:szCs w:val="15"/>
                <w:color w:val="auto"/>
              </w:rPr>
            </w:pPr>
          </w:p>
        </w:tc>
        <w:tc>
          <w:tcPr>
            <w:tcW w:w="1280" w:type="dxa"/>
            <w:vAlign w:val="bottom"/>
            <w:tcBorders>
              <w:top w:val="single" w:sz="8" w:color="auto"/>
              <w:bottom w:val="single" w:sz="8" w:color="auto"/>
            </w:tcBorders>
            <w:gridSpan w:val="2"/>
          </w:tcPr>
          <w:p>
            <w:pPr>
              <w:jc w:val="right"/>
              <w:ind w:right="50"/>
              <w:spacing w:after="0" w:line="182" w:lineRule="exact"/>
              <w:rPr>
                <w:sz w:val="20"/>
                <w:szCs w:val="20"/>
                <w:color w:val="auto"/>
              </w:rPr>
            </w:pPr>
            <w:r>
              <w:rPr>
                <w:rFonts w:ascii="Arial" w:cs="Arial" w:eastAsia="Arial" w:hAnsi="Arial"/>
                <w:sz w:val="18"/>
                <w:szCs w:val="18"/>
                <w:color w:val="auto"/>
              </w:rPr>
              <w:t>0.7 %</w:t>
            </w:r>
          </w:p>
        </w:tc>
      </w:tr>
      <w:tr>
        <w:trPr>
          <w:trHeight w:val="20"/>
        </w:trPr>
        <w:tc>
          <w:tcPr>
            <w:tcW w:w="218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ind w:right="80"/>
        <w:spacing w:after="0" w:line="231" w:lineRule="auto"/>
        <w:rPr>
          <w:sz w:val="20"/>
          <w:szCs w:val="20"/>
          <w:color w:val="auto"/>
        </w:rPr>
      </w:pPr>
      <w:r>
        <w:rPr>
          <w:rFonts w:ascii="Arial" w:cs="Arial" w:eastAsia="Arial" w:hAnsi="Arial"/>
          <w:sz w:val="18"/>
          <w:szCs w:val="18"/>
          <w:b w:val="1"/>
          <w:bCs w:val="1"/>
          <w:i w:val="1"/>
          <w:iCs w:val="1"/>
          <w:color w:val="auto"/>
        </w:rPr>
        <w:t xml:space="preserve">Net Sales </w:t>
      </w:r>
      <w:r>
        <w:rPr>
          <w:rFonts w:ascii="Arial" w:cs="Arial" w:eastAsia="Arial" w:hAnsi="Arial"/>
          <w:sz w:val="18"/>
          <w:szCs w:val="18"/>
          <w:color w:val="auto"/>
        </w:rPr>
        <w:t>Net sales for the six months ended June 30, 2020 decreased $13.8 million, or 7.9%, compared with the six months ended June 30,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due to a $16.0 million decrease in net sales generated by comparable stores. The decrease in sales at comparable stores for the six months ended June 30, 2020 was primarily due to a decrease in traffic during the second quarter of 2020 following the onset of COVID-19 in the United States. Net sales generated by stores not included in the comparable store base increased $2.2 million.</w:t>
      </w:r>
    </w:p>
    <w:p>
      <w:pPr>
        <w:spacing w:after="0" w:line="148" w:lineRule="exact"/>
        <w:rPr>
          <w:sz w:val="20"/>
          <w:szCs w:val="20"/>
          <w:color w:val="auto"/>
        </w:rPr>
      </w:pPr>
    </w:p>
    <w:p>
      <w:pPr>
        <w:ind w:right="200"/>
        <w:spacing w:after="0" w:line="276" w:lineRule="auto"/>
        <w:rPr>
          <w:sz w:val="20"/>
          <w:szCs w:val="20"/>
          <w:color w:val="auto"/>
        </w:rPr>
      </w:pPr>
      <w:r>
        <w:rPr>
          <w:rFonts w:ascii="Arial" w:cs="Arial" w:eastAsia="Arial" w:hAnsi="Arial"/>
          <w:sz w:val="16"/>
          <w:szCs w:val="16"/>
          <w:b w:val="1"/>
          <w:bCs w:val="1"/>
          <w:i w:val="1"/>
          <w:iCs w:val="1"/>
          <w:color w:val="auto"/>
        </w:rPr>
        <w:t xml:space="preserve">Gross Profit </w:t>
      </w:r>
      <w:r>
        <w:rPr>
          <w:rFonts w:ascii="Arial" w:cs="Arial" w:eastAsia="Arial" w:hAnsi="Arial"/>
          <w:sz w:val="16"/>
          <w:szCs w:val="16"/>
          <w:color w:val="auto"/>
        </w:rPr>
        <w:t>Gross profit for the six months ended June 30, 2020 decreased $12.8 million, or 10.4%, compared with the six months ended June 30, 2019.</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gross margin rate was 68.1% and 70.1% for the six months ended June 30, 2020 and 2019, respectively. The decrease in gross margin rate was primarily driven by an increase in cost of products sold and a higher mix of delivery services rendered during the second quarter of 2020.</w:t>
      </w:r>
    </w:p>
    <w:p>
      <w:pPr>
        <w:spacing w:after="0" w:line="121" w:lineRule="exact"/>
        <w:rPr>
          <w:sz w:val="20"/>
          <w:szCs w:val="20"/>
          <w:color w:val="auto"/>
        </w:rPr>
      </w:pPr>
    </w:p>
    <w:p>
      <w:pPr>
        <w:ind w:right="80"/>
        <w:spacing w:after="0" w:line="239"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SG&amp;A expenses for the six months ended June 30, 2020 decreased $9.9 million, or 8.3%, compared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six months ended June 30, 2019. The decrease in SG&amp;A was primarily due to a $9.7 million reduction in compensation and benefits costs due to lower variable compensation expenses and headcount reductions implemented following the onset of COVID-19. Additionally, decreases in advertising expenses totaling $2.4 million and a reduction in replenishment trucks sent from our distribution centers to our stores resulting in a $1.1 million reduction in transportation costs contributed to the lower level of SG&amp;A expenses during the six months ended June 30, 2020. The SG&amp;A expense reductions were partially offset by a $2.2 million asset impairment charge taken during the first quarter of 2020. Legal expenses incurred in connection with shareholder litigation during the six months ended June 30, 2020 totaled $1.4 million.</w:t>
      </w:r>
    </w:p>
    <w:p>
      <w:pPr>
        <w:spacing w:after="0" w:line="149"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b w:val="1"/>
          <w:bCs w:val="1"/>
          <w:i w:val="1"/>
          <w:iCs w:val="1"/>
          <w:color w:val="auto"/>
        </w:rPr>
        <w:t xml:space="preserve">Interest Expense </w:t>
      </w:r>
      <w:r>
        <w:rPr>
          <w:rFonts w:ascii="Arial" w:cs="Arial" w:eastAsia="Arial" w:hAnsi="Arial"/>
          <w:sz w:val="18"/>
          <w:szCs w:val="18"/>
          <w:color w:val="auto"/>
        </w:rPr>
        <w:t>Interest expense was $1.4 million and $1.9 million for the six months ended June 30, 2020 and 2019, respectively. The decrease was due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a lower average debt balance and lower interest rates during the six months ended June 30, 2020.</w:t>
      </w:r>
    </w:p>
    <w:p>
      <w:pPr>
        <w:spacing w:after="0" w:line="143" w:lineRule="exact"/>
        <w:rPr>
          <w:sz w:val="20"/>
          <w:szCs w:val="20"/>
          <w:color w:val="auto"/>
        </w:rPr>
      </w:pPr>
    </w:p>
    <w:p>
      <w:pPr>
        <w:ind w:right="220"/>
        <w:spacing w:after="0" w:line="24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Provision for income taxes decreased $4.0 million for the six months ended June 30, 2020 compared with the six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2019. Our effective tax rate for the six months ended June 30, 2020 and 2019 was 551.7% and 34.8%, respectively. The tax benefit recognized during the six months ended June 30, 2020 and the change in the effective tax rate was primarily due the enactment of the CARES Act which gives the Company the ability to carry back federal NOLs to years with a federal statutory tax rate of 35%.</w:t>
      </w: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3" w:name="page24"/>
    <w:bookmarkEnd w:id="23"/>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75" w:lineRule="exact"/>
        <w:rPr>
          <w:sz w:val="20"/>
          <w:szCs w:val="20"/>
          <w:color w:val="auto"/>
        </w:rPr>
      </w:pPr>
    </w:p>
    <w:p>
      <w:pPr>
        <w:ind w:right="80"/>
        <w:spacing w:after="0" w:line="227" w:lineRule="auto"/>
        <w:rPr>
          <w:sz w:val="20"/>
          <w:szCs w:val="20"/>
          <w:color w:val="auto"/>
        </w:rPr>
      </w:pPr>
      <w:r>
        <w:rPr>
          <w:rFonts w:ascii="Arial" w:cs="Arial" w:eastAsia="Arial" w:hAnsi="Arial"/>
          <w:sz w:val="18"/>
          <w:szCs w:val="18"/>
          <w:color w:val="auto"/>
        </w:rPr>
        <w:t>We calculate Adjusted EBITDA by taking net (loss) income calculated in accordance with accounting principles generally accepted in the United States (“GAAP”), and adjusting for interest expense, income taxes, depreciation and amortization, and stock based compensation expense. Adjusted EBITDA margin is equal to Adjusted EBITDA divided by net sales. We calculate pretax return on capital employed by taking (loss) income from operations divided by capital employed. Capital employed equals total assets less accounts payable, income taxes payable, other accrued liabilities, deferred rent, lease liability and other long-term liabilities. Other companies may calculate both Adjusted EBITDA and pretax return on capital employed differently, limiting the usefulness of these measures for comparative purposes.</w:t>
      </w:r>
    </w:p>
    <w:p>
      <w:pPr>
        <w:spacing w:after="0" w:line="148" w:lineRule="exact"/>
        <w:rPr>
          <w:sz w:val="20"/>
          <w:szCs w:val="20"/>
          <w:color w:val="auto"/>
        </w:rPr>
      </w:pPr>
    </w:p>
    <w:p>
      <w:pPr>
        <w:ind w:right="20"/>
        <w:spacing w:after="0" w:line="225" w:lineRule="auto"/>
        <w:rPr>
          <w:sz w:val="20"/>
          <w:szCs w:val="20"/>
          <w:color w:val="auto"/>
        </w:rPr>
      </w:pPr>
      <w:r>
        <w:rPr>
          <w:rFonts w:ascii="Arial" w:cs="Arial" w:eastAsia="Arial" w:hAnsi="Arial"/>
          <w:sz w:val="18"/>
          <w:szCs w:val="18"/>
          <w:color w:val="auto"/>
        </w:rPr>
        <w:t>We believe that these non-GAAP measures of financial results provide useful information to management and investors regarding certain financial and business trends relating to our financial condition and results of operations. Our management uses these non-GAAP measures to compare our performance to that of prior periods for trend analyses, for purposes of determining management incentive compensation, for budgeting and planning purposes and for assessing the effectiveness of capital allocation over time. These measures are used in monthly financial reports prepared for management and our Board of Directors. We believe that the use of these non-GAAP financial measures provides an additional tool for investors to use in evaluating ongoing operating results and trends and in comparing our financial measures with other specialty retailers, many of which present similar non-GAAP financial measures to investors.</w:t>
      </w:r>
    </w:p>
    <w:p>
      <w:pPr>
        <w:spacing w:after="0" w:line="154"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Our management does not consider these non-GAAP measures in isolation or as an alternative to financial measures determined in accordance with GAAP. The principal limitations of these non-GAAP financial measures are that they exclude significant expenses and income that are required by GAAP to be recognized in our consolidated financial statements. In addition, they are subject to inherent limitations as they reflect the exercise of judgments by management about which expenses and income are excluded or included in determining these non-GAAP financial measures. In order to compensate for these limitations, management presents non-GAAP financial measures in connection with GAAP results. We urge investors to review the reconciliation of our non-GAAP financial measures to the comparable GAAP financial measures and not to rely on any single financial measure to evaluate our business.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Adjusted EBITDA to net income for the three and six months ended June 30, 2020 and 2019 is as follows: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780" w:type="dxa"/>
            <w:vAlign w:val="bottom"/>
            <w:gridSpan w:val="6"/>
          </w:tcPr>
          <w:p>
            <w:pPr>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r>
      <w:tr>
        <w:trPr>
          <w:trHeight w:val="189"/>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7"/>
          </w:tcPr>
          <w:p>
            <w:pPr>
              <w:jc w:val="center"/>
              <w:spacing w:after="0" w:line="189" w:lineRule="exact"/>
              <w:rPr>
                <w:sz w:val="20"/>
                <w:szCs w:val="20"/>
                <w:color w:val="auto"/>
              </w:rPr>
            </w:pPr>
            <w:r>
              <w:rPr>
                <w:rFonts w:ascii="Arial" w:cs="Arial" w:eastAsia="Arial" w:hAnsi="Arial"/>
                <w:sz w:val="18"/>
                <w:szCs w:val="18"/>
                <w:color w:val="auto"/>
                <w:w w:val="90"/>
              </w:rPr>
              <w:t>Three Months Ended</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7"/>
        </w:trPr>
        <w:tc>
          <w:tcPr>
            <w:tcW w:w="6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50"/>
        </w:trPr>
        <w:tc>
          <w:tcPr>
            <w:tcW w:w="6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jc w:val="right"/>
              <w:ind w:right="190"/>
              <w:spacing w:after="0"/>
              <w:rPr>
                <w:sz w:val="20"/>
                <w:szCs w:val="20"/>
                <w:color w:val="auto"/>
              </w:rPr>
            </w:pPr>
            <w:r>
              <w:rPr>
                <w:rFonts w:ascii="Arial" w:cs="Arial" w:eastAsia="Arial" w:hAnsi="Arial"/>
                <w:sz w:val="18"/>
                <w:szCs w:val="18"/>
                <w:color w:val="auto"/>
              </w:rPr>
              <w:t>2020</w:t>
            </w:r>
          </w:p>
        </w:tc>
        <w:tc>
          <w:tcPr>
            <w:tcW w:w="160" w:type="dxa"/>
            <w:vAlign w:val="bottom"/>
          </w:tcPr>
          <w:p>
            <w:pPr>
              <w:spacing w:after="0"/>
              <w:rPr>
                <w:sz w:val="21"/>
                <w:szCs w:val="21"/>
                <w:color w:val="auto"/>
              </w:rPr>
            </w:pPr>
          </w:p>
        </w:tc>
        <w:tc>
          <w:tcPr>
            <w:tcW w:w="1640" w:type="dxa"/>
            <w:vAlign w:val="bottom"/>
            <w:gridSpan w:val="5"/>
          </w:tcPr>
          <w:p>
            <w:pPr>
              <w:jc w:val="right"/>
              <w:ind w:right="567"/>
              <w:spacing w:after="0" w:line="250" w:lineRule="exact"/>
              <w:rPr>
                <w:sz w:val="20"/>
                <w:szCs w:val="20"/>
                <w:color w:val="auto"/>
              </w:rPr>
            </w:pPr>
            <w:r>
              <w:rPr>
                <w:rFonts w:ascii="Arial" w:cs="Arial" w:eastAsia="Arial" w:hAnsi="Arial"/>
                <w:sz w:val="17"/>
                <w:szCs w:val="17"/>
                <w:color w:val="auto"/>
                <w:w w:val="96"/>
              </w:rPr>
              <w:t>% of sales</w:t>
            </w:r>
            <w:r>
              <w:rPr>
                <w:rFonts w:ascii="Arial" w:cs="Arial" w:eastAsia="Arial" w:hAnsi="Arial"/>
                <w:sz w:val="28"/>
                <w:szCs w:val="28"/>
                <w:color w:val="auto"/>
                <w:w w:val="96"/>
                <w:vertAlign w:val="superscript"/>
              </w:rPr>
              <w:t>(1)</w:t>
            </w: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60" w:type="dxa"/>
            <w:vAlign w:val="bottom"/>
          </w:tcPr>
          <w:p>
            <w:pPr>
              <w:spacing w:after="0"/>
              <w:rPr>
                <w:sz w:val="21"/>
                <w:szCs w:val="21"/>
                <w:color w:val="auto"/>
              </w:rPr>
            </w:pPr>
          </w:p>
        </w:tc>
        <w:tc>
          <w:tcPr>
            <w:tcW w:w="1140" w:type="dxa"/>
            <w:vAlign w:val="bottom"/>
            <w:gridSpan w:val="2"/>
          </w:tcPr>
          <w:p>
            <w:pPr>
              <w:jc w:val="right"/>
              <w:ind w:right="10"/>
              <w:spacing w:after="0" w:line="250" w:lineRule="exact"/>
              <w:rPr>
                <w:sz w:val="20"/>
                <w:szCs w:val="20"/>
                <w:color w:val="auto"/>
              </w:rPr>
            </w:pPr>
            <w:r>
              <w:rPr>
                <w:rFonts w:ascii="Arial" w:cs="Arial" w:eastAsia="Arial" w:hAnsi="Arial"/>
                <w:sz w:val="17"/>
                <w:szCs w:val="17"/>
                <w:color w:val="auto"/>
              </w:rPr>
              <w:t>% of sales</w:t>
            </w:r>
            <w:r>
              <w:rPr>
                <w:rFonts w:ascii="Arial" w:cs="Arial" w:eastAsia="Arial" w:hAnsi="Arial"/>
                <w:sz w:val="28"/>
                <w:szCs w:val="28"/>
                <w:color w:val="auto"/>
                <w:vertAlign w:val="superscript"/>
              </w:rPr>
              <w:t>(1)</w:t>
            </w:r>
          </w:p>
        </w:tc>
      </w:tr>
      <w:tr>
        <w:trPr>
          <w:trHeight w:val="183"/>
        </w:trPr>
        <w:tc>
          <w:tcPr>
            <w:tcW w:w="64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Net (loss) income</w:t>
            </w:r>
          </w:p>
        </w:tc>
        <w:tc>
          <w:tcPr>
            <w:tcW w:w="200" w:type="dxa"/>
            <w:vAlign w:val="bottom"/>
            <w:tcBorders>
              <w:top w:val="single" w:sz="8" w:color="auto"/>
            </w:tcBorders>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(760)</w:t>
            </w:r>
          </w:p>
        </w:tc>
        <w:tc>
          <w:tcPr>
            <w:tcW w:w="16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(1.1)%</w:t>
            </w:r>
          </w:p>
        </w:tc>
        <w:tc>
          <w:tcPr>
            <w:tcW w:w="140" w:type="dxa"/>
            <w:vAlign w:val="bottom"/>
            <w:tcBorders>
              <w:top w:val="single" w:sz="8" w:color="auto"/>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(154)</w:t>
            </w:r>
          </w:p>
        </w:tc>
        <w:tc>
          <w:tcPr>
            <w:tcW w:w="16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(0.2)%</w:t>
            </w: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559</w:t>
            </w: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0.8</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943</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3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(1,593)</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(2.4)%</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0.0</w:t>
            </w:r>
          </w:p>
        </w:tc>
        <w:tc>
          <w:tcPr>
            <w:tcW w:w="3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7,867</w:t>
            </w: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11.6</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8,236</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9.3</w:t>
            </w:r>
          </w:p>
        </w:tc>
        <w:tc>
          <w:tcPr>
            <w:tcW w:w="3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538</w:t>
            </w:r>
          </w:p>
        </w:tc>
        <w:tc>
          <w:tcPr>
            <w:tcW w:w="160" w:type="dxa"/>
            <w:vAlign w:val="bottom"/>
            <w:shd w:val="clear" w:color="auto" w:fill="CCEEFF"/>
          </w:tcPr>
          <w:p>
            <w:pPr>
              <w:spacing w:after="0"/>
              <w:rPr>
                <w:sz w:val="16"/>
                <w:szCs w:val="16"/>
                <w:color w:val="auto"/>
              </w:rPr>
            </w:pPr>
          </w:p>
        </w:tc>
        <w:tc>
          <w:tcPr>
            <w:tcW w:w="960" w:type="dxa"/>
            <w:vAlign w:val="bottom"/>
            <w:tcBorders>
              <w:bottom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0.8 %</w:t>
            </w:r>
          </w:p>
        </w:tc>
        <w:tc>
          <w:tcPr>
            <w:tcW w:w="140" w:type="dxa"/>
            <w:vAlign w:val="bottom"/>
            <w:tcBorders>
              <w:bottom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770</w:t>
            </w:r>
          </w:p>
        </w:tc>
        <w:tc>
          <w:tcPr>
            <w:tcW w:w="160" w:type="dxa"/>
            <w:vAlign w:val="bottom"/>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rPr>
              <w:t>0.9 %</w:t>
            </w:r>
          </w:p>
        </w:tc>
      </w:tr>
      <w:tr>
        <w:trPr>
          <w:trHeight w:val="183"/>
        </w:trPr>
        <w:tc>
          <w:tcPr>
            <w:tcW w:w="648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6,611</w:t>
            </w:r>
          </w:p>
        </w:tc>
        <w:tc>
          <w:tcPr>
            <w:tcW w:w="16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9.8 %</w:t>
            </w:r>
          </w:p>
        </w:tc>
        <w:tc>
          <w:tcPr>
            <w:tcW w:w="1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9,806</w:t>
            </w:r>
          </w:p>
        </w:tc>
        <w:tc>
          <w:tcPr>
            <w:tcW w:w="16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70"/>
              <w:spacing w:after="0" w:line="182" w:lineRule="exact"/>
              <w:rPr>
                <w:sz w:val="20"/>
                <w:szCs w:val="20"/>
                <w:color w:val="auto"/>
              </w:rPr>
            </w:pPr>
            <w:r>
              <w:rPr>
                <w:rFonts w:ascii="Arial" w:cs="Arial" w:eastAsia="Arial" w:hAnsi="Arial"/>
                <w:sz w:val="18"/>
                <w:szCs w:val="18"/>
                <w:color w:val="auto"/>
              </w:rPr>
              <w:t>11.0 %</w:t>
            </w: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4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r>
        <w:trPr>
          <w:trHeight w:val="398"/>
        </w:trPr>
        <w:tc>
          <w:tcPr>
            <w:tcW w:w="6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780" w:type="dxa"/>
            <w:vAlign w:val="bottom"/>
            <w:gridSpan w:val="6"/>
          </w:tcPr>
          <w:p>
            <w:pPr>
              <w:spacing w:after="0"/>
              <w:rPr>
                <w:sz w:val="20"/>
                <w:szCs w:val="20"/>
                <w:color w:val="auto"/>
              </w:rPr>
            </w:pPr>
            <w:r>
              <w:rPr>
                <w:rFonts w:ascii="Arial" w:cs="Arial" w:eastAsia="Arial" w:hAnsi="Arial"/>
                <w:sz w:val="18"/>
                <w:szCs w:val="18"/>
                <w:color w:val="auto"/>
              </w:rPr>
              <w:t>(in thousands)</w:t>
            </w: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89"/>
        </w:trPr>
        <w:tc>
          <w:tcPr>
            <w:tcW w:w="6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520" w:type="dxa"/>
            <w:vAlign w:val="bottom"/>
            <w:gridSpan w:val="7"/>
          </w:tcPr>
          <w:p>
            <w:pPr>
              <w:jc w:val="center"/>
              <w:spacing w:after="0" w:line="189" w:lineRule="exact"/>
              <w:rPr>
                <w:sz w:val="20"/>
                <w:szCs w:val="20"/>
                <w:color w:val="auto"/>
              </w:rPr>
            </w:pPr>
            <w:r>
              <w:rPr>
                <w:rFonts w:ascii="Arial" w:cs="Arial" w:eastAsia="Arial" w:hAnsi="Arial"/>
                <w:sz w:val="18"/>
                <w:szCs w:val="18"/>
                <w:color w:val="auto"/>
                <w:w w:val="91"/>
              </w:rPr>
              <w:t>Six Months Ended</w:t>
            </w:r>
          </w:p>
        </w:tc>
        <w:tc>
          <w:tcPr>
            <w:tcW w:w="800" w:type="dxa"/>
            <w:vAlign w:val="bottom"/>
          </w:tcPr>
          <w:p>
            <w:pPr>
              <w:spacing w:after="0"/>
              <w:rPr>
                <w:sz w:val="16"/>
                <w:szCs w:val="16"/>
                <w:color w:val="auto"/>
              </w:rPr>
            </w:pPr>
          </w:p>
        </w:tc>
        <w:tc>
          <w:tcPr>
            <w:tcW w:w="340" w:type="dxa"/>
            <w:vAlign w:val="bottom"/>
          </w:tcPr>
          <w:p>
            <w:pPr>
              <w:spacing w:after="0"/>
              <w:rPr>
                <w:sz w:val="16"/>
                <w:szCs w:val="16"/>
                <w:color w:val="auto"/>
              </w:rPr>
            </w:pPr>
          </w:p>
        </w:tc>
      </w:tr>
      <w:tr>
        <w:trPr>
          <w:trHeight w:val="217"/>
        </w:trPr>
        <w:tc>
          <w:tcPr>
            <w:tcW w:w="64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86"/>
              </w:rPr>
              <w:t>June 30,</w:t>
            </w:r>
          </w:p>
        </w:tc>
        <w:tc>
          <w:tcPr>
            <w:tcW w:w="7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r>
      <w:tr>
        <w:trPr>
          <w:trHeight w:val="250"/>
        </w:trPr>
        <w:tc>
          <w:tcPr>
            <w:tcW w:w="64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2020</w:t>
            </w:r>
          </w:p>
        </w:tc>
        <w:tc>
          <w:tcPr>
            <w:tcW w:w="160" w:type="dxa"/>
            <w:vAlign w:val="bottom"/>
            <w:tcBorders>
              <w:bottom w:val="single" w:sz="8" w:color="CCEEFF"/>
            </w:tcBorders>
          </w:tcPr>
          <w:p>
            <w:pPr>
              <w:spacing w:after="0"/>
              <w:rPr>
                <w:sz w:val="21"/>
                <w:szCs w:val="21"/>
                <w:color w:val="auto"/>
              </w:rPr>
            </w:pP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 of sales</w:t>
            </w:r>
          </w:p>
        </w:tc>
        <w:tc>
          <w:tcPr>
            <w:tcW w:w="140" w:type="dxa"/>
            <w:vAlign w:val="bottom"/>
            <w:tcBorders>
              <w:bottom w:val="single" w:sz="8" w:color="auto"/>
            </w:tcBorders>
          </w:tcPr>
          <w:p>
            <w:pPr>
              <w:spacing w:after="0"/>
              <w:rPr>
                <w:sz w:val="21"/>
                <w:szCs w:val="21"/>
                <w:color w:val="auto"/>
              </w:rPr>
            </w:pPr>
          </w:p>
        </w:tc>
        <w:tc>
          <w:tcPr>
            <w:tcW w:w="32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2019</w:t>
            </w:r>
          </w:p>
        </w:tc>
        <w:tc>
          <w:tcPr>
            <w:tcW w:w="160" w:type="dxa"/>
            <w:vAlign w:val="bottom"/>
            <w:tcBorders>
              <w:bottom w:val="single" w:sz="8" w:color="CCEEFF"/>
            </w:tcBorders>
          </w:tcPr>
          <w:p>
            <w:pPr>
              <w:spacing w:after="0"/>
              <w:rPr>
                <w:sz w:val="21"/>
                <w:szCs w:val="21"/>
                <w:color w:val="auto"/>
              </w:rPr>
            </w:pPr>
          </w:p>
        </w:tc>
        <w:tc>
          <w:tcPr>
            <w:tcW w:w="1140" w:type="dxa"/>
            <w:vAlign w:val="bottom"/>
            <w:tcBorders>
              <w:bottom w:val="single" w:sz="8" w:color="auto"/>
            </w:tcBorders>
            <w:gridSpan w:val="2"/>
          </w:tcPr>
          <w:p>
            <w:pPr>
              <w:jc w:val="right"/>
              <w:ind w:right="10"/>
              <w:spacing w:after="0" w:line="250" w:lineRule="exact"/>
              <w:rPr>
                <w:sz w:val="20"/>
                <w:szCs w:val="20"/>
                <w:color w:val="auto"/>
              </w:rPr>
            </w:pPr>
            <w:r>
              <w:rPr>
                <w:rFonts w:ascii="Arial" w:cs="Arial" w:eastAsia="Arial" w:hAnsi="Arial"/>
                <w:sz w:val="17"/>
                <w:szCs w:val="17"/>
                <w:color w:val="auto"/>
              </w:rPr>
              <w:t>% of sales</w:t>
            </w:r>
            <w:r>
              <w:rPr>
                <w:rFonts w:ascii="Arial" w:cs="Arial" w:eastAsia="Arial" w:hAnsi="Arial"/>
                <w:sz w:val="28"/>
                <w:szCs w:val="28"/>
                <w:color w:val="auto"/>
                <w:vertAlign w:val="superscript"/>
              </w:rPr>
              <w:t>(1)</w:t>
            </w:r>
          </w:p>
        </w:tc>
      </w:tr>
      <w:tr>
        <w:trPr>
          <w:trHeight w:val="183"/>
        </w:trPr>
        <w:tc>
          <w:tcPr>
            <w:tcW w:w="64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income</w:t>
            </w:r>
          </w:p>
        </w:tc>
        <w:tc>
          <w:tcPr>
            <w:tcW w:w="200" w:type="dxa"/>
            <w:vAlign w:val="bottom"/>
            <w:shd w:val="clear" w:color="auto" w:fill="CCEEFF"/>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2,742</w:t>
            </w:r>
          </w:p>
        </w:tc>
        <w:tc>
          <w:tcPr>
            <w:tcW w:w="160" w:type="dxa"/>
            <w:vAlign w:val="bottom"/>
            <w:shd w:val="clear" w:color="auto" w:fill="CCEEFF"/>
          </w:tcPr>
          <w:p>
            <w:pPr>
              <w:spacing w:after="0"/>
              <w:rPr>
                <w:sz w:val="15"/>
                <w:szCs w:val="15"/>
                <w:color w:val="auto"/>
              </w:rPr>
            </w:pPr>
          </w:p>
        </w:tc>
        <w:tc>
          <w:tcPr>
            <w:tcW w:w="960" w:type="dxa"/>
            <w:vAlign w:val="bottom"/>
            <w:gridSpan w:val="2"/>
            <w:shd w:val="clear" w:color="auto" w:fill="CCEEFF"/>
          </w:tcPr>
          <w:p>
            <w:pPr>
              <w:jc w:val="right"/>
              <w:spacing w:after="0" w:line="182" w:lineRule="exact"/>
              <w:rPr>
                <w:sz w:val="20"/>
                <w:szCs w:val="20"/>
                <w:color w:val="auto"/>
              </w:rPr>
            </w:pPr>
            <w:r>
              <w:rPr>
                <w:rFonts w:ascii="Arial" w:cs="Arial" w:eastAsia="Arial" w:hAnsi="Arial"/>
                <w:sz w:val="18"/>
                <w:szCs w:val="18"/>
                <w:color w:val="auto"/>
              </w:rPr>
              <w:t>1.7 %</w:t>
            </w:r>
          </w:p>
        </w:tc>
        <w:tc>
          <w:tcPr>
            <w:tcW w:w="1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1,166</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70"/>
              <w:spacing w:after="0" w:line="182" w:lineRule="exact"/>
              <w:rPr>
                <w:sz w:val="20"/>
                <w:szCs w:val="20"/>
                <w:color w:val="auto"/>
              </w:rPr>
            </w:pPr>
            <w:r>
              <w:rPr>
                <w:rFonts w:ascii="Arial" w:cs="Arial" w:eastAsia="Arial" w:hAnsi="Arial"/>
                <w:sz w:val="18"/>
                <w:szCs w:val="18"/>
                <w:color w:val="auto"/>
              </w:rPr>
              <w:t>0.7 %</w:t>
            </w: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1,407</w:t>
            </w: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0.9</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1,921</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1.1</w:t>
            </w:r>
          </w:p>
        </w:tc>
        <w:tc>
          <w:tcPr>
            <w:tcW w:w="3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Income taxes</w:t>
            </w:r>
          </w:p>
        </w:tc>
        <w:tc>
          <w:tcPr>
            <w:tcW w:w="20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(3,349)</w:t>
            </w:r>
          </w:p>
        </w:tc>
        <w:tc>
          <w:tcPr>
            <w:tcW w:w="960" w:type="dxa"/>
            <w:vAlign w:val="bottom"/>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622</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0.4</w:t>
            </w:r>
          </w:p>
        </w:tc>
        <w:tc>
          <w:tcPr>
            <w:tcW w:w="340" w:type="dxa"/>
            <w:vAlign w:val="bottom"/>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6480" w:type="dxa"/>
            <w:vAlign w:val="bottom"/>
          </w:tcPr>
          <w:p>
            <w:pPr>
              <w:spacing w:after="0" w:line="189" w:lineRule="exact"/>
              <w:rPr>
                <w:sz w:val="20"/>
                <w:szCs w:val="20"/>
                <w:color w:val="auto"/>
              </w:rPr>
            </w:pPr>
            <w:r>
              <w:rPr>
                <w:rFonts w:ascii="Arial" w:cs="Arial" w:eastAsia="Arial" w:hAnsi="Arial"/>
                <w:sz w:val="18"/>
                <w:szCs w:val="18"/>
                <w:color w:val="auto"/>
              </w:rPr>
              <w:t>Depreciation and amortization</w:t>
            </w:r>
          </w:p>
        </w:tc>
        <w:tc>
          <w:tcPr>
            <w:tcW w:w="20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16,082</w:t>
            </w:r>
          </w:p>
        </w:tc>
        <w:tc>
          <w:tcPr>
            <w:tcW w:w="160" w:type="dxa"/>
            <w:vAlign w:val="bottom"/>
          </w:tcPr>
          <w:p>
            <w:pPr>
              <w:spacing w:after="0"/>
              <w:rPr>
                <w:sz w:val="16"/>
                <w:szCs w:val="16"/>
                <w:color w:val="auto"/>
              </w:rPr>
            </w:pPr>
          </w:p>
        </w:tc>
        <w:tc>
          <w:tcPr>
            <w:tcW w:w="740" w:type="dxa"/>
            <w:vAlign w:val="bottom"/>
          </w:tcPr>
          <w:p>
            <w:pPr>
              <w:jc w:val="right"/>
              <w:spacing w:after="0" w:line="189" w:lineRule="exact"/>
              <w:rPr>
                <w:sz w:val="20"/>
                <w:szCs w:val="20"/>
                <w:color w:val="auto"/>
              </w:rPr>
            </w:pPr>
            <w:r>
              <w:rPr>
                <w:rFonts w:ascii="Arial" w:cs="Arial" w:eastAsia="Arial" w:hAnsi="Arial"/>
                <w:sz w:val="18"/>
                <w:szCs w:val="18"/>
                <w:color w:val="auto"/>
              </w:rPr>
              <w:t>9.9</w:t>
            </w:r>
          </w:p>
        </w:tc>
        <w:tc>
          <w:tcPr>
            <w:tcW w:w="220" w:type="dxa"/>
            <w:vAlign w:val="bottom"/>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jc w:val="right"/>
              <w:spacing w:after="0" w:line="189" w:lineRule="exact"/>
              <w:rPr>
                <w:sz w:val="20"/>
                <w:szCs w:val="20"/>
                <w:color w:val="auto"/>
              </w:rPr>
            </w:pPr>
            <w:r>
              <w:rPr>
                <w:rFonts w:ascii="Arial" w:cs="Arial" w:eastAsia="Arial" w:hAnsi="Arial"/>
                <w:sz w:val="18"/>
                <w:szCs w:val="18"/>
                <w:color w:val="auto"/>
              </w:rPr>
              <w:t>16,200</w:t>
            </w:r>
          </w:p>
        </w:tc>
        <w:tc>
          <w:tcPr>
            <w:tcW w:w="160" w:type="dxa"/>
            <w:vAlign w:val="bottom"/>
          </w:tcPr>
          <w:p>
            <w:pPr>
              <w:spacing w:after="0"/>
              <w:rPr>
                <w:sz w:val="16"/>
                <w:szCs w:val="16"/>
                <w:color w:val="auto"/>
              </w:rPr>
            </w:pPr>
          </w:p>
        </w:tc>
        <w:tc>
          <w:tcPr>
            <w:tcW w:w="800" w:type="dxa"/>
            <w:vAlign w:val="bottom"/>
          </w:tcPr>
          <w:p>
            <w:pPr>
              <w:jc w:val="right"/>
              <w:spacing w:after="0" w:line="189" w:lineRule="exact"/>
              <w:rPr>
                <w:sz w:val="20"/>
                <w:szCs w:val="20"/>
                <w:color w:val="auto"/>
              </w:rPr>
            </w:pPr>
            <w:r>
              <w:rPr>
                <w:rFonts w:ascii="Arial" w:cs="Arial" w:eastAsia="Arial" w:hAnsi="Arial"/>
                <w:sz w:val="18"/>
                <w:szCs w:val="18"/>
                <w:color w:val="auto"/>
              </w:rPr>
              <w:t>9.2</w:t>
            </w:r>
          </w:p>
        </w:tc>
        <w:tc>
          <w:tcPr>
            <w:tcW w:w="340" w:type="dxa"/>
            <w:vAlign w:val="bottom"/>
          </w:tcPr>
          <w:p>
            <w:pPr>
              <w:jc w:val="right"/>
              <w:ind w:right="70"/>
              <w:spacing w:after="0" w:line="189" w:lineRule="exact"/>
              <w:rPr>
                <w:sz w:val="20"/>
                <w:szCs w:val="20"/>
                <w:color w:val="auto"/>
              </w:rPr>
            </w:pPr>
            <w:r>
              <w:rPr>
                <w:rFonts w:ascii="Arial" w:cs="Arial" w:eastAsia="Arial" w:hAnsi="Arial"/>
                <w:sz w:val="18"/>
                <w:szCs w:val="18"/>
                <w:color w:val="auto"/>
                <w:w w:val="99"/>
              </w:rPr>
              <w:t>%</w:t>
            </w:r>
          </w:p>
        </w:tc>
      </w:tr>
      <w:tr>
        <w:trPr>
          <w:trHeight w:val="189"/>
        </w:trPr>
        <w:tc>
          <w:tcPr>
            <w:tcW w:w="648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Stock based compensation</w:t>
            </w:r>
          </w:p>
        </w:tc>
        <w:tc>
          <w:tcPr>
            <w:tcW w:w="20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1,104</w:t>
            </w:r>
          </w:p>
        </w:tc>
        <w:tc>
          <w:tcPr>
            <w:tcW w:w="160" w:type="dxa"/>
            <w:vAlign w:val="bottom"/>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0.7</w:t>
            </w:r>
          </w:p>
        </w:tc>
        <w:tc>
          <w:tcPr>
            <w:tcW w:w="2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1,509</w:t>
            </w:r>
          </w:p>
        </w:tc>
        <w:tc>
          <w:tcPr>
            <w:tcW w:w="160" w:type="dxa"/>
            <w:vAlign w:val="bottom"/>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0.9</w:t>
            </w:r>
          </w:p>
        </w:tc>
        <w:tc>
          <w:tcPr>
            <w:tcW w:w="340" w:type="dxa"/>
            <w:vAlign w:val="bottom"/>
            <w:tcBorders>
              <w:bottom w:val="single" w:sz="8" w:color="auto"/>
            </w:tcBorders>
            <w:shd w:val="clear" w:color="auto" w:fill="CCEEFF"/>
          </w:tcPr>
          <w:p>
            <w:pPr>
              <w:jc w:val="right"/>
              <w:ind w:right="70"/>
              <w:spacing w:after="0" w:line="189" w:lineRule="exact"/>
              <w:rPr>
                <w:sz w:val="20"/>
                <w:szCs w:val="20"/>
                <w:color w:val="auto"/>
              </w:rPr>
            </w:pPr>
            <w:r>
              <w:rPr>
                <w:rFonts w:ascii="Arial" w:cs="Arial" w:eastAsia="Arial" w:hAnsi="Arial"/>
                <w:sz w:val="18"/>
                <w:szCs w:val="18"/>
                <w:color w:val="auto"/>
                <w:w w:val="99"/>
              </w:rPr>
              <w:t>%</w:t>
            </w:r>
          </w:p>
        </w:tc>
      </w:tr>
      <w:tr>
        <w:trPr>
          <w:trHeight w:val="183"/>
        </w:trPr>
        <w:tc>
          <w:tcPr>
            <w:tcW w:w="6480" w:type="dxa"/>
            <w:vAlign w:val="bottom"/>
          </w:tcPr>
          <w:p>
            <w:pPr>
              <w:spacing w:after="0" w:line="182" w:lineRule="exact"/>
              <w:rPr>
                <w:sz w:val="20"/>
                <w:szCs w:val="20"/>
                <w:color w:val="auto"/>
              </w:rPr>
            </w:pPr>
            <w:r>
              <w:rPr>
                <w:rFonts w:ascii="Arial" w:cs="Arial" w:eastAsia="Arial" w:hAnsi="Arial"/>
                <w:sz w:val="18"/>
                <w:szCs w:val="18"/>
                <w:color w:val="auto"/>
              </w:rPr>
              <w:t>Adjusted EBITDA</w:t>
            </w:r>
          </w:p>
        </w:tc>
        <w:tc>
          <w:tcPr>
            <w:tcW w:w="200" w:type="dxa"/>
            <w:vAlign w:val="bottom"/>
            <w:tcBorders>
              <w:bottom w:val="single" w:sz="8" w:color="auto"/>
            </w:tcBorders>
          </w:tcPr>
          <w:p>
            <w:pPr>
              <w:jc w:val="right"/>
              <w:ind w:right="10"/>
              <w:spacing w:after="0" w:line="182" w:lineRule="exact"/>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17,986</w:t>
            </w:r>
          </w:p>
        </w:tc>
        <w:tc>
          <w:tcPr>
            <w:tcW w:w="160" w:type="dxa"/>
            <w:vAlign w:val="bottom"/>
          </w:tcPr>
          <w:p>
            <w:pPr>
              <w:spacing w:after="0"/>
              <w:rPr>
                <w:sz w:val="15"/>
                <w:szCs w:val="15"/>
                <w:color w:val="auto"/>
              </w:rPr>
            </w:pPr>
          </w:p>
        </w:tc>
        <w:tc>
          <w:tcPr>
            <w:tcW w:w="960" w:type="dxa"/>
            <w:vAlign w:val="bottom"/>
            <w:tcBorders>
              <w:bottom w:val="single" w:sz="8" w:color="auto"/>
            </w:tcBorders>
            <w:gridSpan w:val="2"/>
          </w:tcPr>
          <w:p>
            <w:pPr>
              <w:jc w:val="right"/>
              <w:spacing w:after="0" w:line="182" w:lineRule="exact"/>
              <w:rPr>
                <w:sz w:val="20"/>
                <w:szCs w:val="20"/>
                <w:color w:val="auto"/>
              </w:rPr>
            </w:pPr>
            <w:r>
              <w:rPr>
                <w:rFonts w:ascii="Arial" w:cs="Arial" w:eastAsia="Arial" w:hAnsi="Arial"/>
                <w:sz w:val="18"/>
                <w:szCs w:val="18"/>
                <w:color w:val="auto"/>
              </w:rPr>
              <w:t>11.1 %</w:t>
            </w:r>
          </w:p>
        </w:tc>
        <w:tc>
          <w:tcPr>
            <w:tcW w:w="1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21,418</w:t>
            </w:r>
          </w:p>
        </w:tc>
        <w:tc>
          <w:tcPr>
            <w:tcW w:w="160" w:type="dxa"/>
            <w:vAlign w:val="bottom"/>
          </w:tcPr>
          <w:p>
            <w:pPr>
              <w:spacing w:after="0"/>
              <w:rPr>
                <w:sz w:val="15"/>
                <w:szCs w:val="15"/>
                <w:color w:val="auto"/>
              </w:rPr>
            </w:pPr>
          </w:p>
        </w:tc>
        <w:tc>
          <w:tcPr>
            <w:tcW w:w="1140" w:type="dxa"/>
            <w:vAlign w:val="bottom"/>
            <w:tcBorders>
              <w:bottom w:val="single" w:sz="8" w:color="auto"/>
            </w:tcBorders>
            <w:gridSpan w:val="2"/>
          </w:tcPr>
          <w:p>
            <w:pPr>
              <w:jc w:val="right"/>
              <w:ind w:right="70"/>
              <w:spacing w:after="0" w:line="182" w:lineRule="exact"/>
              <w:rPr>
                <w:sz w:val="20"/>
                <w:szCs w:val="20"/>
                <w:color w:val="auto"/>
              </w:rPr>
            </w:pPr>
            <w:r>
              <w:rPr>
                <w:rFonts w:ascii="Arial" w:cs="Arial" w:eastAsia="Arial" w:hAnsi="Arial"/>
                <w:sz w:val="18"/>
                <w:szCs w:val="18"/>
                <w:color w:val="auto"/>
              </w:rPr>
              <w:t>12.2 %</w:t>
            </w:r>
          </w:p>
        </w:tc>
      </w:tr>
      <w:tr>
        <w:trPr>
          <w:trHeight w:val="20"/>
        </w:trPr>
        <w:tc>
          <w:tcPr>
            <w:tcW w:w="6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r>
    </w:tbl>
    <w:p>
      <w:pPr>
        <w:spacing w:after="0" w:line="363" w:lineRule="exact"/>
        <w:rPr>
          <w:sz w:val="20"/>
          <w:szCs w:val="20"/>
          <w:color w:val="auto"/>
        </w:rPr>
      </w:pPr>
    </w:p>
    <w:p>
      <w:pPr>
        <w:ind w:left="260" w:hanging="215"/>
        <w:spacing w:after="0"/>
        <w:tabs>
          <w:tab w:leader="none" w:pos="260" w:val="left"/>
        </w:tabs>
        <w:numPr>
          <w:ilvl w:val="0"/>
          <w:numId w:val="3"/>
        </w:numPr>
        <w:rPr>
          <w:rFonts w:ascii="Arial" w:cs="Arial" w:eastAsia="Arial" w:hAnsi="Arial"/>
          <w:sz w:val="26"/>
          <w:szCs w:val="26"/>
          <w:color w:val="auto"/>
          <w:vertAlign w:val="superscript"/>
        </w:rPr>
      </w:pPr>
      <w:r>
        <w:rPr>
          <w:rFonts w:ascii="Arial" w:cs="Arial" w:eastAsia="Arial" w:hAnsi="Arial"/>
          <w:sz w:val="16"/>
          <w:szCs w:val="16"/>
          <w:color w:val="auto"/>
        </w:rPr>
        <w:t>Amounts do not foot due to rounding.</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8060" w:type="dxa"/>
            <w:vAlign w:val="bottom"/>
          </w:tcPr>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tc>
        <w:tc>
          <w:tcPr>
            <w:tcW w:w="2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527"/>
        </w:trPr>
        <w:tc>
          <w:tcPr>
            <w:tcW w:w="8060" w:type="dxa"/>
            <w:vAlign w:val="bottom"/>
          </w:tcPr>
          <w:p>
            <w:pPr>
              <w:spacing w:after="0"/>
              <w:rPr>
                <w:sz w:val="20"/>
                <w:szCs w:val="20"/>
                <w:color w:val="auto"/>
              </w:rPr>
            </w:pPr>
            <w:r>
              <w:rPr>
                <w:rFonts w:ascii="Arial" w:cs="Arial" w:eastAsia="Arial" w:hAnsi="Arial"/>
                <w:sz w:val="18"/>
                <w:szCs w:val="18"/>
                <w:color w:val="auto"/>
              </w:rPr>
              <w:t>The calculation of pretax return on capital employed is as follows:</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432"/>
        </w:trPr>
        <w:tc>
          <w:tcPr>
            <w:tcW w:w="8060" w:type="dxa"/>
            <w:vAlign w:val="bottom"/>
          </w:tcPr>
          <w:p>
            <w:pPr>
              <w:spacing w:after="0"/>
              <w:rPr>
                <w:sz w:val="20"/>
                <w:szCs w:val="20"/>
                <w:color w:val="auto"/>
              </w:rPr>
            </w:pPr>
            <w:r>
              <w:rPr>
                <w:rFonts w:ascii="Arial" w:cs="Arial" w:eastAsia="Arial" w:hAnsi="Arial"/>
                <w:sz w:val="18"/>
                <w:szCs w:val="18"/>
                <w:b w:val="1"/>
                <w:bCs w:val="1"/>
                <w:color w:val="auto"/>
              </w:rPr>
              <w:t>($ in thousands)</w:t>
            </w: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1000" w:type="dxa"/>
            <w:vAlign w:val="bottom"/>
            <w:tcBorders>
              <w:bottom w:val="single" w:sz="8" w:color="auto"/>
            </w:tcBorders>
          </w:tcPr>
          <w:p>
            <w:pPr>
              <w:spacing w:after="0"/>
              <w:rPr>
                <w:sz w:val="24"/>
                <w:szCs w:val="24"/>
                <w:color w:val="auto"/>
              </w:rPr>
            </w:pPr>
          </w:p>
        </w:tc>
        <w:tc>
          <w:tcPr>
            <w:tcW w:w="400" w:type="dxa"/>
            <w:vAlign w:val="bottom"/>
          </w:tcPr>
          <w:p>
            <w:pPr>
              <w:spacing w:after="0"/>
              <w:rPr>
                <w:sz w:val="24"/>
                <w:szCs w:val="24"/>
                <w:color w:val="auto"/>
              </w:rPr>
            </w:pPr>
          </w:p>
        </w:tc>
      </w:tr>
      <w:tr>
        <w:trPr>
          <w:trHeight w:val="250"/>
        </w:trPr>
        <w:tc>
          <w:tcPr>
            <w:tcW w:w="806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90"/>
              <w:spacing w:after="0" w:line="250" w:lineRule="exact"/>
              <w:rPr>
                <w:sz w:val="20"/>
                <w:szCs w:val="20"/>
                <w:color w:val="auto"/>
              </w:rPr>
            </w:pPr>
            <w:r>
              <w:rPr>
                <w:rFonts w:ascii="Arial" w:cs="Arial" w:eastAsia="Arial" w:hAnsi="Arial"/>
                <w:sz w:val="17"/>
                <w:szCs w:val="17"/>
                <w:b w:val="1"/>
                <w:bCs w:val="1"/>
                <w:color w:val="auto"/>
              </w:rPr>
              <w:t>2020</w:t>
            </w:r>
            <w:r>
              <w:rPr>
                <w:rFonts w:ascii="Arial" w:cs="Arial" w:eastAsia="Arial" w:hAnsi="Arial"/>
                <w:sz w:val="28"/>
                <w:szCs w:val="28"/>
                <w:b w:val="1"/>
                <w:bCs w:val="1"/>
                <w:color w:val="auto"/>
                <w:vertAlign w:val="superscript"/>
              </w:rPr>
              <w:t>(1)</w:t>
            </w:r>
          </w:p>
        </w:tc>
        <w:tc>
          <w:tcPr>
            <w:tcW w:w="20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line="250" w:lineRule="exact"/>
              <w:rPr>
                <w:sz w:val="20"/>
                <w:szCs w:val="20"/>
                <w:color w:val="auto"/>
              </w:rPr>
            </w:pPr>
            <w:r>
              <w:rPr>
                <w:rFonts w:ascii="Arial" w:cs="Arial" w:eastAsia="Arial" w:hAnsi="Arial"/>
                <w:sz w:val="17"/>
                <w:szCs w:val="17"/>
                <w:b w:val="1"/>
                <w:bCs w:val="1"/>
                <w:color w:val="auto"/>
                <w:w w:val="98"/>
              </w:rPr>
              <w:t>2019</w:t>
            </w:r>
            <w:r>
              <w:rPr>
                <w:rFonts w:ascii="Arial" w:cs="Arial" w:eastAsia="Arial" w:hAnsi="Arial"/>
                <w:sz w:val="28"/>
                <w:szCs w:val="28"/>
                <w:b w:val="1"/>
                <w:bCs w:val="1"/>
                <w:color w:val="auto"/>
                <w:w w:val="98"/>
                <w:vertAlign w:val="superscript"/>
              </w:rPr>
              <w:t>(1)</w:t>
            </w:r>
          </w:p>
        </w:tc>
        <w:tc>
          <w:tcPr>
            <w:tcW w:w="400" w:type="dxa"/>
            <w:vAlign w:val="bottom"/>
            <w:tcBorders>
              <w:bottom w:val="single" w:sz="8" w:color="CCEEFF"/>
            </w:tcBorders>
          </w:tcPr>
          <w:p>
            <w:pPr>
              <w:spacing w:after="0"/>
              <w:rPr>
                <w:sz w:val="21"/>
                <w:szCs w:val="21"/>
                <w:color w:val="auto"/>
              </w:rPr>
            </w:pPr>
          </w:p>
        </w:tc>
      </w:tr>
      <w:tr>
        <w:trPr>
          <w:trHeight w:val="183"/>
        </w:trPr>
        <w:tc>
          <w:tcPr>
            <w:tcW w:w="806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(Loss) income from operations (trailing twelve months)</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(4,249)</w:t>
            </w:r>
          </w:p>
        </w:tc>
        <w:tc>
          <w:tcPr>
            <w:tcW w:w="2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8,277</w:t>
            </w:r>
          </w:p>
        </w:tc>
        <w:tc>
          <w:tcPr>
            <w:tcW w:w="400" w:type="dxa"/>
            <w:vAlign w:val="bottom"/>
            <w:shd w:val="clear" w:color="auto" w:fill="CCEEFF"/>
          </w:tcPr>
          <w:p>
            <w:pPr>
              <w:spacing w:after="0"/>
              <w:rPr>
                <w:sz w:val="15"/>
                <w:szCs w:val="15"/>
                <w:color w:val="auto"/>
              </w:rPr>
            </w:pPr>
          </w:p>
        </w:tc>
      </w:tr>
      <w:tr>
        <w:trPr>
          <w:trHeight w:val="189"/>
        </w:trPr>
        <w:tc>
          <w:tcPr>
            <w:tcW w:w="8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00" w:type="dxa"/>
            <w:vAlign w:val="bottom"/>
          </w:tcPr>
          <w:p>
            <w:pPr>
              <w:spacing w:after="0"/>
              <w:rPr>
                <w:sz w:val="16"/>
                <w:szCs w:val="16"/>
                <w:color w:val="auto"/>
              </w:rPr>
            </w:pP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Total Assets</w:t>
            </w:r>
          </w:p>
        </w:tc>
        <w:tc>
          <w:tcPr>
            <w:tcW w:w="22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389,968</w:t>
            </w:r>
          </w:p>
        </w:tc>
        <w:tc>
          <w:tcPr>
            <w:tcW w:w="2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360,696</w:t>
            </w:r>
          </w:p>
        </w:tc>
        <w:tc>
          <w:tcPr>
            <w:tcW w:w="400" w:type="dxa"/>
            <w:vAlign w:val="bottom"/>
            <w:shd w:val="clear" w:color="auto" w:fill="CCEEFF"/>
          </w:tcPr>
          <w:p>
            <w:pPr>
              <w:spacing w:after="0"/>
              <w:rPr>
                <w:sz w:val="16"/>
                <w:szCs w:val="16"/>
                <w:color w:val="auto"/>
              </w:rPr>
            </w:pPr>
          </w:p>
        </w:tc>
      </w:tr>
      <w:tr>
        <w:trPr>
          <w:trHeight w:val="189"/>
        </w:trPr>
        <w:tc>
          <w:tcPr>
            <w:tcW w:w="8060" w:type="dxa"/>
            <w:vAlign w:val="bottom"/>
          </w:tcPr>
          <w:p>
            <w:pPr>
              <w:ind w:left="120"/>
              <w:spacing w:after="0" w:line="189" w:lineRule="exact"/>
              <w:rPr>
                <w:sz w:val="20"/>
                <w:szCs w:val="20"/>
                <w:color w:val="auto"/>
              </w:rPr>
            </w:pPr>
            <w:r>
              <w:rPr>
                <w:rFonts w:ascii="Arial" w:cs="Arial" w:eastAsia="Arial" w:hAnsi="Arial"/>
                <w:sz w:val="18"/>
                <w:szCs w:val="18"/>
                <w:color w:val="auto"/>
              </w:rPr>
              <w:t>Less: Accounts payable</w:t>
            </w:r>
          </w:p>
        </w:tc>
        <w:tc>
          <w:tcPr>
            <w:tcW w:w="220" w:type="dxa"/>
            <w:vAlign w:val="bottom"/>
          </w:tcPr>
          <w:p>
            <w:pPr>
              <w:spacing w:after="0"/>
              <w:rPr>
                <w:sz w:val="16"/>
                <w:szCs w:val="16"/>
                <w:color w:val="auto"/>
              </w:rPr>
            </w:pPr>
          </w:p>
        </w:tc>
        <w:tc>
          <w:tcPr>
            <w:tcW w:w="12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(16,670)</w:t>
            </w:r>
          </w:p>
        </w:tc>
        <w:tc>
          <w:tcPr>
            <w:tcW w:w="300" w:type="dxa"/>
            <w:vAlign w:val="bottom"/>
          </w:tcPr>
          <w:p>
            <w:pPr>
              <w:spacing w:after="0"/>
              <w:rPr>
                <w:sz w:val="16"/>
                <w:szCs w:val="16"/>
                <w:color w:val="auto"/>
              </w:rPr>
            </w:pP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(26,747)</w:t>
            </w:r>
          </w:p>
        </w:tc>
      </w:tr>
      <w:tr>
        <w:trPr>
          <w:trHeight w:val="189"/>
        </w:trPr>
        <w:tc>
          <w:tcPr>
            <w:tcW w:w="8060" w:type="dxa"/>
            <w:vAlign w:val="bottom"/>
            <w:shd w:val="clear" w:color="auto" w:fill="CCEEFF"/>
          </w:tcPr>
          <w:p>
            <w:pPr>
              <w:ind w:left="120"/>
              <w:spacing w:after="0" w:line="189" w:lineRule="exact"/>
              <w:rPr>
                <w:sz w:val="20"/>
                <w:szCs w:val="20"/>
                <w:color w:val="auto"/>
              </w:rPr>
            </w:pPr>
            <w:r>
              <w:rPr>
                <w:rFonts w:ascii="Arial" w:cs="Arial" w:eastAsia="Arial" w:hAnsi="Arial"/>
                <w:sz w:val="18"/>
                <w:szCs w:val="18"/>
                <w:color w:val="auto"/>
              </w:rPr>
              <w:t>Less: Income tax payable</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80"/>
              <w:spacing w:after="0" w:line="189" w:lineRule="exact"/>
              <w:rPr>
                <w:sz w:val="20"/>
                <w:szCs w:val="20"/>
                <w:color w:val="auto"/>
              </w:rPr>
            </w:pPr>
            <w:r>
              <w:rPr>
                <w:rFonts w:ascii="Arial" w:cs="Arial" w:eastAsia="Arial" w:hAnsi="Arial"/>
                <w:sz w:val="18"/>
                <w:szCs w:val="18"/>
                <w:color w:val="auto"/>
              </w:rPr>
              <w:t>(85)</w:t>
            </w:r>
          </w:p>
        </w:tc>
        <w:tc>
          <w:tcPr>
            <w:tcW w:w="3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400"/>
              <w:spacing w:after="0" w:line="189" w:lineRule="exact"/>
              <w:rPr>
                <w:sz w:val="20"/>
                <w:szCs w:val="20"/>
                <w:color w:val="auto"/>
              </w:rPr>
            </w:pPr>
            <w:r>
              <w:rPr>
                <w:rFonts w:ascii="Arial" w:cs="Arial" w:eastAsia="Arial" w:hAnsi="Arial"/>
                <w:sz w:val="18"/>
                <w:szCs w:val="18"/>
                <w:color w:val="auto"/>
              </w:rPr>
              <w:t>(111)</w:t>
            </w:r>
          </w:p>
        </w:tc>
      </w:tr>
      <w:tr>
        <w:trPr>
          <w:trHeight w:val="189"/>
        </w:trPr>
        <w:tc>
          <w:tcPr>
            <w:tcW w:w="8060" w:type="dxa"/>
            <w:vAlign w:val="bottom"/>
          </w:tcPr>
          <w:p>
            <w:pPr>
              <w:ind w:left="120"/>
              <w:spacing w:after="0" w:line="189" w:lineRule="exact"/>
              <w:rPr>
                <w:sz w:val="20"/>
                <w:szCs w:val="20"/>
                <w:color w:val="auto"/>
              </w:rPr>
            </w:pPr>
            <w:r>
              <w:rPr>
                <w:rFonts w:ascii="Arial" w:cs="Arial" w:eastAsia="Arial" w:hAnsi="Arial"/>
                <w:sz w:val="18"/>
                <w:szCs w:val="18"/>
                <w:color w:val="auto"/>
              </w:rPr>
              <w:t>Less: Other accrued liabilities</w:t>
            </w:r>
          </w:p>
        </w:tc>
        <w:tc>
          <w:tcPr>
            <w:tcW w:w="220" w:type="dxa"/>
            <w:vAlign w:val="bottom"/>
          </w:tcPr>
          <w:p>
            <w:pPr>
              <w:spacing w:after="0"/>
              <w:rPr>
                <w:sz w:val="16"/>
                <w:szCs w:val="16"/>
                <w:color w:val="auto"/>
              </w:rPr>
            </w:pPr>
          </w:p>
        </w:tc>
        <w:tc>
          <w:tcPr>
            <w:tcW w:w="12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(30,136)</w:t>
            </w:r>
          </w:p>
        </w:tc>
        <w:tc>
          <w:tcPr>
            <w:tcW w:w="300" w:type="dxa"/>
            <w:vAlign w:val="bottom"/>
          </w:tcPr>
          <w:p>
            <w:pPr>
              <w:spacing w:after="0"/>
              <w:rPr>
                <w:sz w:val="16"/>
                <w:szCs w:val="16"/>
                <w:color w:val="auto"/>
              </w:rPr>
            </w:pP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(26,599)</w:t>
            </w:r>
          </w:p>
        </w:tc>
      </w:tr>
      <w:tr>
        <w:trPr>
          <w:trHeight w:val="257"/>
        </w:trPr>
        <w:tc>
          <w:tcPr>
            <w:tcW w:w="806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Less: Lease liability</w:t>
            </w:r>
            <w:r>
              <w:rPr>
                <w:rFonts w:ascii="Arial" w:cs="Arial" w:eastAsia="Arial" w:hAnsi="Arial"/>
                <w:sz w:val="29"/>
                <w:szCs w:val="29"/>
                <w:color w:val="auto"/>
                <w:vertAlign w:val="superscript"/>
              </w:rPr>
              <w:t>(2)</w:t>
            </w:r>
          </w:p>
        </w:tc>
        <w:tc>
          <w:tcPr>
            <w:tcW w:w="2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(158,018)</w:t>
            </w:r>
          </w:p>
        </w:tc>
        <w:tc>
          <w:tcPr>
            <w:tcW w:w="300" w:type="dxa"/>
            <w:vAlign w:val="bottom"/>
            <w:shd w:val="clear" w:color="auto" w:fill="CCEEFF"/>
          </w:tcPr>
          <w:p>
            <w:pPr>
              <w:spacing w:after="0"/>
              <w:rPr>
                <w:sz w:val="22"/>
                <w:szCs w:val="22"/>
                <w:color w:val="auto"/>
              </w:rPr>
            </w:pPr>
          </w:p>
        </w:tc>
        <w:tc>
          <w:tcPr>
            <w:tcW w:w="14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(90,722)</w:t>
            </w:r>
          </w:p>
        </w:tc>
      </w:tr>
      <w:tr>
        <w:trPr>
          <w:trHeight w:val="189"/>
        </w:trPr>
        <w:tc>
          <w:tcPr>
            <w:tcW w:w="8060" w:type="dxa"/>
            <w:vAlign w:val="bottom"/>
          </w:tcPr>
          <w:p>
            <w:pPr>
              <w:ind w:left="120"/>
              <w:spacing w:after="0" w:line="189" w:lineRule="exact"/>
              <w:rPr>
                <w:sz w:val="20"/>
                <w:szCs w:val="20"/>
                <w:color w:val="auto"/>
              </w:rPr>
            </w:pPr>
            <w:r>
              <w:rPr>
                <w:rFonts w:ascii="Arial" w:cs="Arial" w:eastAsia="Arial" w:hAnsi="Arial"/>
                <w:sz w:val="18"/>
                <w:szCs w:val="18"/>
                <w:color w:val="auto"/>
              </w:rPr>
              <w:t>Less: Other long-term liabilities</w:t>
            </w:r>
          </w:p>
        </w:tc>
        <w:tc>
          <w:tcPr>
            <w:tcW w:w="220" w:type="dxa"/>
            <w:vAlign w:val="bottom"/>
          </w:tcPr>
          <w:p>
            <w:pPr>
              <w:spacing w:after="0"/>
              <w:rPr>
                <w:sz w:val="16"/>
                <w:szCs w:val="16"/>
                <w:color w:val="auto"/>
              </w:rPr>
            </w:pPr>
          </w:p>
        </w:tc>
        <w:tc>
          <w:tcPr>
            <w:tcW w:w="1260" w:type="dxa"/>
            <w:vAlign w:val="bottom"/>
            <w:gridSpan w:val="2"/>
          </w:tcPr>
          <w:p>
            <w:pPr>
              <w:jc w:val="right"/>
              <w:ind w:right="180"/>
              <w:spacing w:after="0" w:line="189" w:lineRule="exact"/>
              <w:rPr>
                <w:sz w:val="20"/>
                <w:szCs w:val="20"/>
                <w:color w:val="auto"/>
              </w:rPr>
            </w:pPr>
            <w:r>
              <w:rPr>
                <w:rFonts w:ascii="Arial" w:cs="Arial" w:eastAsia="Arial" w:hAnsi="Arial"/>
                <w:sz w:val="18"/>
                <w:szCs w:val="18"/>
                <w:color w:val="auto"/>
              </w:rPr>
              <w:t>(4,061)</w:t>
            </w:r>
          </w:p>
        </w:tc>
        <w:tc>
          <w:tcPr>
            <w:tcW w:w="300" w:type="dxa"/>
            <w:vAlign w:val="bottom"/>
          </w:tcPr>
          <w:p>
            <w:pPr>
              <w:spacing w:after="0"/>
              <w:rPr>
                <w:sz w:val="16"/>
                <w:szCs w:val="16"/>
                <w:color w:val="auto"/>
              </w:rPr>
            </w:pPr>
          </w:p>
        </w:tc>
        <w:tc>
          <w:tcPr>
            <w:tcW w:w="1400" w:type="dxa"/>
            <w:vAlign w:val="bottom"/>
            <w:gridSpan w:val="2"/>
          </w:tcPr>
          <w:p>
            <w:pPr>
              <w:jc w:val="right"/>
              <w:ind w:right="400"/>
              <w:spacing w:after="0" w:line="189" w:lineRule="exact"/>
              <w:rPr>
                <w:sz w:val="20"/>
                <w:szCs w:val="20"/>
                <w:color w:val="auto"/>
              </w:rPr>
            </w:pPr>
            <w:r>
              <w:rPr>
                <w:rFonts w:ascii="Arial" w:cs="Arial" w:eastAsia="Arial" w:hAnsi="Arial"/>
                <w:sz w:val="18"/>
                <w:szCs w:val="18"/>
                <w:color w:val="auto"/>
              </w:rPr>
              <w:t>(3,781)</w:t>
            </w:r>
          </w:p>
        </w:tc>
      </w:tr>
      <w:tr>
        <w:trPr>
          <w:trHeight w:val="183"/>
        </w:trPr>
        <w:tc>
          <w:tcPr>
            <w:tcW w:w="8060" w:type="dxa"/>
            <w:vAlign w:val="bottom"/>
            <w:tcBorders>
              <w:top w:val="single" w:sz="8" w:color="CCEEFF"/>
              <w:bottom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Capital Employed</w:t>
            </w: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180,998</w:t>
            </w: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2" w:lineRule="exact"/>
              <w:rPr>
                <w:sz w:val="20"/>
                <w:szCs w:val="20"/>
                <w:color w:val="auto"/>
              </w:rPr>
            </w:pPr>
            <w:r>
              <w:rPr>
                <w:rFonts w:ascii="Arial" w:cs="Arial" w:eastAsia="Arial" w:hAnsi="Arial"/>
                <w:sz w:val="18"/>
                <w:szCs w:val="18"/>
                <w:color w:val="auto"/>
              </w:rPr>
              <w:t>212,736</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20"/>
        </w:trPr>
        <w:tc>
          <w:tcPr>
            <w:tcW w:w="8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170"/>
        </w:trPr>
        <w:tc>
          <w:tcPr>
            <w:tcW w:w="8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r>
      <w:tr>
        <w:trPr>
          <w:trHeight w:val="189"/>
        </w:trPr>
        <w:tc>
          <w:tcPr>
            <w:tcW w:w="806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Pretax Return on Capital Employed</w:t>
            </w:r>
          </w:p>
        </w:tc>
        <w:tc>
          <w:tcPr>
            <w:tcW w:w="22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40"/>
              <w:spacing w:after="0" w:line="189" w:lineRule="exact"/>
              <w:rPr>
                <w:sz w:val="20"/>
                <w:szCs w:val="20"/>
                <w:color w:val="auto"/>
              </w:rPr>
            </w:pPr>
            <w:r>
              <w:rPr>
                <w:rFonts w:ascii="Arial" w:cs="Arial" w:eastAsia="Arial" w:hAnsi="Arial"/>
                <w:sz w:val="18"/>
                <w:szCs w:val="18"/>
                <w:color w:val="auto"/>
              </w:rPr>
              <w:t>(2.3)%</w:t>
            </w:r>
          </w:p>
        </w:tc>
        <w:tc>
          <w:tcPr>
            <w:tcW w:w="300" w:type="dxa"/>
            <w:vAlign w:val="bottom"/>
            <w:shd w:val="clear" w:color="auto" w:fill="CCEEFF"/>
          </w:tcPr>
          <w:p>
            <w:pPr>
              <w:spacing w:after="0"/>
              <w:rPr>
                <w:sz w:val="16"/>
                <w:szCs w:val="16"/>
                <w:color w:val="auto"/>
              </w:rPr>
            </w:pPr>
          </w:p>
        </w:tc>
        <w:tc>
          <w:tcPr>
            <w:tcW w:w="1400" w:type="dxa"/>
            <w:vAlign w:val="bottom"/>
            <w:gridSpan w:val="2"/>
            <w:shd w:val="clear" w:color="auto" w:fill="CCEEFF"/>
          </w:tcPr>
          <w:p>
            <w:pPr>
              <w:jc w:val="right"/>
              <w:ind w:right="240"/>
              <w:spacing w:after="0" w:line="189" w:lineRule="exact"/>
              <w:rPr>
                <w:sz w:val="20"/>
                <w:szCs w:val="20"/>
                <w:color w:val="auto"/>
              </w:rPr>
            </w:pPr>
            <w:r>
              <w:rPr>
                <w:rFonts w:ascii="Arial" w:cs="Arial" w:eastAsia="Arial" w:hAnsi="Arial"/>
                <w:sz w:val="18"/>
                <w:szCs w:val="18"/>
                <w:color w:val="auto"/>
              </w:rPr>
              <w:t>3.9 %</w:t>
            </w:r>
          </w:p>
        </w:tc>
      </w:tr>
    </w:tbl>
    <w:p>
      <w:pPr>
        <w:spacing w:after="0" w:line="229" w:lineRule="exact"/>
        <w:rPr>
          <w:sz w:val="20"/>
          <w:szCs w:val="20"/>
          <w:color w:val="auto"/>
        </w:rPr>
      </w:pPr>
    </w:p>
    <w:p>
      <w:pPr>
        <w:ind w:firstLine="59"/>
        <w:spacing w:after="0" w:line="194" w:lineRule="auto"/>
        <w:tabs>
          <w:tab w:leader="none" w:pos="288" w:val="left"/>
        </w:tabs>
        <w:numPr>
          <w:ilvl w:val="1"/>
          <w:numId w:val="4"/>
        </w:numPr>
        <w:rPr>
          <w:rFonts w:ascii="Arial" w:cs="Arial" w:eastAsia="Arial" w:hAnsi="Arial"/>
          <w:sz w:val="28"/>
          <w:szCs w:val="28"/>
          <w:color w:val="auto"/>
          <w:vertAlign w:val="superscript"/>
        </w:rPr>
      </w:pPr>
      <w:r>
        <w:rPr>
          <w:rFonts w:ascii="Arial" w:cs="Arial" w:eastAsia="Arial" w:hAnsi="Arial"/>
          <w:sz w:val="17"/>
          <w:szCs w:val="17"/>
          <w:color w:val="auto"/>
        </w:rPr>
        <w:t>Income statement accounts represent the activity for the trailing twelve months ended as of each of the balance sheet dates. Balance sheet accounts represent the average account balance for the four quarters ended as of each of the balance sheet dates.</w:t>
      </w:r>
    </w:p>
    <w:p>
      <w:pPr>
        <w:spacing w:after="0" w:line="1" w:lineRule="exact"/>
        <w:rPr>
          <w:rFonts w:ascii="Arial" w:cs="Arial" w:eastAsia="Arial" w:hAnsi="Arial"/>
          <w:sz w:val="28"/>
          <w:szCs w:val="28"/>
          <w:color w:val="auto"/>
          <w:vertAlign w:val="superscript"/>
        </w:rPr>
      </w:pPr>
    </w:p>
    <w:p>
      <w:pPr>
        <w:ind w:left="220" w:hanging="212"/>
        <w:spacing w:after="0" w:line="205" w:lineRule="auto"/>
        <w:tabs>
          <w:tab w:leader="none" w:pos="220"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Represents the average lease liability and deferred rent account balances for the four quarters ended as of each of the balance sheet dates.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jc w:val="both"/>
        <w:ind w:right="60"/>
        <w:spacing w:after="0" w:line="235" w:lineRule="auto"/>
        <w:rPr>
          <w:sz w:val="20"/>
          <w:szCs w:val="20"/>
          <w:color w:val="auto"/>
        </w:rPr>
      </w:pPr>
      <w:r>
        <w:rPr>
          <w:rFonts w:ascii="Arial" w:cs="Arial" w:eastAsia="Arial" w:hAnsi="Arial"/>
          <w:sz w:val="18"/>
          <w:szCs w:val="18"/>
          <w:color w:val="auto"/>
        </w:rPr>
        <w:t>Our principal liquidity requirements have been for working capital and capital expenditures. Our principal sources of liquidity are $7.9 million of cash and cash equivalents at June 30, 2020, our cash flow from operations, and borrowings available under our Credit Agreement. We expect to use this liquidity for purchasing additional merchandise inventory, maintaining our existing stores, and general corporate purposes.</w:t>
      </w:r>
    </w:p>
    <w:p>
      <w:pPr>
        <w:spacing w:after="0" w:line="148" w:lineRule="exact"/>
        <w:rPr>
          <w:sz w:val="20"/>
          <w:szCs w:val="20"/>
          <w:color w:val="auto"/>
        </w:rPr>
      </w:pPr>
    </w:p>
    <w:p>
      <w:pPr>
        <w:ind w:right="140"/>
        <w:spacing w:after="0" w:line="252" w:lineRule="auto"/>
        <w:rPr>
          <w:sz w:val="20"/>
          <w:szCs w:val="20"/>
          <w:color w:val="auto"/>
        </w:rPr>
      </w:pPr>
      <w:r>
        <w:rPr>
          <w:rFonts w:ascii="Arial" w:cs="Arial" w:eastAsia="Arial" w:hAnsi="Arial"/>
          <w:sz w:val="16"/>
          <w:szCs w:val="16"/>
          <w:color w:val="auto"/>
        </w:rPr>
        <w:t>Following the onset of COVID-19, we took immediate steps to curtail operating expenses and conserve cash. Actions taken to reduce expenses included workforce reductions, the suspension of incentive compensation programs, salaried employee wage reductions, and adjustments to the number of replenishment trucks sent from our distribution centers to our stores. These cost savings measures, combined with a lower level of variable selling expenses, resulted in a $13.4 million reduction in SG&amp;A expenses during the second quarter of 2020 when compared to the second quarter of 2019. Actions taken to conserve cash included limiting inventory purchases, cutting anticipated spending on capital projects, and negotiating rent deferrals with our landlords. These actions contributed to the cash generating activities that enabled us to reduce our debt balance by $15.5 million during the second quarter of 2020. While traffic and sales trends improved throughout the second quarter of 2020, the recent escalation of COVID-19 cases across many of the markets we serve could continue to have a negative impact on our business. Accordingly, we are taking a conservative approach to adding headcount, increasing trucking schedules, and taking other actions that would lead to an increase in SG&amp;A expense. We have resumed normal purchasing activities and intend to begin repaying landlords for rent deferrals beginning in the third quarter of 2020. We anticipate repaying the majority of the $4.9 million of rent deferred during the second quarter of 2020 between the third quarter of 2020 and the third quarter of 2021.</w:t>
      </w:r>
    </w:p>
    <w:p>
      <w:pPr>
        <w:spacing w:after="0" w:line="143"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On September 18, 2018, Holdings and its operating subsidiary, The Tile Shop, LLC, entered into the Credit Agreement with Bank of America, N.A., Fifth Third Bank and Citizens Bank. The Credit Agreement provides the Company with a senior credit facility consisting of a $100.0 million revolving line of credit through September 18, 2023. Borrowings pursuant to the Credit Agreement initially bear interest at a LIBOR or base rate. The LIBOR-based rate ranges from LIBOR plus 1.50% to 2.25% depending on our rent adjusted leverage ratio. The base rate is equal to the greatest of (a) the Federal funds rate plus 0.50%, (b) the Bank of America “prime rate,” and (c) the Eurodollar rate plus 1.00%, in each case plus 0.50% to 1.25% depending on our rent adjusted leverage ratio. At June 30, 2020, the base interest rate was 4.25% and the LIBOR-based interest rate was 2.16%. Borrowings outstanding consisted of $22.0 million on the revolving line of credit as of June 30, 2020. We also have standby letters of credit outstanding related to our workers’ compensation and medical insurance policies. As of both June 30, 2020 and 2019, the standby letters of credit totaled $1.3 million. There was $76.7 million available for borrowing on the revolving line of credit as of June 30, 2020, which may be used to support our growth and for working capital purposes.</w:t>
      </w:r>
    </w:p>
    <w:p>
      <w:pPr>
        <w:spacing w:after="0" w:line="138" w:lineRule="exact"/>
        <w:rPr>
          <w:sz w:val="20"/>
          <w:szCs w:val="20"/>
          <w:color w:val="auto"/>
        </w:rPr>
      </w:pPr>
    </w:p>
    <w:p>
      <w:pPr>
        <w:ind w:right="100"/>
        <w:spacing w:after="0" w:line="228" w:lineRule="auto"/>
        <w:rPr>
          <w:sz w:val="20"/>
          <w:szCs w:val="20"/>
          <w:color w:val="auto"/>
        </w:rPr>
      </w:pPr>
      <w:r>
        <w:rPr>
          <w:rFonts w:ascii="Arial" w:cs="Arial" w:eastAsia="Arial" w:hAnsi="Arial"/>
          <w:sz w:val="18"/>
          <w:szCs w:val="18"/>
          <w:color w:val="auto"/>
        </w:rPr>
        <w:t>The Credit Agreement is secured by virtually all of our assets, including but not limited to, inventory, receivables, equipment and real property. The Credit Agreement contains customary events of default, conditions to borrowings, and restrictive covenants, including restrictions on our ability to dispose of assets, make acquisitions, incur additional debt, incur liens, or make investments. The Credit Agreement also includes financial and other covenants, including covenants to maintain certain fixed charge coverage ratios and consolidated total rent adjusted leverage ratios. We were in compliance with the covenants as of June 30, 2020.</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ind w:right="20"/>
        <w:spacing w:after="0" w:line="237" w:lineRule="auto"/>
        <w:rPr>
          <w:sz w:val="20"/>
          <w:szCs w:val="20"/>
          <w:color w:val="auto"/>
        </w:rPr>
      </w:pPr>
      <w:r>
        <w:rPr>
          <w:rFonts w:ascii="Arial" w:cs="Arial" w:eastAsia="Arial" w:hAnsi="Arial"/>
          <w:sz w:val="17"/>
          <w:szCs w:val="17"/>
          <w:color w:val="auto"/>
        </w:rPr>
        <w:t>As described above, due to the impact of the COVID-19 pandemic and the closure of some of our stores, our financial performance was negatively impacted during the second quarter of 2020 and may continue to be negatively impacted until the pandemic eases. Prior to the outbreak of the COVID-19 pandemic in the United States, we believed that we had the ability to comply with the financial covenants under the Credit Agreement over the next twelve months; however, given the uncertainty surrounding the COVID-19 pandemic, there can be no assurances as to our ability to do so. If the escalation of COVID-19 cases results in a decline in sales and traffic similar to what we experienced during the initial weeks of the second quarter of 2020, it is likely that we will be unable to comply with certain covenants (such as the leverage ratio) in the Credit Agreement. Under the terms of the Credit Agreement, the lenders could call the debt in advance of its maturity in the event of default. If an event of default were to occur, we anticipate we would enter into discussions with the lenders to waive the event of default. Failure to obtain such a waiver or refinance the debt if such an event were to occur would have a material adverse effect on our liquidity, financial condition and results of operations.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75" w:lineRule="exact"/>
        <w:rPr>
          <w:sz w:val="20"/>
          <w:szCs w:val="20"/>
          <w:color w:val="auto"/>
        </w:rPr>
      </w:pPr>
    </w:p>
    <w:p>
      <w:pPr>
        <w:ind w:right="840"/>
        <w:spacing w:after="0" w:line="307" w:lineRule="auto"/>
        <w:rPr>
          <w:sz w:val="20"/>
          <w:szCs w:val="20"/>
          <w:color w:val="auto"/>
        </w:rPr>
      </w:pPr>
      <w:r>
        <w:rPr>
          <w:rFonts w:ascii="Arial" w:cs="Arial" w:eastAsia="Arial" w:hAnsi="Arial"/>
          <w:sz w:val="16"/>
          <w:szCs w:val="16"/>
          <w:color w:val="auto"/>
        </w:rPr>
        <w:t>Capital expenditures were $0.9 million and $17.8 million for the six months ended June 30, 2020 and 2019, respectively. The decrease in capital expenditures was driven by our plan to limit capital spending and focus on reducing debt during the six months ended June 30, 2020.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cash flow data for the six months ended June 30, 2020 and 2019.</w:t>
      </w:r>
    </w:p>
    <w:p>
      <w:pPr>
        <w:spacing w:after="0" w:line="21" w:lineRule="exact"/>
        <w:rPr>
          <w:sz w:val="20"/>
          <w:szCs w:val="20"/>
          <w:color w:val="auto"/>
        </w:rPr>
      </w:pPr>
    </w:p>
    <w:p>
      <w:pPr>
        <w:jc w:val="center"/>
        <w:ind w:left="8320"/>
        <w:spacing w:after="0"/>
        <w:rPr>
          <w:sz w:val="20"/>
          <w:szCs w:val="20"/>
          <w:color w:val="auto"/>
        </w:rPr>
      </w:pPr>
      <w:r>
        <w:rPr>
          <w:rFonts w:ascii="Arial" w:cs="Arial" w:eastAsia="Arial" w:hAnsi="Arial"/>
          <w:sz w:val="18"/>
          <w:szCs w:val="18"/>
          <w:color w:val="auto"/>
        </w:rPr>
        <w:t>(in thousands)</w:t>
      </w:r>
    </w:p>
    <w:p>
      <w:pPr>
        <w:jc w:val="center"/>
        <w:ind w:left="8320"/>
        <w:spacing w:after="0" w:line="219" w:lineRule="auto"/>
        <w:rPr>
          <w:sz w:val="20"/>
          <w:szCs w:val="20"/>
          <w:color w:val="auto"/>
        </w:rPr>
      </w:pPr>
      <w:r>
        <w:rPr>
          <w:rFonts w:ascii="Arial" w:cs="Arial" w:eastAsia="Arial" w:hAnsi="Arial"/>
          <w:sz w:val="18"/>
          <w:szCs w:val="18"/>
          <w:color w:val="auto"/>
        </w:rPr>
        <w:t>Six Months Ended</w:t>
      </w:r>
    </w:p>
    <w:p>
      <w:pPr>
        <w:jc w:val="center"/>
        <w:ind w:left="8320"/>
        <w:spacing w:after="0" w:line="233" w:lineRule="auto"/>
        <w:rPr>
          <w:sz w:val="20"/>
          <w:szCs w:val="20"/>
          <w:color w:val="auto"/>
        </w:rPr>
      </w:pPr>
      <w:r>
        <w:rPr>
          <w:rFonts w:ascii="Arial" w:cs="Arial" w:eastAsia="Arial" w:hAnsi="Arial"/>
          <w:sz w:val="18"/>
          <w:szCs w:val="18"/>
          <w:color w:val="auto"/>
        </w:rPr>
        <w:t>June 30,</w:t>
      </w:r>
    </w:p>
    <w:tbl>
      <w:tblPr>
        <w:tblLayout w:type="fixed"/>
        <w:tblInd w:w="0" w:type="dxa"/>
        <w:tblCellMar>
          <w:top w:w="0" w:type="dxa"/>
          <w:left w:w="0" w:type="dxa"/>
          <w:bottom w:w="0" w:type="dxa"/>
          <w:right w:w="0" w:type="dxa"/>
        </w:tblCellMar>
      </w:tblPr>
      <w:tr>
        <w:trPr>
          <w:trHeight w:val="183"/>
        </w:trPr>
        <w:tc>
          <w:tcPr>
            <w:tcW w:w="8340" w:type="dxa"/>
            <w:vAlign w:val="bottom"/>
            <w:tcBorders>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2020</w:t>
            </w:r>
          </w:p>
        </w:tc>
        <w:tc>
          <w:tcPr>
            <w:tcW w:w="160" w:type="dxa"/>
            <w:vAlign w:val="bottom"/>
            <w:tcBorders>
              <w:top w:val="single" w:sz="8" w:color="auto"/>
              <w:bottom w:val="single" w:sz="8" w:color="CCEEFF"/>
            </w:tcBorders>
          </w:tcPr>
          <w:p>
            <w:pPr>
              <w:spacing w:after="0"/>
              <w:rPr>
                <w:sz w:val="15"/>
                <w:szCs w:val="15"/>
                <w:color w:val="auto"/>
              </w:rPr>
            </w:pPr>
          </w:p>
        </w:tc>
        <w:tc>
          <w:tcPr>
            <w:tcW w:w="30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jc w:val="right"/>
              <w:ind w:right="410"/>
              <w:spacing w:after="0" w:line="182" w:lineRule="exact"/>
              <w:rPr>
                <w:sz w:val="20"/>
                <w:szCs w:val="20"/>
                <w:color w:val="auto"/>
              </w:rPr>
            </w:pPr>
            <w:r>
              <w:rPr>
                <w:rFonts w:ascii="Arial" w:cs="Arial" w:eastAsia="Arial" w:hAnsi="Arial"/>
                <w:sz w:val="18"/>
                <w:szCs w:val="18"/>
                <w:color w:val="auto"/>
              </w:rPr>
              <w:t>2019</w:t>
            </w:r>
          </w:p>
        </w:tc>
      </w:tr>
      <w:tr>
        <w:trPr>
          <w:trHeight w:val="183"/>
        </w:trPr>
        <w:tc>
          <w:tcPr>
            <w:tcW w:w="834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Net cash provided by operating activities</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40,988</w:t>
            </w:r>
          </w:p>
        </w:tc>
        <w:tc>
          <w:tcPr>
            <w:tcW w:w="16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10"/>
              <w:spacing w:after="0" w:line="182" w:lineRule="exact"/>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line="182" w:lineRule="exact"/>
              <w:rPr>
                <w:sz w:val="20"/>
                <w:szCs w:val="20"/>
                <w:color w:val="auto"/>
              </w:rPr>
            </w:pPr>
            <w:r>
              <w:rPr>
                <w:rFonts w:ascii="Arial" w:cs="Arial" w:eastAsia="Arial" w:hAnsi="Arial"/>
                <w:sz w:val="18"/>
                <w:szCs w:val="18"/>
                <w:color w:val="auto"/>
              </w:rPr>
              <w:t>21,959</w:t>
            </w:r>
          </w:p>
        </w:tc>
      </w:tr>
      <w:tr>
        <w:trPr>
          <w:trHeight w:val="189"/>
        </w:trPr>
        <w:tc>
          <w:tcPr>
            <w:tcW w:w="8340" w:type="dxa"/>
            <w:vAlign w:val="bottom"/>
          </w:tcPr>
          <w:p>
            <w:pPr>
              <w:spacing w:after="0" w:line="189" w:lineRule="exact"/>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16"/>
                <w:szCs w:val="16"/>
                <w:color w:val="auto"/>
              </w:rPr>
            </w:pPr>
          </w:p>
        </w:tc>
        <w:tc>
          <w:tcPr>
            <w:tcW w:w="1220" w:type="dxa"/>
            <w:vAlign w:val="bottom"/>
            <w:gridSpan w:val="2"/>
          </w:tcPr>
          <w:p>
            <w:pPr>
              <w:jc w:val="right"/>
              <w:ind w:right="160"/>
              <w:spacing w:after="0" w:line="189" w:lineRule="exact"/>
              <w:rPr>
                <w:sz w:val="20"/>
                <w:szCs w:val="20"/>
                <w:color w:val="auto"/>
              </w:rPr>
            </w:pPr>
            <w:r>
              <w:rPr>
                <w:rFonts w:ascii="Arial" w:cs="Arial" w:eastAsia="Arial" w:hAnsi="Arial"/>
                <w:sz w:val="18"/>
                <w:szCs w:val="18"/>
                <w:color w:val="auto"/>
              </w:rPr>
              <w:t>(929)</w:t>
            </w:r>
          </w:p>
        </w:tc>
        <w:tc>
          <w:tcPr>
            <w:tcW w:w="300" w:type="dxa"/>
            <w:vAlign w:val="bottom"/>
          </w:tcPr>
          <w:p>
            <w:pPr>
              <w:spacing w:after="0"/>
              <w:rPr>
                <w:sz w:val="16"/>
                <w:szCs w:val="16"/>
                <w:color w:val="auto"/>
              </w:rPr>
            </w:pPr>
          </w:p>
        </w:tc>
        <w:tc>
          <w:tcPr>
            <w:tcW w:w="1080" w:type="dxa"/>
            <w:vAlign w:val="bottom"/>
          </w:tcPr>
          <w:p>
            <w:pPr>
              <w:jc w:val="right"/>
              <w:spacing w:after="0" w:line="189" w:lineRule="exact"/>
              <w:rPr>
                <w:sz w:val="20"/>
                <w:szCs w:val="20"/>
                <w:color w:val="auto"/>
              </w:rPr>
            </w:pPr>
            <w:r>
              <w:rPr>
                <w:rFonts w:ascii="Arial" w:cs="Arial" w:eastAsia="Arial" w:hAnsi="Arial"/>
                <w:sz w:val="18"/>
                <w:szCs w:val="18"/>
                <w:color w:val="auto"/>
              </w:rPr>
              <w:t>(17,213)</w:t>
            </w:r>
          </w:p>
        </w:tc>
      </w:tr>
      <w:tr>
        <w:trPr>
          <w:trHeight w:val="189"/>
        </w:trPr>
        <w:tc>
          <w:tcPr>
            <w:tcW w:w="83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line="189" w:lineRule="exact"/>
              <w:rPr>
                <w:sz w:val="20"/>
                <w:szCs w:val="20"/>
                <w:color w:val="auto"/>
              </w:rPr>
            </w:pPr>
            <w:r>
              <w:rPr>
                <w:rFonts w:ascii="Arial" w:cs="Arial" w:eastAsia="Arial" w:hAnsi="Arial"/>
                <w:sz w:val="18"/>
                <w:szCs w:val="18"/>
                <w:color w:val="auto"/>
              </w:rPr>
              <w:t>(41,217)</w:t>
            </w:r>
          </w:p>
        </w:tc>
        <w:tc>
          <w:tcPr>
            <w:tcW w:w="30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line="189" w:lineRule="exact"/>
              <w:rPr>
                <w:sz w:val="20"/>
                <w:szCs w:val="20"/>
                <w:color w:val="auto"/>
              </w:rPr>
            </w:pPr>
            <w:r>
              <w:rPr>
                <w:rFonts w:ascii="Arial" w:cs="Arial" w:eastAsia="Arial" w:hAnsi="Arial"/>
                <w:sz w:val="18"/>
                <w:szCs w:val="18"/>
                <w:color w:val="auto"/>
              </w:rPr>
              <w:t>(5,905)</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60"/>
        <w:spacing w:after="0" w:line="307" w:lineRule="auto"/>
        <w:rPr>
          <w:sz w:val="20"/>
          <w:szCs w:val="20"/>
          <w:color w:val="auto"/>
        </w:rPr>
      </w:pPr>
      <w:r>
        <w:rPr>
          <w:rFonts w:ascii="Arial" w:cs="Arial" w:eastAsia="Arial" w:hAnsi="Arial"/>
          <w:sz w:val="16"/>
          <w:szCs w:val="16"/>
          <w:color w:val="auto"/>
        </w:rPr>
        <w:t>Net cash provided by operating activities during the six months ended June 30, 2020 was $41.0 million compared with $22.0 million during the six months ended June 30, 2019. The increase is primarily attributable to actions taken to reduce inventory levels during the six months ended June 30, 2020.</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jc w:val="both"/>
        <w:ind w:right="360"/>
        <w:spacing w:after="0" w:line="235" w:lineRule="auto"/>
        <w:rPr>
          <w:sz w:val="20"/>
          <w:szCs w:val="20"/>
          <w:color w:val="auto"/>
        </w:rPr>
      </w:pPr>
      <w:r>
        <w:rPr>
          <w:rFonts w:ascii="Arial" w:cs="Arial" w:eastAsia="Arial" w:hAnsi="Arial"/>
          <w:sz w:val="18"/>
          <w:szCs w:val="18"/>
          <w:color w:val="auto"/>
        </w:rPr>
        <w:t>Net cash used in investing activities totaled $0.9 million for the six months ended June 30, 2020 compared with $17.2 million for the six months ended June 30, 2019. The decrease in capital expenditures was driven by our plan to limit capital spending and focus on reducing debt during the six months ending June 30, 2020.</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color w:val="auto"/>
        </w:rPr>
        <w:t>Net cash used in financing activities was $41.2 million for the six months ended June 30, 2020 compared with $5.9 million for the six months ended June 30, 2019. Net cash used in financing activities during the six months ended June 30, 2020 was applied toward reducing our long-term debt by $41.0 million during the six months ending June 30, 2020.</w:t>
      </w:r>
    </w:p>
    <w:p>
      <w:pPr>
        <w:spacing w:after="0" w:line="148" w:lineRule="exact"/>
        <w:rPr>
          <w:sz w:val="20"/>
          <w:szCs w:val="20"/>
          <w:color w:val="auto"/>
        </w:rPr>
      </w:pPr>
    </w:p>
    <w:p>
      <w:pPr>
        <w:ind w:right="220"/>
        <w:spacing w:after="0" w:line="307" w:lineRule="auto"/>
        <w:rPr>
          <w:sz w:val="20"/>
          <w:szCs w:val="20"/>
          <w:color w:val="auto"/>
        </w:rPr>
      </w:pPr>
      <w:r>
        <w:rPr>
          <w:rFonts w:ascii="Arial" w:cs="Arial" w:eastAsia="Arial" w:hAnsi="Arial"/>
          <w:sz w:val="16"/>
          <w:szCs w:val="16"/>
          <w:color w:val="auto"/>
        </w:rPr>
        <w:t>Cash and cash equivalents totaled $7.9 million at June 30, 2020 compared with $9.1 million at December 31, 2019. Working capital was $34.2 million at June 30, 2020 compared with $52.3 million at December 31, 2019. The decrease in working capital was primarily due to a decrease in inventory.</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2020 and December 31, 2019, we did not have any “off-balance sheet arrangements” (as such term is defined in Item 303 of Regulation S-</w:t>
      </w:r>
    </w:p>
    <w:p>
      <w:pPr>
        <w:spacing w:after="0" w:line="21" w:lineRule="exact"/>
        <w:rPr>
          <w:sz w:val="20"/>
          <w:szCs w:val="20"/>
          <w:color w:val="auto"/>
        </w:rPr>
      </w:pPr>
    </w:p>
    <w:p>
      <w:pPr>
        <w:ind w:right="60" w:firstLine="8"/>
        <w:spacing w:after="0" w:line="233" w:lineRule="auto"/>
        <w:tabs>
          <w:tab w:leader="none" w:pos="2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that could have a current or future effect on our financial condition, changes in financial condition, net sales or expenses, results of operations, liquidity, capital expenditures or capital resources.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Arrangements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2020, there were no material changes to our contractual obligations outside the ordinary course of business.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6" w:name="page27"/>
    <w:bookmarkEnd w:id="26"/>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Pronouncements Not Yet Adopted</w:t>
      </w:r>
    </w:p>
    <w:p>
      <w:pPr>
        <w:spacing w:after="0" w:line="171" w:lineRule="exact"/>
        <w:rPr>
          <w:sz w:val="20"/>
          <w:szCs w:val="20"/>
          <w:color w:val="auto"/>
        </w:rPr>
      </w:pPr>
    </w:p>
    <w:p>
      <w:pPr>
        <w:ind w:right="60"/>
        <w:spacing w:after="0" w:line="225" w:lineRule="auto"/>
        <w:rPr>
          <w:sz w:val="20"/>
          <w:szCs w:val="20"/>
          <w:color w:val="auto"/>
        </w:rPr>
      </w:pPr>
      <w:r>
        <w:rPr>
          <w:rFonts w:ascii="Arial" w:cs="Arial" w:eastAsia="Arial" w:hAnsi="Arial"/>
          <w:sz w:val="18"/>
          <w:szCs w:val="18"/>
          <w:color w:val="auto"/>
        </w:rPr>
        <w:t>In June 2016, the FASB issued a final standard on accounting for credit losses. The new standard was initially effective for us in 2020, and requires a change in credit loss calculations using the expected loss method. In November 2019, the FASB issued Accounting Standards Update 2019-10, “Financial Instruments – Credit Losses (Topic 326), Derivatives and Hedging (Topic 815), and Leases (Topic 842): Effective Dates,” which, among other things, defers the effective date of Accounting Standards Update 2016-13, the standard on accounting for credit losses, for public filers that are considered smaller reporting companies as defined by the Securities and Exchange Commission (the “SEC”) to fiscal years beginning after December 15, 2022, including interim periods within those years. Early adoption is permitted. We are evaluating the effect of this standard on our consolidated financial statements and related disclosures.</w:t>
      </w:r>
    </w:p>
    <w:p>
      <w:pPr>
        <w:spacing w:after="0" w:line="154" w:lineRule="exact"/>
        <w:rPr>
          <w:sz w:val="20"/>
          <w:szCs w:val="20"/>
          <w:color w:val="auto"/>
        </w:rPr>
      </w:pPr>
    </w:p>
    <w:p>
      <w:pPr>
        <w:spacing w:after="0" w:line="231" w:lineRule="auto"/>
        <w:rPr>
          <w:sz w:val="20"/>
          <w:szCs w:val="20"/>
          <w:color w:val="auto"/>
        </w:rPr>
      </w:pPr>
      <w:r>
        <w:rPr>
          <w:rFonts w:ascii="Arial" w:cs="Arial" w:eastAsia="Arial" w:hAnsi="Arial"/>
          <w:sz w:val="18"/>
          <w:szCs w:val="18"/>
          <w:color w:val="auto"/>
        </w:rPr>
        <w:t>In March 2020, the FASB issued guidance providing optional expedients and exceptions to account for the effects of reference rate reform to contracts, hedging relationships, and other transactions that reference LIBOR or another reference rate expected to be discontinued. The optional guidance is effective as of beginning of the reporting period when the election is made through December 31, 2022. We are currently evaluating the impact this guidance will have on our consolidated financial statements.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color w:val="auto"/>
        </w:rPr>
        <w:t>With the exception of the impacts of COVID-19, which are discussed elsewhere in this document, there have been no material changes in our reported market risks or risk management policies since the filing of our Annual Report on Form 10-K for the year ended December 31, 2019, which was filed with the SEC on March 13, 2020.</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5"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We have established disclosure controls and procedures that are designed to ensure that information required to be disclosed in our reports filed or submitted under the Securities Exchange Act of 1934, as amended (the “Exchange Act”), is recorded, processed, summarized and reported within the time periods specified in the rules and forms of the SEC, and that information relating to the Company is accumulated and communicated to management, including our principal officers, as appropriate to allow timely decisions regarding required disclosure. Our Chief Executive Officer and Chief Financial Officer have evaluated the effectiveness of our disclosure controls and procedures as of June 30, 2020 and have concluded that our disclosure controls and procedures were not effective as of June 30, 2020 due to material weaknesses in our internal control over financial reporting as described below.</w:t>
      </w:r>
    </w:p>
    <w:p>
      <w:pPr>
        <w:spacing w:after="0" w:line="13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On January 1, 2019, we implemented an ERP system on a company-wide basis. As previously disclosed, during the year ended December 31, 2019, we identified two material weaknesses in internal control over financial reporting that arose from the new ERP system implementation. The two material weaknesses are:</w:t>
      </w:r>
    </w:p>
    <w:p>
      <w:pPr>
        <w:spacing w:after="0" w:line="148" w:lineRule="exact"/>
        <w:rPr>
          <w:sz w:val="20"/>
          <w:szCs w:val="20"/>
          <w:color w:val="auto"/>
        </w:rPr>
      </w:pPr>
    </w:p>
    <w:p>
      <w:pPr>
        <w:ind w:left="660" w:right="180"/>
        <w:spacing w:after="0" w:line="231" w:lineRule="auto"/>
        <w:rPr>
          <w:sz w:val="20"/>
          <w:szCs w:val="20"/>
          <w:color w:val="auto"/>
        </w:rPr>
      </w:pPr>
      <w:r>
        <w:rPr>
          <w:rFonts w:ascii="Arial" w:cs="Arial" w:eastAsia="Arial" w:hAnsi="Arial"/>
          <w:sz w:val="18"/>
          <w:szCs w:val="18"/>
          <w:color w:val="auto"/>
        </w:rPr>
        <w:t>The ineffective design and implementation of effective controls with respect to the ERP system conversion. Specifically, we did not exercise sufficient corporate governance and oversight, design effective controls over the ERP implementation to ensure appropriate data conversion and data integrity, or provide sufficient end-user training to our employees to ensure that our employees could effectively operate the system and carry out their responsibilities.</w:t>
      </w:r>
    </w:p>
    <w:p>
      <w:pPr>
        <w:spacing w:after="0" w:line="148" w:lineRule="exact"/>
        <w:rPr>
          <w:sz w:val="20"/>
          <w:szCs w:val="20"/>
          <w:color w:val="auto"/>
        </w:rPr>
      </w:pPr>
    </w:p>
    <w:p>
      <w:pPr>
        <w:ind w:left="660" w:right="200"/>
        <w:spacing w:after="0" w:line="261" w:lineRule="auto"/>
        <w:rPr>
          <w:sz w:val="20"/>
          <w:szCs w:val="20"/>
          <w:color w:val="auto"/>
        </w:rPr>
      </w:pPr>
      <w:r>
        <w:rPr>
          <w:rFonts w:ascii="Arial" w:cs="Arial" w:eastAsia="Arial" w:hAnsi="Arial"/>
          <w:sz w:val="16"/>
          <w:szCs w:val="16"/>
          <w:color w:val="auto"/>
        </w:rPr>
        <w:t>The ineffective design and implementation of IT general controls (ITGCs) for the ERP system that are relevant to the preparation of our financial statements. Specifically, we did not (i) maintain adequate control over user access to the ERP system to ensure appropriate segregation of duties and to restrict access to financial applications and data; and (ii) maintain adequate documentation practices surrounding management and control of IT changes affecting financial IT applications. Our business process controls (automated and manual) are dependent on the affected ITGCs and, therefore, are also deemed ineffective because they are adversely impacted by ineffective ITGCs.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Planned Remediation of Material Weaknesses</w:t>
      </w:r>
    </w:p>
    <w:p>
      <w:pPr>
        <w:spacing w:after="0" w:line="175" w:lineRule="exact"/>
        <w:rPr>
          <w:sz w:val="20"/>
          <w:szCs w:val="20"/>
          <w:color w:val="auto"/>
        </w:rPr>
      </w:pPr>
    </w:p>
    <w:p>
      <w:pPr>
        <w:jc w:val="both"/>
        <w:ind w:right="460"/>
        <w:spacing w:after="0" w:line="266" w:lineRule="auto"/>
        <w:rPr>
          <w:sz w:val="20"/>
          <w:szCs w:val="20"/>
          <w:color w:val="auto"/>
        </w:rPr>
      </w:pPr>
      <w:r>
        <w:rPr>
          <w:rFonts w:ascii="Arial" w:cs="Arial" w:eastAsia="Arial" w:hAnsi="Arial"/>
          <w:sz w:val="16"/>
          <w:szCs w:val="16"/>
          <w:color w:val="auto"/>
        </w:rPr>
        <w:t>We have adjusted, and intend to consider further adjustments to, our previously disclosed plans relating to addressing these material weaknesses. The identified material weaknesses in internal control over financial reporting will not be considered remediated until controls have been designed and/or controls are in operation for a sufficient period of time for our management to conclude that the material weaknesses have been remediated. We will continue to assess the effectiveness of our remediation efforts in connection with our evaluations of internal control over financial reporting.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7" w:name="page28"/>
    <w:bookmarkEnd w:id="27"/>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75" w:lineRule="exact"/>
        <w:rPr>
          <w:sz w:val="20"/>
          <w:szCs w:val="20"/>
          <w:color w:val="auto"/>
        </w:rPr>
      </w:pPr>
    </w:p>
    <w:p>
      <w:pPr>
        <w:ind w:right="120"/>
        <w:spacing w:after="0" w:line="274" w:lineRule="auto"/>
        <w:rPr>
          <w:sz w:val="20"/>
          <w:szCs w:val="20"/>
          <w:color w:val="auto"/>
        </w:rPr>
      </w:pPr>
      <w:r>
        <w:rPr>
          <w:rFonts w:ascii="Arial" w:cs="Arial" w:eastAsia="Arial" w:hAnsi="Arial"/>
          <w:sz w:val="17"/>
          <w:szCs w:val="17"/>
          <w:color w:val="auto"/>
        </w:rPr>
        <w:t>There were no changes in internal control over financial reporting (as defined by Rules 13a-15(f) or 15d-15(f) under the Exchange Act) during the quarter ended June 30, 2020 that have materially affected, or are reasonably likely to materially affect, our internal control over financial reporting.</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We are, from time to time, party to lawsuits, threatened lawsuits, disputes and other claims arising in the normal course of business. We assess liabilities and contingencies in connection with outstanding legal proceedings utilizing the latest information available. Where it is probable that we will incur a loss and the amount of the loss can be reasonably estimated, we record a liability in the consolidated financial statements. These legal accruals may be increased or decreased to reflect any relevant developments on a quarterly basis. Where a loss is not probable or the amount of the loss is not estimable, we do not record an accrual, consistent with applicable accounting guidance. Based on information currently available to us, advice of counsel, and available insurance coverage, we believe that our established accruals are adequate and the liabilities arising from the legal proceedings will not have a material adverse effect on our consolidated financial condition. However, in light of the inherent uncertainty in legal proceedings, there can be no assurance that the ultimate resolution of a matter will not exceed established accruals. As a result, the outcome of a particular matter or a combination of matters may be material to our results of operations for a particular period, depending upon the size of the loss or our income for that particular period.</w:t>
      </w:r>
    </w:p>
    <w:p>
      <w:pPr>
        <w:spacing w:after="0" w:line="138" w:lineRule="exact"/>
        <w:rPr>
          <w:sz w:val="20"/>
          <w:szCs w:val="20"/>
          <w:color w:val="auto"/>
        </w:rPr>
      </w:pPr>
    </w:p>
    <w:p>
      <w:pPr>
        <w:ind w:right="40"/>
        <w:spacing w:after="0" w:line="235" w:lineRule="auto"/>
        <w:rPr>
          <w:sz w:val="20"/>
          <w:szCs w:val="20"/>
          <w:color w:val="auto"/>
        </w:rPr>
      </w:pPr>
      <w:r>
        <w:rPr>
          <w:rFonts w:ascii="Arial" w:cs="Arial" w:eastAsia="Arial" w:hAnsi="Arial"/>
          <w:sz w:val="17"/>
          <w:szCs w:val="17"/>
          <w:color w:val="auto"/>
        </w:rPr>
        <w:t>As previously disclosed, we are a nominal defendant and certain current and former directors are individual defendants in litigation brought by K-Bar Holdings LLC and Wynnefield Capital, Inc. (“Plaintiffs”), in the Delaware Court of Chancery (the “Action”), in November 2019. Plaintiffs pleaded the Action as a derivative claim on behalf of us and also on behalf of a putative class of certain holders of our common stock as of October 18, 2019 (the “Putative Class”). Plaintiffs alleged breaches of fiduciary duty in connection with, among other things, our decision to delist from Nasdaq and deregister our common stock under the Exchange Act. As previously disclosed, on June 30, 2020, we, the individual defendants, and Plaintiffs reached an agreement to settle all claims in the Action (the “Settlement Agreement”), which will be documented in a Stipulation of Settlement. Among other terms, the Settlement Agreement provides for a settlement fund of $12.0 million, which will be funded by our insurers, and which will be distributed to members of the Putative Class pursuant to an allocation and claims distribution process to be proposed by the Plaintiffs and approved by the Court. We also expect the Plaintiffs’ counsel to apply to the Court for a $2.5 million to $3.0 million award of attorney’s fees in connection with the settlement of the derivative claims. Our insurers have agreed to cover this anticipated fee award to the Plaintiffs’ attorneys. We recorded a $14.5 million other current liability and a $14.5 million other current asset in the Consolidated Balance Sheet as of June 30, 2020 to reflect our obligation to the Putative Class, the low end of the potential range of the attorney fee award and the corresponding receivable from the insurance companies. The Settlement Agreement is subject to both preliminary and final approval by the Court. If approved, the Settlement Agreement will resolve the Action. The description of the Settlement Agreement contained herein is not complete and is qualified in its entirety by reference to the full text of the Stipulation of Settlement, which will be made available once it is finalized and executed. Additional information regarding the Settlement Agreement also will be disclosed in upcoming public filings in the Court of Chancery, including a disclosure statement approved by the Court.</w:t>
      </w:r>
    </w:p>
    <w:p>
      <w:pPr>
        <w:spacing w:after="0" w:line="15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We are also, from time to time, subject to claims and disputes arising in the normal course of business. In the opinion of management, while the outcome of such claims and disputes cannot be predicted with certainty, our ultimate liability in connection with these matters is not expected to have a material adverse effect on the results of operations, financial position, or cash flows.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40"/>
        <w:spacing w:after="0" w:line="253" w:lineRule="auto"/>
        <w:rPr>
          <w:sz w:val="20"/>
          <w:szCs w:val="20"/>
          <w:color w:val="auto"/>
        </w:rPr>
      </w:pPr>
      <w:r>
        <w:rPr>
          <w:rFonts w:ascii="Arial" w:cs="Arial" w:eastAsia="Arial" w:hAnsi="Arial"/>
          <w:sz w:val="17"/>
          <w:szCs w:val="17"/>
          <w:color w:val="auto"/>
        </w:rPr>
        <w:t>There have been no material changes from the risk factors previously disclosed in our Annual Report on Form 10-K for the year ended December 31, 2019 other than with respect to the risk factor discussed below. In addition, many of the risk factors disclosed in Item 1A of our Annual Report have been, and we anticipate will continue to be further, heightened or exacerbated by the impact of the COVID-19 pandemic.</w:t>
      </w:r>
    </w:p>
    <w:p>
      <w:pPr>
        <w:spacing w:after="0" w:line="138" w:lineRule="exact"/>
        <w:rPr>
          <w:sz w:val="20"/>
          <w:szCs w:val="20"/>
          <w:color w:val="auto"/>
        </w:rPr>
      </w:pPr>
    </w:p>
    <w:p>
      <w:pPr>
        <w:ind w:right="400"/>
        <w:spacing w:after="0" w:line="307" w:lineRule="auto"/>
        <w:rPr>
          <w:sz w:val="20"/>
          <w:szCs w:val="20"/>
          <w:color w:val="auto"/>
        </w:rPr>
      </w:pPr>
      <w:r>
        <w:rPr>
          <w:rFonts w:ascii="Arial" w:cs="Arial" w:eastAsia="Arial" w:hAnsi="Arial"/>
          <w:sz w:val="16"/>
          <w:szCs w:val="16"/>
          <w:b w:val="1"/>
          <w:bCs w:val="1"/>
          <w:i w:val="1"/>
          <w:iCs w:val="1"/>
          <w:color w:val="auto"/>
        </w:rPr>
        <w:t>The COVID-19 pandemic has negatively impacted, and we anticipate will continue to adversely affect, our business, financial condition, results of operations and cash flows, and our ability to maintain compliance with our current, or obtain new, lending facilities.</w:t>
      </w:r>
    </w:p>
    <w:p>
      <w:pPr>
        <w:spacing w:after="0" w:line="96" w:lineRule="exact"/>
        <w:rPr>
          <w:sz w:val="20"/>
          <w:szCs w:val="20"/>
          <w:color w:val="auto"/>
        </w:rPr>
      </w:pPr>
    </w:p>
    <w:p>
      <w:pPr>
        <w:ind w:right="160"/>
        <w:spacing w:after="0" w:line="228" w:lineRule="auto"/>
        <w:rPr>
          <w:sz w:val="20"/>
          <w:szCs w:val="20"/>
          <w:color w:val="auto"/>
        </w:rPr>
      </w:pPr>
      <w:r>
        <w:rPr>
          <w:rFonts w:ascii="Arial" w:cs="Arial" w:eastAsia="Arial" w:hAnsi="Arial"/>
          <w:sz w:val="18"/>
          <w:szCs w:val="18"/>
          <w:color w:val="auto"/>
        </w:rPr>
        <w:t>The novel strain of coronavirus, COVID-19, was first identified in China in late 2019. It has since spread globally and was declared a pandemic by the World Health Organization in March 2020. The COVID-19 pandemic has materially adversely affected our business, and we anticipate it will continue to negatively impact us at least throughout the duration of the pandemic. Due to the inherent uncertainty of the unprecedented and rapidly evolving situation, the full extent of the impact of the COVID-19 pandemic on our business and financial performance, including our ability to comply with the financial covenants under our Credit Agreement,</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135"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remains uncertain. The United States has entered a recession as a result of the COVID-19 pandemic, which may prolong and exacerbate the negative impact on us.</w:t>
      </w:r>
    </w:p>
    <w:p>
      <w:pPr>
        <w:spacing w:after="0" w:line="143" w:lineRule="exact"/>
        <w:rPr>
          <w:sz w:val="20"/>
          <w:szCs w:val="20"/>
          <w:color w:val="auto"/>
        </w:rPr>
      </w:pPr>
    </w:p>
    <w:p>
      <w:pPr>
        <w:ind w:right="140"/>
        <w:spacing w:after="0" w:line="250" w:lineRule="auto"/>
        <w:rPr>
          <w:sz w:val="20"/>
          <w:szCs w:val="20"/>
          <w:color w:val="auto"/>
        </w:rPr>
      </w:pPr>
      <w:r>
        <w:rPr>
          <w:rFonts w:ascii="Arial" w:cs="Arial" w:eastAsia="Arial" w:hAnsi="Arial"/>
          <w:sz w:val="16"/>
          <w:szCs w:val="16"/>
          <w:color w:val="auto"/>
        </w:rPr>
        <w:t>In response to COVID-19, governmental authorities have implemented numerous measures to try to contain the virus, such as travel bans and restrictions, prohibitions on group events and gatherings, shutdowns of certain businesses, curfews, shelter in place orders and recommendations to practice social distancing. Although many governmental measures have had specific expiration dates, some of those measures have already been extended more than once, and there is considerable uncertainty regarding the duration of such measures and any potential future measures, especially as cases continue to increase in certain regions in the United States. Such measures have impacted, and may continue to affect, our workforce, operations, suppliers</w:t>
      </w:r>
    </w:p>
    <w:p>
      <w:pPr>
        <w:spacing w:after="0" w:line="3"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and customers. For instance, several of our stores were required to limit their hours or close entirely, and our store traffic and sales decreased by approximately 50% during the initial weeks following the end of the first quarter of 2020 when compared to the same period in 2019. We reduced the size of our workforce following the onset of COVID-19 and may need to take additional actions to further reduce the size of our workforce in the future; such reductions incur costs, and we can provide no assurance that we will be able to rehire our workforce in the event our business experiences a subsequent recovery. Furthermore, while we have implemented work from home policies for a portion of our workforce, our store-based workforce comes into close contact with our customers as part of their day-to-day responsibilities, which increases the likelihood that they could contract COVID-19, which could potentially adversely affect our ability to adequately staff our stores and require us to incur additional costs to sanitize the impacted location. In addition, employees working remotely may not have the resources available to enable them to maintain the same level of productivity and efficiency, and increased reliance on remote access to our information systems increases our exposure to potential cybersecurity threats.</w:t>
      </w:r>
    </w:p>
    <w:p>
      <w:pPr>
        <w:spacing w:after="0" w:line="142" w:lineRule="exact"/>
        <w:rPr>
          <w:sz w:val="20"/>
          <w:szCs w:val="20"/>
          <w:color w:val="auto"/>
        </w:rPr>
      </w:pPr>
    </w:p>
    <w:p>
      <w:pPr>
        <w:ind w:right="140"/>
        <w:spacing w:after="0" w:line="225" w:lineRule="auto"/>
        <w:rPr>
          <w:sz w:val="20"/>
          <w:szCs w:val="20"/>
          <w:color w:val="auto"/>
        </w:rPr>
      </w:pPr>
      <w:r>
        <w:rPr>
          <w:rFonts w:ascii="Arial" w:cs="Arial" w:eastAsia="Arial" w:hAnsi="Arial"/>
          <w:sz w:val="18"/>
          <w:szCs w:val="18"/>
          <w:color w:val="auto"/>
        </w:rPr>
        <w:t>We have taken additional steps to curtail our operating expenses and conserve cash, including suspending incentive compensation programs and reducing salaried employee compensation; limiting inventory purchases; cutting anticipated spending on capital projects; and negotiating rent deferrals with our landlords during the second quarter of 2020. We may elect or need to take additional remedial measures in the future as the information available to us continues to develop, including with respect to our workforce, relationships with our third-party vendors, and our customers. There is no certainty that the remedial measures we have implemented to date, or any additional remedial steps we may take in the future, will be sufficient to mitigate the risks posed by COVID-19. Further, such measures could potentially materially adversely affect our business, financial condition and results of operations and create additional risks for us.</w:t>
      </w:r>
    </w:p>
    <w:p>
      <w:pPr>
        <w:spacing w:after="0" w:line="154" w:lineRule="exact"/>
        <w:rPr>
          <w:sz w:val="20"/>
          <w:szCs w:val="20"/>
          <w:color w:val="auto"/>
        </w:rPr>
      </w:pPr>
    </w:p>
    <w:p>
      <w:pPr>
        <w:ind w:right="60"/>
        <w:spacing w:after="0" w:line="242" w:lineRule="auto"/>
        <w:rPr>
          <w:sz w:val="20"/>
          <w:szCs w:val="20"/>
          <w:color w:val="auto"/>
        </w:rPr>
      </w:pPr>
      <w:r>
        <w:rPr>
          <w:rFonts w:ascii="Arial" w:cs="Arial" w:eastAsia="Arial" w:hAnsi="Arial"/>
          <w:sz w:val="17"/>
          <w:szCs w:val="17"/>
          <w:color w:val="auto"/>
        </w:rPr>
        <w:t>In addition, our liquidity position is dependent upon our ability to borrow under our Credit Agreement. We anticipate that the impact of the COVID-19 pandemic on our financial performance could cause us to breach certain covenants (such as the leverage ratio) during the next twelve months, which would result in an event of default and, among other things, permit the lenders to call the debt in advance of its maturity. If an event of default were to occur, we anticipate we would enter into discussions with the lenders to waive the event of default. Failure to obtain such a waiver or refinance our debt if such an event were to occur would have a material adverse effect on our liquidity, financial condition and results of operations.</w:t>
      </w:r>
    </w:p>
    <w:p>
      <w:pPr>
        <w:spacing w:after="0" w:line="148" w:lineRule="exact"/>
        <w:rPr>
          <w:sz w:val="20"/>
          <w:szCs w:val="20"/>
          <w:color w:val="auto"/>
        </w:rPr>
      </w:pPr>
    </w:p>
    <w:p>
      <w:pPr>
        <w:ind w:right="160"/>
        <w:spacing w:after="0" w:line="237" w:lineRule="auto"/>
        <w:rPr>
          <w:sz w:val="20"/>
          <w:szCs w:val="20"/>
          <w:color w:val="auto"/>
        </w:rPr>
      </w:pPr>
      <w:r>
        <w:rPr>
          <w:rFonts w:ascii="Arial" w:cs="Arial" w:eastAsia="Arial" w:hAnsi="Arial"/>
          <w:sz w:val="17"/>
          <w:szCs w:val="17"/>
          <w:color w:val="auto"/>
        </w:rPr>
        <w:t>The ultimate magnitude of COVID-19, including the full extent of the material negative impact on our financial and operational results, will depend on future developments, including the duration of the pandemic, including whether there is a “second wave,” and the related length of its impact on the global economy, which remain uncertain and cannot be predicted at this time. The resumption of our normal business operations may be delayed or constrained by lingering effects of COVID-19 on our customers, suppliers and/or third-party service providers. Furthermore, the extent to which our mitigation efforts are successful, if at all, is not currently ascertainable. Due to the daily evolution of the COVID-19 pandemic and the responses to curb its spread, we cannot predict the full impact of the COVID-19 pandemic on our business and results of operations, but our business, financial condition, results of operations and cash flows have already been materially adversely impacted, and we anticipate they will continue to be adversely affected by the COVID-19 pandemic and its negative effects on global economic conditions. In addition, even after the COVID-19 pandemic has subsided, we may continue to experience adverse impacts to our business as a result of its national and, to some extent, global economic impact, including any recession that has occurred or may occur in the future.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Total Number of</w:t>
            </w:r>
          </w:p>
        </w:tc>
        <w:tc>
          <w:tcPr>
            <w:tcW w:w="1480" w:type="dxa"/>
            <w:vAlign w:val="bottom"/>
          </w:tcPr>
          <w:p>
            <w:pPr>
              <w:jc w:val="center"/>
              <w:spacing w:after="0"/>
              <w:rPr>
                <w:sz w:val="20"/>
                <w:szCs w:val="20"/>
                <w:color w:val="auto"/>
              </w:rPr>
            </w:pPr>
            <w:r>
              <w:rPr>
                <w:rFonts w:ascii="Arial" w:cs="Arial" w:eastAsia="Arial" w:hAnsi="Arial"/>
                <w:sz w:val="18"/>
                <w:szCs w:val="18"/>
                <w:color w:val="auto"/>
                <w:w w:val="93"/>
              </w:rPr>
              <w:t>Maximum Number</w:t>
            </w:r>
          </w:p>
        </w:tc>
      </w:tr>
      <w:tr>
        <w:trPr>
          <w:trHeight w:val="189"/>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90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84"/>
              </w:rPr>
              <w:t>Shares Purchased as</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9"/>
              </w:rPr>
              <w:t>of Shares that May</w:t>
            </w:r>
          </w:p>
        </w:tc>
      </w:tr>
      <w:tr>
        <w:trPr>
          <w:trHeight w:val="189"/>
        </w:trPr>
        <w:tc>
          <w:tcPr>
            <w:tcW w:w="48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gridSpan w:val="2"/>
          </w:tcPr>
          <w:p>
            <w:pPr>
              <w:jc w:val="center"/>
              <w:ind w:right="200"/>
              <w:spacing w:after="0" w:line="189" w:lineRule="exact"/>
              <w:rPr>
                <w:sz w:val="20"/>
                <w:szCs w:val="20"/>
                <w:color w:val="auto"/>
              </w:rPr>
            </w:pPr>
            <w:r>
              <w:rPr>
                <w:rFonts w:ascii="Arial" w:cs="Arial" w:eastAsia="Arial" w:hAnsi="Arial"/>
                <w:sz w:val="18"/>
                <w:szCs w:val="18"/>
                <w:color w:val="auto"/>
                <w:w w:val="93"/>
              </w:rPr>
              <w:t>Part of Publicly</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6"/>
              </w:rPr>
              <w:t>Yet be Purchased</w:t>
            </w:r>
          </w:p>
        </w:tc>
      </w:tr>
      <w:tr>
        <w:trPr>
          <w:trHeight w:val="189"/>
        </w:trPr>
        <w:tc>
          <w:tcPr>
            <w:tcW w:w="4860" w:type="dxa"/>
            <w:vAlign w:val="bottom"/>
          </w:tcPr>
          <w:p>
            <w:pPr>
              <w:spacing w:after="0"/>
              <w:rPr>
                <w:sz w:val="16"/>
                <w:szCs w:val="16"/>
                <w:color w:val="auto"/>
              </w:rPr>
            </w:pPr>
          </w:p>
        </w:tc>
        <w:tc>
          <w:tcPr>
            <w:tcW w:w="1500" w:type="dxa"/>
            <w:vAlign w:val="bottom"/>
          </w:tcPr>
          <w:p>
            <w:pPr>
              <w:jc w:val="right"/>
              <w:ind w:right="90"/>
              <w:spacing w:after="0" w:line="189" w:lineRule="exact"/>
              <w:rPr>
                <w:sz w:val="20"/>
                <w:szCs w:val="20"/>
                <w:color w:val="auto"/>
              </w:rPr>
            </w:pPr>
            <w:r>
              <w:rPr>
                <w:rFonts w:ascii="Arial" w:cs="Arial" w:eastAsia="Arial" w:hAnsi="Arial"/>
                <w:sz w:val="18"/>
                <w:szCs w:val="18"/>
                <w:color w:val="auto"/>
              </w:rPr>
              <w:t>Total Number of</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ind w:right="50"/>
              <w:spacing w:after="0" w:line="189" w:lineRule="exact"/>
              <w:rPr>
                <w:sz w:val="20"/>
                <w:szCs w:val="20"/>
                <w:color w:val="auto"/>
              </w:rPr>
            </w:pPr>
            <w:r>
              <w:rPr>
                <w:rFonts w:ascii="Arial" w:cs="Arial" w:eastAsia="Arial" w:hAnsi="Arial"/>
                <w:sz w:val="18"/>
                <w:szCs w:val="18"/>
                <w:color w:val="auto"/>
                <w:w w:val="86"/>
              </w:rPr>
              <w:t>Average Price</w:t>
            </w:r>
          </w:p>
        </w:tc>
        <w:tc>
          <w:tcPr>
            <w:tcW w:w="1900" w:type="dxa"/>
            <w:vAlign w:val="bottom"/>
            <w:gridSpan w:val="3"/>
          </w:tcPr>
          <w:p>
            <w:pPr>
              <w:jc w:val="center"/>
              <w:spacing w:after="0" w:line="189" w:lineRule="exact"/>
              <w:rPr>
                <w:sz w:val="20"/>
                <w:szCs w:val="20"/>
                <w:color w:val="auto"/>
              </w:rPr>
            </w:pPr>
            <w:r>
              <w:rPr>
                <w:rFonts w:ascii="Arial" w:cs="Arial" w:eastAsia="Arial" w:hAnsi="Arial"/>
                <w:sz w:val="18"/>
                <w:szCs w:val="18"/>
                <w:color w:val="auto"/>
                <w:w w:val="90"/>
              </w:rPr>
              <w:t>Announced Plans or</w:t>
            </w:r>
          </w:p>
        </w:tc>
        <w:tc>
          <w:tcPr>
            <w:tcW w:w="1480" w:type="dxa"/>
            <w:vAlign w:val="bottom"/>
          </w:tcPr>
          <w:p>
            <w:pPr>
              <w:jc w:val="center"/>
              <w:spacing w:after="0" w:line="189" w:lineRule="exact"/>
              <w:rPr>
                <w:sz w:val="20"/>
                <w:szCs w:val="20"/>
                <w:color w:val="auto"/>
              </w:rPr>
            </w:pPr>
            <w:r>
              <w:rPr>
                <w:rFonts w:ascii="Arial" w:cs="Arial" w:eastAsia="Arial" w:hAnsi="Arial"/>
                <w:sz w:val="18"/>
                <w:szCs w:val="18"/>
                <w:color w:val="auto"/>
                <w:w w:val="89"/>
              </w:rPr>
              <w:t>Under Plans or</w:t>
            </w:r>
          </w:p>
        </w:tc>
      </w:tr>
      <w:tr>
        <w:trPr>
          <w:trHeight w:val="217"/>
        </w:trPr>
        <w:tc>
          <w:tcPr>
            <w:tcW w:w="4860" w:type="dxa"/>
            <w:vAlign w:val="bottom"/>
          </w:tcPr>
          <w:p>
            <w:pPr>
              <w:spacing w:after="0"/>
              <w:rPr>
                <w:sz w:val="18"/>
                <w:szCs w:val="18"/>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w w:val="91"/>
              </w:rPr>
              <w:t>Shares Purchased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w w:val="84"/>
              </w:rPr>
              <w:t>Paid per Share</w:t>
            </w:r>
          </w:p>
        </w:tc>
        <w:tc>
          <w:tcPr>
            <w:tcW w:w="26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89"/>
              </w:rPr>
              <w:t>Program</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Programs</w:t>
            </w:r>
          </w:p>
        </w:tc>
      </w:tr>
      <w:tr>
        <w:trPr>
          <w:trHeight w:val="196"/>
        </w:trPr>
        <w:tc>
          <w:tcPr>
            <w:tcW w:w="48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April 1, 2020 - April 30, 2020</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37,922</w:t>
            </w:r>
          </w:p>
        </w:tc>
        <w:tc>
          <w:tcPr>
            <w:tcW w:w="260" w:type="dxa"/>
            <w:vAlign w:val="bottom"/>
            <w:tcBorders>
              <w:top w:val="single" w:sz="8" w:color="CCEEFF"/>
            </w:tcBorders>
            <w:shd w:val="clear" w:color="auto" w:fill="CCEEFF"/>
          </w:tcPr>
          <w:p>
            <w:pPr>
              <w:jc w:val="right"/>
              <w:ind w:right="25"/>
              <w:spacing w:after="0"/>
              <w:rPr>
                <w:sz w:val="20"/>
                <w:szCs w:val="20"/>
                <w:color w:val="auto"/>
              </w:rPr>
            </w:pPr>
            <w:r>
              <w:rPr>
                <w:rFonts w:ascii="Arial" w:cs="Arial" w:eastAsia="Arial" w:hAnsi="Arial"/>
                <w:sz w:val="15"/>
                <w:szCs w:val="15"/>
                <w:color w:val="auto"/>
                <w:w w:val="76"/>
              </w:rPr>
              <w:t>(1)</w:t>
            </w: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0.16</w:t>
            </w:r>
          </w:p>
        </w:tc>
        <w:tc>
          <w:tcPr>
            <w:tcW w:w="2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1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May 1, 2020 - May 31, 2020</w:t>
            </w:r>
          </w:p>
        </w:tc>
        <w:tc>
          <w:tcPr>
            <w:tcW w:w="1500" w:type="dxa"/>
            <w:vAlign w:val="bottom"/>
          </w:tcPr>
          <w:p>
            <w:pPr>
              <w:jc w:val="right"/>
              <w:spacing w:after="0"/>
              <w:rPr>
                <w:sz w:val="20"/>
                <w:szCs w:val="20"/>
                <w:color w:val="auto"/>
              </w:rPr>
            </w:pPr>
            <w:r>
              <w:rPr>
                <w:rFonts w:ascii="Arial" w:cs="Arial" w:eastAsia="Arial" w:hAnsi="Arial"/>
                <w:sz w:val="18"/>
                <w:szCs w:val="18"/>
                <w:color w:val="auto"/>
              </w:rPr>
              <w:t>17,391</w:t>
            </w:r>
          </w:p>
        </w:tc>
        <w:tc>
          <w:tcPr>
            <w:tcW w:w="260" w:type="dxa"/>
            <w:vAlign w:val="bottom"/>
          </w:tcPr>
          <w:p>
            <w:pPr>
              <w:jc w:val="right"/>
              <w:ind w:right="25"/>
              <w:spacing w:after="0"/>
              <w:rPr>
                <w:sz w:val="20"/>
                <w:szCs w:val="20"/>
                <w:color w:val="auto"/>
              </w:rPr>
            </w:pPr>
            <w:r>
              <w:rPr>
                <w:rFonts w:ascii="Arial" w:cs="Arial" w:eastAsia="Arial" w:hAnsi="Arial"/>
                <w:sz w:val="15"/>
                <w:szCs w:val="15"/>
                <w:color w:val="auto"/>
                <w:w w:val="76"/>
              </w:rPr>
              <w:t>(2)</w:t>
            </w: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0.47</w:t>
            </w:r>
          </w:p>
        </w:tc>
        <w:tc>
          <w:tcPr>
            <w:tcW w:w="17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June 1, 2020 - June 30, 2020</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83"/>
        </w:trPr>
        <w:tc>
          <w:tcPr>
            <w:tcW w:w="4860" w:type="dxa"/>
            <w:vAlign w:val="bottom"/>
          </w:tcPr>
          <w:p>
            <w:pPr>
              <w:spacing w:after="0"/>
              <w:rPr>
                <w:sz w:val="15"/>
                <w:szCs w:val="15"/>
                <w:color w:val="auto"/>
              </w:rPr>
            </w:pPr>
          </w:p>
        </w:tc>
        <w:tc>
          <w:tcPr>
            <w:tcW w:w="15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55,313</w:t>
            </w:r>
          </w:p>
        </w:tc>
        <w:tc>
          <w:tcPr>
            <w:tcW w:w="26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0.25</w:t>
            </w:r>
          </w:p>
        </w:tc>
        <w:tc>
          <w:tcPr>
            <w:tcW w:w="26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5"/>
                <w:szCs w:val="15"/>
                <w:color w:val="auto"/>
              </w:rPr>
            </w:pPr>
          </w:p>
        </w:tc>
        <w:tc>
          <w:tcPr>
            <w:tcW w:w="1480" w:type="dxa"/>
            <w:vAlign w:val="bottom"/>
            <w:tcBorders>
              <w:top w:val="single" w:sz="8" w:color="auto"/>
              <w:bottom w:val="single" w:sz="8" w:color="auto"/>
            </w:tcBorders>
          </w:tcPr>
          <w:p>
            <w:pPr>
              <w:jc w:val="right"/>
              <w:spacing w:after="0" w:line="182" w:lineRule="exact"/>
              <w:rPr>
                <w:sz w:val="20"/>
                <w:szCs w:val="20"/>
                <w:color w:val="auto"/>
              </w:rPr>
            </w:pPr>
            <w:r>
              <w:rPr>
                <w:rFonts w:ascii="Arial" w:cs="Arial" w:eastAsia="Arial" w:hAnsi="Arial"/>
                <w:sz w:val="18"/>
                <w:szCs w:val="18"/>
                <w:color w:val="auto"/>
              </w:rPr>
              <w:t>-</w:t>
            </w:r>
          </w:p>
        </w:tc>
      </w:tr>
      <w:tr>
        <w:trPr>
          <w:trHeight w:val="20"/>
        </w:trPr>
        <w:tc>
          <w:tcPr>
            <w:tcW w:w="48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32"/>
        </w:trPr>
        <w:tc>
          <w:tcPr>
            <w:tcW w:w="4860" w:type="dxa"/>
            <w:vAlign w:val="bottom"/>
          </w:tcPr>
          <w:p>
            <w:pPr>
              <w:spacing w:after="0"/>
              <w:rPr>
                <w:sz w:val="24"/>
                <w:szCs w:val="24"/>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color w:val="auto"/>
              </w:rPr>
              <w:t>29</w:t>
            </w: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18"/>
        </w:trPr>
        <w:tc>
          <w:tcPr>
            <w:tcW w:w="48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91" w:lineRule="exact"/>
        <w:rPr>
          <w:sz w:val="20"/>
          <w:szCs w:val="20"/>
          <w:color w:val="auto"/>
        </w:rPr>
      </w:pPr>
    </w:p>
    <w:p>
      <w:pPr>
        <w:ind w:left="340" w:hanging="332"/>
        <w:spacing w:after="0" w:line="201"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A total of 5,079 shares were withheld by the Company to satisfy tax withholding obligations due upon the vesting of restricted stock grants, as allowed by the 2012 Omnibus Award Plan. The Company did not pay cash to repurchase these shares, nor were these repurchases part of a publicly announced plan or program. An additional 32,843 shares were repurchased by the Company pursuant to the terms of the underlying restricted stock agreements, as allowed by the 2012 Omnibus Award Plan. The Company paid $0.0001 per share, the par value, to repurchase these shares. These repurchases were not part of a publicly announced plan or program.</w:t>
      </w:r>
    </w:p>
    <w:p>
      <w:pPr>
        <w:spacing w:after="0" w:line="30" w:lineRule="exact"/>
        <w:rPr>
          <w:rFonts w:ascii="Arial" w:cs="Arial" w:eastAsia="Arial" w:hAnsi="Arial"/>
          <w:sz w:val="30"/>
          <w:szCs w:val="30"/>
          <w:color w:val="auto"/>
          <w:vertAlign w:val="superscript"/>
        </w:rPr>
      </w:pPr>
    </w:p>
    <w:p>
      <w:pPr>
        <w:ind w:left="340" w:hanging="332"/>
        <w:spacing w:after="0" w:line="201"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A total of 7,735 shares were withheld by the Company to satisfy tax withholding obligations due upon the vesting of restricted stock grants, as allowed by the 2012 Omnibus Award Plan. The Company did not pay cash to repurchase these shares, nor were these repurchases part of a publicly announced plan or program. An additional 9,656 shares were repurchased by the Company pursuant to the terms of the underlying restricted stock agreements, as allowed by the 2012 Omnibus Award Plan. The Company paid $0.0001 per share, the par value, to repurchase these shares. These repurchases were not part of a publicly announced plan or program.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8" w:right="379" w:bottom="1440" w:gutter="0" w:footer="0" w:header="0"/>
        </w:sectPr>
      </w:pPr>
    </w:p>
    <w:bookmarkStart w:id="30" w:name="page31"/>
    <w:bookmarkEnd w:id="30"/>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280" w:type="dxa"/>
            <w:vAlign w:val="bottom"/>
            <w:tcBorders>
              <w:top w:val="single" w:sz="8" w:color="9CC2E5"/>
            </w:tcBorders>
            <w:gridSpan w:val="3"/>
          </w:tcPr>
          <w:p>
            <w:pPr>
              <w:ind w:left="20"/>
              <w:spacing w:after="0" w:line="176" w:lineRule="exact"/>
              <w:rPr>
                <w:sz w:val="20"/>
                <w:szCs w:val="20"/>
                <w:color w:val="auto"/>
              </w:rPr>
            </w:pPr>
            <w:r>
              <w:rPr>
                <w:rFonts w:ascii="Arial" w:cs="Arial" w:eastAsia="Arial" w:hAnsi="Arial"/>
                <w:sz w:val="18"/>
                <w:szCs w:val="18"/>
                <w:b w:val="1"/>
                <w:bCs w:val="1"/>
                <w:color w:val="auto"/>
              </w:rPr>
              <w:t>Exhibit No.</w:t>
            </w:r>
          </w:p>
        </w:tc>
        <w:tc>
          <w:tcPr>
            <w:tcW w:w="9960" w:type="dxa"/>
            <w:vAlign w:val="bottom"/>
            <w:tcBorders>
              <w:top w:val="single" w:sz="8" w:color="9CC2E5"/>
            </w:tcBorders>
            <w:gridSpan w:val="8"/>
          </w:tcPr>
          <w:p>
            <w:pPr>
              <w:spacing w:after="0" w:line="176" w:lineRule="exact"/>
              <w:rPr>
                <w:sz w:val="20"/>
                <w:szCs w:val="20"/>
                <w:color w:val="auto"/>
              </w:rPr>
            </w:pPr>
            <w:r>
              <w:rPr>
                <w:rFonts w:ascii="Arial" w:cs="Arial" w:eastAsia="Arial" w:hAnsi="Arial"/>
                <w:sz w:val="18"/>
                <w:szCs w:val="18"/>
                <w:b w:val="1"/>
                <w:bCs w:val="1"/>
                <w:color w:val="auto"/>
              </w:rPr>
              <w:t>Description</w:t>
            </w:r>
          </w:p>
        </w:tc>
      </w:tr>
      <w:tr>
        <w:trPr>
          <w:trHeight w:val="20"/>
        </w:trPr>
        <w:tc>
          <w:tcPr>
            <w:tcW w:w="20" w:type="dxa"/>
            <w:vAlign w:val="bottom"/>
            <w:tcBorders>
              <w:bottom w:val="single" w:sz="8" w:color="9CC2E5"/>
            </w:tcBorders>
          </w:tcPr>
          <w:p>
            <w:pPr>
              <w:spacing w:after="0" w:line="20" w:lineRule="exact"/>
              <w:rPr>
                <w:sz w:val="1"/>
                <w:szCs w:val="1"/>
                <w:color w:val="auto"/>
              </w:rPr>
            </w:pPr>
          </w:p>
        </w:tc>
        <w:tc>
          <w:tcPr>
            <w:tcW w:w="880" w:type="dxa"/>
            <w:vAlign w:val="bottom"/>
            <w:tcBorders>
              <w:top w:val="single" w:sz="8" w:color="auto"/>
              <w:bottom w:val="single" w:sz="8" w:color="9CC2E5"/>
            </w:tcBorders>
          </w:tcPr>
          <w:p>
            <w:pPr>
              <w:spacing w:after="0" w:line="20" w:lineRule="exact"/>
              <w:rPr>
                <w:sz w:val="1"/>
                <w:szCs w:val="1"/>
                <w:color w:val="auto"/>
              </w:rPr>
            </w:pPr>
          </w:p>
        </w:tc>
        <w:tc>
          <w:tcPr>
            <w:tcW w:w="380" w:type="dxa"/>
            <w:vAlign w:val="bottom"/>
            <w:tcBorders>
              <w:bottom w:val="single" w:sz="8" w:color="9CC2E5"/>
            </w:tcBorders>
          </w:tcPr>
          <w:p>
            <w:pPr>
              <w:spacing w:after="0" w:line="20" w:lineRule="exact"/>
              <w:rPr>
                <w:sz w:val="1"/>
                <w:szCs w:val="1"/>
                <w:color w:val="auto"/>
              </w:rPr>
            </w:pPr>
          </w:p>
        </w:tc>
        <w:tc>
          <w:tcPr>
            <w:tcW w:w="880" w:type="dxa"/>
            <w:vAlign w:val="bottom"/>
            <w:tcBorders>
              <w:top w:val="single" w:sz="8" w:color="auto"/>
              <w:bottom w:val="single" w:sz="8" w:color="9CC2E5"/>
            </w:tcBorders>
          </w:tcPr>
          <w:p>
            <w:pPr>
              <w:spacing w:after="0" w:line="20" w:lineRule="exact"/>
              <w:rPr>
                <w:sz w:val="1"/>
                <w:szCs w:val="1"/>
                <w:color w:val="auto"/>
              </w:rPr>
            </w:pPr>
          </w:p>
        </w:tc>
        <w:tc>
          <w:tcPr>
            <w:tcW w:w="5820" w:type="dxa"/>
            <w:vAlign w:val="bottom"/>
            <w:tcBorders>
              <w:bottom w:val="single" w:sz="8" w:color="9CC2E5"/>
            </w:tcBorders>
          </w:tcPr>
          <w:p>
            <w:pPr>
              <w:spacing w:after="0" w:line="20" w:lineRule="exact"/>
              <w:rPr>
                <w:sz w:val="1"/>
                <w:szCs w:val="1"/>
                <w:color w:val="auto"/>
              </w:rPr>
            </w:pPr>
          </w:p>
        </w:tc>
        <w:tc>
          <w:tcPr>
            <w:tcW w:w="2540" w:type="dxa"/>
            <w:vAlign w:val="bottom"/>
            <w:tcBorders>
              <w:bottom w:val="single" w:sz="8" w:color="9CC2E5"/>
            </w:tcBorders>
          </w:tcPr>
          <w:p>
            <w:pPr>
              <w:spacing w:after="0" w:line="20" w:lineRule="exact"/>
              <w:rPr>
                <w:sz w:val="1"/>
                <w:szCs w:val="1"/>
                <w:color w:val="auto"/>
              </w:rPr>
            </w:pPr>
          </w:p>
        </w:tc>
        <w:tc>
          <w:tcPr>
            <w:tcW w:w="240" w:type="dxa"/>
            <w:vAlign w:val="bottom"/>
            <w:tcBorders>
              <w:bottom w:val="single" w:sz="8" w:color="9CC2E5"/>
            </w:tcBorders>
          </w:tcPr>
          <w:p>
            <w:pPr>
              <w:spacing w:after="0" w:line="20" w:lineRule="exact"/>
              <w:rPr>
                <w:sz w:val="1"/>
                <w:szCs w:val="1"/>
                <w:color w:val="auto"/>
              </w:rPr>
            </w:pPr>
          </w:p>
        </w:tc>
        <w:tc>
          <w:tcPr>
            <w:tcW w:w="160" w:type="dxa"/>
            <w:vAlign w:val="bottom"/>
            <w:tcBorders>
              <w:bottom w:val="single" w:sz="8" w:color="9CC2E5"/>
            </w:tcBorders>
          </w:tcPr>
          <w:p>
            <w:pPr>
              <w:spacing w:after="0" w:line="20" w:lineRule="exact"/>
              <w:rPr>
                <w:sz w:val="1"/>
                <w:szCs w:val="1"/>
                <w:color w:val="auto"/>
              </w:rPr>
            </w:pPr>
          </w:p>
        </w:tc>
        <w:tc>
          <w:tcPr>
            <w:tcW w:w="20" w:type="dxa"/>
            <w:vAlign w:val="bottom"/>
            <w:tcBorders>
              <w:bottom w:val="single" w:sz="8" w:color="9CC2E5"/>
            </w:tcBorders>
          </w:tcPr>
          <w:p>
            <w:pPr>
              <w:spacing w:after="0" w:line="20" w:lineRule="exact"/>
              <w:rPr>
                <w:sz w:val="1"/>
                <w:szCs w:val="1"/>
                <w:color w:val="auto"/>
              </w:rPr>
            </w:pPr>
          </w:p>
        </w:tc>
        <w:tc>
          <w:tcPr>
            <w:tcW w:w="80" w:type="dxa"/>
            <w:vAlign w:val="bottom"/>
            <w:tcBorders>
              <w:bottom w:val="single" w:sz="8" w:color="9CC2E5"/>
            </w:tcBorders>
          </w:tcPr>
          <w:p>
            <w:pPr>
              <w:spacing w:after="0" w:line="20" w:lineRule="exact"/>
              <w:rPr>
                <w:sz w:val="1"/>
                <w:szCs w:val="1"/>
                <w:color w:val="auto"/>
              </w:rPr>
            </w:pPr>
          </w:p>
        </w:tc>
        <w:tc>
          <w:tcPr>
            <w:tcW w:w="220" w:type="dxa"/>
            <w:vAlign w:val="bottom"/>
            <w:tcBorders>
              <w:bottom w:val="single" w:sz="8" w:color="9CC2E5"/>
            </w:tcBorders>
          </w:tcPr>
          <w:p>
            <w:pPr>
              <w:spacing w:after="0" w:line="20" w:lineRule="exact"/>
              <w:rPr>
                <w:sz w:val="1"/>
                <w:szCs w:val="1"/>
                <w:color w:val="auto"/>
              </w:rPr>
            </w:pPr>
          </w:p>
        </w:tc>
      </w:tr>
      <w:tr>
        <w:trPr>
          <w:trHeight w:val="143"/>
        </w:trPr>
        <w:tc>
          <w:tcPr>
            <w:tcW w:w="900" w:type="dxa"/>
            <w:vAlign w:val="bottom"/>
            <w:gridSpan w:val="2"/>
            <w:shd w:val="clear" w:color="auto" w:fill="CCEEFF"/>
          </w:tcPr>
          <w:p>
            <w:pPr>
              <w:ind w:left="20"/>
              <w:spacing w:after="0" w:line="142" w:lineRule="exact"/>
              <w:rPr>
                <w:rFonts w:ascii="Arial" w:cs="Arial" w:eastAsia="Arial" w:hAnsi="Arial"/>
                <w:sz w:val="16"/>
                <w:szCs w:val="16"/>
                <w:b w:val="1"/>
                <w:bCs w:val="1"/>
                <w:u w:val="single" w:color="auto"/>
                <w:color w:val="0563C1"/>
              </w:rPr>
            </w:pPr>
            <w:hyperlink r:id="rId46">
              <w:r>
                <w:rPr>
                  <w:rFonts w:ascii="Arial" w:cs="Arial" w:eastAsia="Arial" w:hAnsi="Arial"/>
                  <w:sz w:val="16"/>
                  <w:szCs w:val="16"/>
                  <w:b w:val="1"/>
                  <w:bCs w:val="1"/>
                  <w:u w:val="single" w:color="auto"/>
                  <w:color w:val="0563C1"/>
                </w:rPr>
                <w:t>3.1</w:t>
              </w:r>
            </w:hyperlink>
          </w:p>
        </w:tc>
        <w:tc>
          <w:tcPr>
            <w:tcW w:w="380" w:type="dxa"/>
            <w:vAlign w:val="bottom"/>
            <w:shd w:val="clear" w:color="auto" w:fill="CCEEFF"/>
          </w:tcPr>
          <w:p>
            <w:pPr>
              <w:spacing w:after="0"/>
              <w:rPr>
                <w:sz w:val="12"/>
                <w:szCs w:val="12"/>
                <w:color w:val="auto"/>
              </w:rPr>
            </w:pPr>
          </w:p>
        </w:tc>
        <w:tc>
          <w:tcPr>
            <w:tcW w:w="9960" w:type="dxa"/>
            <w:vAlign w:val="bottom"/>
            <w:gridSpan w:val="8"/>
            <w:shd w:val="clear" w:color="auto" w:fill="CCEEFF"/>
          </w:tcPr>
          <w:p>
            <w:pPr>
              <w:spacing w:after="0" w:line="142" w:lineRule="exact"/>
              <w:rPr>
                <w:rFonts w:ascii="Arial" w:cs="Arial" w:eastAsia="Arial" w:hAnsi="Arial"/>
                <w:sz w:val="16"/>
                <w:szCs w:val="16"/>
                <w:color w:val="0563C1"/>
              </w:rPr>
            </w:pPr>
            <w:hyperlink r:id="rId46">
              <w:r>
                <w:rPr>
                  <w:rFonts w:ascii="Arial" w:cs="Arial" w:eastAsia="Arial" w:hAnsi="Arial"/>
                  <w:sz w:val="16"/>
                  <w:szCs w:val="16"/>
                  <w:color w:val="0563C1"/>
                </w:rPr>
                <w:t>Certificate of Incorporation of Tile Shop Holdings, Inc. (incorporated by reference to Exhibit 3.1 to the Company’s Registration</w:t>
              </w:r>
            </w:hyperlink>
          </w:p>
        </w:tc>
      </w:tr>
      <w:tr>
        <w:trPr>
          <w:trHeight w:val="196"/>
        </w:trPr>
        <w:tc>
          <w:tcPr>
            <w:tcW w:w="20" w:type="dxa"/>
            <w:vAlign w:val="bottom"/>
            <w:tcBorders>
              <w:top w:val="single" w:sz="8" w:color="CCEEFF"/>
              <w:bottom w:val="single" w:sz="8" w:color="9CC2E5"/>
            </w:tcBorders>
            <w:shd w:val="clear" w:color="auto" w:fill="CCEEFF"/>
          </w:tcPr>
          <w:p>
            <w:pPr>
              <w:spacing w:after="0"/>
              <w:rPr>
                <w:sz w:val="17"/>
                <w:szCs w:val="17"/>
                <w:color w:val="auto"/>
              </w:rPr>
            </w:pPr>
          </w:p>
        </w:tc>
        <w:tc>
          <w:tcPr>
            <w:tcW w:w="880" w:type="dxa"/>
            <w:vAlign w:val="bottom"/>
            <w:tcBorders>
              <w:top w:val="single" w:sz="8" w:color="CCEEFF"/>
              <w:bottom w:val="single" w:sz="8" w:color="9CC2E5"/>
            </w:tcBorders>
            <w:shd w:val="clear" w:color="auto" w:fill="CCEEFF"/>
          </w:tcPr>
          <w:p>
            <w:pPr>
              <w:spacing w:after="0"/>
              <w:rPr>
                <w:sz w:val="17"/>
                <w:szCs w:val="17"/>
                <w:color w:val="auto"/>
              </w:rPr>
            </w:pPr>
          </w:p>
        </w:tc>
        <w:tc>
          <w:tcPr>
            <w:tcW w:w="380" w:type="dxa"/>
            <w:vAlign w:val="bottom"/>
            <w:tcBorders>
              <w:top w:val="single" w:sz="8" w:color="CCEEFF"/>
              <w:bottom w:val="single" w:sz="8" w:color="9CC2E5"/>
            </w:tcBorders>
            <w:shd w:val="clear" w:color="auto" w:fill="CCEEFF"/>
          </w:tcPr>
          <w:p>
            <w:pPr>
              <w:spacing w:after="0"/>
              <w:rPr>
                <w:sz w:val="17"/>
                <w:szCs w:val="17"/>
                <w:color w:val="auto"/>
              </w:rPr>
            </w:pPr>
          </w:p>
        </w:tc>
        <w:tc>
          <w:tcPr>
            <w:tcW w:w="9240" w:type="dxa"/>
            <w:vAlign w:val="bottom"/>
            <w:tcBorders>
              <w:top w:val="single" w:sz="8" w:color="0563C1"/>
              <w:bottom w:val="single" w:sz="8" w:color="9CC2E5"/>
            </w:tcBorders>
            <w:gridSpan w:val="3"/>
            <w:shd w:val="clear" w:color="auto" w:fill="CCEEFF"/>
          </w:tcPr>
          <w:p>
            <w:pPr>
              <w:spacing w:after="0" w:line="196" w:lineRule="exact"/>
              <w:rPr>
                <w:rFonts w:ascii="Arial" w:cs="Arial" w:eastAsia="Arial" w:hAnsi="Arial"/>
                <w:sz w:val="18"/>
                <w:szCs w:val="18"/>
                <w:u w:val="single" w:color="auto"/>
                <w:color w:val="0563C1"/>
                <w:w w:val="99"/>
              </w:rPr>
            </w:pPr>
            <w:hyperlink r:id="rId46">
              <w:r>
                <w:rPr>
                  <w:rFonts w:ascii="Arial" w:cs="Arial" w:eastAsia="Arial" w:hAnsi="Arial"/>
                  <w:sz w:val="18"/>
                  <w:szCs w:val="18"/>
                  <w:u w:val="single" w:color="auto"/>
                  <w:color w:val="0563C1"/>
                  <w:w w:val="99"/>
                </w:rPr>
                <w:t>Statement on Form S-4 (Reg. No. 333-182482) filed with the Securities and Exchange Commission on July 2, 2012).</w:t>
              </w:r>
            </w:hyperlink>
          </w:p>
        </w:tc>
        <w:tc>
          <w:tcPr>
            <w:tcW w:w="240" w:type="dxa"/>
            <w:vAlign w:val="bottom"/>
            <w:tcBorders>
              <w:top w:val="single" w:sz="8" w:color="CCEEFF"/>
              <w:bottom w:val="single" w:sz="8" w:color="9CC2E5"/>
            </w:tcBorders>
            <w:shd w:val="clear" w:color="auto" w:fill="CCEEFF"/>
          </w:tcPr>
          <w:p>
            <w:pPr>
              <w:spacing w:after="0"/>
              <w:rPr>
                <w:sz w:val="17"/>
                <w:szCs w:val="17"/>
                <w:color w:val="auto"/>
              </w:rPr>
            </w:pPr>
          </w:p>
        </w:tc>
        <w:tc>
          <w:tcPr>
            <w:tcW w:w="160" w:type="dxa"/>
            <w:vAlign w:val="bottom"/>
            <w:tcBorders>
              <w:top w:val="single" w:sz="8" w:color="CCEEFF"/>
              <w:bottom w:val="single" w:sz="8" w:color="9CC2E5"/>
            </w:tcBorders>
            <w:shd w:val="clear" w:color="auto" w:fill="CCEEFF"/>
          </w:tcPr>
          <w:p>
            <w:pPr>
              <w:spacing w:after="0"/>
              <w:rPr>
                <w:sz w:val="17"/>
                <w:szCs w:val="17"/>
                <w:color w:val="auto"/>
              </w:rPr>
            </w:pPr>
          </w:p>
        </w:tc>
        <w:tc>
          <w:tcPr>
            <w:tcW w:w="20" w:type="dxa"/>
            <w:vAlign w:val="bottom"/>
            <w:tcBorders>
              <w:top w:val="single" w:sz="8" w:color="CCEEFF"/>
              <w:bottom w:val="single" w:sz="8" w:color="9CC2E5"/>
            </w:tcBorders>
            <w:shd w:val="clear" w:color="auto" w:fill="CCEEFF"/>
          </w:tcPr>
          <w:p>
            <w:pPr>
              <w:spacing w:after="0"/>
              <w:rPr>
                <w:sz w:val="17"/>
                <w:szCs w:val="17"/>
                <w:color w:val="auto"/>
              </w:rPr>
            </w:pPr>
          </w:p>
        </w:tc>
        <w:tc>
          <w:tcPr>
            <w:tcW w:w="80" w:type="dxa"/>
            <w:vAlign w:val="bottom"/>
            <w:tcBorders>
              <w:top w:val="single" w:sz="8" w:color="CCEEFF"/>
              <w:bottom w:val="single" w:sz="8" w:color="9CC2E5"/>
            </w:tcBorders>
            <w:shd w:val="clear" w:color="auto" w:fill="CCEEFF"/>
          </w:tcPr>
          <w:p>
            <w:pPr>
              <w:spacing w:after="0"/>
              <w:rPr>
                <w:sz w:val="17"/>
                <w:szCs w:val="17"/>
                <w:color w:val="auto"/>
              </w:rPr>
            </w:pPr>
          </w:p>
        </w:tc>
        <w:tc>
          <w:tcPr>
            <w:tcW w:w="220" w:type="dxa"/>
            <w:vAlign w:val="bottom"/>
            <w:tcBorders>
              <w:top w:val="single" w:sz="8" w:color="CCEEFF"/>
              <w:bottom w:val="single" w:sz="8" w:color="9CC2E5"/>
            </w:tcBorders>
            <w:shd w:val="clear" w:color="auto" w:fill="CCEEFF"/>
          </w:tcPr>
          <w:p>
            <w:pPr>
              <w:spacing w:after="0"/>
              <w:rPr>
                <w:sz w:val="17"/>
                <w:szCs w:val="17"/>
                <w:color w:val="auto"/>
              </w:rPr>
            </w:pPr>
          </w:p>
        </w:tc>
      </w:tr>
      <w:tr>
        <w:trPr>
          <w:trHeight w:val="156"/>
        </w:trPr>
        <w:tc>
          <w:tcPr>
            <w:tcW w:w="900" w:type="dxa"/>
            <w:vAlign w:val="bottom"/>
            <w:gridSpan w:val="2"/>
          </w:tcPr>
          <w:p>
            <w:pPr>
              <w:ind w:left="20"/>
              <w:spacing w:after="0" w:line="156" w:lineRule="exact"/>
              <w:rPr>
                <w:rFonts w:ascii="Arial" w:cs="Arial" w:eastAsia="Arial" w:hAnsi="Arial"/>
                <w:sz w:val="18"/>
                <w:szCs w:val="18"/>
                <w:b w:val="1"/>
                <w:bCs w:val="1"/>
                <w:u w:val="single" w:color="auto"/>
                <w:color w:val="0563C1"/>
              </w:rPr>
            </w:pPr>
            <w:hyperlink r:id="rId47">
              <w:r>
                <w:rPr>
                  <w:rFonts w:ascii="Arial" w:cs="Arial" w:eastAsia="Arial" w:hAnsi="Arial"/>
                  <w:sz w:val="18"/>
                  <w:szCs w:val="18"/>
                  <w:b w:val="1"/>
                  <w:bCs w:val="1"/>
                  <w:u w:val="single" w:color="auto"/>
                  <w:color w:val="0563C1"/>
                </w:rPr>
                <w:t>3.2</w:t>
              </w:r>
            </w:hyperlink>
          </w:p>
        </w:tc>
        <w:tc>
          <w:tcPr>
            <w:tcW w:w="380" w:type="dxa"/>
            <w:vAlign w:val="bottom"/>
          </w:tcPr>
          <w:p>
            <w:pPr>
              <w:spacing w:after="0"/>
              <w:rPr>
                <w:sz w:val="13"/>
                <w:szCs w:val="13"/>
                <w:color w:val="auto"/>
              </w:rPr>
            </w:pPr>
          </w:p>
        </w:tc>
        <w:tc>
          <w:tcPr>
            <w:tcW w:w="9960" w:type="dxa"/>
            <w:vAlign w:val="bottom"/>
            <w:gridSpan w:val="8"/>
          </w:tcPr>
          <w:p>
            <w:pPr>
              <w:spacing w:after="0" w:line="156" w:lineRule="exact"/>
              <w:rPr>
                <w:rFonts w:ascii="Arial" w:cs="Arial" w:eastAsia="Arial" w:hAnsi="Arial"/>
                <w:sz w:val="18"/>
                <w:szCs w:val="18"/>
                <w:color w:val="0563C1"/>
                <w:w w:val="94"/>
              </w:rPr>
            </w:pPr>
            <w:hyperlink r:id="rId47">
              <w:r>
                <w:rPr>
                  <w:rFonts w:ascii="Arial" w:cs="Arial" w:eastAsia="Arial" w:hAnsi="Arial"/>
                  <w:sz w:val="18"/>
                  <w:szCs w:val="18"/>
                  <w:color w:val="0563C1"/>
                  <w:w w:val="94"/>
                </w:rPr>
                <w:t>By-Laws of Tile Shop Holdings, Inc. (incorporated by reference to Exhibit 3.2 to the Company’s Registration Statement on Form S-4</w:t>
              </w:r>
            </w:hyperlink>
          </w:p>
        </w:tc>
      </w:tr>
      <w:tr>
        <w:trPr>
          <w:trHeight w:val="169"/>
        </w:trPr>
        <w:tc>
          <w:tcPr>
            <w:tcW w:w="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60" w:type="dxa"/>
            <w:vAlign w:val="bottom"/>
            <w:tcBorders>
              <w:top w:val="single" w:sz="8" w:color="0563C1"/>
            </w:tcBorders>
            <w:gridSpan w:val="6"/>
          </w:tcPr>
          <w:p>
            <w:pPr>
              <w:spacing w:after="0" w:line="169" w:lineRule="exact"/>
              <w:rPr>
                <w:rFonts w:ascii="Arial" w:cs="Arial" w:eastAsia="Arial" w:hAnsi="Arial"/>
                <w:sz w:val="18"/>
                <w:szCs w:val="18"/>
                <w:color w:val="0563C1"/>
              </w:rPr>
            </w:pPr>
            <w:hyperlink r:id="rId47">
              <w:r>
                <w:rPr>
                  <w:rFonts w:ascii="Arial" w:cs="Arial" w:eastAsia="Arial" w:hAnsi="Arial"/>
                  <w:sz w:val="18"/>
                  <w:szCs w:val="18"/>
                  <w:color w:val="0563C1"/>
                </w:rPr>
                <w:t>(Reg. No. 333-182482) filed with the Securities and Exchange Commission on July 2, 2012).</w:t>
              </w:r>
            </w:hyperlink>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0"/>
        </w:trPr>
        <w:tc>
          <w:tcPr>
            <w:tcW w:w="20" w:type="dxa"/>
            <w:vAlign w:val="bottom"/>
            <w:tcBorders>
              <w:bottom w:val="single" w:sz="8" w:color="9CC2E5"/>
            </w:tcBorders>
          </w:tcPr>
          <w:p>
            <w:pPr>
              <w:spacing w:after="0" w:line="20" w:lineRule="exact"/>
              <w:rPr>
                <w:sz w:val="1"/>
                <w:szCs w:val="1"/>
                <w:color w:val="auto"/>
              </w:rPr>
            </w:pPr>
          </w:p>
        </w:tc>
        <w:tc>
          <w:tcPr>
            <w:tcW w:w="880" w:type="dxa"/>
            <w:vAlign w:val="bottom"/>
            <w:tcBorders>
              <w:bottom w:val="single" w:sz="8" w:color="9CC2E5"/>
            </w:tcBorders>
          </w:tcPr>
          <w:p>
            <w:pPr>
              <w:spacing w:after="0" w:line="20" w:lineRule="exact"/>
              <w:rPr>
                <w:sz w:val="1"/>
                <w:szCs w:val="1"/>
                <w:color w:val="auto"/>
              </w:rPr>
            </w:pPr>
          </w:p>
        </w:tc>
        <w:tc>
          <w:tcPr>
            <w:tcW w:w="380" w:type="dxa"/>
            <w:vAlign w:val="bottom"/>
            <w:tcBorders>
              <w:bottom w:val="single" w:sz="8" w:color="9CC2E5"/>
            </w:tcBorders>
          </w:tcPr>
          <w:p>
            <w:pPr>
              <w:spacing w:after="0" w:line="20" w:lineRule="exact"/>
              <w:rPr>
                <w:sz w:val="1"/>
                <w:szCs w:val="1"/>
                <w:color w:val="auto"/>
              </w:rPr>
            </w:pPr>
          </w:p>
        </w:tc>
        <w:tc>
          <w:tcPr>
            <w:tcW w:w="880" w:type="dxa"/>
            <w:vAlign w:val="bottom"/>
            <w:tcBorders>
              <w:top w:val="single" w:sz="8" w:color="0563C1"/>
              <w:bottom w:val="single" w:sz="8" w:color="9CC2E5"/>
            </w:tcBorders>
          </w:tcPr>
          <w:p>
            <w:pPr>
              <w:spacing w:after="0" w:line="20" w:lineRule="exact"/>
              <w:rPr>
                <w:sz w:val="1"/>
                <w:szCs w:val="1"/>
                <w:color w:val="auto"/>
              </w:rPr>
            </w:pPr>
          </w:p>
        </w:tc>
        <w:tc>
          <w:tcPr>
            <w:tcW w:w="5820" w:type="dxa"/>
            <w:vAlign w:val="bottom"/>
            <w:tcBorders>
              <w:top w:val="single" w:sz="8" w:color="0563C1"/>
              <w:bottom w:val="single" w:sz="8" w:color="9CC2E5"/>
            </w:tcBorders>
          </w:tcPr>
          <w:p>
            <w:pPr>
              <w:spacing w:after="0" w:line="20" w:lineRule="exact"/>
              <w:rPr>
                <w:sz w:val="1"/>
                <w:szCs w:val="1"/>
                <w:color w:val="auto"/>
              </w:rPr>
            </w:pPr>
          </w:p>
        </w:tc>
        <w:tc>
          <w:tcPr>
            <w:tcW w:w="2540" w:type="dxa"/>
            <w:vAlign w:val="bottom"/>
            <w:tcBorders>
              <w:bottom w:val="single" w:sz="8" w:color="9CC2E5"/>
            </w:tcBorders>
          </w:tcPr>
          <w:p>
            <w:pPr>
              <w:spacing w:after="0" w:line="20" w:lineRule="exact"/>
              <w:rPr>
                <w:sz w:val="1"/>
                <w:szCs w:val="1"/>
                <w:color w:val="auto"/>
              </w:rPr>
            </w:pPr>
          </w:p>
        </w:tc>
        <w:tc>
          <w:tcPr>
            <w:tcW w:w="240" w:type="dxa"/>
            <w:vAlign w:val="bottom"/>
            <w:tcBorders>
              <w:bottom w:val="single" w:sz="8" w:color="9CC2E5"/>
            </w:tcBorders>
          </w:tcPr>
          <w:p>
            <w:pPr>
              <w:spacing w:after="0" w:line="20" w:lineRule="exact"/>
              <w:rPr>
                <w:sz w:val="1"/>
                <w:szCs w:val="1"/>
                <w:color w:val="auto"/>
              </w:rPr>
            </w:pPr>
          </w:p>
        </w:tc>
        <w:tc>
          <w:tcPr>
            <w:tcW w:w="160" w:type="dxa"/>
            <w:vAlign w:val="bottom"/>
            <w:tcBorders>
              <w:bottom w:val="single" w:sz="8" w:color="9CC2E5"/>
            </w:tcBorders>
          </w:tcPr>
          <w:p>
            <w:pPr>
              <w:spacing w:after="0" w:line="20" w:lineRule="exact"/>
              <w:rPr>
                <w:sz w:val="1"/>
                <w:szCs w:val="1"/>
                <w:color w:val="auto"/>
              </w:rPr>
            </w:pPr>
          </w:p>
        </w:tc>
        <w:tc>
          <w:tcPr>
            <w:tcW w:w="20" w:type="dxa"/>
            <w:vAlign w:val="bottom"/>
            <w:tcBorders>
              <w:bottom w:val="single" w:sz="8" w:color="9CC2E5"/>
            </w:tcBorders>
          </w:tcPr>
          <w:p>
            <w:pPr>
              <w:spacing w:after="0" w:line="20" w:lineRule="exact"/>
              <w:rPr>
                <w:sz w:val="1"/>
                <w:szCs w:val="1"/>
                <w:color w:val="auto"/>
              </w:rPr>
            </w:pPr>
          </w:p>
        </w:tc>
        <w:tc>
          <w:tcPr>
            <w:tcW w:w="80" w:type="dxa"/>
            <w:vAlign w:val="bottom"/>
            <w:tcBorders>
              <w:bottom w:val="single" w:sz="8" w:color="9CC2E5"/>
            </w:tcBorders>
          </w:tcPr>
          <w:p>
            <w:pPr>
              <w:spacing w:after="0" w:line="20" w:lineRule="exact"/>
              <w:rPr>
                <w:sz w:val="1"/>
                <w:szCs w:val="1"/>
                <w:color w:val="auto"/>
              </w:rPr>
            </w:pPr>
          </w:p>
        </w:tc>
        <w:tc>
          <w:tcPr>
            <w:tcW w:w="220" w:type="dxa"/>
            <w:vAlign w:val="bottom"/>
            <w:tcBorders>
              <w:bottom w:val="single" w:sz="8" w:color="9CC2E5"/>
            </w:tcBorders>
          </w:tcPr>
          <w:p>
            <w:pPr>
              <w:spacing w:after="0" w:line="20" w:lineRule="exact"/>
              <w:rPr>
                <w:sz w:val="1"/>
                <w:szCs w:val="1"/>
                <w:color w:val="auto"/>
              </w:rPr>
            </w:pPr>
          </w:p>
        </w:tc>
      </w:tr>
      <w:tr>
        <w:trPr>
          <w:trHeight w:val="143"/>
        </w:trPr>
        <w:tc>
          <w:tcPr>
            <w:tcW w:w="900" w:type="dxa"/>
            <w:vAlign w:val="bottom"/>
            <w:gridSpan w:val="2"/>
            <w:shd w:val="clear" w:color="auto" w:fill="CCEEFF"/>
          </w:tcPr>
          <w:p>
            <w:pPr>
              <w:ind w:left="20"/>
              <w:spacing w:after="0" w:line="142" w:lineRule="exact"/>
              <w:rPr>
                <w:rFonts w:ascii="Arial" w:cs="Arial" w:eastAsia="Arial" w:hAnsi="Arial"/>
                <w:sz w:val="16"/>
                <w:szCs w:val="16"/>
                <w:b w:val="1"/>
                <w:bCs w:val="1"/>
                <w:u w:val="single" w:color="auto"/>
                <w:color w:val="0563C1"/>
              </w:rPr>
            </w:pPr>
            <w:hyperlink r:id="rId48">
              <w:r>
                <w:rPr>
                  <w:rFonts w:ascii="Arial" w:cs="Arial" w:eastAsia="Arial" w:hAnsi="Arial"/>
                  <w:sz w:val="16"/>
                  <w:szCs w:val="16"/>
                  <w:b w:val="1"/>
                  <w:bCs w:val="1"/>
                  <w:u w:val="single" w:color="auto"/>
                  <w:color w:val="0563C1"/>
                </w:rPr>
                <w:t>10.1*</w:t>
              </w:r>
            </w:hyperlink>
          </w:p>
        </w:tc>
        <w:tc>
          <w:tcPr>
            <w:tcW w:w="380" w:type="dxa"/>
            <w:vAlign w:val="bottom"/>
            <w:shd w:val="clear" w:color="auto" w:fill="CCEEFF"/>
          </w:tcPr>
          <w:p>
            <w:pPr>
              <w:spacing w:after="0"/>
              <w:rPr>
                <w:sz w:val="12"/>
                <w:szCs w:val="12"/>
                <w:color w:val="auto"/>
              </w:rPr>
            </w:pPr>
          </w:p>
        </w:tc>
        <w:tc>
          <w:tcPr>
            <w:tcW w:w="9960" w:type="dxa"/>
            <w:vAlign w:val="bottom"/>
            <w:gridSpan w:val="8"/>
            <w:shd w:val="clear" w:color="auto" w:fill="CCEEFF"/>
          </w:tcPr>
          <w:p>
            <w:pPr>
              <w:spacing w:after="0" w:line="142" w:lineRule="exact"/>
              <w:rPr>
                <w:rFonts w:ascii="Arial" w:cs="Arial" w:eastAsia="Arial" w:hAnsi="Arial"/>
                <w:sz w:val="16"/>
                <w:szCs w:val="16"/>
                <w:color w:val="0563C1"/>
              </w:rPr>
            </w:pPr>
            <w:hyperlink r:id="rId49">
              <w:r>
                <w:rPr>
                  <w:rFonts w:ascii="Arial" w:cs="Arial" w:eastAsia="Arial" w:hAnsi="Arial"/>
                  <w:sz w:val="16"/>
                  <w:szCs w:val="16"/>
                  <w:color w:val="0563C1"/>
                </w:rPr>
                <w:t>Letter Agreement, dated as of April 24, 2020, by and between the Company and Cabell H. Lolmaugh (incorporated by reference to</w:t>
              </w:r>
            </w:hyperlink>
          </w:p>
        </w:tc>
      </w:tr>
      <w:tr>
        <w:trPr>
          <w:trHeight w:val="196"/>
        </w:trPr>
        <w:tc>
          <w:tcPr>
            <w:tcW w:w="20" w:type="dxa"/>
            <w:vAlign w:val="bottom"/>
            <w:tcBorders>
              <w:top w:val="single" w:sz="8" w:color="CCEEFF"/>
              <w:bottom w:val="single" w:sz="8" w:color="9CC2E5"/>
            </w:tcBorders>
            <w:shd w:val="clear" w:color="auto" w:fill="CCEEFF"/>
          </w:tcPr>
          <w:p>
            <w:pPr>
              <w:spacing w:after="0"/>
              <w:rPr>
                <w:sz w:val="17"/>
                <w:szCs w:val="17"/>
                <w:color w:val="auto"/>
              </w:rPr>
            </w:pPr>
          </w:p>
        </w:tc>
        <w:tc>
          <w:tcPr>
            <w:tcW w:w="880" w:type="dxa"/>
            <w:vAlign w:val="bottom"/>
            <w:tcBorders>
              <w:top w:val="single" w:sz="8" w:color="CCEEFF"/>
              <w:bottom w:val="single" w:sz="8" w:color="9CC2E5"/>
            </w:tcBorders>
            <w:shd w:val="clear" w:color="auto" w:fill="CCEEFF"/>
          </w:tcPr>
          <w:p>
            <w:pPr>
              <w:spacing w:after="0"/>
              <w:rPr>
                <w:sz w:val="17"/>
                <w:szCs w:val="17"/>
                <w:color w:val="auto"/>
              </w:rPr>
            </w:pPr>
          </w:p>
        </w:tc>
        <w:tc>
          <w:tcPr>
            <w:tcW w:w="380" w:type="dxa"/>
            <w:vAlign w:val="bottom"/>
            <w:tcBorders>
              <w:top w:val="single" w:sz="8" w:color="CCEEFF"/>
              <w:bottom w:val="single" w:sz="8" w:color="9CC2E5"/>
            </w:tcBorders>
            <w:shd w:val="clear" w:color="auto" w:fill="CCEEFF"/>
          </w:tcPr>
          <w:p>
            <w:pPr>
              <w:spacing w:after="0"/>
              <w:rPr>
                <w:sz w:val="17"/>
                <w:szCs w:val="17"/>
                <w:color w:val="auto"/>
              </w:rPr>
            </w:pPr>
          </w:p>
        </w:tc>
        <w:tc>
          <w:tcPr>
            <w:tcW w:w="9480" w:type="dxa"/>
            <w:vAlign w:val="bottom"/>
            <w:tcBorders>
              <w:top w:val="single" w:sz="8" w:color="0563C1"/>
              <w:bottom w:val="single" w:sz="8" w:color="9CC2E5"/>
            </w:tcBorders>
            <w:gridSpan w:val="4"/>
            <w:shd w:val="clear" w:color="auto" w:fill="CCEEFF"/>
          </w:tcPr>
          <w:p>
            <w:pPr>
              <w:spacing w:after="0" w:line="196" w:lineRule="exact"/>
              <w:rPr>
                <w:rFonts w:ascii="Arial" w:cs="Arial" w:eastAsia="Arial" w:hAnsi="Arial"/>
                <w:sz w:val="18"/>
                <w:szCs w:val="18"/>
                <w:u w:val="single" w:color="auto"/>
                <w:color w:val="0563C1"/>
                <w:w w:val="91"/>
              </w:rPr>
            </w:pPr>
            <w:hyperlink r:id="rId49">
              <w:r>
                <w:rPr>
                  <w:rFonts w:ascii="Arial" w:cs="Arial" w:eastAsia="Arial" w:hAnsi="Arial"/>
                  <w:sz w:val="18"/>
                  <w:szCs w:val="18"/>
                  <w:u w:val="single" w:color="auto"/>
                  <w:color w:val="0563C1"/>
                  <w:w w:val="91"/>
                </w:rPr>
                <w:t>Exhibit 10.1 to the Company’s Current Report on Form 8-K filed with the Securities and Exchange Commission on April 27, 2020)</w:t>
              </w:r>
            </w:hyperlink>
          </w:p>
        </w:tc>
        <w:tc>
          <w:tcPr>
            <w:tcW w:w="160" w:type="dxa"/>
            <w:vAlign w:val="bottom"/>
            <w:tcBorders>
              <w:top w:val="single" w:sz="8" w:color="CCEEFF"/>
              <w:bottom w:val="single" w:sz="8" w:color="9CC2E5"/>
            </w:tcBorders>
            <w:shd w:val="clear" w:color="auto" w:fill="CCEEFF"/>
          </w:tcPr>
          <w:p>
            <w:pPr>
              <w:jc w:val="right"/>
              <w:ind w:right="69"/>
              <w:spacing w:after="0"/>
              <w:rPr>
                <w:rFonts w:ascii="Arial" w:cs="Arial" w:eastAsia="Arial" w:hAnsi="Arial"/>
                <w:sz w:val="10"/>
                <w:szCs w:val="10"/>
                <w:u w:val="single" w:color="auto"/>
                <w:color w:val="0563C1"/>
                <w:w w:val="70"/>
              </w:rPr>
            </w:pPr>
            <w:hyperlink r:id="rId49">
              <w:r>
                <w:rPr>
                  <w:rFonts w:ascii="Arial" w:cs="Arial" w:eastAsia="Arial" w:hAnsi="Arial"/>
                  <w:sz w:val="10"/>
                  <w:szCs w:val="10"/>
                  <w:u w:val="single" w:color="auto"/>
                  <w:color w:val="0563C1"/>
                  <w:w w:val="70"/>
                </w:rPr>
                <w:t>.</w:t>
              </w:r>
            </w:hyperlink>
          </w:p>
        </w:tc>
        <w:tc>
          <w:tcPr>
            <w:tcW w:w="100" w:type="dxa"/>
            <w:vAlign w:val="bottom"/>
            <w:tcBorders>
              <w:top w:val="single" w:sz="8" w:color="CCEEFF"/>
              <w:bottom w:val="single" w:sz="8" w:color="9CC2E5"/>
            </w:tcBorders>
            <w:gridSpan w:val="2"/>
            <w:shd w:val="clear" w:color="auto" w:fill="CCEEFF"/>
          </w:tcPr>
          <w:p>
            <w:pPr>
              <w:spacing w:after="0"/>
              <w:rPr>
                <w:sz w:val="17"/>
                <w:szCs w:val="17"/>
                <w:color w:val="auto"/>
              </w:rPr>
            </w:pPr>
          </w:p>
        </w:tc>
        <w:tc>
          <w:tcPr>
            <w:tcW w:w="220" w:type="dxa"/>
            <w:vAlign w:val="bottom"/>
            <w:tcBorders>
              <w:top w:val="single" w:sz="8" w:color="CCEEFF"/>
              <w:bottom w:val="single" w:sz="8" w:color="9CC2E5"/>
            </w:tcBorders>
            <w:shd w:val="clear" w:color="auto" w:fill="CCEEFF"/>
          </w:tcPr>
          <w:p>
            <w:pPr>
              <w:spacing w:after="0"/>
              <w:rPr>
                <w:sz w:val="17"/>
                <w:szCs w:val="17"/>
                <w:color w:val="auto"/>
              </w:rPr>
            </w:pPr>
          </w:p>
        </w:tc>
      </w:tr>
      <w:tr>
        <w:trPr>
          <w:trHeight w:val="155"/>
        </w:trPr>
        <w:tc>
          <w:tcPr>
            <w:tcW w:w="900" w:type="dxa"/>
            <w:vAlign w:val="bottom"/>
            <w:gridSpan w:val="2"/>
          </w:tcPr>
          <w:p>
            <w:pPr>
              <w:ind w:left="20"/>
              <w:spacing w:after="0" w:line="156" w:lineRule="exact"/>
              <w:rPr>
                <w:rFonts w:ascii="Arial" w:cs="Arial" w:eastAsia="Arial" w:hAnsi="Arial"/>
                <w:sz w:val="18"/>
                <w:szCs w:val="18"/>
                <w:b w:val="1"/>
                <w:bCs w:val="1"/>
                <w:u w:val="single" w:color="auto"/>
                <w:color w:val="0563C1"/>
              </w:rPr>
            </w:pPr>
            <w:hyperlink r:id="rId50">
              <w:r>
                <w:rPr>
                  <w:rFonts w:ascii="Arial" w:cs="Arial" w:eastAsia="Arial" w:hAnsi="Arial"/>
                  <w:sz w:val="18"/>
                  <w:szCs w:val="18"/>
                  <w:b w:val="1"/>
                  <w:bCs w:val="1"/>
                  <w:u w:val="single" w:color="auto"/>
                  <w:color w:val="0563C1"/>
                </w:rPr>
                <w:t>10.2*</w:t>
              </w:r>
            </w:hyperlink>
          </w:p>
        </w:tc>
        <w:tc>
          <w:tcPr>
            <w:tcW w:w="380" w:type="dxa"/>
            <w:vAlign w:val="bottom"/>
          </w:tcPr>
          <w:p>
            <w:pPr>
              <w:spacing w:after="0"/>
              <w:rPr>
                <w:sz w:val="13"/>
                <w:szCs w:val="13"/>
                <w:color w:val="auto"/>
              </w:rPr>
            </w:pPr>
          </w:p>
        </w:tc>
        <w:tc>
          <w:tcPr>
            <w:tcW w:w="9960" w:type="dxa"/>
            <w:vAlign w:val="bottom"/>
            <w:gridSpan w:val="8"/>
          </w:tcPr>
          <w:p>
            <w:pPr>
              <w:spacing w:after="0" w:line="156" w:lineRule="exact"/>
              <w:rPr>
                <w:rFonts w:ascii="Arial" w:cs="Arial" w:eastAsia="Arial" w:hAnsi="Arial"/>
                <w:sz w:val="18"/>
                <w:szCs w:val="18"/>
                <w:color w:val="0563C1"/>
                <w:w w:val="93"/>
              </w:rPr>
            </w:pPr>
            <w:hyperlink r:id="rId51">
              <w:r>
                <w:rPr>
                  <w:rFonts w:ascii="Arial" w:cs="Arial" w:eastAsia="Arial" w:hAnsi="Arial"/>
                  <w:sz w:val="18"/>
                  <w:szCs w:val="18"/>
                  <w:color w:val="0563C1"/>
                  <w:w w:val="93"/>
                </w:rPr>
                <w:t>Letter Agreement, dated as of April 24, 2020, by and between the Company and Nancy DiMattia (incorporated by reference to Exhibit</w:t>
              </w:r>
            </w:hyperlink>
          </w:p>
        </w:tc>
      </w:tr>
      <w:tr>
        <w:trPr>
          <w:trHeight w:val="196"/>
        </w:trPr>
        <w:tc>
          <w:tcPr>
            <w:tcW w:w="20" w:type="dxa"/>
            <w:vAlign w:val="bottom"/>
            <w:tcBorders>
              <w:bottom w:val="single" w:sz="8" w:color="9CC2E5"/>
            </w:tcBorders>
          </w:tcPr>
          <w:p>
            <w:pPr>
              <w:spacing w:after="0"/>
              <w:rPr>
                <w:sz w:val="17"/>
                <w:szCs w:val="17"/>
                <w:color w:val="auto"/>
              </w:rPr>
            </w:pPr>
          </w:p>
        </w:tc>
        <w:tc>
          <w:tcPr>
            <w:tcW w:w="880" w:type="dxa"/>
            <w:vAlign w:val="bottom"/>
            <w:tcBorders>
              <w:bottom w:val="single" w:sz="8" w:color="9CC2E5"/>
            </w:tcBorders>
          </w:tcPr>
          <w:p>
            <w:pPr>
              <w:spacing w:after="0"/>
              <w:rPr>
                <w:sz w:val="17"/>
                <w:szCs w:val="17"/>
                <w:color w:val="auto"/>
              </w:rPr>
            </w:pPr>
          </w:p>
        </w:tc>
        <w:tc>
          <w:tcPr>
            <w:tcW w:w="380" w:type="dxa"/>
            <w:vAlign w:val="bottom"/>
            <w:tcBorders>
              <w:bottom w:val="single" w:sz="8" w:color="9CC2E5"/>
            </w:tcBorders>
          </w:tcPr>
          <w:p>
            <w:pPr>
              <w:spacing w:after="0"/>
              <w:rPr>
                <w:sz w:val="17"/>
                <w:szCs w:val="17"/>
                <w:color w:val="auto"/>
              </w:rPr>
            </w:pPr>
          </w:p>
        </w:tc>
        <w:tc>
          <w:tcPr>
            <w:tcW w:w="9740" w:type="dxa"/>
            <w:vAlign w:val="bottom"/>
            <w:tcBorders>
              <w:top w:val="single" w:sz="8" w:color="0563C1"/>
              <w:bottom w:val="single" w:sz="8" w:color="9CC2E5"/>
            </w:tcBorders>
            <w:gridSpan w:val="7"/>
          </w:tcPr>
          <w:p>
            <w:pPr>
              <w:spacing w:after="0" w:line="196" w:lineRule="exact"/>
              <w:rPr>
                <w:rFonts w:ascii="Arial" w:cs="Arial" w:eastAsia="Arial" w:hAnsi="Arial"/>
                <w:sz w:val="18"/>
                <w:szCs w:val="18"/>
                <w:u w:val="single" w:color="auto"/>
                <w:color w:val="0563C1"/>
                <w:w w:val="99"/>
              </w:rPr>
            </w:pPr>
            <w:hyperlink r:id="rId51">
              <w:r>
                <w:rPr>
                  <w:rFonts w:ascii="Arial" w:cs="Arial" w:eastAsia="Arial" w:hAnsi="Arial"/>
                  <w:sz w:val="18"/>
                  <w:szCs w:val="18"/>
                  <w:u w:val="single" w:color="auto"/>
                  <w:color w:val="0563C1"/>
                  <w:w w:val="99"/>
                </w:rPr>
                <w:t>10.2 to the Company’s Current Report on Form 8-K filed with the Securities and Exchange Commission on April 27, 2020).</w:t>
              </w:r>
            </w:hyperlink>
          </w:p>
        </w:tc>
        <w:tc>
          <w:tcPr>
            <w:tcW w:w="220" w:type="dxa"/>
            <w:vAlign w:val="bottom"/>
            <w:tcBorders>
              <w:bottom w:val="single" w:sz="8" w:color="9CC2E5"/>
            </w:tcBorders>
          </w:tcPr>
          <w:p>
            <w:pPr>
              <w:spacing w:after="0"/>
              <w:rPr>
                <w:sz w:val="17"/>
                <w:szCs w:val="17"/>
                <w:color w:val="auto"/>
              </w:rPr>
            </w:pPr>
          </w:p>
        </w:tc>
      </w:tr>
      <w:tr>
        <w:trPr>
          <w:trHeight w:val="156"/>
        </w:trPr>
        <w:tc>
          <w:tcPr>
            <w:tcW w:w="900" w:type="dxa"/>
            <w:vAlign w:val="bottom"/>
            <w:gridSpan w:val="2"/>
            <w:shd w:val="clear" w:color="auto" w:fill="CCEEFF"/>
          </w:tcPr>
          <w:p>
            <w:pPr>
              <w:ind w:left="20"/>
              <w:spacing w:after="0" w:line="156" w:lineRule="exact"/>
              <w:rPr>
                <w:rFonts w:ascii="Arial" w:cs="Arial" w:eastAsia="Arial" w:hAnsi="Arial"/>
                <w:sz w:val="18"/>
                <w:szCs w:val="18"/>
                <w:b w:val="1"/>
                <w:bCs w:val="1"/>
                <w:u w:val="single" w:color="auto"/>
                <w:color w:val="0563C1"/>
              </w:rPr>
            </w:pPr>
            <w:hyperlink r:id="rId52">
              <w:r>
                <w:rPr>
                  <w:rFonts w:ascii="Arial" w:cs="Arial" w:eastAsia="Arial" w:hAnsi="Arial"/>
                  <w:sz w:val="18"/>
                  <w:szCs w:val="18"/>
                  <w:b w:val="1"/>
                  <w:bCs w:val="1"/>
                  <w:u w:val="single" w:color="auto"/>
                  <w:color w:val="0563C1"/>
                </w:rPr>
                <w:t>10.3*</w:t>
              </w:r>
            </w:hyperlink>
          </w:p>
        </w:tc>
        <w:tc>
          <w:tcPr>
            <w:tcW w:w="380" w:type="dxa"/>
            <w:vAlign w:val="bottom"/>
            <w:shd w:val="clear" w:color="auto" w:fill="CCEEFF"/>
          </w:tcPr>
          <w:p>
            <w:pPr>
              <w:spacing w:after="0"/>
              <w:rPr>
                <w:sz w:val="13"/>
                <w:szCs w:val="13"/>
                <w:color w:val="auto"/>
              </w:rPr>
            </w:pPr>
          </w:p>
        </w:tc>
        <w:tc>
          <w:tcPr>
            <w:tcW w:w="9960" w:type="dxa"/>
            <w:vAlign w:val="bottom"/>
            <w:gridSpan w:val="8"/>
            <w:shd w:val="clear" w:color="auto" w:fill="CCEEFF"/>
          </w:tcPr>
          <w:p>
            <w:pPr>
              <w:spacing w:after="0" w:line="156" w:lineRule="exact"/>
              <w:rPr>
                <w:rFonts w:ascii="Arial" w:cs="Arial" w:eastAsia="Arial" w:hAnsi="Arial"/>
                <w:sz w:val="18"/>
                <w:szCs w:val="18"/>
                <w:color w:val="0563C1"/>
                <w:w w:val="94"/>
              </w:rPr>
            </w:pPr>
            <w:hyperlink r:id="rId53">
              <w:r>
                <w:rPr>
                  <w:rFonts w:ascii="Arial" w:cs="Arial" w:eastAsia="Arial" w:hAnsi="Arial"/>
                  <w:sz w:val="18"/>
                  <w:szCs w:val="18"/>
                  <w:color w:val="0563C1"/>
                  <w:w w:val="94"/>
                </w:rPr>
                <w:t>Letter Agreement, dated as of April 24, 2020, by and between the Company and Mark B. Davis (incorporated by reference to Exhibit</w:t>
              </w:r>
            </w:hyperlink>
          </w:p>
        </w:tc>
      </w:tr>
      <w:tr>
        <w:trPr>
          <w:trHeight w:val="196"/>
        </w:trPr>
        <w:tc>
          <w:tcPr>
            <w:tcW w:w="20" w:type="dxa"/>
            <w:vAlign w:val="bottom"/>
            <w:tcBorders>
              <w:top w:val="single" w:sz="8" w:color="CCEEFF"/>
              <w:bottom w:val="single" w:sz="8" w:color="9CC2E5"/>
            </w:tcBorders>
            <w:shd w:val="clear" w:color="auto" w:fill="CCEEFF"/>
          </w:tcPr>
          <w:p>
            <w:pPr>
              <w:spacing w:after="0"/>
              <w:rPr>
                <w:sz w:val="17"/>
                <w:szCs w:val="17"/>
                <w:color w:val="auto"/>
              </w:rPr>
            </w:pPr>
          </w:p>
        </w:tc>
        <w:tc>
          <w:tcPr>
            <w:tcW w:w="880" w:type="dxa"/>
            <w:vAlign w:val="bottom"/>
            <w:tcBorders>
              <w:top w:val="single" w:sz="8" w:color="CCEEFF"/>
              <w:bottom w:val="single" w:sz="8" w:color="9CC2E5"/>
            </w:tcBorders>
            <w:shd w:val="clear" w:color="auto" w:fill="CCEEFF"/>
          </w:tcPr>
          <w:p>
            <w:pPr>
              <w:spacing w:after="0"/>
              <w:rPr>
                <w:sz w:val="17"/>
                <w:szCs w:val="17"/>
                <w:color w:val="auto"/>
              </w:rPr>
            </w:pPr>
          </w:p>
        </w:tc>
        <w:tc>
          <w:tcPr>
            <w:tcW w:w="380" w:type="dxa"/>
            <w:vAlign w:val="bottom"/>
            <w:tcBorders>
              <w:top w:val="single" w:sz="8" w:color="CCEEFF"/>
              <w:bottom w:val="single" w:sz="8" w:color="9CC2E5"/>
            </w:tcBorders>
            <w:shd w:val="clear" w:color="auto" w:fill="CCEEFF"/>
          </w:tcPr>
          <w:p>
            <w:pPr>
              <w:spacing w:after="0"/>
              <w:rPr>
                <w:sz w:val="17"/>
                <w:szCs w:val="17"/>
                <w:color w:val="auto"/>
              </w:rPr>
            </w:pPr>
          </w:p>
        </w:tc>
        <w:tc>
          <w:tcPr>
            <w:tcW w:w="9640" w:type="dxa"/>
            <w:vAlign w:val="bottom"/>
            <w:tcBorders>
              <w:top w:val="single" w:sz="8" w:color="0563C1"/>
              <w:bottom w:val="single" w:sz="8" w:color="9CC2E5"/>
            </w:tcBorders>
            <w:gridSpan w:val="5"/>
            <w:shd w:val="clear" w:color="auto" w:fill="CCEEFF"/>
          </w:tcPr>
          <w:p>
            <w:pPr>
              <w:spacing w:after="0" w:line="196" w:lineRule="exact"/>
              <w:rPr>
                <w:rFonts w:ascii="Arial" w:cs="Arial" w:eastAsia="Arial" w:hAnsi="Arial"/>
                <w:sz w:val="18"/>
                <w:szCs w:val="18"/>
                <w:u w:val="single" w:color="auto"/>
                <w:color w:val="0563C1"/>
                <w:w w:val="98"/>
              </w:rPr>
            </w:pPr>
            <w:hyperlink r:id="rId53">
              <w:r>
                <w:rPr>
                  <w:rFonts w:ascii="Arial" w:cs="Arial" w:eastAsia="Arial" w:hAnsi="Arial"/>
                  <w:sz w:val="18"/>
                  <w:szCs w:val="18"/>
                  <w:u w:val="single" w:color="auto"/>
                  <w:color w:val="0563C1"/>
                  <w:w w:val="98"/>
                </w:rPr>
                <w:t>10.3 to the Company’s Current Report on Form 8-K filed with the Securities and Exchange Commission on April 27, 2020).</w:t>
              </w:r>
            </w:hyperlink>
          </w:p>
        </w:tc>
        <w:tc>
          <w:tcPr>
            <w:tcW w:w="320" w:type="dxa"/>
            <w:vAlign w:val="bottom"/>
            <w:tcBorders>
              <w:top w:val="single" w:sz="8" w:color="CCEEFF"/>
              <w:bottom w:val="single" w:sz="8" w:color="9CC2E5"/>
            </w:tcBorders>
            <w:gridSpan w:val="3"/>
            <w:shd w:val="clear" w:color="auto" w:fill="CCEEFF"/>
          </w:tcPr>
          <w:p>
            <w:pPr>
              <w:spacing w:after="0"/>
              <w:rPr>
                <w:sz w:val="17"/>
                <w:szCs w:val="17"/>
                <w:color w:val="auto"/>
              </w:rPr>
            </w:pPr>
          </w:p>
        </w:tc>
      </w:tr>
      <w:tr>
        <w:trPr>
          <w:trHeight w:val="183"/>
        </w:trPr>
        <w:tc>
          <w:tcPr>
            <w:tcW w:w="900" w:type="dxa"/>
            <w:vAlign w:val="bottom"/>
            <w:tcBorders>
              <w:bottom w:val="single" w:sz="8" w:color="9CC2E5"/>
            </w:tcBorders>
            <w:gridSpan w:val="2"/>
          </w:tcPr>
          <w:p>
            <w:pPr>
              <w:ind w:left="20"/>
              <w:spacing w:after="0" w:line="182" w:lineRule="exact"/>
              <w:rPr>
                <w:rFonts w:ascii="Arial" w:cs="Arial" w:eastAsia="Arial" w:hAnsi="Arial"/>
                <w:sz w:val="18"/>
                <w:szCs w:val="18"/>
                <w:b w:val="1"/>
                <w:bCs w:val="1"/>
                <w:u w:val="single" w:color="auto"/>
                <w:color w:val="0563C1"/>
              </w:rPr>
            </w:pPr>
            <w:hyperlink w:anchor="page33">
              <w:r>
                <w:rPr>
                  <w:rFonts w:ascii="Arial" w:cs="Arial" w:eastAsia="Arial" w:hAnsi="Arial"/>
                  <w:sz w:val="18"/>
                  <w:szCs w:val="18"/>
                  <w:b w:val="1"/>
                  <w:bCs w:val="1"/>
                  <w:u w:val="single" w:color="auto"/>
                  <w:color w:val="0563C1"/>
                </w:rPr>
                <w:t>31.1**</w:t>
              </w:r>
            </w:hyperlink>
          </w:p>
        </w:tc>
        <w:tc>
          <w:tcPr>
            <w:tcW w:w="380" w:type="dxa"/>
            <w:vAlign w:val="bottom"/>
            <w:tcBorders>
              <w:bottom w:val="single" w:sz="8" w:color="9CC2E5"/>
            </w:tcBorders>
          </w:tcPr>
          <w:p>
            <w:pPr>
              <w:spacing w:after="0"/>
              <w:rPr>
                <w:sz w:val="15"/>
                <w:szCs w:val="15"/>
                <w:color w:val="auto"/>
              </w:rPr>
            </w:pPr>
          </w:p>
        </w:tc>
        <w:tc>
          <w:tcPr>
            <w:tcW w:w="9960" w:type="dxa"/>
            <w:vAlign w:val="bottom"/>
            <w:tcBorders>
              <w:bottom w:val="single" w:sz="8" w:color="9CC2E5"/>
            </w:tcBorders>
            <w:gridSpan w:val="8"/>
          </w:tcPr>
          <w:p>
            <w:pPr>
              <w:spacing w:after="0" w:line="182" w:lineRule="exact"/>
              <w:rPr>
                <w:rFonts w:ascii="Arial" w:cs="Arial" w:eastAsia="Arial" w:hAnsi="Arial"/>
                <w:sz w:val="18"/>
                <w:szCs w:val="18"/>
                <w:u w:val="single" w:color="auto"/>
                <w:color w:val="0563C1"/>
              </w:rPr>
            </w:pPr>
            <w:hyperlink w:anchor="page33">
              <w:r>
                <w:rPr>
                  <w:rFonts w:ascii="Arial" w:cs="Arial" w:eastAsia="Arial" w:hAnsi="Arial"/>
                  <w:sz w:val="18"/>
                  <w:szCs w:val="18"/>
                  <w:u w:val="single" w:color="auto"/>
                  <w:color w:val="0563C1"/>
                </w:rPr>
                <w:t>Certification of Chief Executive Officer Pursuant to Section 302 of the Sarbanes Oxley Act of 2002.</w:t>
              </w:r>
            </w:hyperlink>
          </w:p>
        </w:tc>
      </w:tr>
      <w:tr>
        <w:trPr>
          <w:trHeight w:val="183"/>
        </w:trPr>
        <w:tc>
          <w:tcPr>
            <w:tcW w:w="900" w:type="dxa"/>
            <w:vAlign w:val="bottom"/>
            <w:tcBorders>
              <w:bottom w:val="single" w:sz="8" w:color="9CC2E5"/>
            </w:tcBorders>
            <w:gridSpan w:val="2"/>
            <w:shd w:val="clear" w:color="auto" w:fill="CCEEFF"/>
          </w:tcPr>
          <w:p>
            <w:pPr>
              <w:ind w:left="20"/>
              <w:spacing w:after="0" w:line="182" w:lineRule="exact"/>
              <w:rPr>
                <w:rFonts w:ascii="Arial" w:cs="Arial" w:eastAsia="Arial" w:hAnsi="Arial"/>
                <w:sz w:val="18"/>
                <w:szCs w:val="18"/>
                <w:b w:val="1"/>
                <w:bCs w:val="1"/>
                <w:u w:val="single" w:color="auto"/>
                <w:color w:val="0563C1"/>
              </w:rPr>
            </w:pPr>
            <w:hyperlink w:anchor="page34">
              <w:r>
                <w:rPr>
                  <w:rFonts w:ascii="Arial" w:cs="Arial" w:eastAsia="Arial" w:hAnsi="Arial"/>
                  <w:sz w:val="18"/>
                  <w:szCs w:val="18"/>
                  <w:b w:val="1"/>
                  <w:bCs w:val="1"/>
                  <w:u w:val="single" w:color="auto"/>
                  <w:color w:val="0563C1"/>
                </w:rPr>
                <w:t>31.2**</w:t>
              </w:r>
            </w:hyperlink>
          </w:p>
        </w:tc>
        <w:tc>
          <w:tcPr>
            <w:tcW w:w="380" w:type="dxa"/>
            <w:vAlign w:val="bottom"/>
            <w:tcBorders>
              <w:bottom w:val="single" w:sz="8" w:color="9CC2E5"/>
            </w:tcBorders>
            <w:shd w:val="clear" w:color="auto" w:fill="CCEEFF"/>
          </w:tcPr>
          <w:p>
            <w:pPr>
              <w:spacing w:after="0"/>
              <w:rPr>
                <w:sz w:val="15"/>
                <w:szCs w:val="15"/>
                <w:color w:val="auto"/>
              </w:rPr>
            </w:pPr>
          </w:p>
        </w:tc>
        <w:tc>
          <w:tcPr>
            <w:tcW w:w="9960" w:type="dxa"/>
            <w:vAlign w:val="bottom"/>
            <w:tcBorders>
              <w:bottom w:val="single" w:sz="8" w:color="9CC2E5"/>
            </w:tcBorders>
            <w:gridSpan w:val="8"/>
            <w:shd w:val="clear" w:color="auto" w:fill="CCEEFF"/>
          </w:tcPr>
          <w:p>
            <w:pPr>
              <w:spacing w:after="0" w:line="182" w:lineRule="exact"/>
              <w:rPr>
                <w:rFonts w:ascii="Arial" w:cs="Arial" w:eastAsia="Arial" w:hAnsi="Arial"/>
                <w:sz w:val="18"/>
                <w:szCs w:val="18"/>
                <w:u w:val="single" w:color="auto"/>
                <w:color w:val="0563C1"/>
              </w:rPr>
            </w:pPr>
            <w:hyperlink w:anchor="page34">
              <w:r>
                <w:rPr>
                  <w:rFonts w:ascii="Arial" w:cs="Arial" w:eastAsia="Arial" w:hAnsi="Arial"/>
                  <w:sz w:val="18"/>
                  <w:szCs w:val="18"/>
                  <w:u w:val="single" w:color="auto"/>
                  <w:color w:val="0563C1"/>
                </w:rPr>
                <w:t>Certification of Chief Financial Officer Pursuant to Section 302 of the Sarbanes Oxley Act of 2002.</w:t>
              </w:r>
            </w:hyperlink>
          </w:p>
        </w:tc>
      </w:tr>
      <w:tr>
        <w:trPr>
          <w:trHeight w:val="183"/>
        </w:trPr>
        <w:tc>
          <w:tcPr>
            <w:tcW w:w="900" w:type="dxa"/>
            <w:vAlign w:val="bottom"/>
            <w:tcBorders>
              <w:bottom w:val="single" w:sz="8" w:color="9CC2E5"/>
            </w:tcBorders>
            <w:gridSpan w:val="2"/>
          </w:tcPr>
          <w:p>
            <w:pPr>
              <w:ind w:left="20"/>
              <w:spacing w:after="0" w:line="182" w:lineRule="exact"/>
              <w:rPr>
                <w:rFonts w:ascii="Arial" w:cs="Arial" w:eastAsia="Arial" w:hAnsi="Arial"/>
                <w:sz w:val="18"/>
                <w:szCs w:val="18"/>
                <w:b w:val="1"/>
                <w:bCs w:val="1"/>
                <w:u w:val="single" w:color="auto"/>
                <w:color w:val="0563C1"/>
              </w:rPr>
            </w:pPr>
            <w:hyperlink w:anchor="page35">
              <w:r>
                <w:rPr>
                  <w:rFonts w:ascii="Arial" w:cs="Arial" w:eastAsia="Arial" w:hAnsi="Arial"/>
                  <w:sz w:val="18"/>
                  <w:szCs w:val="18"/>
                  <w:b w:val="1"/>
                  <w:bCs w:val="1"/>
                  <w:u w:val="single" w:color="auto"/>
                  <w:color w:val="0563C1"/>
                </w:rPr>
                <w:t>32.1***</w:t>
              </w:r>
            </w:hyperlink>
          </w:p>
        </w:tc>
        <w:tc>
          <w:tcPr>
            <w:tcW w:w="380" w:type="dxa"/>
            <w:vAlign w:val="bottom"/>
            <w:tcBorders>
              <w:bottom w:val="single" w:sz="8" w:color="9CC2E5"/>
            </w:tcBorders>
          </w:tcPr>
          <w:p>
            <w:pPr>
              <w:spacing w:after="0"/>
              <w:rPr>
                <w:sz w:val="15"/>
                <w:szCs w:val="15"/>
                <w:color w:val="auto"/>
              </w:rPr>
            </w:pPr>
          </w:p>
        </w:tc>
        <w:tc>
          <w:tcPr>
            <w:tcW w:w="9960" w:type="dxa"/>
            <w:vAlign w:val="bottom"/>
            <w:tcBorders>
              <w:bottom w:val="single" w:sz="8" w:color="9CC2E5"/>
            </w:tcBorders>
            <w:gridSpan w:val="8"/>
          </w:tcPr>
          <w:p>
            <w:pPr>
              <w:spacing w:after="0" w:line="182" w:lineRule="exact"/>
              <w:rPr>
                <w:rFonts w:ascii="Arial" w:cs="Arial" w:eastAsia="Arial" w:hAnsi="Arial"/>
                <w:sz w:val="18"/>
                <w:szCs w:val="18"/>
                <w:u w:val="single" w:color="auto"/>
                <w:color w:val="0563C1"/>
              </w:rPr>
            </w:pPr>
            <w:hyperlink w:anchor="page35">
              <w:r>
                <w:rPr>
                  <w:rFonts w:ascii="Arial" w:cs="Arial" w:eastAsia="Arial" w:hAnsi="Arial"/>
                  <w:sz w:val="18"/>
                  <w:szCs w:val="18"/>
                  <w:u w:val="single" w:color="auto"/>
                  <w:color w:val="0563C1"/>
                </w:rPr>
                <w:t>Certifications of Chief Executive Officer Pursuant to Section 906 of the Sarbanes Oxley Act of 2002.</w:t>
              </w:r>
            </w:hyperlink>
          </w:p>
        </w:tc>
      </w:tr>
      <w:tr>
        <w:trPr>
          <w:trHeight w:val="183"/>
        </w:trPr>
        <w:tc>
          <w:tcPr>
            <w:tcW w:w="900" w:type="dxa"/>
            <w:vAlign w:val="bottom"/>
            <w:tcBorders>
              <w:bottom w:val="single" w:sz="8" w:color="9CC2E5"/>
            </w:tcBorders>
            <w:gridSpan w:val="2"/>
            <w:shd w:val="clear" w:color="auto" w:fill="CCEEFF"/>
          </w:tcPr>
          <w:p>
            <w:pPr>
              <w:ind w:left="20"/>
              <w:spacing w:after="0" w:line="182" w:lineRule="exact"/>
              <w:rPr>
                <w:rFonts w:ascii="Arial" w:cs="Arial" w:eastAsia="Arial" w:hAnsi="Arial"/>
                <w:sz w:val="18"/>
                <w:szCs w:val="18"/>
                <w:b w:val="1"/>
                <w:bCs w:val="1"/>
                <w:u w:val="single" w:color="auto"/>
                <w:color w:val="0563C1"/>
              </w:rPr>
            </w:pPr>
            <w:hyperlink w:anchor="page36">
              <w:r>
                <w:rPr>
                  <w:rFonts w:ascii="Arial" w:cs="Arial" w:eastAsia="Arial" w:hAnsi="Arial"/>
                  <w:sz w:val="18"/>
                  <w:szCs w:val="18"/>
                  <w:b w:val="1"/>
                  <w:bCs w:val="1"/>
                  <w:u w:val="single" w:color="auto"/>
                  <w:color w:val="0563C1"/>
                </w:rPr>
                <w:t>32.2***</w:t>
              </w:r>
            </w:hyperlink>
          </w:p>
        </w:tc>
        <w:tc>
          <w:tcPr>
            <w:tcW w:w="380" w:type="dxa"/>
            <w:vAlign w:val="bottom"/>
            <w:tcBorders>
              <w:bottom w:val="single" w:sz="8" w:color="9CC2E5"/>
            </w:tcBorders>
            <w:shd w:val="clear" w:color="auto" w:fill="CCEEFF"/>
          </w:tcPr>
          <w:p>
            <w:pPr>
              <w:spacing w:after="0"/>
              <w:rPr>
                <w:sz w:val="15"/>
                <w:szCs w:val="15"/>
                <w:color w:val="auto"/>
              </w:rPr>
            </w:pPr>
          </w:p>
        </w:tc>
        <w:tc>
          <w:tcPr>
            <w:tcW w:w="9960" w:type="dxa"/>
            <w:vAlign w:val="bottom"/>
            <w:tcBorders>
              <w:bottom w:val="single" w:sz="8" w:color="9CC2E5"/>
            </w:tcBorders>
            <w:gridSpan w:val="8"/>
            <w:shd w:val="clear" w:color="auto" w:fill="CCEEFF"/>
          </w:tcPr>
          <w:p>
            <w:pPr>
              <w:spacing w:after="0" w:line="182" w:lineRule="exact"/>
              <w:rPr>
                <w:rFonts w:ascii="Arial" w:cs="Arial" w:eastAsia="Arial" w:hAnsi="Arial"/>
                <w:sz w:val="18"/>
                <w:szCs w:val="18"/>
                <w:color w:val="0563C1"/>
              </w:rPr>
            </w:pPr>
            <w:hyperlink w:anchor="page36">
              <w:r>
                <w:rPr>
                  <w:rFonts w:ascii="Arial" w:cs="Arial" w:eastAsia="Arial" w:hAnsi="Arial"/>
                  <w:sz w:val="18"/>
                  <w:szCs w:val="18"/>
                  <w:u w:val="single" w:color="auto"/>
                  <w:color w:val="0563C1"/>
                </w:rPr>
                <w:t>Certifications of Chief Financial Officer Pursuant to Section 906 of the Sarbanes Oxley Act of 2002</w:t>
              </w:r>
              <w:r>
                <w:rPr>
                  <w:rFonts w:ascii="Arial" w:cs="Arial" w:eastAsia="Arial" w:hAnsi="Arial"/>
                  <w:sz w:val="18"/>
                  <w:szCs w:val="18"/>
                  <w:color w:val="0563C1"/>
                </w:rPr>
                <w:t>.</w:t>
              </w:r>
            </w:hyperlink>
          </w:p>
        </w:tc>
      </w:tr>
      <w:tr>
        <w:trPr>
          <w:trHeight w:val="155"/>
        </w:trPr>
        <w:tc>
          <w:tcPr>
            <w:tcW w:w="900" w:type="dxa"/>
            <w:vAlign w:val="bottom"/>
            <w:gridSpan w:val="2"/>
          </w:tcPr>
          <w:p>
            <w:pPr>
              <w:ind w:left="20"/>
              <w:spacing w:after="0" w:line="154" w:lineRule="exact"/>
              <w:rPr>
                <w:sz w:val="20"/>
                <w:szCs w:val="20"/>
                <w:color w:val="auto"/>
              </w:rPr>
            </w:pPr>
            <w:r>
              <w:rPr>
                <w:rFonts w:ascii="Arial" w:cs="Arial" w:eastAsia="Arial" w:hAnsi="Arial"/>
                <w:sz w:val="17"/>
                <w:szCs w:val="17"/>
                <w:b w:val="1"/>
                <w:bCs w:val="1"/>
                <w:color w:val="auto"/>
              </w:rPr>
              <w:t>101**</w:t>
            </w:r>
          </w:p>
        </w:tc>
        <w:tc>
          <w:tcPr>
            <w:tcW w:w="380" w:type="dxa"/>
            <w:vAlign w:val="bottom"/>
          </w:tcPr>
          <w:p>
            <w:pPr>
              <w:spacing w:after="0"/>
              <w:rPr>
                <w:sz w:val="13"/>
                <w:szCs w:val="13"/>
                <w:color w:val="auto"/>
              </w:rPr>
            </w:pPr>
          </w:p>
        </w:tc>
        <w:tc>
          <w:tcPr>
            <w:tcW w:w="9960" w:type="dxa"/>
            <w:vAlign w:val="bottom"/>
            <w:gridSpan w:val="8"/>
          </w:tcPr>
          <w:p>
            <w:pPr>
              <w:spacing w:after="0" w:line="154" w:lineRule="exact"/>
              <w:rPr>
                <w:sz w:val="20"/>
                <w:szCs w:val="20"/>
                <w:color w:val="auto"/>
              </w:rPr>
            </w:pPr>
            <w:r>
              <w:rPr>
                <w:rFonts w:ascii="Arial" w:cs="Arial" w:eastAsia="Arial" w:hAnsi="Arial"/>
                <w:sz w:val="17"/>
                <w:szCs w:val="17"/>
                <w:color w:val="auto"/>
                <w:w w:val="97"/>
              </w:rPr>
              <w:t>The following financial statements from the Quarterly Report on Form 10-Q for the quarter ended June 30, 2020 are formatted in iXBRL</w:t>
            </w:r>
          </w:p>
        </w:tc>
      </w:tr>
      <w:tr>
        <w:trPr>
          <w:trHeight w:val="189"/>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Arial" w:cs="Arial" w:eastAsia="Arial" w:hAnsi="Arial"/>
                <w:sz w:val="18"/>
                <w:szCs w:val="18"/>
                <w:color w:val="auto"/>
                <w:w w:val="95"/>
              </w:rPr>
              <w:t>(Inline eXtensible Business Reporting Language): (i) Consolidated Balance Sheets, (ii) Consolidated Statements of Operations, (iii)</w:t>
            </w:r>
          </w:p>
        </w:tc>
      </w:tr>
      <w:tr>
        <w:trPr>
          <w:trHeight w:val="189"/>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960" w:type="dxa"/>
            <w:vAlign w:val="bottom"/>
            <w:gridSpan w:val="8"/>
          </w:tcPr>
          <w:p>
            <w:pPr>
              <w:spacing w:after="0" w:line="189" w:lineRule="exact"/>
              <w:rPr>
                <w:sz w:val="20"/>
                <w:szCs w:val="20"/>
                <w:color w:val="auto"/>
              </w:rPr>
            </w:pPr>
            <w:r>
              <w:rPr>
                <w:rFonts w:ascii="Arial" w:cs="Arial" w:eastAsia="Arial" w:hAnsi="Arial"/>
                <w:sz w:val="18"/>
                <w:szCs w:val="18"/>
                <w:color w:val="auto"/>
                <w:w w:val="95"/>
              </w:rPr>
              <w:t>Consolidated Statements of Comprehensive Income (Loss), (iv) Consolidated Statements of Stockholders' Equity, (v) Consolidated</w:t>
            </w:r>
          </w:p>
        </w:tc>
      </w:tr>
      <w:tr>
        <w:trPr>
          <w:trHeight w:val="217"/>
        </w:trPr>
        <w:tc>
          <w:tcPr>
            <w:tcW w:w="20" w:type="dxa"/>
            <w:vAlign w:val="bottom"/>
            <w:tcBorders>
              <w:bottom w:val="single" w:sz="8" w:color="9CC2E5"/>
            </w:tcBorders>
          </w:tcPr>
          <w:p>
            <w:pPr>
              <w:spacing w:after="0"/>
              <w:rPr>
                <w:sz w:val="18"/>
                <w:szCs w:val="18"/>
                <w:color w:val="auto"/>
              </w:rPr>
            </w:pPr>
          </w:p>
        </w:tc>
        <w:tc>
          <w:tcPr>
            <w:tcW w:w="880" w:type="dxa"/>
            <w:vAlign w:val="bottom"/>
            <w:tcBorders>
              <w:bottom w:val="single" w:sz="8" w:color="9CC2E5"/>
            </w:tcBorders>
          </w:tcPr>
          <w:p>
            <w:pPr>
              <w:spacing w:after="0"/>
              <w:rPr>
                <w:sz w:val="18"/>
                <w:szCs w:val="18"/>
                <w:color w:val="auto"/>
              </w:rPr>
            </w:pPr>
          </w:p>
        </w:tc>
        <w:tc>
          <w:tcPr>
            <w:tcW w:w="380" w:type="dxa"/>
            <w:vAlign w:val="bottom"/>
            <w:tcBorders>
              <w:bottom w:val="single" w:sz="8" w:color="9CC2E5"/>
            </w:tcBorders>
          </w:tcPr>
          <w:p>
            <w:pPr>
              <w:spacing w:after="0"/>
              <w:rPr>
                <w:sz w:val="18"/>
                <w:szCs w:val="18"/>
                <w:color w:val="auto"/>
              </w:rPr>
            </w:pPr>
          </w:p>
        </w:tc>
        <w:tc>
          <w:tcPr>
            <w:tcW w:w="9960" w:type="dxa"/>
            <w:vAlign w:val="bottom"/>
            <w:tcBorders>
              <w:bottom w:val="single" w:sz="8" w:color="9CC2E5"/>
            </w:tcBorders>
            <w:gridSpan w:val="8"/>
          </w:tcPr>
          <w:p>
            <w:pPr>
              <w:spacing w:after="0"/>
              <w:rPr>
                <w:sz w:val="20"/>
                <w:szCs w:val="20"/>
                <w:color w:val="auto"/>
              </w:rPr>
            </w:pPr>
            <w:r>
              <w:rPr>
                <w:rFonts w:ascii="Arial" w:cs="Arial" w:eastAsia="Arial" w:hAnsi="Arial"/>
                <w:sz w:val="18"/>
                <w:szCs w:val="18"/>
                <w:color w:val="auto"/>
              </w:rPr>
              <w:t>Statements of Cash Flows, and (vi) the Notes to Consolidated Financial Statements.</w:t>
            </w:r>
          </w:p>
        </w:tc>
      </w:tr>
      <w:tr>
        <w:trPr>
          <w:trHeight w:val="183"/>
        </w:trPr>
        <w:tc>
          <w:tcPr>
            <w:tcW w:w="900" w:type="dxa"/>
            <w:vAlign w:val="bottom"/>
            <w:tcBorders>
              <w:bottom w:val="single" w:sz="8" w:color="9CC2E5"/>
            </w:tcBorders>
            <w:gridSpan w:val="2"/>
            <w:shd w:val="clear" w:color="auto" w:fill="CCEEFF"/>
          </w:tcPr>
          <w:p>
            <w:pPr>
              <w:ind w:left="20"/>
              <w:spacing w:after="0" w:line="182" w:lineRule="exact"/>
              <w:rPr>
                <w:sz w:val="20"/>
                <w:szCs w:val="20"/>
                <w:color w:val="auto"/>
              </w:rPr>
            </w:pPr>
            <w:r>
              <w:rPr>
                <w:rFonts w:ascii="Arial" w:cs="Arial" w:eastAsia="Arial" w:hAnsi="Arial"/>
                <w:sz w:val="18"/>
                <w:szCs w:val="18"/>
                <w:b w:val="1"/>
                <w:bCs w:val="1"/>
                <w:color w:val="auto"/>
              </w:rPr>
              <w:t>104**</w:t>
            </w:r>
          </w:p>
        </w:tc>
        <w:tc>
          <w:tcPr>
            <w:tcW w:w="380" w:type="dxa"/>
            <w:vAlign w:val="bottom"/>
            <w:tcBorders>
              <w:bottom w:val="single" w:sz="8" w:color="9CC2E5"/>
            </w:tcBorders>
            <w:shd w:val="clear" w:color="auto" w:fill="CCEEFF"/>
          </w:tcPr>
          <w:p>
            <w:pPr>
              <w:spacing w:after="0"/>
              <w:rPr>
                <w:sz w:val="15"/>
                <w:szCs w:val="15"/>
                <w:color w:val="auto"/>
              </w:rPr>
            </w:pPr>
          </w:p>
        </w:tc>
        <w:tc>
          <w:tcPr>
            <w:tcW w:w="9960" w:type="dxa"/>
            <w:vAlign w:val="bottom"/>
            <w:tcBorders>
              <w:bottom w:val="single" w:sz="8" w:color="9CC2E5"/>
            </w:tcBorders>
            <w:gridSpan w:val="8"/>
            <w:shd w:val="clear" w:color="auto" w:fill="CCEEFF"/>
          </w:tcPr>
          <w:p>
            <w:pPr>
              <w:spacing w:after="0" w:line="182" w:lineRule="exact"/>
              <w:rPr>
                <w:sz w:val="20"/>
                <w:szCs w:val="20"/>
                <w:color w:val="auto"/>
              </w:rPr>
            </w:pPr>
            <w:r>
              <w:rPr>
                <w:rFonts w:ascii="Arial" w:cs="Arial" w:eastAsia="Arial" w:hAnsi="Arial"/>
                <w:sz w:val="18"/>
                <w:szCs w:val="18"/>
                <w:color w:val="auto"/>
              </w:rPr>
              <w:t>Cover Page Interactive Data File (formatted as Inline XBRL and contained in Exhibit 101).</w:t>
            </w:r>
          </w:p>
        </w:tc>
      </w:tr>
    </w:tbl>
    <w:p>
      <w:pPr>
        <w:spacing w:after="0" w:line="161" w:lineRule="exact"/>
        <w:rPr>
          <w:sz w:val="20"/>
          <w:szCs w:val="20"/>
          <w:color w:val="auto"/>
        </w:rPr>
      </w:pPr>
    </w:p>
    <w:p>
      <w:pPr>
        <w:ind w:right="7560" w:firstLine="8"/>
        <w:spacing w:after="0" w:line="228" w:lineRule="auto"/>
        <w:tabs>
          <w:tab w:leader="none" w:pos="135" w:val="left"/>
        </w:tabs>
        <w:numPr>
          <w:ilvl w:val="0"/>
          <w:numId w:val="8"/>
        </w:numPr>
        <w:rPr>
          <w:rFonts w:ascii="Arial" w:cs="Arial" w:eastAsia="Arial" w:hAnsi="Arial"/>
          <w:sz w:val="18"/>
          <w:szCs w:val="18"/>
          <w:color w:val="auto"/>
        </w:rPr>
      </w:pPr>
      <w:r>
        <w:rPr>
          <w:rFonts w:ascii="Arial" w:cs="Arial" w:eastAsia="Arial" w:hAnsi="Arial"/>
          <w:sz w:val="18"/>
          <w:szCs w:val="18"/>
          <w:color w:val="auto"/>
        </w:rPr>
        <w:t>Management compensatory plan or arrangement. ** Filed herewith</w:t>
      </w:r>
    </w:p>
    <w:p>
      <w:pPr>
        <w:spacing w:after="0"/>
        <w:rPr>
          <w:rFonts w:ascii="Arial" w:cs="Arial" w:eastAsia="Arial" w:hAnsi="Arial"/>
          <w:sz w:val="18"/>
          <w:szCs w:val="18"/>
          <w:color w:val="auto"/>
        </w:rPr>
      </w:pPr>
      <w:r>
        <w:rPr>
          <w:rFonts w:ascii="Arial" w:cs="Arial" w:eastAsia="Arial" w:hAnsi="Arial"/>
          <w:sz w:val="18"/>
          <w:szCs w:val="18"/>
          <w:color w:val="auto"/>
        </w:rPr>
        <w:t>*** Furnished herewith</w:t>
      </w: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563C1"/>
        </w:rPr>
      </w:pPr>
      <w:hyperlink w:anchor="page2">
        <w:r>
          <w:rPr>
            <w:rFonts w:ascii="Arial" w:cs="Arial" w:eastAsia="Arial" w:hAnsi="Arial"/>
            <w:sz w:val="18"/>
            <w:szCs w:val="18"/>
            <w:b w:val="1"/>
            <w:bCs w:val="1"/>
            <w:u w:val="single" w:color="auto"/>
            <w:color w:val="0563C1"/>
          </w:rPr>
          <w:t>Table of Contents</w:t>
        </w:r>
      </w:hyperlink>
    </w:p>
    <w:p>
      <w:pPr>
        <w:spacing w:after="0" w:line="32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6300" w:type="dxa"/>
            <w:vAlign w:val="bottom"/>
            <w:gridSpan w:val="2"/>
          </w:tcPr>
          <w:p>
            <w:pPr>
              <w:ind w:left="2060"/>
              <w:spacing w:after="0"/>
              <w:rPr>
                <w:sz w:val="20"/>
                <w:szCs w:val="20"/>
                <w:color w:val="auto"/>
              </w:rPr>
            </w:pPr>
            <w:r>
              <w:rPr>
                <w:rFonts w:ascii="Arial" w:cs="Arial" w:eastAsia="Arial" w:hAnsi="Arial"/>
                <w:sz w:val="18"/>
                <w:szCs w:val="18"/>
                <w:b w:val="1"/>
                <w:bCs w:val="1"/>
                <w:color w:val="auto"/>
              </w:rPr>
              <w:t>TILE SHOP HOLDINGS, INC.</w:t>
            </w:r>
          </w:p>
        </w:tc>
      </w:tr>
      <w:tr>
        <w:trPr>
          <w:trHeight w:val="364"/>
        </w:trPr>
        <w:tc>
          <w:tcPr>
            <w:tcW w:w="3580" w:type="dxa"/>
            <w:vAlign w:val="bottom"/>
          </w:tcPr>
          <w:p>
            <w:pPr>
              <w:spacing w:after="0"/>
              <w:rPr>
                <w:sz w:val="20"/>
                <w:szCs w:val="20"/>
                <w:color w:val="auto"/>
              </w:rPr>
            </w:pPr>
            <w:r>
              <w:rPr>
                <w:rFonts w:ascii="Arial" w:cs="Arial" w:eastAsia="Arial" w:hAnsi="Arial"/>
                <w:sz w:val="18"/>
                <w:szCs w:val="18"/>
                <w:color w:val="auto"/>
              </w:rPr>
              <w:t>Dated: August 6, 2020</w:t>
            </w:r>
          </w:p>
        </w:tc>
        <w:tc>
          <w:tcPr>
            <w:tcW w:w="6300" w:type="dxa"/>
            <w:vAlign w:val="bottom"/>
            <w:gridSpan w:val="2"/>
          </w:tcPr>
          <w:p>
            <w:pPr>
              <w:ind w:left="2060"/>
              <w:spacing w:after="0"/>
              <w:rPr>
                <w:sz w:val="20"/>
                <w:szCs w:val="20"/>
                <w:color w:val="auto"/>
              </w:rPr>
            </w:pPr>
            <w:r>
              <w:rPr>
                <w:rFonts w:ascii="Arial" w:cs="Arial" w:eastAsia="Arial" w:hAnsi="Arial"/>
                <w:sz w:val="18"/>
                <w:szCs w:val="18"/>
                <w:color w:val="auto"/>
              </w:rPr>
              <w:t>By: /s/ CABELL H. LOLMAUGH</w:t>
            </w:r>
          </w:p>
        </w:tc>
      </w:tr>
      <w:tr>
        <w:trPr>
          <w:trHeight w:val="155"/>
        </w:trPr>
        <w:tc>
          <w:tcPr>
            <w:tcW w:w="3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Cabell H. Lolmaugh</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378"/>
        </w:trPr>
        <w:tc>
          <w:tcPr>
            <w:tcW w:w="3580" w:type="dxa"/>
            <w:vAlign w:val="bottom"/>
          </w:tcPr>
          <w:p>
            <w:pPr>
              <w:spacing w:after="0"/>
              <w:rPr>
                <w:sz w:val="20"/>
                <w:szCs w:val="20"/>
                <w:color w:val="auto"/>
              </w:rPr>
            </w:pPr>
            <w:r>
              <w:rPr>
                <w:rFonts w:ascii="Arial" w:cs="Arial" w:eastAsia="Arial" w:hAnsi="Arial"/>
                <w:sz w:val="18"/>
                <w:szCs w:val="18"/>
                <w:color w:val="auto"/>
              </w:rPr>
              <w:t>Dated: August 6, 2020</w:t>
            </w:r>
          </w:p>
        </w:tc>
        <w:tc>
          <w:tcPr>
            <w:tcW w:w="6300" w:type="dxa"/>
            <w:vAlign w:val="bottom"/>
            <w:gridSpan w:val="2"/>
          </w:tcPr>
          <w:p>
            <w:pPr>
              <w:ind w:left="2060"/>
              <w:spacing w:after="0"/>
              <w:rPr>
                <w:sz w:val="20"/>
                <w:szCs w:val="20"/>
                <w:color w:val="auto"/>
              </w:rPr>
            </w:pPr>
            <w:r>
              <w:rPr>
                <w:rFonts w:ascii="Arial" w:cs="Arial" w:eastAsia="Arial" w:hAnsi="Arial"/>
                <w:sz w:val="18"/>
                <w:szCs w:val="18"/>
                <w:color w:val="auto"/>
              </w:rPr>
              <w:t>By: /s/ NANCY DIMATTIA</w:t>
            </w:r>
          </w:p>
        </w:tc>
      </w:tr>
      <w:tr>
        <w:trPr>
          <w:trHeight w:val="155"/>
        </w:trPr>
        <w:tc>
          <w:tcPr>
            <w:tcW w:w="3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920" w:type="dxa"/>
            <w:vAlign w:val="bottom"/>
            <w:tcBorders>
              <w:top w:val="single" w:sz="8" w:color="auto"/>
            </w:tcBorders>
          </w:tcPr>
          <w:p>
            <w:pPr>
              <w:spacing w:after="0" w:line="154" w:lineRule="exact"/>
              <w:rPr>
                <w:sz w:val="20"/>
                <w:szCs w:val="20"/>
                <w:color w:val="auto"/>
              </w:rPr>
            </w:pPr>
            <w:r>
              <w:rPr>
                <w:rFonts w:ascii="Arial" w:cs="Arial" w:eastAsia="Arial" w:hAnsi="Arial"/>
                <w:sz w:val="17"/>
                <w:szCs w:val="17"/>
                <w:color w:val="auto"/>
              </w:rPr>
              <w:t>Nancy DiMattia</w:t>
            </w:r>
          </w:p>
        </w:tc>
      </w:tr>
      <w:tr>
        <w:trPr>
          <w:trHeight w:val="230"/>
        </w:trPr>
        <w:tc>
          <w:tcPr>
            <w:tcW w:w="358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39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527"/>
        </w:trPr>
        <w:tc>
          <w:tcPr>
            <w:tcW w:w="3580" w:type="dxa"/>
            <w:vAlign w:val="bottom"/>
          </w:tcPr>
          <w:p>
            <w:pPr>
              <w:spacing w:after="0"/>
              <w:rPr>
                <w:sz w:val="24"/>
                <w:szCs w:val="24"/>
                <w:color w:val="auto"/>
              </w:rPr>
            </w:pPr>
          </w:p>
        </w:tc>
        <w:tc>
          <w:tcPr>
            <w:tcW w:w="2380" w:type="dxa"/>
            <w:vAlign w:val="bottom"/>
          </w:tcPr>
          <w:p>
            <w:pPr>
              <w:jc w:val="right"/>
              <w:ind w:right="170"/>
              <w:spacing w:after="0"/>
              <w:rPr>
                <w:sz w:val="20"/>
                <w:szCs w:val="20"/>
                <w:color w:val="auto"/>
              </w:rPr>
            </w:pPr>
            <w:r>
              <w:rPr>
                <w:rFonts w:ascii="Arial" w:cs="Arial" w:eastAsia="Arial" w:hAnsi="Arial"/>
                <w:sz w:val="18"/>
                <w:szCs w:val="18"/>
                <w:color w:val="auto"/>
              </w:rPr>
              <w:t>32</w:t>
            </w:r>
          </w:p>
        </w:tc>
        <w:tc>
          <w:tcPr>
            <w:tcW w:w="3920" w:type="dxa"/>
            <w:vAlign w:val="bottom"/>
          </w:tcPr>
          <w:p>
            <w:pPr>
              <w:spacing w:after="0"/>
              <w:rPr>
                <w:sz w:val="24"/>
                <w:szCs w:val="24"/>
                <w:color w:val="auto"/>
              </w:rPr>
            </w:pPr>
          </w:p>
        </w:tc>
      </w:tr>
    </w:tbl>
    <w:p>
      <w:pPr>
        <w:sectPr>
          <w:pgSz w:w="11900" w:h="16838" w:orient="portrait"/>
          <w:cols w:equalWidth="0" w:num="1">
            <w:col w:w="11200"/>
          </w:cols>
          <w:pgMar w:left="320" w:top="108" w:right="379" w:bottom="1440" w:gutter="0" w:footer="0" w:header="0"/>
        </w:sectPr>
      </w:pPr>
    </w:p>
    <w:bookmarkStart w:id="32" w:name="page33"/>
    <w:bookmarkEnd w:id="32"/>
    <w:p>
      <w:pPr>
        <w:jc w:val="right"/>
        <w:ind w:right="199"/>
        <w:spacing w:after="0"/>
        <w:rPr>
          <w:sz w:val="20"/>
          <w:szCs w:val="20"/>
          <w:color w:val="auto"/>
        </w:rPr>
      </w:pPr>
      <w:r>
        <w:rPr>
          <w:rFonts w:ascii="Arial" w:cs="Arial" w:eastAsia="Arial" w:hAnsi="Arial"/>
          <w:sz w:val="18"/>
          <w:szCs w:val="18"/>
          <w:b w:val="1"/>
          <w:bCs w:val="1"/>
          <w:color w:val="auto"/>
        </w:rPr>
        <w:t>Exhibit 31.1</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Cabell H. Lolmaugh, certify that:</w:t>
      </w:r>
    </w:p>
    <w:p>
      <w:pPr>
        <w:spacing w:after="0" w:line="144" w:lineRule="exact"/>
        <w:rPr>
          <w:sz w:val="20"/>
          <w:szCs w:val="20"/>
          <w:color w:val="auto"/>
        </w:rPr>
      </w:pPr>
    </w:p>
    <w:p>
      <w:pPr>
        <w:ind w:left="500" w:hanging="316"/>
        <w:spacing w:after="0"/>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40" w:right="219" w:hanging="332"/>
        <w:spacing w:after="0" w:line="219" w:lineRule="auto"/>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40" w:right="199" w:hanging="332"/>
        <w:spacing w:after="0" w:line="219" w:lineRule="auto"/>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379" w:hanging="332"/>
        <w:spacing w:after="0" w:line="224" w:lineRule="auto"/>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40" w:right="299" w:hanging="332"/>
        <w:spacing w:after="0" w:line="219" w:lineRule="auto"/>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40" w:right="479" w:hanging="332"/>
        <w:spacing w:after="0" w:line="224" w:lineRule="auto"/>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279" w:hanging="332"/>
        <w:spacing w:after="0" w:line="235" w:lineRule="auto"/>
        <w:tabs>
          <w:tab w:leader="none" w:pos="84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 August 6, 2020</w:t>
      </w:r>
    </w:p>
    <w:p>
      <w:pPr>
        <w:ind w:left="4780"/>
        <w:spacing w:after="0" w:line="219" w:lineRule="auto"/>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wp:posOffset>
            </wp:positionV>
            <wp:extent cx="192024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Cabell H. Lolmaugh</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347345</wp:posOffset>
            </wp:positionV>
            <wp:extent cx="550354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3" w:name="page34"/>
    <w:bookmarkEnd w:id="33"/>
    <w:p>
      <w:pPr>
        <w:jc w:val="right"/>
        <w:ind w:right="199"/>
        <w:spacing w:after="0"/>
        <w:rPr>
          <w:sz w:val="20"/>
          <w:szCs w:val="20"/>
          <w:color w:val="auto"/>
        </w:rPr>
      </w:pPr>
      <w:r>
        <w:rPr>
          <w:rFonts w:ascii="Arial" w:cs="Arial" w:eastAsia="Arial" w:hAnsi="Arial"/>
          <w:sz w:val="18"/>
          <w:szCs w:val="18"/>
          <w:b w:val="1"/>
          <w:bCs w:val="1"/>
          <w:color w:val="auto"/>
        </w:rPr>
        <w:t>Exhibit 31.2</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CERTIFICATIONS</w:t>
      </w:r>
    </w:p>
    <w:p>
      <w:pPr>
        <w:spacing w:after="0" w:line="14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 Nancy DiMattia, certify that:</w:t>
      </w:r>
    </w:p>
    <w:p>
      <w:pPr>
        <w:spacing w:after="0" w:line="144" w:lineRule="exact"/>
        <w:rPr>
          <w:sz w:val="20"/>
          <w:szCs w:val="20"/>
          <w:color w:val="auto"/>
        </w:rPr>
      </w:pPr>
    </w:p>
    <w:p>
      <w:pPr>
        <w:ind w:left="500" w:hanging="316"/>
        <w:spacing w:after="0"/>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Tile Shop Holdings, Inc.;</w:t>
      </w:r>
    </w:p>
    <w:p>
      <w:pPr>
        <w:spacing w:after="0" w:line="144" w:lineRule="exact"/>
        <w:rPr>
          <w:rFonts w:ascii="Arial" w:cs="Arial" w:eastAsia="Arial" w:hAnsi="Arial"/>
          <w:sz w:val="18"/>
          <w:szCs w:val="18"/>
          <w:color w:val="auto"/>
        </w:rPr>
      </w:pPr>
    </w:p>
    <w:p>
      <w:pPr>
        <w:ind w:left="500" w:right="499" w:hanging="316"/>
        <w:spacing w:after="0" w:line="22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500" w:right="379" w:hanging="316"/>
        <w:spacing w:after="0" w:line="22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500" w:right="399" w:hanging="316"/>
        <w:spacing w:after="0" w:line="259" w:lineRule="auto"/>
        <w:tabs>
          <w:tab w:leader="none" w:pos="5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13a- 15(f) and 15d-15(f)) for the registrant and have:</w:t>
      </w:r>
    </w:p>
    <w:p>
      <w:pPr>
        <w:spacing w:after="0" w:line="106" w:lineRule="exact"/>
        <w:rPr>
          <w:rFonts w:ascii="Arial" w:cs="Arial" w:eastAsia="Arial" w:hAnsi="Arial"/>
          <w:sz w:val="16"/>
          <w:szCs w:val="16"/>
          <w:color w:val="auto"/>
        </w:rPr>
      </w:pPr>
    </w:p>
    <w:p>
      <w:pPr>
        <w:ind w:left="840" w:right="219" w:hanging="332"/>
        <w:spacing w:after="0" w:line="219"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840" w:right="199" w:hanging="332"/>
        <w:spacing w:after="0" w:line="219"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jc w:val="both"/>
        <w:ind w:left="840" w:right="379" w:hanging="332"/>
        <w:spacing w:after="0" w:line="224"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840" w:right="299" w:hanging="332"/>
        <w:spacing w:after="0" w:line="219"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500" w:right="559" w:hanging="316"/>
        <w:spacing w:after="0" w:line="224"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840" w:right="479" w:hanging="332"/>
        <w:spacing w:after="0" w:line="224"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840" w:right="279" w:hanging="332"/>
        <w:spacing w:after="0" w:line="235" w:lineRule="auto"/>
        <w:tabs>
          <w:tab w:leader="none" w:pos="8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Dated: August 6, 2020</w:t>
      </w:r>
    </w:p>
    <w:p>
      <w:pPr>
        <w:ind w:left="4780"/>
        <w:spacing w:after="0" w:line="219" w:lineRule="auto"/>
        <w:rPr>
          <w:sz w:val="20"/>
          <w:szCs w:val="20"/>
          <w:color w:val="auto"/>
        </w:rPr>
      </w:pPr>
      <w:r>
        <w:rPr>
          <w:rFonts w:ascii="Arial" w:cs="Arial" w:eastAsia="Arial" w:hAnsi="Arial"/>
          <w:sz w:val="18"/>
          <w:szCs w:val="18"/>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3031490</wp:posOffset>
            </wp:positionH>
            <wp:positionV relativeFrom="paragraph">
              <wp:posOffset>-635</wp:posOffset>
            </wp:positionV>
            <wp:extent cx="192024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1920240" cy="8890"/>
                    </a:xfrm>
                    <a:prstGeom prst="rect">
                      <a:avLst/>
                    </a:prstGeom>
                    <a:noFill/>
                  </pic:spPr>
                </pic:pic>
              </a:graphicData>
            </a:graphic>
          </wp:anchor>
        </w:drawing>
      </w:r>
    </w:p>
    <w:p>
      <w:pPr>
        <w:ind w:left="4960"/>
        <w:spacing w:after="0" w:line="203" w:lineRule="auto"/>
        <w:rPr>
          <w:sz w:val="20"/>
          <w:szCs w:val="20"/>
          <w:color w:val="auto"/>
        </w:rPr>
      </w:pPr>
      <w:r>
        <w:rPr>
          <w:rFonts w:ascii="Arial" w:cs="Arial" w:eastAsia="Arial" w:hAnsi="Arial"/>
          <w:sz w:val="18"/>
          <w:szCs w:val="18"/>
          <w:color w:val="auto"/>
        </w:rPr>
        <w:t>Nancy DiMattia</w:t>
      </w:r>
    </w:p>
    <w:p>
      <w:pPr>
        <w:spacing w:after="0" w:line="1"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347345</wp:posOffset>
            </wp:positionV>
            <wp:extent cx="550354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8">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4" w:name="page35"/>
    <w:bookmarkEnd w:id="34"/>
    <w:p>
      <w:pPr>
        <w:jc w:val="right"/>
        <w:ind w:right="199"/>
        <w:spacing w:after="0"/>
        <w:rPr>
          <w:sz w:val="20"/>
          <w:szCs w:val="20"/>
          <w:color w:val="auto"/>
        </w:rPr>
      </w:pPr>
      <w:r>
        <w:rPr>
          <w:rFonts w:ascii="Arial" w:cs="Arial" w:eastAsia="Arial" w:hAnsi="Arial"/>
          <w:sz w:val="18"/>
          <w:szCs w:val="18"/>
          <w:b w:val="1"/>
          <w:bCs w:val="1"/>
          <w:color w:val="auto"/>
        </w:rPr>
        <w:t>Exhibit 32.1</w:t>
      </w:r>
    </w:p>
    <w:p>
      <w:pPr>
        <w:spacing w:after="0" w:line="148" w:lineRule="exact"/>
        <w:rPr>
          <w:sz w:val="20"/>
          <w:szCs w:val="20"/>
          <w:color w:val="auto"/>
        </w:rPr>
      </w:pPr>
    </w:p>
    <w:p>
      <w:pPr>
        <w:jc w:val="center"/>
        <w:ind w:left="1640" w:right="2000"/>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2" w:lineRule="exact"/>
        <w:rPr>
          <w:sz w:val="20"/>
          <w:szCs w:val="20"/>
          <w:color w:val="auto"/>
        </w:rPr>
      </w:pPr>
    </w:p>
    <w:p>
      <w:pPr>
        <w:ind w:left="180" w:right="1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2020 as filed with the Securities and Exchange Commission on the date hereof (the “Report”), I, Cabell H. Lolmaugh, Chief Executive Officer of the Company, certify, pursuant to 18 U.S.C. Section 1350, as adopted pursuant to Section 906 of the Sarbanes-Oxley Act of 2002, that:</w:t>
      </w:r>
    </w:p>
    <w:p>
      <w:pPr>
        <w:spacing w:after="0" w:line="122" w:lineRule="exact"/>
        <w:rPr>
          <w:sz w:val="20"/>
          <w:szCs w:val="20"/>
          <w:color w:val="auto"/>
        </w:rPr>
      </w:pPr>
    </w:p>
    <w:p>
      <w:pPr>
        <w:ind w:left="840" w:right="379" w:hanging="332"/>
        <w:spacing w:after="0" w:line="235"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479" w:hanging="332"/>
        <w:spacing w:after="0" w:line="235" w:lineRule="auto"/>
        <w:tabs>
          <w:tab w:leader="none" w:pos="8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CABELL H. LOLMAUGH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wp:posOffset>
            </wp:positionV>
            <wp:extent cx="19291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9">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ind w:left="380"/>
        <w:spacing w:after="0" w:line="203" w:lineRule="auto"/>
        <w:rPr>
          <w:sz w:val="20"/>
          <w:szCs w:val="20"/>
          <w:color w:val="auto"/>
        </w:rPr>
      </w:pPr>
      <w:r>
        <w:rPr>
          <w:rFonts w:ascii="Arial" w:cs="Arial" w:eastAsia="Arial" w:hAnsi="Arial"/>
          <w:sz w:val="18"/>
          <w:szCs w:val="18"/>
          <w:color w:val="auto"/>
        </w:rPr>
        <w:t>Cabell H. Lolmaugh</w:t>
      </w:r>
    </w:p>
    <w:p>
      <w:pPr>
        <w:ind w:left="380"/>
        <w:spacing w:after="0"/>
        <w:rPr>
          <w:sz w:val="20"/>
          <w:szCs w:val="20"/>
          <w:color w:val="auto"/>
        </w:rPr>
      </w:pPr>
      <w:r>
        <w:rPr>
          <w:rFonts w:ascii="Arial" w:cs="Arial" w:eastAsia="Arial" w:hAnsi="Arial"/>
          <w:sz w:val="18"/>
          <w:szCs w:val="18"/>
          <w:color w:val="auto"/>
        </w:rPr>
        <w:t>Chief Executive Officer</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August 6, 2020</w:t>
      </w:r>
    </w:p>
    <w:p>
      <w:pPr>
        <w:spacing w:after="0" w:line="320" w:lineRule="exact"/>
        <w:rPr>
          <w:sz w:val="20"/>
          <w:szCs w:val="20"/>
          <w:color w:val="auto"/>
        </w:rPr>
      </w:pPr>
    </w:p>
    <w:p>
      <w:pPr>
        <w:ind w:left="180" w:right="63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207645</wp:posOffset>
            </wp:positionV>
            <wp:extent cx="550354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0">
                      <a:extLst>
                        <a:ext uri="{28A0092B-C50C-407E-A947-70E740481C1C}"/>
                      </a:extLst>
                    </a:blip>
                    <a:srcRect/>
                    <a:stretch>
                      <a:fillRect/>
                    </a:stretch>
                  </pic:blipFill>
                  <pic:spPr bwMode="auto">
                    <a:xfrm>
                      <a:off x="0" y="0"/>
                      <a:ext cx="550354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sectPr>
      </w:pPr>
    </w:p>
    <w:bookmarkStart w:id="35" w:name="page36"/>
    <w:bookmarkEnd w:id="35"/>
    <w:p>
      <w:pPr>
        <w:jc w:val="right"/>
        <w:ind w:right="199"/>
        <w:spacing w:after="0"/>
        <w:rPr>
          <w:sz w:val="20"/>
          <w:szCs w:val="20"/>
          <w:color w:val="auto"/>
        </w:rPr>
      </w:pPr>
      <w:r>
        <w:rPr>
          <w:rFonts w:ascii="Arial" w:cs="Arial" w:eastAsia="Arial" w:hAnsi="Arial"/>
          <w:sz w:val="18"/>
          <w:szCs w:val="18"/>
          <w:b w:val="1"/>
          <w:bCs w:val="1"/>
          <w:color w:val="auto"/>
        </w:rPr>
        <w:t>Exhibit 32.2</w:t>
      </w:r>
    </w:p>
    <w:p>
      <w:pPr>
        <w:spacing w:after="0" w:line="148" w:lineRule="exact"/>
        <w:rPr>
          <w:sz w:val="20"/>
          <w:szCs w:val="20"/>
          <w:color w:val="auto"/>
        </w:rPr>
      </w:pPr>
    </w:p>
    <w:p>
      <w:pPr>
        <w:jc w:val="center"/>
        <w:ind w:left="1640" w:right="2000"/>
        <w:spacing w:after="0" w:line="224" w:lineRule="auto"/>
        <w:rPr>
          <w:sz w:val="20"/>
          <w:szCs w:val="20"/>
          <w:color w:val="auto"/>
        </w:rPr>
      </w:pPr>
      <w:r>
        <w:rPr>
          <w:rFonts w:ascii="Arial" w:cs="Arial" w:eastAsia="Arial" w:hAnsi="Arial"/>
          <w:sz w:val="18"/>
          <w:szCs w:val="18"/>
          <w:color w:val="auto"/>
        </w:rPr>
        <w:t>CERTIFICATION PURSUANT TO 18 U.S.C. SECTION 1350, AS ADOPTED PURSUANT TO SECTION 906 OF THE SARBANES-OXLEY ACT OF 2002</w:t>
      </w:r>
    </w:p>
    <w:p>
      <w:pPr>
        <w:spacing w:after="0" w:line="122" w:lineRule="exact"/>
        <w:rPr>
          <w:sz w:val="20"/>
          <w:szCs w:val="20"/>
          <w:color w:val="auto"/>
        </w:rPr>
      </w:pPr>
    </w:p>
    <w:p>
      <w:pPr>
        <w:ind w:left="180" w:right="199"/>
        <w:spacing w:after="0" w:line="219" w:lineRule="auto"/>
        <w:rPr>
          <w:sz w:val="20"/>
          <w:szCs w:val="20"/>
          <w:color w:val="auto"/>
        </w:rPr>
      </w:pPr>
      <w:r>
        <w:rPr>
          <w:rFonts w:ascii="Arial" w:cs="Arial" w:eastAsia="Arial" w:hAnsi="Arial"/>
          <w:sz w:val="18"/>
          <w:szCs w:val="18"/>
          <w:color w:val="auto"/>
        </w:rPr>
        <w:t>In connection with the Quarterly Report of Tile Shop Holdings, Inc. (the “Company”) on Form 10-Q for the period ending June 30, 2020 as filed with the Securities and Exchange Commission on the date hereof (the “Report”), I, Nancy DiMattia, Chief Financial Officer of the Company, certify, pursuant to 18 U.S.C. Section 1350, as adopted pursuant to Section 906 of the Sarbanes-Oxley Act of 2002, that:</w:t>
      </w:r>
    </w:p>
    <w:p>
      <w:pPr>
        <w:spacing w:after="0" w:line="122" w:lineRule="exact"/>
        <w:rPr>
          <w:sz w:val="20"/>
          <w:szCs w:val="20"/>
          <w:color w:val="auto"/>
        </w:rPr>
      </w:pPr>
    </w:p>
    <w:p>
      <w:pPr>
        <w:ind w:left="840" w:right="379" w:hanging="332"/>
        <w:spacing w:after="0" w:line="235"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21" w:lineRule="exact"/>
        <w:rPr>
          <w:rFonts w:ascii="Arial" w:cs="Arial" w:eastAsia="Arial" w:hAnsi="Arial"/>
          <w:sz w:val="18"/>
          <w:szCs w:val="18"/>
          <w:color w:val="auto"/>
        </w:rPr>
      </w:pPr>
    </w:p>
    <w:p>
      <w:pPr>
        <w:ind w:left="840" w:right="479" w:hanging="332"/>
        <w:spacing w:after="0" w:line="235" w:lineRule="auto"/>
        <w:tabs>
          <w:tab w:leader="none" w:pos="8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0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 NANCY DIMATTIA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-635</wp:posOffset>
            </wp:positionV>
            <wp:extent cx="192913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1">
                      <a:extLst>
                        <a:ext uri="{28A0092B-C50C-407E-A947-70E740481C1C}"/>
                      </a:extLst>
                    </a:blip>
                    <a:srcRect/>
                    <a:stretch>
                      <a:fillRect/>
                    </a:stretch>
                  </pic:blipFill>
                  <pic:spPr bwMode="auto">
                    <a:xfrm>
                      <a:off x="0" y="0"/>
                      <a:ext cx="1929130" cy="8255"/>
                    </a:xfrm>
                    <a:prstGeom prst="rect">
                      <a:avLst/>
                    </a:prstGeom>
                    <a:noFill/>
                  </pic:spPr>
                </pic:pic>
              </a:graphicData>
            </a:graphic>
          </wp:anchor>
        </w:drawing>
      </w:r>
    </w:p>
    <w:p>
      <w:pPr>
        <w:ind w:left="380"/>
        <w:spacing w:after="0" w:line="203" w:lineRule="auto"/>
        <w:rPr>
          <w:sz w:val="20"/>
          <w:szCs w:val="20"/>
          <w:color w:val="auto"/>
        </w:rPr>
      </w:pPr>
      <w:r>
        <w:rPr>
          <w:rFonts w:ascii="Arial" w:cs="Arial" w:eastAsia="Arial" w:hAnsi="Arial"/>
          <w:sz w:val="18"/>
          <w:szCs w:val="18"/>
          <w:color w:val="auto"/>
        </w:rPr>
        <w:t>Nancy DiMattia</w:t>
      </w:r>
    </w:p>
    <w:p>
      <w:pPr>
        <w:ind w:left="380"/>
        <w:spacing w:after="0"/>
        <w:rPr>
          <w:sz w:val="20"/>
          <w:szCs w:val="20"/>
          <w:color w:val="auto"/>
        </w:rPr>
      </w:pPr>
      <w:r>
        <w:rPr>
          <w:rFonts w:ascii="Arial" w:cs="Arial" w:eastAsia="Arial" w:hAnsi="Arial"/>
          <w:sz w:val="18"/>
          <w:szCs w:val="18"/>
          <w:color w:val="auto"/>
        </w:rPr>
        <w:t>Chief Financial Officer</w:t>
      </w:r>
    </w:p>
    <w:p>
      <w:pPr>
        <w:spacing w:after="0" w:line="128"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August 6, 2020</w:t>
      </w:r>
    </w:p>
    <w:p>
      <w:pPr>
        <w:spacing w:after="0" w:line="320" w:lineRule="exact"/>
        <w:rPr>
          <w:sz w:val="20"/>
          <w:szCs w:val="20"/>
          <w:color w:val="auto"/>
        </w:rPr>
      </w:pPr>
    </w:p>
    <w:p>
      <w:pPr>
        <w:ind w:left="180" w:right="639"/>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116840</wp:posOffset>
            </wp:positionH>
            <wp:positionV relativeFrom="paragraph">
              <wp:posOffset>319405</wp:posOffset>
            </wp:positionV>
            <wp:extent cx="550354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2">
                      <a:extLst>
                        <a:ext uri="{28A0092B-C50C-407E-A947-70E740481C1C}"/>
                      </a:extLst>
                    </a:blip>
                    <a:srcRect/>
                    <a:stretch>
                      <a:fillRect/>
                    </a:stretch>
                  </pic:blipFill>
                  <pic:spPr bwMode="auto">
                    <a:xfrm>
                      <a:off x="0" y="0"/>
                      <a:ext cx="5503545" cy="25400"/>
                    </a:xfrm>
                    <a:prstGeom prst="rect">
                      <a:avLst/>
                    </a:prstGeom>
                    <a:noFill/>
                  </pic:spPr>
                </pic:pic>
              </a:graphicData>
            </a:graphic>
          </wp:anchor>
        </w:drawing>
      </w:r>
    </w:p>
    <w:sectPr>
      <w:pgSz w:w="11900" w:h="16838" w:orient="portrait"/>
      <w:cols w:equalWidth="0" w:num="1">
        <w:col w:w="9019"/>
      </w:cols>
      <w:pgMar w:left="1440" w:top="10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decimal"/>
      <w:start w:val="1"/>
    </w:lvl>
    <w:lvl w:ilvl="1">
      <w:lvlJc w:val="left"/>
      <w:lvlText w:val="(%2)"/>
      <w:numFmt w:val="decimal"/>
      <w:start w:val="1"/>
    </w:lvl>
  </w:abstractNum>
  <w:abstractNum w:abstractNumId="4">
    <w:nsid w:val="515F007C"/>
    <w:multiLevelType w:val="hybridMultilevel"/>
    <w:lvl w:ilvl="0">
      <w:lvlJc w:val="left"/>
      <w:lvlText w:val="(%1)"/>
      <w:numFmt w:val="decimal"/>
      <w:start w:val="2"/>
    </w:lvl>
    <w:lvl w:ilvl="1">
      <w:lvlJc w:val="left"/>
      <w:lvlText w:val="%2"/>
      <w:numFmt w:val="decimal"/>
      <w:start w:val="1"/>
    </w:lvl>
  </w:abstractNum>
  <w:abstractNum w:abstractNumId="5">
    <w:nsid w:val="5BD062C2"/>
    <w:multiLevelType w:val="hybridMultilevel"/>
    <w:lvl w:ilvl="0">
      <w:lvlJc w:val="left"/>
      <w:lvlText w:val="%1)"/>
      <w:numFmt w:val="upperLetter"/>
      <w:start w:val="11"/>
    </w:lvl>
  </w:abstractNum>
  <w:abstractNum w:abstractNumId="6">
    <w:nsid w:val="12200854"/>
    <w:multiLevelType w:val="hybridMultilevel"/>
    <w:lvl w:ilvl="0">
      <w:lvlJc w:val="left"/>
      <w:lvlText w:val="(%1)"/>
      <w:numFmt w:val="decimal"/>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58" Type="http://schemas.openxmlformats.org/officeDocument/2006/relationships/image" Target="media/image43.png"/><Relationship Id="rId59" Type="http://schemas.openxmlformats.org/officeDocument/2006/relationships/image" Target="media/image44.png"/><Relationship Id="rId60" Type="http://schemas.openxmlformats.org/officeDocument/2006/relationships/image" Target="media/image45.png"/><Relationship Id="rId61" Type="http://schemas.openxmlformats.org/officeDocument/2006/relationships/image" Target="media/image46.png"/><Relationship Id="rId62" Type="http://schemas.openxmlformats.org/officeDocument/2006/relationships/image" Target="media/image47.png"/><Relationship Id="rId46" Type="http://schemas.openxmlformats.org/officeDocument/2006/relationships/hyperlink" Target="http://www.sec.gov/Archives/edgar/data/1552800/000114420412037509/v316486_ex3-1.htm" TargetMode="External"/><Relationship Id="rId47" Type="http://schemas.openxmlformats.org/officeDocument/2006/relationships/hyperlink" Target="http://www.sec.gov/Archives/edgar/data/1552800/000114420412037509/v316486_ex3-2.htm" TargetMode="External"/><Relationship Id="rId48" Type="http://schemas.openxmlformats.org/officeDocument/2006/relationships/hyperlink" Target="http://www.sec.gov/Archives/edgar/data/1552800/000114420413041320/v350939_ex10-1.htm" TargetMode="External"/><Relationship Id="rId49" Type="http://schemas.openxmlformats.org/officeDocument/2006/relationships/hyperlink" Target="http://www.sec.gov/Archives/edgar/data/1552800/000110465920051211/tm2016895d1_ex10-1.htm" TargetMode="External"/><Relationship Id="rId50" Type="http://schemas.openxmlformats.org/officeDocument/2006/relationships/hyperlink" Target="http://www.sec.gov/Archives/edgar/data/1552800/000114420413041320/v350939_ex10-2.htm" TargetMode="External"/><Relationship Id="rId51" Type="http://schemas.openxmlformats.org/officeDocument/2006/relationships/hyperlink" Target="http://www.sec.gov/Archives/edgar/data/1552800/000110465920051211/tm2016895d1_ex10-2.htm" TargetMode="External"/><Relationship Id="rId52" Type="http://schemas.openxmlformats.org/officeDocument/2006/relationships/hyperlink" Target="http://www.sec.gov/Archives/edgar/data/1552800/000114420412040584/v318344_ex10-13.htm" TargetMode="External"/><Relationship Id="rId53" Type="http://schemas.openxmlformats.org/officeDocument/2006/relationships/hyperlink" Target="http://www.sec.gov/Archives/edgar/data/1552800/000110465920051211/tm2016895d1_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2020-08-06T16:42:28Z</dcterms:created>
  <dcterms:modified xsi:type="dcterms:W3CDTF">2020-08-06T16:42:28Z</dcterms:modified>
</cp:coreProperties>
</file>