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ttsh-20250331x10q.htm"/>
      <w:bookmarkStart w:id="1" w:name="ksttsh20250331x10q"/>
      <w:bookmarkEnd w:id="0"/>
      <w:bookmarkEnd w:id="1"/>
      <w:r>
        <w:rPr>
          <w:caps w:val="false"/>
          <w:smallCaps w:val="false"/>
        </w:rPr>
        <w:t> </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SECURITIES AND EXCHANGE COMMISSION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March 31,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 xml:space="preserve">For the transition period from – to –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TILE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tbl>
      <w:tblPr>
        <w:tblW w:w="8372" w:type="dxa"/>
        <w:jc w:val="left"/>
        <w:tblInd w:w="0" w:type="dxa"/>
        <w:tblLayout w:type="fixed"/>
        <w:tblCellMar>
          <w:top w:w="0" w:type="dxa"/>
          <w:left w:w="0" w:type="dxa"/>
          <w:bottom w:w="0" w:type="dxa"/>
          <w:right w:w="0" w:type="dxa"/>
        </w:tblCellMar>
      </w:tblPr>
      <w:tblGrid>
        <w:gridCol w:w="5236"/>
        <w:gridCol w:w="3136"/>
      </w:tblGrid>
      <w:tr>
        <w:trPr/>
        <w:tc>
          <w:tcPr>
            <w:tcW w:w="52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Delaware</w:t>
            </w:r>
            <w:r>
              <w:rPr>
                <w:rFonts w:ascii="Times New Roman;serif" w:hAnsi="Times New Roman;serif"/>
                <w:caps w:val="false"/>
                <w:smallCaps w:val="false"/>
                <w:sz w:val="20"/>
              </w:rPr>
              <w:t>  </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52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 of incorporation or organization)</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 Identification No.)</w:t>
            </w:r>
          </w:p>
        </w:tc>
      </w:tr>
    </w:tbl>
    <w:tbl>
      <w:tblPr>
        <w:tblW w:w="4517" w:type="dxa"/>
        <w:jc w:val="left"/>
        <w:tblInd w:w="0" w:type="dxa"/>
        <w:tblLayout w:type="fixed"/>
        <w:tblCellMar>
          <w:top w:w="0" w:type="dxa"/>
          <w:left w:w="0" w:type="dxa"/>
          <w:bottom w:w="0" w:type="dxa"/>
          <w:right w:w="0" w:type="dxa"/>
        </w:tblCellMar>
      </w:tblPr>
      <w:tblGrid>
        <w:gridCol w:w="3466"/>
        <w:gridCol w:w="1051"/>
      </w:tblGrid>
      <w:tr>
        <w:trPr/>
        <w:tc>
          <w:tcPr>
            <w:tcW w:w="34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14000 Carlson Parkway</w:t>
            </w:r>
          </w:p>
        </w:tc>
        <w:tc>
          <w:tcPr>
            <w:tcW w:w="105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346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55441</w:t>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(763) 852-2950</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(Registrant’s telephone number, including area code)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Section 12(b) of the Act:</w:t>
      </w:r>
    </w:p>
    <w:tbl>
      <w:tblPr>
        <w:tblW w:w="7968" w:type="dxa"/>
        <w:jc w:val="left"/>
        <w:tblInd w:w="0" w:type="dxa"/>
        <w:tblLayout w:type="fixed"/>
        <w:tblCellMar>
          <w:top w:w="0" w:type="dxa"/>
          <w:left w:w="0" w:type="dxa"/>
          <w:bottom w:w="0" w:type="dxa"/>
          <w:right w:w="0" w:type="dxa"/>
        </w:tblCellMar>
      </w:tblPr>
      <w:tblGrid>
        <w:gridCol w:w="2641"/>
        <w:gridCol w:w="1621"/>
        <w:gridCol w:w="3706"/>
      </w:tblGrid>
      <w:tr>
        <w:trPr/>
        <w:tc>
          <w:tcPr>
            <w:tcW w:w="26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264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 $0.0001 par value</w:t>
            </w:r>
          </w:p>
        </w:tc>
        <w:tc>
          <w:tcPr>
            <w:tcW w:w="162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TTSH</w:t>
            </w:r>
          </w:p>
        </w:tc>
        <w:tc>
          <w:tcPr>
            <w:tcW w:w="370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i w:val="false"/>
                <w:caps w:val="false"/>
                <w:smallCaps w:val="false"/>
                <w:sz w:val="16"/>
              </w:rPr>
              <w:t>Stock Market LLC</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2237" w:type="dxa"/>
            <w:gridSpan w:val="2"/>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Emerging growth company</w:t>
            </w:r>
          </w:p>
        </w:tc>
        <w:tc>
          <w:tcPr>
            <w:tcW w:w="361" w:type="dxa"/>
            <w:tcBorders/>
            <w:vAlign w:val="center"/>
          </w:tcPr>
          <w:p>
            <w:pPr>
              <w:pStyle w:val="TableContents"/>
              <w:bidi w:val="0"/>
              <w:spacing w:lineRule="auto" w:line="259" w:before="0" w:after="283"/>
              <w:jc w:val="left"/>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May 5, 2025, there were 44,729,924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registrant’s common stock, par value $0.0001 per share, outstanding.</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w:t>
      </w:r>
      <w:bookmarkStart w:id="2" w:name="TableOfContents"/>
      <w:bookmarkEnd w:id="2"/>
      <w:r>
        <w:rPr>
          <w:rFonts w:ascii="Times New Roman;serif" w:hAnsi="Times New Roman;serif"/>
          <w:b/>
          <w:i w:val="false"/>
          <w:caps w:val="false"/>
          <w:smallCaps w:val="false"/>
          <w:sz w:val="20"/>
        </w:rPr>
        <w:t>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8857" w:type="dxa"/>
        <w:jc w:val="left"/>
        <w:tblInd w:w="0" w:type="dxa"/>
        <w:tblLayout w:type="fixed"/>
        <w:tblCellMar>
          <w:top w:w="0" w:type="dxa"/>
          <w:left w:w="0" w:type="dxa"/>
          <w:bottom w:w="0" w:type="dxa"/>
          <w:right w:w="0" w:type="dxa"/>
        </w:tblCellMar>
      </w:tblPr>
      <w:tblGrid>
        <w:gridCol w:w="811"/>
        <w:gridCol w:w="7366"/>
        <w:gridCol w:w="109"/>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Page</w:t>
            </w:r>
          </w:p>
        </w:tc>
      </w:tr>
      <w:tr>
        <w:trPr/>
        <w:tc>
          <w:tcPr>
            <w:tcW w:w="8177" w:type="dxa"/>
            <w:gridSpan w:val="2"/>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563C1"/>
                  <w:sz w:val="20"/>
                  <w:u w:val="single"/>
                </w:rPr>
                <w:t>PART I. FINANCIAL INFORMATION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color w:val="0563C1"/>
                  <w:sz w:val="20"/>
                  <w:u w:val="single"/>
                </w:rPr>
                <w:t>Item 1.</w:t>
              </w:r>
            </w:hyperlink>
          </w:p>
        </w:tc>
        <w:tc>
          <w:tcPr>
            <w:tcW w:w="7366"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563C1"/>
                  <w:sz w:val="20"/>
                  <w:u w:val="single"/>
                  <w:effect w:val="none"/>
                </w:rPr>
                <w:t>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Balance Sheets </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I">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Comprehensive Income</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Cash Flows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563C1"/>
                  <w:sz w:val="20"/>
                  <w:u w:val="single"/>
                  <w:effect w:val="non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8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Management’s Discussion and Analysis of Financial Condition and Results of Operations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811"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Controls and Procedures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77" w:type="dxa"/>
            <w:gridSpan w:val="2"/>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563C1"/>
                  <w:sz w:val="20"/>
                  <w:u w:val="single"/>
                  <w:effect w:val="non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Item 1.</w:t>
              </w:r>
            </w:hyperlink>
          </w:p>
        </w:tc>
        <w:tc>
          <w:tcPr>
            <w:tcW w:w="7366"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Legal Proceedings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Item 1A.</w:t>
              </w:r>
            </w:hyperlink>
          </w:p>
        </w:tc>
        <w:tc>
          <w:tcPr>
            <w:tcW w:w="7366"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Unregistered Sales of Equity Securities and Use of Proceeds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Mine Safety Disclosures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Item 5.</w:t>
              </w:r>
            </w:hyperlink>
          </w:p>
        </w:tc>
        <w:tc>
          <w:tcPr>
            <w:tcW w:w="7366"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Item 6.</w:t>
              </w:r>
            </w:hyperlink>
          </w:p>
        </w:tc>
        <w:tc>
          <w:tcPr>
            <w:tcW w:w="7366"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Exhibits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77" w:type="dxa"/>
            <w:gridSpan w:val="2"/>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0"/>
                  <w:u w:val="single"/>
                  <w:effect w:val="non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 w:name="_contentSection_f6d62fdb_2fd5_4672_b950_"/>
      <w:bookmarkEnd w:id="3"/>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 w:name="FinancialStatements"/>
      <w:bookmarkStart w:id="5" w:name="FS"/>
      <w:bookmarkEnd w:id="4"/>
      <w:bookmarkEnd w:id="5"/>
      <w:r>
        <w:rPr>
          <w:rFonts w:ascii="Times New Roman;serif" w:hAnsi="Times New Roman;serif"/>
          <w:b/>
          <w:i w:val="false"/>
          <w:caps w:val="false"/>
          <w:smallCaps w:val="false"/>
          <w:sz w:val="20"/>
        </w:rPr>
        <w: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Tile S</w:t>
      </w:r>
      <w:bookmarkStart w:id="6" w:name="BS"/>
      <w:bookmarkEnd w:id="6"/>
      <w:r>
        <w:rPr>
          <w:rFonts w:ascii="Times New Roman;serif" w:hAnsi="Times New Roman;serif"/>
          <w:b/>
          <w:i w:val="false"/>
          <w:caps w:val="false"/>
          <w:smallCaps w:val="false"/>
          <w:sz w:val="20"/>
        </w:rPr>
        <w:t>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tbl>
      <w:tblPr>
        <w:tblW w:w="10205" w:type="dxa"/>
        <w:jc w:val="left"/>
        <w:tblInd w:w="0" w:type="dxa"/>
        <w:tblLayout w:type="fixed"/>
        <w:tblCellMar>
          <w:top w:w="0" w:type="dxa"/>
          <w:left w:w="0" w:type="dxa"/>
          <w:bottom w:w="0" w:type="dxa"/>
          <w:right w:w="0" w:type="dxa"/>
        </w:tblCellMar>
      </w:tblPr>
      <w:tblGrid>
        <w:gridCol w:w="7779"/>
        <w:gridCol w:w="109"/>
        <w:gridCol w:w="218"/>
        <w:gridCol w:w="810"/>
        <w:gridCol w:w="109"/>
        <w:gridCol w:w="239"/>
        <w:gridCol w:w="941"/>
      </w:tblGrid>
      <w:tr>
        <w:trPr/>
        <w:tc>
          <w:tcPr>
            <w:tcW w:w="77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941" w:type="dxa"/>
            <w:tcBorders/>
            <w:shd w:fill="FFFFFF" w:val="clear"/>
            <w:vAlign w:val="center"/>
          </w:tcPr>
          <w:p>
            <w:pPr>
              <w:pStyle w:val="TableContents"/>
              <w:bidi w:val="0"/>
              <w:spacing w:before="0" w:after="283"/>
              <w:jc w:val="left"/>
              <w:rPr>
                <w:sz w:val="4"/>
                <w:szCs w:val="4"/>
              </w:rPr>
            </w:pPr>
            <w:r>
              <w:rPr>
                <w:sz w:val="4"/>
                <w:szCs w:val="4"/>
              </w:rPr>
            </w:r>
          </w:p>
        </w:tc>
      </w:tr>
      <w:tr>
        <w:trPr/>
        <w:tc>
          <w:tcPr>
            <w:tcW w:w="77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941" w:type="dxa"/>
            <w:tcBorders/>
            <w:shd w:fill="FFFFFF" w:val="clear"/>
            <w:vAlign w:val="center"/>
          </w:tcPr>
          <w:p>
            <w:pPr>
              <w:pStyle w:val="TableContents"/>
              <w:bidi w:val="0"/>
              <w:spacing w:before="0" w:after="283"/>
              <w:jc w:val="left"/>
              <w:rPr>
                <w:sz w:val="4"/>
                <w:szCs w:val="4"/>
              </w:rPr>
            </w:pPr>
            <w:r>
              <w:rPr>
                <w:sz w:val="4"/>
                <w:szCs w:val="4"/>
              </w:rPr>
            </w:r>
          </w:p>
        </w:tc>
      </w:tr>
      <w:tr>
        <w:trPr/>
        <w:tc>
          <w:tcPr>
            <w:tcW w:w="77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7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77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(audited)</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3,859</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3,085</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86,267</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850</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850</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8,663</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127,699</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119,822</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59,733</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130,564</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4,890</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2,297</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319,603</w:t>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23,808</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28,880</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29,518</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25,644</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78,394</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113,700</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4,364</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4,597</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196,691</w:t>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par value $0.0001; authorized: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44,729,924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44,657,898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respectively</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Preferred stock, par value $0.0001; authorized: 10,000,000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129,807</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129,696</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(6,788)</w:t>
            </w:r>
          </w:p>
        </w:tc>
      </w:tr>
      <w:tr>
        <w:trPr/>
        <w:tc>
          <w:tcPr>
            <w:tcW w:w="777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123,195</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122,912</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319,603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w:t>
      </w:r>
      <w:bookmarkStart w:id="7" w:name="IS"/>
      <w:bookmarkEnd w:id="7"/>
      <w:r>
        <w:rPr>
          <w:rFonts w:ascii="Times New Roman;serif" w:hAnsi="Times New Roman;serif"/>
          <w:b/>
          <w:i w:val="false"/>
          <w:caps w:val="false"/>
          <w:smallCaps w:val="false"/>
          <w:sz w:val="20"/>
        </w:rPr>
        <w: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6493" w:type="dxa"/>
        <w:jc w:val="left"/>
        <w:tblInd w:w="0" w:type="dxa"/>
        <w:tblLayout w:type="fixed"/>
        <w:tblCellMar>
          <w:top w:w="0" w:type="dxa"/>
          <w:left w:w="0" w:type="dxa"/>
          <w:bottom w:w="0" w:type="dxa"/>
          <w:right w:w="0" w:type="dxa"/>
        </w:tblCellMar>
      </w:tblPr>
      <w:tblGrid>
        <w:gridCol w:w="3736"/>
        <w:gridCol w:w="109"/>
        <w:gridCol w:w="211"/>
        <w:gridCol w:w="1036"/>
        <w:gridCol w:w="109"/>
        <w:gridCol w:w="211"/>
        <w:gridCol w:w="108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91,728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31,409</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60,319</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57,887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58,036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2,283</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2,117</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43,822,770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43,570,745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43,928,230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43,717,347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8" w:name="_contentSection_fb74ad03_c2e9_48b4_8313_"/>
      <w:bookmarkEnd w:id="8"/>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9" w:name="CI"/>
      <w:bookmarkEnd w:id="9"/>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4699" w:type="dxa"/>
        <w:jc w:val="left"/>
        <w:tblInd w:w="0" w:type="dxa"/>
        <w:tblLayout w:type="fixed"/>
        <w:tblCellMar>
          <w:top w:w="0" w:type="dxa"/>
          <w:left w:w="0" w:type="dxa"/>
          <w:bottom w:w="0" w:type="dxa"/>
          <w:right w:w="0" w:type="dxa"/>
        </w:tblCellMar>
      </w:tblPr>
      <w:tblGrid>
        <w:gridCol w:w="2731"/>
        <w:gridCol w:w="109"/>
        <w:gridCol w:w="250"/>
        <w:gridCol w:w="499"/>
        <w:gridCol w:w="129"/>
        <w:gridCol w:w="250"/>
        <w:gridCol w:w="731"/>
      </w:tblGrid>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sz w:val="4"/>
                <w:szCs w:val="4"/>
              </w:rPr>
            </w:pPr>
            <w:r>
              <w:rPr>
                <w:sz w:val="4"/>
                <w:szCs w:val="4"/>
              </w:rPr>
            </w:r>
          </w:p>
        </w:tc>
        <w:tc>
          <w:tcPr>
            <w:tcW w:w="49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sz w:val="4"/>
                <w:szCs w:val="4"/>
              </w:rPr>
            </w:pPr>
            <w:r>
              <w:rPr>
                <w:sz w:val="4"/>
                <w:szCs w:val="4"/>
              </w:rPr>
            </w:r>
          </w:p>
        </w:tc>
        <w:tc>
          <w:tcPr>
            <w:tcW w:w="49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5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5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2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r>
        <w:trPr/>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comprehensive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27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0" w:name="SE"/>
      <w:bookmarkEnd w:id="10"/>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3"/>
        <w:gridCol w:w="109"/>
        <w:gridCol w:w="1036"/>
        <w:gridCol w:w="109"/>
        <w:gridCol w:w="338"/>
        <w:gridCol w:w="338"/>
        <w:gridCol w:w="109"/>
        <w:gridCol w:w="211"/>
        <w:gridCol w:w="781"/>
        <w:gridCol w:w="109"/>
        <w:gridCol w:w="255"/>
        <w:gridCol w:w="766"/>
        <w:gridCol w:w="109"/>
        <w:gridCol w:w="415"/>
        <w:gridCol w:w="741"/>
        <w:gridCol w:w="109"/>
        <w:gridCol w:w="211"/>
        <w:gridCol w:w="826"/>
      </w:tblGrid>
      <w:tr>
        <w:trPr/>
        <w:tc>
          <w:tcPr>
            <w:tcW w:w="36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36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36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36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44,510,779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119,687</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359,218</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44,593,602</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128,798</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(7,420)</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121,304</w:t>
            </w:r>
          </w:p>
        </w:tc>
      </w:tr>
      <w:tr>
        <w:trPr/>
        <w:tc>
          <w:tcPr>
            <w:tcW w:w="363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44,657,898</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129,696</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(6,788)</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122,912</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338,535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(227,975)</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(38,534)</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44,729,924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129,807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123,195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11" w:name="CF"/>
      <w:bookmarkEnd w:id="11"/>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Cash Flows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033" w:type="dxa"/>
        <w:jc w:val="left"/>
        <w:tblInd w:w="0" w:type="dxa"/>
        <w:tblLayout w:type="fixed"/>
        <w:tblCellMar>
          <w:top w:w="0" w:type="dxa"/>
          <w:left w:w="0" w:type="dxa"/>
          <w:bottom w:w="0" w:type="dxa"/>
          <w:right w:w="0" w:type="dxa"/>
        </w:tblCellMar>
      </w:tblPr>
      <w:tblGrid>
        <w:gridCol w:w="7861"/>
        <w:gridCol w:w="109"/>
        <w:gridCol w:w="211"/>
        <w:gridCol w:w="691"/>
        <w:gridCol w:w="109"/>
        <w:gridCol w:w="211"/>
        <w:gridCol w:w="841"/>
      </w:tblGrid>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Adjustments to reconcile net income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debt issuance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on disposals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Non-cash lease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6,703</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4,845</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 /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18,589</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(2,719)</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(2,719)</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Advances on line of credit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taxes paid for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exchange rate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15,407</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24,027</w:t>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 of cash flow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w:t>
      </w:r>
      <w:bookmarkStart w:id="12" w:name="Notes"/>
      <w:bookmarkEnd w:id="12"/>
      <w:r>
        <w:rPr>
          <w:rFonts w:ascii="Times New Roman;serif" w:hAnsi="Times New Roman;serif"/>
          <w:b/>
          <w:i w:val="false"/>
          <w:caps w:val="false"/>
          <w:smallCaps w:val="false"/>
          <w:sz w:val="20"/>
        </w:rPr>
        <w:t>te 1: Background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Tile Shop Holdings, Inc. (“Holdings,” and together with its wholly owned subsidiaries, the “Company”) was incorporated in Delaware in June 2012.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specialty retailer of man-made and natural stone tiles, luxury vinyl tiles, setting and maintenance materials, and related accessories in the United States. The Company offers a wide selection of high-quality products, exclusive designs, knowledgeable staff and exceptional customer service, in an extensive showroom environment with up to 50 full-room tiled displays. The Company’s primary market is retail sales to consumers, contractors, designers and home builders. As of March 31, 2025, the Company had 142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The Company has distribution centers located in Michigan, Oklahoma, Virginia and Wisconsin.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Cambria Math" w:hAnsi="Cambria Math"/>
          <w:b w:val="false"/>
          <w:i w:val="false"/>
          <w:caps w:val="false"/>
          <w:smallCaps w:val="false"/>
          <w:sz w:val="20"/>
        </w:rPr>
        <w:t>-</w:t>
      </w:r>
      <w:r>
        <w:rPr>
          <w:rFonts w:ascii="Times New Roman;serif" w:hAnsi="Times New Roman;serif"/>
          <w:b w:val="false"/>
          <w:i w:val="false"/>
          <w:caps w:val="false"/>
          <w:smallCaps w:val="false"/>
          <w:sz w:val="20"/>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2025 are not necessarily indicative of the results that may be expected for the fiscal year ending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statements should be read in conjunction with the Consolidated Financial Statements and footnotes included in the Company’s Annual Report on Form 10-K for the fiscal year ended December 31, 2024. The accounting policies used in preparing these Consolidated Financial Statements are the same as those described in Note 1 to the Consolidated Financial Statements in the Form 10-K filed with the Securities and Exchange Commission (the “SEC”) on February 27, 2025.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Recently Issued Accounting Pronouncements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In December 2023, the FASB issued ASU No. 2023-09, </w:t>
      </w:r>
      <w:r>
        <w:rPr>
          <w:rFonts w:ascii="Times New Roman;serif" w:hAnsi="Times New Roman;serif"/>
          <w:b w:val="false"/>
          <w:i/>
          <w:color w:val="000000"/>
          <w:sz w:val="20"/>
        </w:rPr>
        <w:t>Income Taxes (Topic 740): Improvements to Income Tax Disclosures. </w:t>
      </w:r>
      <w:r>
        <w:rPr>
          <w:rFonts w:ascii="Times New Roman;serif" w:hAnsi="Times New Roman;serif"/>
          <w:b w:val="false"/>
          <w:i w:val="false"/>
          <w:caps w:val="false"/>
          <w:smallCaps w:val="false"/>
          <w:color w:val="000000"/>
          <w:sz w:val="20"/>
        </w:rPr>
        <w:t>The amendments in this ASU improve the transparency of income tax disclosures by requiring consistent categories and greater disaggregation of information in the rate reconciliation and income taxes paid disaggregated by jurisdiction. The Company will adopt this guidance as of December 31, 2025. The Company is currently evaluating the impact of this guidance on the Company’s consolidated financial statements and related disclosures.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In November 2024</w:t>
      </w:r>
      <w:r>
        <w:rPr>
          <w:rFonts w:ascii="Times New Roman;serif" w:hAnsi="Times New Roman;serif"/>
          <w:b w:val="false"/>
          <w:i/>
          <w:color w:val="000000"/>
          <w:sz w:val="20"/>
        </w:rPr>
        <w:t>, </w:t>
      </w:r>
      <w:r>
        <w:rPr>
          <w:rFonts w:ascii="Times New Roman;serif" w:hAnsi="Times New Roman;serif"/>
          <w:b w:val="false"/>
          <w:i w:val="false"/>
          <w:caps w:val="false"/>
          <w:smallCaps w:val="false"/>
          <w:color w:val="000000"/>
          <w:sz w:val="20"/>
        </w:rPr>
        <w:t>the FASB issued ASU </w:t>
      </w:r>
      <w:r>
        <w:rPr>
          <w:rFonts w:ascii="Times New Roman;serif" w:hAnsi="Times New Roman;serif"/>
          <w:b w:val="false"/>
          <w:i/>
          <w:color w:val="000000"/>
          <w:sz w:val="20"/>
        </w:rPr>
        <w:t>No.</w:t>
      </w:r>
      <w:r>
        <w:rPr>
          <w:rFonts w:ascii="Times New Roman;serif" w:hAnsi="Times New Roman;serif"/>
          <w:caps w:val="false"/>
          <w:smallCaps w:val="false"/>
          <w:color w:val="000000"/>
          <w:sz w:val="20"/>
        </w:rPr>
        <w:t> </w:t>
      </w:r>
      <w:r>
        <w:rPr>
          <w:rFonts w:ascii="Times New Roman;serif" w:hAnsi="Times New Roman;serif"/>
          <w:b w:val="false"/>
          <w:i/>
          <w:color w:val="000000"/>
          <w:sz w:val="20"/>
        </w:rPr>
        <w:t>2024</w:t>
      </w:r>
      <w:r>
        <w:rPr>
          <w:rFonts w:ascii="Times New Roman;serif" w:hAnsi="Times New Roman;serif"/>
          <w:b w:val="false"/>
          <w:i w:val="false"/>
          <w:caps w:val="false"/>
          <w:smallCaps w:val="false"/>
          <w:color w:val="000000"/>
          <w:sz w:val="20"/>
        </w:rPr>
        <w:t>-</w:t>
      </w:r>
      <w:r>
        <w:rPr>
          <w:rFonts w:ascii="Times New Roman;serif" w:hAnsi="Times New Roman;serif"/>
          <w:b w:val="false"/>
          <w:i/>
          <w:color w:val="000000"/>
          <w:sz w:val="20"/>
        </w:rPr>
        <w:t>03</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Income Statement – Reporting Comprehensive Income – Expense Disaggregation Disclosures (Subtopic </w:t>
      </w:r>
      <w:r>
        <w:rPr>
          <w:rFonts w:ascii="Times New Roman;serif" w:hAnsi="Times New Roman;serif"/>
          <w:b w:val="false"/>
          <w:i/>
          <w:color w:val="000000"/>
          <w:sz w:val="20"/>
        </w:rPr>
        <w:t>220</w:t>
      </w:r>
      <w:r>
        <w:rPr>
          <w:rFonts w:ascii="Times New Roman;serif" w:hAnsi="Times New Roman;serif"/>
          <w:b w:val="false"/>
          <w:i w:val="false"/>
          <w:caps w:val="false"/>
          <w:smallCaps w:val="false"/>
          <w:color w:val="000000"/>
          <w:sz w:val="20"/>
        </w:rPr>
        <w:t>-</w:t>
      </w:r>
      <w:r>
        <w:rPr>
          <w:rFonts w:ascii="Times New Roman;serif" w:hAnsi="Times New Roman;serif"/>
          <w:b w:val="false"/>
          <w:i/>
          <w:color w:val="000000"/>
          <w:sz w:val="20"/>
        </w:rPr>
        <w:t>40</w:t>
      </w:r>
      <w:r>
        <w:rPr>
          <w:rFonts w:ascii="Times New Roman;serif" w:hAnsi="Times New Roman;serif"/>
          <w:b w:val="false"/>
          <w:i w:val="false"/>
          <w:caps w:val="false"/>
          <w:smallCaps w:val="false"/>
          <w:color w:val="000000"/>
          <w:sz w:val="20"/>
        </w:rPr>
        <w:t>): Disaggregation of Income Statement Expenses.” This ASU requires public business entities to disclose, for interim and annual reporting periods, additional information about certain income statement expense categories. The requirements are effective for fiscal years beginning after December 15, 2026</w:t>
      </w:r>
      <w:r>
        <w:rPr>
          <w:rFonts w:ascii="Times New Roman;serif" w:hAnsi="Times New Roman;serif"/>
          <w:b w:val="false"/>
          <w:i/>
          <w:color w:val="000000"/>
          <w:sz w:val="20"/>
        </w:rPr>
        <w:t>, </w:t>
      </w:r>
      <w:r>
        <w:rPr>
          <w:rFonts w:ascii="Times New Roman;serif" w:hAnsi="Times New Roman;serif"/>
          <w:b w:val="false"/>
          <w:i w:val="false"/>
          <w:caps w:val="false"/>
          <w:smallCaps w:val="false"/>
          <w:color w:val="000000"/>
          <w:sz w:val="20"/>
        </w:rPr>
        <w:t>and for interim periods beginning after December 15, 2027</w:t>
      </w:r>
      <w:r>
        <w:rPr>
          <w:rFonts w:ascii="Times New Roman;serif" w:hAnsi="Times New Roman;serif"/>
          <w:b w:val="false"/>
          <w:i/>
          <w:color w:val="000000"/>
          <w:sz w:val="20"/>
        </w:rPr>
        <w:t>. </w:t>
      </w:r>
      <w:r>
        <w:rPr>
          <w:rFonts w:ascii="Times New Roman;serif" w:hAnsi="Times New Roman;serif"/>
          <w:b w:val="false"/>
          <w:i w:val="false"/>
          <w:caps w:val="false"/>
          <w:smallCaps w:val="false"/>
          <w:color w:val="000000"/>
          <w:sz w:val="20"/>
        </w:rPr>
        <w:t>Entities are permitted to apply either the prospective or retrospective transition methods. The Company is currently evaluating the impact that the adoption of this ASU will have on its consolidated financial statements and related disclosures.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Sales taxes are excluded from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5264" w:type="dxa"/>
        <w:jc w:val="left"/>
        <w:tblInd w:w="0" w:type="dxa"/>
        <w:tblLayout w:type="fixed"/>
        <w:tblCellMar>
          <w:top w:w="0" w:type="dxa"/>
          <w:left w:w="0" w:type="dxa"/>
          <w:bottom w:w="0" w:type="dxa"/>
          <w:right w:w="0" w:type="dxa"/>
        </w:tblCellMar>
      </w:tblPr>
      <w:tblGrid>
        <w:gridCol w:w="2911"/>
        <w:gridCol w:w="644"/>
        <w:gridCol w:w="415"/>
        <w:gridCol w:w="166"/>
        <w:gridCol w:w="644"/>
        <w:gridCol w:w="484"/>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84"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484"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235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235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Man-made tiles</w:t>
            </w:r>
            <w:r>
              <w:rPr>
                <w:rFonts w:ascii="Times New Roman;serif" w:hAnsi="Times New Roman;serif"/>
                <w:b w:val="false"/>
                <w:i w:val="false"/>
                <w:caps w:val="false"/>
                <w:smallCaps w:val="false"/>
                <w:position w:val="7"/>
                <w:sz w:val="16"/>
                <w:sz w:val="20"/>
              </w:rPr>
              <w:t>(1)</w:t>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w:t>
            </w:r>
          </w:p>
        </w:tc>
        <w:tc>
          <w:tcPr>
            <w:tcW w:w="4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4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484"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6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84"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84"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6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6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Man-made tile revenues include sales of luxury vinyl tile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Revenue recognized when an order is placed – If a customer places an order in a store and the contents of their order are available, the Company recognizes revenue concurrent with the exchange of goods for consideration from the customer.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at the end of a reporting period, revenue will be recognized based on the transaction price allocated to the goods delivered and services rendered. </w:t>
      </w:r>
      <w:bookmarkStart w:id="13" w:name="_Hlk172103773"/>
      <w:bookmarkEnd w:id="13"/>
      <w:r>
        <w:rPr>
          <w:rFonts w:ascii="Times New Roman;serif" w:hAnsi="Times New Roman;serif"/>
          <w:b w:val="false"/>
          <w:i w:val="false"/>
          <w:caps w:val="false"/>
          <w:smallCaps w:val="false"/>
          <w:sz w:val="20"/>
        </w:rPr>
        <w:t>The customer deposit balance was $12.8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March 31, 2025 and December 31, 2024, respectively. Revenues recognized during the three months ended March 31, 2025 that were included in the customer deposit balance as of the beginning of the period were $9.4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extends financing to qualified professional customers who apply for credit. Customers who qualify for an account receive 30-day payment terms. The accounts receivable balance was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r>
        <w:rPr>
          <w:rFonts w:ascii="Times New Roman;serif" w:hAnsi="Times New Roman;serif"/>
          <w:b w:val="false"/>
          <w:i w:val="false"/>
          <w:caps w:val="false"/>
          <w:smallCaps w:val="false"/>
          <w:color w:val="000000"/>
          <w:sz w:val="20"/>
        </w:rPr>
        <w:t>and $3.1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at March 31, 2025 and December 31, 2024, respectively.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expects that the customer will pay for the goods and services ordered within one year from the date the order is placed. Accordingly, the Company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March 31, 2025 and December 31, 2024 were as follows:</w:t>
      </w:r>
    </w:p>
    <w:tbl>
      <w:tblPr>
        <w:tblW w:w="5094" w:type="dxa"/>
        <w:jc w:val="left"/>
        <w:tblInd w:w="0" w:type="dxa"/>
        <w:tblLayout w:type="fixed"/>
        <w:tblCellMar>
          <w:top w:w="0" w:type="dxa"/>
          <w:left w:w="0" w:type="dxa"/>
          <w:bottom w:w="0" w:type="dxa"/>
          <w:right w:w="0" w:type="dxa"/>
        </w:tblCellMar>
      </w:tblPr>
      <w:tblGrid>
        <w:gridCol w:w="2686"/>
        <w:gridCol w:w="109"/>
        <w:gridCol w:w="251"/>
        <w:gridCol w:w="679"/>
        <w:gridCol w:w="109"/>
        <w:gridCol w:w="321"/>
        <w:gridCol w:w="939"/>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6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939"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2,886</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1,113</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1,930</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Inventories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overhead costs incurred in connection with the production process are included in the value of manufactured finished goods. </w:t>
      </w:r>
      <w:r>
        <w:rPr>
          <w:rFonts w:ascii="Times New Roman;serif" w:hAnsi="Times New Roman;serif"/>
          <w:b w:val="false"/>
          <w:i w:val="false"/>
          <w:caps w:val="false"/>
          <w:smallCaps w:val="false"/>
          <w:sz w:val="20"/>
        </w:rPr>
        <w:t>Inventories were comprised of the following as of March 31, 2025 and December 31, 2024:</w:t>
      </w:r>
    </w:p>
    <w:tbl>
      <w:tblPr>
        <w:tblW w:w="3774" w:type="dxa"/>
        <w:jc w:val="left"/>
        <w:tblInd w:w="0" w:type="dxa"/>
        <w:tblLayout w:type="fixed"/>
        <w:tblCellMar>
          <w:top w:w="0" w:type="dxa"/>
          <w:left w:w="0" w:type="dxa"/>
          <w:bottom w:w="0" w:type="dxa"/>
          <w:right w:w="0" w:type="dxa"/>
        </w:tblCellMar>
      </w:tblPr>
      <w:tblGrid>
        <w:gridCol w:w="1366"/>
        <w:gridCol w:w="109"/>
        <w:gridCol w:w="221"/>
        <w:gridCol w:w="709"/>
        <w:gridCol w:w="109"/>
        <w:gridCol w:w="284"/>
        <w:gridCol w:w="976"/>
      </w:tblGrid>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Finished goods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86,155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84,255</w:t>
            </w:r>
          </w:p>
        </w:tc>
      </w:tr>
      <w:tr>
        <w:trPr/>
        <w:tc>
          <w:tcPr>
            <w:tcW w:w="1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1,990</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2,012</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86,267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March 31, 2025 and December 31, 2024, respectively. </w:t>
      </w:r>
    </w:p>
    <w:p>
      <w:pPr>
        <w:pStyle w:val="TextBody"/>
        <w:bidi w:val="0"/>
        <w:spacing w:lineRule="auto" w:line="259"/>
        <w:rPr>
          <w:rFonts w:ascii="Times New Roman;serif" w:hAnsi="Times New Roman;serif"/>
          <w:b/>
          <w:i w:val="false"/>
          <w:caps w:val="false"/>
          <w:smallCaps w:val="false"/>
          <w:sz w:val="20"/>
        </w:rPr>
      </w:pPr>
      <w:bookmarkStart w:id="14" w:name="_Hlk116897468"/>
      <w:bookmarkEnd w:id="14"/>
      <w:r>
        <w:rPr>
          <w:rFonts w:ascii="Times New Roman;serif" w:hAnsi="Times New Roman;serif"/>
          <w:b/>
          <w:i w:val="false"/>
          <w:caps w:val="false"/>
          <w:smallCaps w:val="false"/>
          <w:sz w:val="20"/>
        </w:rPr>
        <w:t>Note 4: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Effective tax rates for the three months ended March 31, 2025 and 2024 were based on the Company’s forecasted annualized effective tax rates and were adjusted for discrete items that occurred within each period. The Company’s effective tax rate </w:t>
      </w:r>
      <w:r>
        <w:rPr>
          <w:rFonts w:ascii="Times New Roman;serif" w:hAnsi="Times New Roman;serif"/>
          <w:b w:val="false"/>
          <w:i w:val="false"/>
          <w:caps w:val="false"/>
          <w:smallCaps w:val="false"/>
          <w:color w:val="000000"/>
          <w:sz w:val="20"/>
        </w:rPr>
        <w:t xml:space="preserve">was 14.4% and 20.2% for the three months ended March 31, 2025 and 2024, respectively. </w:t>
      </w:r>
      <w:r>
        <w:rPr>
          <w:rFonts w:ascii="Times New Roman;serif" w:hAnsi="Times New Roman;serif"/>
          <w:b w:val="false"/>
          <w:i w:val="false"/>
          <w:caps w:val="false"/>
          <w:smallCaps w:val="false"/>
          <w:sz w:val="20"/>
        </w:rPr>
        <w:t>The effective income tax rate was lower than the statutory federal income tax rate of 21.0%, primarily due to the impact of certain discrete items, including the impact of employee equity award vesting.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both March 31, 2025 and 2024, the Company had not recognized any liabilities for uncertain tax positions, nor had interest and penalties related to uncertain tax positions been accrued.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5" w:name="_contentSection_60a5fc31_33a6_4e18_9dcb_"/>
      <w:bookmarkEnd w:id="15"/>
      <w:r>
        <w:rPr>
          <w:rFonts w:ascii="Times New Roman;serif" w:hAnsi="Times New Roman;serif"/>
          <w:b/>
          <w:i w:val="false"/>
          <w:caps w:val="false"/>
          <w:smallCaps w:val="false"/>
          <w:sz w:val="20"/>
        </w:rPr>
        <w:t>Note 5: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and diluted earnings per share were calculated as follows: </w:t>
      </w:r>
    </w:p>
    <w:tbl>
      <w:tblPr>
        <w:tblW w:w="9360" w:type="dxa"/>
        <w:jc w:val="left"/>
        <w:tblInd w:w="0" w:type="dxa"/>
        <w:tblLayout w:type="fixed"/>
        <w:tblCellMar>
          <w:top w:w="0" w:type="dxa"/>
          <w:left w:w="0" w:type="dxa"/>
          <w:bottom w:w="0" w:type="dxa"/>
          <w:right w:w="0" w:type="dxa"/>
        </w:tblCellMar>
      </w:tblPr>
      <w:tblGrid>
        <w:gridCol w:w="5671"/>
        <w:gridCol w:w="294"/>
        <w:gridCol w:w="1444"/>
        <w:gridCol w:w="151"/>
        <w:gridCol w:w="294"/>
        <w:gridCol w:w="1506"/>
      </w:tblGrid>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444"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506"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36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(dollars in thousands, except per share data)</w:t>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36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368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5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basic</w:t>
            </w:r>
          </w:p>
        </w:tc>
        <w:tc>
          <w:tcPr>
            <w:tcW w:w="2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43,822,770</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43,570,745</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 attributable to stock based awards</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105,460</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146,602</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diluted</w:t>
            </w:r>
          </w:p>
        </w:tc>
        <w:tc>
          <w:tcPr>
            <w:tcW w:w="29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4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43,928,230</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0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43,717,347</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29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4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2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Anti-dilutive securities excluded from earnings per share calculation</w:t>
            </w:r>
          </w:p>
        </w:tc>
        <w:tc>
          <w:tcPr>
            <w:tcW w:w="2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152,406</w:t>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139,319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accrued liabilities consisted of the following: </w:t>
      </w:r>
    </w:p>
    <w:tbl>
      <w:tblPr>
        <w:tblW w:w="4929" w:type="dxa"/>
        <w:jc w:val="left"/>
        <w:tblInd w:w="0" w:type="dxa"/>
        <w:tblLayout w:type="fixed"/>
        <w:tblCellMar>
          <w:top w:w="0" w:type="dxa"/>
          <w:left w:w="0" w:type="dxa"/>
          <w:bottom w:w="0" w:type="dxa"/>
          <w:right w:w="0" w:type="dxa"/>
        </w:tblCellMar>
      </w:tblPr>
      <w:tblGrid>
        <w:gridCol w:w="2521"/>
        <w:gridCol w:w="109"/>
        <w:gridCol w:w="221"/>
        <w:gridCol w:w="709"/>
        <w:gridCol w:w="109"/>
        <w:gridCol w:w="284"/>
        <w:gridCol w:w="97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10,882</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3,503</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2,886</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wages and salaries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4,585</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Payroll and sales taxes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2,859</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2,107</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5,184</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29,518</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25,644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6" w:name="_Hlk116901918"/>
      <w:bookmarkEnd w:id="16"/>
      <w:r>
        <w:rPr>
          <w:rFonts w:ascii="Times New Roman;serif" w:hAnsi="Times New Roman;serif"/>
          <w:b/>
          <w:i w:val="false"/>
          <w:caps w:val="false"/>
          <w:smallCaps w:val="false"/>
          <w:sz w:val="20"/>
        </w:rPr>
        <w:t xml:space="preserve">Note 7: Long-term Debt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On </w:t>
      </w:r>
      <w:r>
        <w:rPr>
          <w:rFonts w:ascii="Times New Roman;serif" w:hAnsi="Times New Roman;serif"/>
          <w:b w:val="false"/>
          <w:i w:val="false"/>
          <w:caps w:val="false"/>
          <w:smallCaps w:val="false"/>
          <w:sz w:val="20"/>
        </w:rPr>
        <w:t>September 30, 2022</w:t>
      </w:r>
      <w:r>
        <w:rPr>
          <w:rFonts w:ascii="Times New Roman;serif" w:hAnsi="Times New Roman;serif"/>
          <w:b w:val="false"/>
          <w:i w:val="false"/>
          <w:caps w:val="false"/>
          <w:smallCaps w:val="false"/>
          <w:color w:val="000000"/>
          <w:sz w:val="20"/>
        </w:rPr>
        <w:t>,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 </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1.00 and a Rent Adjusted Leverage Ratio (as defined in the Credit Agreement) of no greater than 3.50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to 1.00. </w:t>
      </w:r>
      <w:r>
        <w:rPr>
          <w:rFonts w:ascii="Times New Roman;serif" w:hAnsi="Times New Roman;serif"/>
          <w:b w:val="false"/>
          <w:i w:val="false"/>
          <w:caps w:val="false"/>
          <w:smallCaps w:val="false"/>
          <w:sz w:val="20"/>
        </w:rPr>
        <w:t>The Company was in compliance with the covenants as of March 31, 2025.</w:t>
      </w:r>
    </w:p>
    <w:p>
      <w:pPr>
        <w:pStyle w:val="TextBody"/>
        <w:bidi w:val="0"/>
        <w:spacing w:lineRule="auto" w:line="259"/>
        <w:rPr>
          <w:rFonts w:ascii="Times New Roman;serif" w:hAnsi="Times New Roman;serif"/>
          <w:sz w:val="20"/>
        </w:rPr>
      </w:pPr>
      <w:bookmarkStart w:id="17" w:name="_Hlk172105462"/>
      <w:bookmarkEnd w:id="17"/>
      <w:r>
        <w:rPr>
          <w:rFonts w:ascii="Times New Roman;serif" w:hAnsi="Times New Roman;serif"/>
          <w:b w:val="false"/>
          <w:i w:val="false"/>
          <w:caps w:val="false"/>
          <w:smallCaps w:val="false"/>
          <w:color w:val="000000"/>
          <w:sz w:val="20"/>
        </w:rPr>
        <w:t>The Company had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borrowings outstanding on its line of credit as of March 31, 2025. The Company has standby letters of credit outstanding related to its workers’ compensation and medical insurance policies. As of March 31, 2025, standby letters of credit totaled $1.2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As of March 31, 2025, there was $73.8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available for borrowing on the revolving line of credit, which may be used for maintaining the Company’s existing stores, purchasing additional merchandise inventory, and general corporate purposes.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an initial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tbl>
      <w:tblPr>
        <w:tblW w:w="8384" w:type="dxa"/>
        <w:jc w:val="left"/>
        <w:tblInd w:w="0" w:type="dxa"/>
        <w:tblLayout w:type="fixed"/>
        <w:tblCellMar>
          <w:top w:w="0" w:type="dxa"/>
          <w:left w:w="0" w:type="dxa"/>
          <w:bottom w:w="0" w:type="dxa"/>
          <w:right w:w="0" w:type="dxa"/>
        </w:tblCellMar>
      </w:tblPr>
      <w:tblGrid>
        <w:gridCol w:w="1891"/>
        <w:gridCol w:w="2731"/>
        <w:gridCol w:w="109"/>
        <w:gridCol w:w="211"/>
        <w:gridCol w:w="1396"/>
        <w:gridCol w:w="109"/>
        <w:gridCol w:w="211"/>
        <w:gridCol w:w="1726"/>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2024</w:t>
            </w:r>
          </w:p>
        </w:tc>
      </w:tr>
      <w:tr>
        <w:trPr/>
        <w:tc>
          <w:tcPr>
            <w:tcW w:w="18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130,564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28,880</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113,700</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140,305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142,580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tbl>
      <w:tblPr>
        <w:tblW w:w="7049" w:type="dxa"/>
        <w:jc w:val="left"/>
        <w:tblInd w:w="0" w:type="dxa"/>
        <w:tblLayout w:type="fixed"/>
        <w:tblCellMar>
          <w:top w:w="0" w:type="dxa"/>
          <w:left w:w="0" w:type="dxa"/>
          <w:bottom w:w="0" w:type="dxa"/>
          <w:right w:w="0" w:type="dxa"/>
        </w:tblCellMar>
      </w:tblPr>
      <w:tblGrid>
        <w:gridCol w:w="2161"/>
        <w:gridCol w:w="1411"/>
        <w:gridCol w:w="109"/>
        <w:gridCol w:w="211"/>
        <w:gridCol w:w="1396"/>
        <w:gridCol w:w="109"/>
        <w:gridCol w:w="211"/>
        <w:gridCol w:w="144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2024</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9,536</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3,759</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13,372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 consists primarily of taxes, insurance, and common area or other maintenance costs for the Company’s leased facilities. </w:t>
      </w:r>
    </w:p>
    <w:tbl>
      <w:tblPr>
        <w:tblW w:w="10048" w:type="dxa"/>
        <w:jc w:val="left"/>
        <w:tblInd w:w="0" w:type="dxa"/>
        <w:tblLayout w:type="fixed"/>
        <w:tblCellMar>
          <w:top w:w="0" w:type="dxa"/>
          <w:left w:w="0" w:type="dxa"/>
          <w:bottom w:w="0" w:type="dxa"/>
          <w:right w:w="0" w:type="dxa"/>
        </w:tblCellMar>
      </w:tblPr>
      <w:tblGrid>
        <w:gridCol w:w="6571"/>
        <w:gridCol w:w="109"/>
        <w:gridCol w:w="211"/>
        <w:gridCol w:w="1396"/>
        <w:gridCol w:w="109"/>
        <w:gridCol w:w="211"/>
        <w:gridCol w:w="1441"/>
      </w:tblGrid>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657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2024</w:t>
            </w:r>
          </w:p>
        </w:tc>
      </w:tr>
      <w:tr>
        <w:trPr/>
        <w:tc>
          <w:tcPr>
            <w:tcW w:w="65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9,644</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Subsequent to March 31, 2025, the Company entered into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sublease agreements for its distribution center space in New Jersey, which was closed in 2024. These sublease agreements commenced in the second quarter of 2025 and will expire in August 2026. The Company anticipates the sublease agreements will generate approximately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sublease income in 2025 and an additional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sublease income in 2026 which will be classified as a reduction of its SG&amp;A expense. The Company’s lease of the distribution space in New Jersey terminates in September 2026.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similar assets or liabilities in active markets;</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identical or similar assets or liabilities in non-active markets; </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Inputs other than quoted prices that are observable for the asset or liability;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Inputs that are derived principally from or corroborated by other observable market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March 31, 2025 and December 31, 2024 according to the valuation techniques the Company uses to determine their fair values. There have been no transfers of assets among the fair value hierarchies presented.</w:t>
      </w:r>
    </w:p>
    <w:tbl>
      <w:tblPr>
        <w:tblW w:w="6569" w:type="dxa"/>
        <w:jc w:val="left"/>
        <w:tblInd w:w="0" w:type="dxa"/>
        <w:tblLayout w:type="fixed"/>
        <w:tblCellMar>
          <w:top w:w="0" w:type="dxa"/>
          <w:left w:w="0" w:type="dxa"/>
          <w:bottom w:w="0" w:type="dxa"/>
          <w:right w:w="0" w:type="dxa"/>
        </w:tblCellMar>
      </w:tblPr>
      <w:tblGrid>
        <w:gridCol w:w="2266"/>
        <w:gridCol w:w="109"/>
        <w:gridCol w:w="856"/>
        <w:gridCol w:w="109"/>
        <w:gridCol w:w="332"/>
        <w:gridCol w:w="1063"/>
        <w:gridCol w:w="109"/>
        <w:gridCol w:w="389"/>
        <w:gridCol w:w="1336"/>
      </w:tblGrid>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sz w:val="4"/>
                <w:szCs w:val="4"/>
              </w:rPr>
            </w:pPr>
            <w:r>
              <w:rPr>
                <w:sz w:val="4"/>
                <w:szCs w:val="4"/>
              </w:rPr>
            </w:r>
          </w:p>
        </w:tc>
        <w:tc>
          <w:tcPr>
            <w:tcW w:w="106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sz w:val="4"/>
                <w:szCs w:val="4"/>
              </w:rPr>
            </w:pPr>
            <w:r>
              <w:rPr>
                <w:sz w:val="4"/>
                <w:szCs w:val="4"/>
              </w:rPr>
            </w:r>
          </w:p>
        </w:tc>
        <w:tc>
          <w:tcPr>
            <w:tcW w:w="106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2024</w:t>
            </w:r>
          </w:p>
        </w:tc>
      </w:tr>
      <w:tr>
        <w:trPr/>
        <w:tc>
          <w:tcPr>
            <w:tcW w:w="226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methods and assumptions were used to estimate the fair value of each class of financial instrument. There have been no changes in the valuation techniques used by the Company to value the Company’s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pPr>
      <w:r>
        <w:rPr>
          <w:caps w:val="false"/>
          <w:smallCaps w:val="false"/>
        </w:rPr>
        <w:t></w:t>
      </w:r>
      <w:r>
        <w:rPr>
          <w:rFonts w:ascii="Times New Roman;serif" w:hAnsi="Times New Roman;serif"/>
          <w:b w:val="false"/>
          <w:i/>
          <w:sz w:val="20"/>
        </w:rPr>
        <w:t xml:space="preserve">Cash and cash equivalents: </w:t>
      </w:r>
      <w:r>
        <w:rPr>
          <w:rFonts w:ascii="Times New Roman;serif" w:hAnsi="Times New Roman;serif"/>
          <w:b w:val="false"/>
          <w:i w:val="false"/>
          <w:caps w:val="false"/>
          <w:smallCaps w:val="false"/>
          <w:sz w:val="20"/>
        </w:rPr>
        <w:t>Consists of cash on hand, bank deposits and money market funds primarily held in short term US treasury securities. The value was measured using quoted market prices in active markets. The carrying amount approximates fair value.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During the three months ended March 31, 2025 and 2024, the Company did not record any impairment charges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Equity Incentive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 </w:t>
      </w:r>
    </w:p>
    <w:p>
      <w:pPr>
        <w:pStyle w:val="TextBody"/>
        <w:bidi w:val="0"/>
        <w:spacing w:lineRule="auto" w:line="259"/>
        <w:rPr>
          <w:rFonts w:ascii="Times New Roman;serif" w:hAnsi="Times New Roman;serif"/>
          <w:b/>
          <w:i w:val="false"/>
          <w:caps w:val="false"/>
          <w:smallCaps w:val="false"/>
          <w:sz w:val="20"/>
        </w:rPr>
      </w:pPr>
      <w:bookmarkStart w:id="18" w:name="_Hlk179982484"/>
      <w:bookmarkStart w:id="19" w:name="_Hlk164426340"/>
      <w:bookmarkEnd w:id="18"/>
      <w:bookmarkEnd w:id="19"/>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measures and recognizes compensation expense for all stock based awards at fair value. The financial statements for the three months ended March 31, 2025 and 2024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significant stock based compensation expense related to stock options during the three months ended March 31, 2025 and 2024. Stock based compensation expense pertaining to stock options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2025, the Company had fully vested outstanding stock options to purchase 295,367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at a weighted average exercise price of $7.07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three months ended March 31, 2025 and 2024, respectively. Stock based compensation expense pertaining to restricted stock awards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2025, the Company had 856,351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unvested outstanding restricted common shares.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 11: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Chief Executive Officer is the Chief Operating Decision Maker (“CODM”). The CODM utilizes the Company’s annual budget planning process, which includes Company-wide initiatives, as a key input to resource allocation. The CODM makes decisions on resource allocation and evaluates financial performance on a total Company basis; therefore, the Company has one</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reportable segment. The Company earns most of its revenue in the United States. Long-lived assets, which consist of property and equipment, net and operating lease right of use assets, are all located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concluded that consolidated net income is the measure of segment profitability. The following table presents the Company’s segment revenue and gross profit, significant segment expenses, segment income from operations and net income provided to the CODM:</w:t>
      </w:r>
    </w:p>
    <w:tbl>
      <w:tblPr>
        <w:tblW w:w="6772" w:type="dxa"/>
        <w:jc w:val="left"/>
        <w:tblInd w:w="0" w:type="dxa"/>
        <w:tblLayout w:type="fixed"/>
        <w:tblCellMar>
          <w:top w:w="0" w:type="dxa"/>
          <w:left w:w="0" w:type="dxa"/>
          <w:bottom w:w="0" w:type="dxa"/>
          <w:right w:w="0" w:type="dxa"/>
        </w:tblCellMar>
      </w:tblPr>
      <w:tblGrid>
        <w:gridCol w:w="4591"/>
        <w:gridCol w:w="109"/>
        <w:gridCol w:w="211"/>
        <w:gridCol w:w="748"/>
        <w:gridCol w:w="109"/>
        <w:gridCol w:w="211"/>
        <w:gridCol w:w="793"/>
      </w:tblGrid>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72" w:type="dxa"/>
            <w:gridSpan w:val="5"/>
            <w:tcBorders/>
            <w:shd w:fill="FFFFFF" w:val="cle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72" w:type="dxa"/>
            <w:gridSpan w:val="5"/>
            <w:tcBorders/>
            <w:shd w:fill="FFFFFF" w:val="cle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72" w:type="dxa"/>
            <w:gridSpan w:val="5"/>
            <w:tcBorders>
              <w:bottom w:val="single" w:sz="8" w:space="0" w:color="000000"/>
            </w:tcBorders>
            <w:shd w:fill="FFFFFF" w:val="clear"/>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91,728</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31,409</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60,319</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53,504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52,903</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2,283</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2,117</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*Exclusive of stock based compensation and depreciation and amortization shown separately.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0" w:name="MDA"/>
      <w:bookmarkEnd w:id="20"/>
      <w:r>
        <w:rPr>
          <w:rFonts w:ascii="Times New Roman;serif" w:hAnsi="Times New Roman;serif"/>
          <w:b/>
          <w:i w:val="false"/>
          <w:caps w:val="false"/>
          <w:smallCaps w:val="false"/>
          <w:sz w:val="20"/>
        </w:rPr>
        <w:t>M 2. MANAGEMENT’S DISCUSSION AND ANALYSIS OF FINANCIAL CONDITION AND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2024 and our consolidated financial statements and related notes appearing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w:t>
      </w:r>
      <w:bookmarkStart w:id="21" w:name="_Hlk38913879"/>
      <w:bookmarkEnd w:id="21"/>
      <w:r>
        <w:rPr>
          <w:rFonts w:ascii="Times New Roman;serif" w:hAnsi="Times New Roman;serif"/>
          <w:b w:val="false"/>
          <w:i/>
          <w:color w:val="000000"/>
          <w:sz w:val="20"/>
        </w:rPr>
        <w:t>our business strengths, marketing strategies, competitive advantages and role in our industry and markets</w:t>
      </w:r>
      <w:bookmarkStart w:id="22" w:name="OLE_LINK179"/>
      <w:bookmarkEnd w:id="22"/>
      <w:r>
        <w:rPr>
          <w:rFonts w:ascii="Times New Roman;serif" w:hAnsi="Times New Roman;serif"/>
          <w:b w:val="false"/>
          <w:i/>
          <w:color w:val="000000"/>
          <w:sz w:val="20"/>
        </w:rPr>
        <w:t xml:space="preserve">; </w:t>
      </w:r>
      <w:bookmarkStart w:id="23" w:name="OLE_LINK178"/>
      <w:bookmarkEnd w:id="23"/>
      <w:r>
        <w:rPr>
          <w:rFonts w:ascii="Times New Roman;serif" w:hAnsi="Times New Roman;serif"/>
          <w:b w:val="false"/>
          <w:i/>
          <w:color w:val="000000"/>
          <w:sz w:val="20"/>
        </w:rPr>
        <w:t>an overall decline in the health of the economy, the tile industry, consumer confidence and spending, and the housing market, including as a result of high inflation or fluctuating interest rates, tariffs and other trade barriers and restrictions, instability in the global banking system, geopolitical instability or the possibility of an economic downturn or recession</w:t>
      </w:r>
      <w:r>
        <w:rPr>
          <w:rFonts w:ascii="Times New Roman;serif" w:hAnsi="Times New Roman;serif"/>
          <w:color w:val="000000"/>
          <w:sz w:val="20"/>
        </w:rPr>
        <w:t xml:space="preserve"> </w:t>
      </w:r>
      <w:r>
        <w:rPr>
          <w:rFonts w:ascii="Times New Roman;serif" w:hAnsi="Times New Roman;serif"/>
          <w:b w:val="false"/>
          <w:i/>
          <w:color w:val="000000"/>
          <w:sz w:val="20"/>
        </w:rPr>
        <w:t xml:space="preserve">or other macroeconomic factors; the impact of ongoing supply chain disruptions (including tariffs)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including the impacts of tariffs and other trade barriers and restrictions and resulting volatility in the financial, capital and bond markets,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the impact of U.S. trade tensions, including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increased tariffs and retaliatory measures imposed by foreign governments; our expectations with respect to ongoing compliance with the terms of the Credit Agreement (as defined below), including fluctuating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business; tax-related risks; the potential impact of cybersecurity breaches or disruptions to our management information systems or to third-party information technology systems upon which we rely; widespread outages, interruptions or other failures of operational, communication, or other systems; our ability to successfully implement our information technology and other digital initiatives; our ability to effectively manage our online sales; costs and adequacy of insurance;</w:t>
      </w:r>
      <w:r>
        <w:rPr>
          <w:rFonts w:ascii="Times New Roman;serif" w:hAnsi="Times New Roman;serif"/>
          <w:color w:val="000000"/>
          <w:sz w:val="20"/>
        </w:rPr>
        <w:t xml:space="preserve"> </w:t>
      </w:r>
      <w:r>
        <w:rPr>
          <w:rFonts w:ascii="Times New Roman;serif" w:hAnsi="Times New Roman;serif"/>
          <w:b w:val="false"/>
          <w:i/>
          <w:color w:val="000000"/>
          <w:sz w:val="20"/>
        </w:rPr>
        <w:t>the potential impact of natural disasters, which may worsen or increase due to the effects of climate change, and other catastrophic events; risks inherent in operating as a holding company; our ability to maintain effective internal control over financial reporting; the potential outcome of any legal proceedings; risks related to ownership of our common stock;</w:t>
      </w:r>
      <w:r>
        <w:rPr>
          <w:rFonts w:ascii="Times New Roman;serif" w:hAnsi="Times New Roman;serif"/>
          <w:sz w:val="20"/>
        </w:rPr>
        <w:t xml:space="preserve"> </w:t>
      </w:r>
      <w:r>
        <w:rPr>
          <w:rFonts w:ascii="Times New Roman;serif" w:hAnsi="Times New Roman;serif"/>
          <w:b w:val="false"/>
          <w:i/>
          <w:sz w:val="20"/>
        </w:rPr>
        <w:t>and those factors set forth in the section captioned “Risk Factors” in our Annual Report on Form 10-K for the year ended December 31, 2024.</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pStyle w:val="TextBody"/>
        <w:bidi w:val="0"/>
        <w:spacing w:lineRule="auto" w:line="259"/>
        <w:rPr>
          <w:rFonts w:ascii="Times New Roman;serif" w:hAnsi="Times New Roman;serif"/>
          <w:sz w:val="20"/>
        </w:rPr>
      </w:pPr>
      <w:bookmarkStart w:id="24" w:name="_contentSection_bc88730b_8626_44e0_ae06_"/>
      <w:bookmarkEnd w:id="24"/>
      <w:r>
        <w:rPr>
          <w:rFonts w:ascii="Times New Roman;serif" w:hAnsi="Times New Roman;serif"/>
          <w:b/>
          <w:i w:val="false"/>
          <w:caps w:val="false"/>
          <w:smallCaps w:val="false"/>
          <w:sz w:val="20"/>
        </w:rPr>
        <w:t>Introduction</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Management’s Discussion and Analysis of Financial Condition and Results of Operations (MD&amp;A) should be read in conjunction with the MD&amp;A included in our Annual Report on Form 10-K for the fiscal year ended December 31, 2024, for important background regarding, among other things, our key business drivers.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light of recent changes to U.S. trade policy, including the imposition of elevated tariffs on certain imported goods, the Company is evaluating a range of strategic options to manage the anticipated cost pressures including sourcing adjustments and pricing strategies.  The degree of our exposure is dependent (among other things) the type of goods, rates imposed and timing of the tariffs. We continue to analyze the impact of these tariffs on our business and actions we can take to minimize their impact.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man-made and natural stone tiles, luxury vinyl tiles, setting and maintenance materials, and related accessories in the United States. We offer a wide selection of high-quality products, exclusive designs, knowledgeable staff and exceptional customer service, in an extensive showroom environment with up to 50 full-room tiled displays. As of March 31, 2025, we operated 142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man-made and natural stone, luxury vinyl tiles, setting and maintenance materials, and related accessories in the United States.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serve customers who seek to undertake a wide range of projects; however, many end customers choose to work with us when they choose to remodel their home. Historically, we have monitored existing home sales trends as a leading indicator of demand in our industry. While existing home sales trends have moderated in recent quarters, the level of existing home sales remains at historically low levels. We believe this has resulted in lower levels of demand for home improvement products and has affected our store traffic. During the three months ended March 31, 2025 and 2024 our comparable store sales decreased by 4.0% </w:t>
      </w:r>
      <w:r>
        <w:rPr>
          <w:rFonts w:ascii="Times New Roman;serif" w:hAnsi="Times New Roman;serif"/>
          <w:b w:val="false"/>
          <w:i w:val="false"/>
          <w:caps w:val="false"/>
          <w:smallCaps w:val="false"/>
          <w:color w:val="000000"/>
          <w:sz w:val="20"/>
        </w:rPr>
        <w:t xml:space="preserve">and 10.2%, respectively, </w:t>
      </w:r>
      <w:r>
        <w:rPr>
          <w:rFonts w:ascii="Times New Roman;serif" w:hAnsi="Times New Roman;serif"/>
          <w:b w:val="false"/>
          <w:i w:val="false"/>
          <w:caps w:val="false"/>
          <w:smallCaps w:val="false"/>
          <w:sz w:val="20"/>
        </w:rPr>
        <w:t>due to lower levels of traffic in our stores.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gross margin rate improved by 20 basis points to 66.0% during the first quarter of 2025 as compared to 65.8% during the first quarter of 2024. The improvement in our gross margin rate was due to lower levels of inventory write-offs that were partially offset by an increase in customer delivery costs.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decreased $0.1 million, or 0.3%, from $58.0 million in the first quarter of 2024 to $57.9 million in the first quarter of 2025. The decrease was primarily due to a $0.7 million decrease in depreciation, a $0.4 million decrease associated with the closure of one distribution center in the third quarter of 2024 and a $0.4 million decrease in benefits. These factors were partially offset by a $0.7 million increase in advertising costs, a $0.3 million increase in training and a $0.3 million increase in IT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Subsequent to March 31, 2025, we entered into two sublease agreements for our distribution center space in New Jersey, which we closed in 2024. These sublease agreements commenced in the second quarter of 2025 and will expire in August 2026. We anticipate the sublease agreements will generate approximately $1.0 million of sublease income in 2025 and an additional $1.0 million of sublease income in 2026 which will be classified as a reduction of our SG&amp;A expense. Our lease of the distribution space in New Jersey terminates in September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three months ended March 31, 2025, we generated $10.0 million of operating cash flow, which was used to fund $3.6 million of capital expenditures. Cash and cash equivalents increased by $6.1 million from $21.0 million on December 31, 2024 to $27.1 million on March 31, 2025. As of March 31, 2025, we had no borrowings outstanding on our line of credit. </w:t>
      </w:r>
    </w:p>
    <w:p>
      <w:pPr>
        <w:pStyle w:val="TextBody"/>
        <w:bidi w:val="0"/>
        <w:spacing w:lineRule="auto" w:line="259"/>
        <w:rPr>
          <w:rFonts w:ascii="Times New Roman;serif" w:hAnsi="Times New Roman;serif"/>
          <w:b/>
          <w:i w:val="false"/>
          <w:caps w:val="false"/>
          <w:smallCaps w:val="false"/>
          <w:sz w:val="20"/>
        </w:rPr>
      </w:pPr>
      <w:bookmarkStart w:id="25" w:name="_contentSection_b9b2880d_9a04_448c_8fe1_"/>
      <w:bookmarkEnd w:id="25"/>
      <w:r>
        <w:rPr>
          <w:rFonts w:ascii="Times New Roman;serif" w:hAnsi="Times New Roman;serif"/>
          <w:b/>
          <w:i w:val="false"/>
          <w:caps w:val="false"/>
          <w:smallCaps w:val="false"/>
          <w:sz w:val="20"/>
        </w:rPr>
        <w:t>Key Components of our Consolidated Statements of Income</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Net sales represents total charges to customers, net of returns, and includes freight charged to customers. We recognize sales 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Cost of sales consists primarily of material costs, freight, customs and duties fees, and storage and delivery of product to the customers, as well as physical inventory losses and costs associated with manufacturing of setting and maintenance materials.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profit is net sales less cost of sales. Gross margin rate is the percentage determined by dividing gross profit by net sales.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Selling, General, and Administrative Expenses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consist primarily of compensation costs, occupancy, utilities,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We are subject to income tax in the United States as well as other tax jurisdictions in which we conduct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three months ended March 31, 2025 to the three months ended March 31, 2024</w:t>
      </w:r>
    </w:p>
    <w:tbl>
      <w:tblPr>
        <w:tblW w:w="7821" w:type="dxa"/>
        <w:jc w:val="left"/>
        <w:tblInd w:w="0" w:type="dxa"/>
        <w:tblLayout w:type="fixed"/>
        <w:tblCellMar>
          <w:top w:w="0" w:type="dxa"/>
          <w:left w:w="0" w:type="dxa"/>
          <w:bottom w:w="0" w:type="dxa"/>
          <w:right w:w="0" w:type="dxa"/>
        </w:tblCellMar>
      </w:tblPr>
      <w:tblGrid>
        <w:gridCol w:w="3736"/>
        <w:gridCol w:w="109"/>
        <w:gridCol w:w="211"/>
        <w:gridCol w:w="676"/>
        <w:gridCol w:w="109"/>
        <w:gridCol w:w="621"/>
        <w:gridCol w:w="294"/>
        <w:gridCol w:w="109"/>
        <w:gridCol w:w="211"/>
        <w:gridCol w:w="676"/>
        <w:gridCol w:w="109"/>
        <w:gridCol w:w="618"/>
        <w:gridCol w:w="342"/>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342"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6"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29,939</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31,409</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57,887</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58,036</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3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3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i/>
          <w:sz w:val="20"/>
        </w:rPr>
        <w:t xml:space="preserve">Net Sales </w:t>
      </w:r>
      <w:r>
        <w:rPr>
          <w:rFonts w:ascii="Times New Roman;serif" w:hAnsi="Times New Roman;serif"/>
          <w:b w:val="false"/>
          <w:i w:val="false"/>
          <w:caps w:val="false"/>
          <w:smallCaps w:val="false"/>
          <w:sz w:val="20"/>
        </w:rPr>
        <w:t>Net sales for the first quarter of 2025 decreased $3.7 million, or 4.1%, compared with the first quarter of 2024.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Sales decreased at comparable stores by 4.0% during the first quarter of 2025 compared to the first quarter of 2024, primarily due to a decrease in traffic. </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Gross Profit </w:t>
      </w:r>
      <w:r>
        <w:rPr>
          <w:rFonts w:ascii="Times New Roman;serif" w:hAnsi="Times New Roman;serif"/>
          <w:b w:val="false"/>
          <w:i w:val="false"/>
          <w:caps w:val="false"/>
          <w:smallCaps w:val="false"/>
          <w:sz w:val="20"/>
        </w:rPr>
        <w:t xml:space="preserve">Gross profit decreased $2.2 million, or 3.7%, in the first quarter of 2025 compared to the first quarter of 2024. The gross margin rate was 66.0% and 65.8% during the first quarter of 2025 and 2024, respectively. The improvement in our gross margin rate was due to lower levels of inventory write-offs that were partially offset by an increase in customer delivery costs. </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Selling, general, and administrative expenses decreased $0.1 million, or 0.3%, from $58.0 million in the first quarter of 2024 to $57.9 million in the first quarter of 2025. The decrease was primarily due to a $0.7 million decrease in depreciation, a $0.4 million decrease associated with the closure of one distribution center in the third quarter of 2024 and a $0.4 million decrease in benefits. These factors were partially offset by a $0.7 million increase in advertising costs, a $0.3 million increase in training and a $0.3 million increase in IT expenses. </w:t>
      </w:r>
    </w:p>
    <w:p>
      <w:pPr>
        <w:pStyle w:val="TextBody"/>
        <w:bidi w:val="0"/>
        <w:spacing w:lineRule="auto" w:line="259"/>
        <w:rPr>
          <w:rFonts w:ascii="Times New Roman;serif" w:hAnsi="Times New Roman;serif"/>
          <w:sz w:val="20"/>
        </w:rPr>
      </w:pPr>
      <w:bookmarkStart w:id="26" w:name="_Hlk164677512"/>
      <w:bookmarkEnd w:id="26"/>
      <w:r>
        <w:rPr>
          <w:rFonts w:ascii="Times New Roman;serif" w:hAnsi="Times New Roman;serif"/>
          <w:b/>
          <w:i/>
          <w:sz w:val="20"/>
        </w:rPr>
        <w:t>Provision for Income Taxes</w:t>
      </w:r>
      <w:r>
        <w:rPr>
          <w:rFonts w:ascii="Times New Roman;serif" w:hAnsi="Times New Roman;serif"/>
          <w:caps w:val="false"/>
          <w:smallCaps w:val="false"/>
          <w:sz w:val="20"/>
        </w:rPr>
        <w:t xml:space="preserve"> </w:t>
      </w:r>
      <w:bookmarkStart w:id="27" w:name="_Hlk140760484"/>
      <w:bookmarkEnd w:id="27"/>
      <w:r>
        <w:rPr>
          <w:rFonts w:ascii="Times New Roman;serif" w:hAnsi="Times New Roman;serif"/>
          <w:b w:val="false"/>
          <w:i w:val="false"/>
          <w:caps w:val="false"/>
          <w:smallCaps w:val="false"/>
          <w:sz w:val="20"/>
        </w:rPr>
        <w:t xml:space="preserve">The provision for income taxes for the first quarter of 2025 and 2024 was less than $0.1 million and $0.4 million, respectively. The decrease in the provision for income taxes was primarily due to a decrease in pretax income. Our effective tax rate </w:t>
      </w:r>
      <w:r>
        <w:rPr>
          <w:rFonts w:ascii="Times New Roman;serif" w:hAnsi="Times New Roman;serif"/>
          <w:b w:val="false"/>
          <w:i w:val="false"/>
          <w:caps w:val="false"/>
          <w:smallCaps w:val="false"/>
          <w:color w:val="000000"/>
          <w:sz w:val="20"/>
        </w:rPr>
        <w:t>was 14.4% and 20.2% in the first quarter of 2025 and 2024, respectively.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The decrease in the effective tax rate was largely due to a decrease in pretax income and the impact of certain discrete items, including the impact employee equity award vesting.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income for the three months ended March 31, 2025 and 2024 is as follows:</w:t>
      </w:r>
    </w:p>
    <w:tbl>
      <w:tblPr>
        <w:tblW w:w="6470" w:type="dxa"/>
        <w:jc w:val="left"/>
        <w:tblInd w:w="0" w:type="dxa"/>
        <w:tblLayout w:type="fixed"/>
        <w:tblCellMar>
          <w:top w:w="0" w:type="dxa"/>
          <w:left w:w="0" w:type="dxa"/>
          <w:bottom w:w="0" w:type="dxa"/>
          <w:right w:w="0" w:type="dxa"/>
        </w:tblCellMar>
      </w:tblPr>
      <w:tblGrid>
        <w:gridCol w:w="2596"/>
        <w:gridCol w:w="109"/>
        <w:gridCol w:w="211"/>
        <w:gridCol w:w="571"/>
        <w:gridCol w:w="109"/>
        <w:gridCol w:w="511"/>
        <w:gridCol w:w="115"/>
        <w:gridCol w:w="288"/>
        <w:gridCol w:w="109"/>
        <w:gridCol w:w="211"/>
        <w:gridCol w:w="571"/>
        <w:gridCol w:w="109"/>
        <w:gridCol w:w="441"/>
        <w:gridCol w:w="133"/>
        <w:gridCol w:w="386"/>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33"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33"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3874"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65"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65"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11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3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1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7,417</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33"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6986" w:type="dxa"/>
        <w:jc w:val="left"/>
        <w:tblInd w:w="0" w:type="dxa"/>
        <w:tblLayout w:type="fixed"/>
        <w:tblCellMar>
          <w:top w:w="0" w:type="dxa"/>
          <w:left w:w="0" w:type="dxa"/>
          <w:bottom w:w="0" w:type="dxa"/>
          <w:right w:w="0" w:type="dxa"/>
        </w:tblCellMar>
      </w:tblPr>
      <w:tblGrid>
        <w:gridCol w:w="4066"/>
        <w:gridCol w:w="109"/>
        <w:gridCol w:w="211"/>
        <w:gridCol w:w="901"/>
        <w:gridCol w:w="271"/>
        <w:gridCol w:w="211"/>
        <w:gridCol w:w="901"/>
        <w:gridCol w:w="316"/>
      </w:tblGrid>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000000"/>
                <w:position w:val="7"/>
                <w:sz w:val="16"/>
                <w:sz w:val="20"/>
              </w:rPr>
              <w:t>(1)</w:t>
            </w:r>
          </w:p>
        </w:tc>
        <w:tc>
          <w:tcPr>
            <w:tcW w:w="27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2024</w:t>
            </w:r>
            <w:r>
              <w:rPr>
                <w:rFonts w:ascii="Times New Roman;serif" w:hAnsi="Times New Roman;serif"/>
                <w:b w:val="false"/>
                <w:i w:val="false"/>
                <w:caps w:val="false"/>
                <w:smallCaps w:val="false"/>
                <w:color w:val="000000"/>
                <w:position w:val="7"/>
                <w:sz w:val="16"/>
                <w:sz w:val="20"/>
              </w:rPr>
              <w:t>(1)</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 (trailing twelve months)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14,316</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321,849</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322,685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(23,606)</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(24,560)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(29,345)</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(31,865)</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(141,235)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(134,303)</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(4,551)</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123,033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126,585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principal liquidity requirements have been for working capital and capital expenditures. Our principal sources of liquidity are $27.1 million of cash and cash equivalents at March 31, 2025, our cash flow from operations, and borrowings available under our Credit Agreement. </w:t>
      </w:r>
      <w:r>
        <w:rPr>
          <w:rFonts w:ascii="Times New Roman;serif" w:hAnsi="Times New Roman;serif"/>
          <w:b w:val="false"/>
          <w:i w:val="false"/>
          <w:caps w:val="false"/>
          <w:smallCaps w:val="false"/>
          <w:color w:val="000000"/>
          <w:sz w:val="20"/>
        </w:rPr>
        <w:t>We expect to use this liquidity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March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had no borrowings outstanding on our line of credit as of March 31, 2025. </w:t>
      </w:r>
      <w:r>
        <w:rPr>
          <w:rFonts w:ascii="Times New Roman;serif" w:hAnsi="Times New Roman;serif"/>
          <w:b w:val="false"/>
          <w:i w:val="false"/>
          <w:caps w:val="false"/>
          <w:smallCaps w:val="false"/>
          <w:color w:val="000000"/>
          <w:sz w:val="20"/>
        </w:rPr>
        <w:t>We have standby letters of credit outstanding related to our workers’ compensation and medical insurance policies. As of March 31, 2025, standby letters of credit totaled $1.2 million.  As of March 31, 2025, there was $73.8 million available for borrowing on the revolving line of credit, which may be used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 were $3.6 million and $2.7 million for the three months ended March 31, 2025 and 2024, respectively. Capital expenditures in 2025 were primarily due to investments in store remodels, merchandising, distribution and information technology assets.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data for the three months ended March 31, 2025 and 2024.</w:t>
      </w:r>
    </w:p>
    <w:tbl>
      <w:tblPr>
        <w:tblW w:w="5533" w:type="dxa"/>
        <w:jc w:val="left"/>
        <w:tblInd w:w="0" w:type="dxa"/>
        <w:tblLayout w:type="fixed"/>
        <w:tblCellMar>
          <w:top w:w="0" w:type="dxa"/>
          <w:left w:w="0" w:type="dxa"/>
          <w:bottom w:w="0" w:type="dxa"/>
          <w:right w:w="0" w:type="dxa"/>
        </w:tblCellMar>
      </w:tblPr>
      <w:tblGrid>
        <w:gridCol w:w="3466"/>
        <w:gridCol w:w="109"/>
        <w:gridCol w:w="211"/>
        <w:gridCol w:w="691"/>
        <w:gridCol w:w="109"/>
        <w:gridCol w:w="211"/>
        <w:gridCol w:w="736"/>
      </w:tblGrid>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18,589</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(2,719)</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 during the three months ended March 31, 2025 was $10.0 million compared with $18.6 million during the three months ended March 31, 2024. The decrease was primarily attributable to a decrease in net income and other working capital changes.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cash used in investing activities totaled $3.6 million for the three months ended March 31,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compared with $2.7 million for the three months ended March 31, 2024. Cash used in investing activities during the three months ended March 31, 2025 was primarily due to investments in store remodels, merchandising, distribution and information technology assets.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used in financing activities was $0.3 million for the three months ended March 31, 2025 compared with $0.5 million for the three months ended March 31, 2024. The decrease in cash outflows for financing activities from the three months ended March 31, 2024 to March 31, 2025 relates to the impact of employee shares withheld for employee stock award vestings.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totaled $27.1 million at March 31, 2025 compared with $21.0 million at December 31, 2024. Working capital was $41.2 million at March 31, 2025 compared with $41.4 million at December 31, 2024.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8" w:name="MarketRisk"/>
      <w:bookmarkEnd w:id="28"/>
      <w:r>
        <w:rPr>
          <w:rFonts w:ascii="Times New Roman;serif" w:hAnsi="Times New Roman;serif"/>
          <w:b/>
          <w:i w:val="false"/>
          <w:caps w:val="false"/>
          <w:smallCaps w:val="false"/>
          <w:sz w:val="20"/>
        </w:rPr>
        <w:t xml:space="preserve">M 3. </w:t>
      </w:r>
      <w:r>
        <w:rPr>
          <w:rFonts w:ascii="Times New Roman;serif" w:hAnsi="Times New Roman;serif"/>
          <w:b/>
          <w:i w:val="false"/>
          <w:caps w:val="false"/>
          <w:smallCaps w:val="false"/>
          <w:color w:val="000000"/>
          <w:sz w:val="20"/>
        </w:rPr>
        <w:t>QUANTITATIVE</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in our primary risk exposures or management of market risks from those disclosed in our Annual Report on Form 10-K for the fiscal year ended December 31, 2024.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9" w:name="Item4"/>
      <w:bookmarkEnd w:id="29"/>
      <w:r>
        <w:rPr>
          <w:rFonts w:ascii="Times New Roman;serif" w:hAnsi="Times New Roman;serif"/>
          <w:b/>
          <w:i w:val="false"/>
          <w:caps w:val="false"/>
          <w:smallCaps w:val="false"/>
          <w:sz w:val="20"/>
        </w:rPr>
        <w:t>ITEM 4. CONTROLS AND PROCEDURES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regarding required disclosure. Our Chief Executive Officer and Chief Financial Officer evaluated the effectiveness of our disclosure controls and procedures as of March 31, 2025 and concluded that our disclosure controls and procedures were effective as of the end of the period covered by this Quarterly Report on Form 10-Q. </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were no changes in internal control over financial reporting (as defined by Rule 13a-15(f) under the Exchange Act) during the quarter ended March 31, 2025 that have materially affected, or are reasonably likely to materially affect, our internal control over financial reporting.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30" w:name="PartII"/>
      <w:bookmarkEnd w:id="30"/>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1" w:name="LegalProceedings"/>
      <w:bookmarkEnd w:id="31"/>
      <w:r>
        <w:rPr>
          <w:rFonts w:ascii="Times New Roman;serif" w:hAnsi="Times New Roman;serif"/>
          <w:b/>
          <w:i w:val="false"/>
          <w:caps w:val="false"/>
          <w:smallCaps w:val="false"/>
          <w:sz w:val="20"/>
        </w:rPr>
        <w:t>EM 1. LEGAL PROCEEDINGS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2" w:name="RiskFactors"/>
      <w:bookmarkEnd w:id="32"/>
      <w:r>
        <w:rPr>
          <w:rFonts w:ascii="Times New Roman;serif" w:hAnsi="Times New Roman;serif"/>
          <w:b/>
          <w:i w:val="false"/>
          <w:caps w:val="false"/>
          <w:smallCaps w:val="false"/>
          <w:sz w:val="20"/>
        </w:rPr>
        <w:t>EM 1A. RISK FACTORS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from the risk factors previously disclosed in our Annual Report on Form 10-K for the year ended December 31, 2024.</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3" w:name="UnregisteredSales"/>
      <w:bookmarkEnd w:id="33"/>
      <w:r>
        <w:rPr>
          <w:rFonts w:ascii="Times New Roman;serif" w:hAnsi="Times New Roman;serif"/>
          <w:b/>
          <w:i w:val="false"/>
          <w:caps w:val="false"/>
          <w:smallCaps w:val="false"/>
          <w:sz w:val="20"/>
        </w:rPr>
        <w:t>M 2. UNREGISTERED SALES OF EQUITY SECURITIES AND USE OF PROCEEDS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Issuer Purchases of Equity Securities </w:t>
      </w:r>
    </w:p>
    <w:tbl>
      <w:tblPr>
        <w:tblW w:w="10205" w:type="dxa"/>
        <w:jc w:val="left"/>
        <w:tblInd w:w="0" w:type="dxa"/>
        <w:tblLayout w:type="fixed"/>
        <w:tblCellMar>
          <w:top w:w="0" w:type="dxa"/>
          <w:left w:w="0" w:type="dxa"/>
          <w:bottom w:w="0" w:type="dxa"/>
          <w:right w:w="0" w:type="dxa"/>
        </w:tblCellMar>
      </w:tblPr>
      <w:tblGrid>
        <w:gridCol w:w="1513"/>
        <w:gridCol w:w="109"/>
        <w:gridCol w:w="1436"/>
        <w:gridCol w:w="271"/>
        <w:gridCol w:w="375"/>
        <w:gridCol w:w="832"/>
        <w:gridCol w:w="109"/>
        <w:gridCol w:w="2558"/>
        <w:gridCol w:w="109"/>
        <w:gridCol w:w="1445"/>
        <w:gridCol w:w="1448"/>
      </w:tblGrid>
      <w:tr>
        <w:trPr/>
        <w:tc>
          <w:tcPr>
            <w:tcW w:w="1513" w:type="dxa"/>
            <w:tcBorders/>
            <w:shd w:fill="FFFFFF" w:val="clear"/>
            <w:vAlign w:val="center"/>
          </w:tcPr>
          <w:p>
            <w:pPr>
              <w:pStyle w:val="TableContents"/>
              <w:bidi w:val="0"/>
              <w:spacing w:before="0" w:after="283"/>
              <w:jc w:val="left"/>
              <w:rPr>
                <w:sz w:val="4"/>
                <w:szCs w:val="4"/>
              </w:rPr>
            </w:pPr>
            <w:r>
              <w:rPr>
                <w:sz w:val="4"/>
                <w:szCs w:val="4"/>
              </w:rPr>
            </w:r>
            <w:bookmarkStart w:id="34" w:name="_Hlk164434296"/>
            <w:bookmarkStart w:id="35" w:name="_Hlk164434296"/>
            <w:bookmarkEnd w:id="35"/>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1448" w:type="dxa"/>
            <w:tcBorders/>
            <w:shd w:fill="FFFFFF" w:val="clear"/>
            <w:vAlign w:val="center"/>
          </w:tcPr>
          <w:p>
            <w:pPr>
              <w:pStyle w:val="TableContents"/>
              <w:bidi w:val="0"/>
              <w:spacing w:before="0" w:after="283"/>
              <w:jc w:val="left"/>
              <w:rPr>
                <w:sz w:val="4"/>
                <w:szCs w:val="4"/>
              </w:rPr>
            </w:pPr>
            <w:r>
              <w:rPr>
                <w:sz w:val="4"/>
                <w:szCs w:val="4"/>
              </w:rPr>
            </w:r>
          </w:p>
        </w:tc>
      </w:tr>
      <w:tr>
        <w:trPr/>
        <w:tc>
          <w:tcPr>
            <w:tcW w:w="15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1448" w:type="dxa"/>
            <w:tcBorders/>
            <w:shd w:fill="FFFFFF" w:val="clear"/>
            <w:vAlign w:val="center"/>
          </w:tcPr>
          <w:p>
            <w:pPr>
              <w:pStyle w:val="TableContents"/>
              <w:bidi w:val="0"/>
              <w:spacing w:before="0" w:after="283"/>
              <w:jc w:val="left"/>
              <w:rPr>
                <w:sz w:val="4"/>
                <w:szCs w:val="4"/>
              </w:rPr>
            </w:pPr>
            <w:r>
              <w:rPr>
                <w:sz w:val="4"/>
                <w:szCs w:val="4"/>
              </w:rPr>
            </w:r>
          </w:p>
        </w:tc>
      </w:tr>
      <w:tr>
        <w:trPr/>
        <w:tc>
          <w:tcPr>
            <w:tcW w:w="151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20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8"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9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br/>
              <w:t>‎Approximate Dollar Value of Shares That May Yet be Purchased Under the Plans or Programs</w:t>
            </w:r>
          </w:p>
        </w:tc>
      </w:tr>
      <w:tr>
        <w:trPr/>
        <w:tc>
          <w:tcPr>
            <w:tcW w:w="15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January 1, 2025 - January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1, 2025 - February 28, 2025</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214,477</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7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1, 2025 - 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52,032</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(2)</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vAlign w:val="center"/>
          </w:tcPr>
          <w:p>
            <w:pPr>
              <w:pStyle w:val="TableContents"/>
              <w:bidi w:val="0"/>
              <w:spacing w:lineRule="auto" w:line="259" w:before="0" w:after="283"/>
              <w:jc w:val="left"/>
              <w:rPr/>
            </w:pPr>
            <w:r>
              <w:rPr>
                <w:caps w:val="false"/>
                <w:smallCaps w:val="false"/>
                <w:color w:val="000000"/>
              </w:rPr>
              <w:t> </w:t>
            </w:r>
            <w:r>
              <w:rPr>
                <w:color w:val="000000"/>
              </w:rPr>
              <w:t> </w:t>
            </w: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266,509</w:t>
            </w:r>
          </w:p>
        </w:tc>
        <w:tc>
          <w:tcPr>
            <w:tcW w:w="271"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 We cancelled 214,477 shares that were forfeited when vesting conditions were not met, in accordance with the terms of the 2021 Omnibus Equity Compensation Plan and the related award agreements. We did not pay cash to repurchase these shares, nor were these repurchases part of a publicly announced plan or program.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We withheld a total of 38,534 shares to satisfy tax withholding obligations due upon the vesting of restricted stock grants, as allowed by the 2021 Omnibus Equity Compensation Plan. Additionally, 13,498 shares were forfeited when vesting conditions were not met, in accordance with the terms of the 2021 Omnibus Equity Compensation Plan, and the related award agreements. We did not pay cash to repurchase these shares, nor were these repurchases part of a publicly announced plan or program.</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6" w:name="DefaultUponSeniorSecurities"/>
      <w:bookmarkEnd w:id="36"/>
      <w:r>
        <w:rPr>
          <w:rFonts w:ascii="Times New Roman;serif" w:hAnsi="Times New Roman;serif"/>
          <w:b/>
          <w:i w:val="false"/>
          <w:caps w:val="false"/>
          <w:smallCaps w:val="false"/>
          <w:sz w:val="20"/>
        </w:rPr>
        <w: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7" w:name="MineSafetyDisclosures"/>
      <w:bookmarkEnd w:id="37"/>
      <w:r>
        <w:rPr>
          <w:rFonts w:ascii="Times New Roman;serif" w:hAnsi="Times New Roman;serif"/>
          <w:b/>
          <w:i w:val="false"/>
          <w:caps w:val="false"/>
          <w:smallCaps w:val="false"/>
          <w:sz w:val="20"/>
        </w:rPr>
        <w: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8" w:name="OtherInformation"/>
      <w:bookmarkEnd w:id="38"/>
      <w:r>
        <w:rPr>
          <w:rFonts w:ascii="Times New Roman;serif" w:hAnsi="Times New Roman;serif"/>
          <w:b/>
          <w:i w:val="false"/>
          <w:caps w:val="false"/>
          <w:smallCaps w:val="false"/>
          <w:sz w:val="20"/>
        </w:rPr>
        <w:t>M 5. OTHER INFORMATION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Rule 10b5-1 Trading Plans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March 31, 2025, none of the Company’s directors or executive officers adopted, modified 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any contract, instruction or written plan for the purchase or sale of Company securities that was intended to satisfy the affirmative defense conditions of Rule 10b5-1(c)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Exchange Act or any “non-Rule 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(as defined in Item 408(c) of Regulation S-K).</w:t>
      </w:r>
      <w:r>
        <w:rPr>
          <w:rFonts w:ascii="Times New Roman;serif" w:hAnsi="Times New Roman;serif"/>
          <w:b/>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9" w:name="Exhibits"/>
      <w:bookmarkEnd w:id="39"/>
      <w:r>
        <w:rPr>
          <w:rFonts w:ascii="Times New Roman;serif" w:hAnsi="Times New Roman;serif"/>
          <w:b/>
          <w:i w:val="false"/>
          <w:caps w:val="false"/>
          <w:smallCaps w:val="false"/>
          <w:sz w:val="20"/>
        </w:rPr>
        <w:t>EM 6. EXHIBITS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
        <w:gridCol w:w="9399"/>
      </w:tblGrid>
      <w:tr>
        <w:trPr/>
        <w:tc>
          <w:tcPr>
            <w:tcW w:w="806" w:type="dxa"/>
            <w:tcBorders/>
            <w:shd w:fill="FFFFFF" w:val="clear"/>
            <w:vAlign w:val="center"/>
          </w:tcPr>
          <w:p>
            <w:pPr>
              <w:pStyle w:val="TableContents"/>
              <w:bidi w:val="0"/>
              <w:spacing w:before="0" w:after="283"/>
              <w:jc w:val="left"/>
              <w:rPr>
                <w:sz w:val="4"/>
                <w:szCs w:val="4"/>
              </w:rPr>
            </w:pPr>
            <w:r>
              <w:rPr>
                <w:sz w:val="4"/>
                <w:szCs w:val="4"/>
              </w:rPr>
            </w:r>
          </w:p>
        </w:tc>
        <w:tc>
          <w:tcPr>
            <w:tcW w:w="9399" w:type="dxa"/>
            <w:tcBorders/>
            <w:shd w:fill="FFFFFF" w:val="clear"/>
            <w:vAlign w:val="center"/>
          </w:tcPr>
          <w:p>
            <w:pPr>
              <w:pStyle w:val="TableContents"/>
              <w:bidi w:val="0"/>
              <w:spacing w:before="0" w:after="283"/>
              <w:jc w:val="left"/>
              <w:rPr>
                <w:sz w:val="4"/>
                <w:szCs w:val="4"/>
              </w:rPr>
            </w:pPr>
            <w:r>
              <w:rPr>
                <w:sz w:val="4"/>
                <w:szCs w:val="4"/>
              </w:rPr>
            </w:r>
          </w:p>
        </w:tc>
      </w:tr>
      <w:tr>
        <w:trPr/>
        <w:tc>
          <w:tcPr>
            <w:tcW w:w="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Exhibit No.</w:t>
            </w:r>
          </w:p>
        </w:tc>
        <w:tc>
          <w:tcPr>
            <w:tcW w:w="93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Description</w:t>
            </w:r>
          </w:p>
        </w:tc>
      </w:tr>
      <w:tr>
        <w:trPr/>
        <w:tc>
          <w:tcPr>
            <w:tcW w:w="806"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563C1"/>
                  <w:sz w:val="20"/>
                  <w:u w:val="single"/>
                </w:rPr>
                <w:t>3.1</w:t>
              </w:r>
            </w:hyperlink>
          </w:p>
        </w:tc>
        <w:tc>
          <w:tcPr>
            <w:tcW w:w="9399"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563C1"/>
                  <w:sz w:val="20"/>
                  <w:u w:val="single"/>
                </w:rPr>
                <w:t>Certificate of Incorporation of Tile Shop Holdings, Inc. (incorporated by reference to Exhibit 3.1 to the Company’s Registration Statement on Form S-4 (Reg. No. 333-182482) filed with the Securities and Exchange Commission on July 2, 2012).</w:t>
              </w:r>
            </w:hyperlink>
          </w:p>
        </w:tc>
      </w:tr>
      <w:tr>
        <w:trPr/>
        <w:tc>
          <w:tcPr>
            <w:tcW w:w="806" w:type="dxa"/>
            <w:tcBorders/>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563C1"/>
                  <w:sz w:val="20"/>
                  <w:u w:val="single"/>
                </w:rPr>
                <w:t>3.2</w:t>
              </w:r>
            </w:hyperlink>
          </w:p>
        </w:tc>
        <w:tc>
          <w:tcPr>
            <w:tcW w:w="9399"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563C1"/>
                  <w:sz w:val="20"/>
                  <w:u w:val="single"/>
                </w:rPr>
                <w:t>Certificate of Amendment to the Certificate of Incorporation of Tile Shop Holdings, Inc. (incorporated by reference to Exhibit 3.2 to the Company’s Current Report on Form 8-K filed with the Securities and Exchange Commission on July 21, 2021).</w:t>
              </w:r>
            </w:hyperlink>
          </w:p>
        </w:tc>
      </w:tr>
      <w:tr>
        <w:trPr/>
        <w:tc>
          <w:tcPr>
            <w:tcW w:w="806"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563C1"/>
                  <w:sz w:val="20"/>
                  <w:u w:val="single"/>
                </w:rPr>
                <w:t>3.3</w:t>
              </w:r>
            </w:hyperlink>
          </w:p>
        </w:tc>
        <w:tc>
          <w:tcPr>
            <w:tcW w:w="9399"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563C1"/>
                  <w:sz w:val="20"/>
                  <w:u w:val="single"/>
                </w:rPr>
                <w:t>By-Laws of Tile Shop Holdings, Inc. (incorporated by reference to Exhibit 3.2 to the Company’s Registration Statement on Form S-4 (Reg. No. 333-182482) filed with the Securities and Exchange Commission on July 2, 2012).</w:t>
              </w:r>
            </w:hyperlink>
          </w:p>
        </w:tc>
      </w:tr>
      <w:tr>
        <w:trPr/>
        <w:tc>
          <w:tcPr>
            <w:tcW w:w="806" w:type="dxa"/>
            <w:tcBorders/>
            <w:shd w:fill="FFFF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563C1"/>
                  <w:sz w:val="20"/>
                  <w:u w:val="single"/>
                </w:rPr>
                <w:t>10.1+</w:t>
              </w:r>
            </w:hyperlink>
          </w:p>
        </w:tc>
        <w:tc>
          <w:tcPr>
            <w:tcW w:w="9399" w:type="dxa"/>
            <w:tcBorders/>
            <w:shd w:fill="FFFFFF" w:val="clear"/>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563C1"/>
                  <w:sz w:val="20"/>
                  <w:u w:val="single"/>
                </w:rPr>
                <w:t>Employment Agreement, dated as of February 25, 2025, by and between Tile Shop Holdings, Inc. and Joseph Kinder (incorporated by reference to Exhibit 10.11 to the Company’s Annual Report on Form 10-K for the year ended December 31, 2024).</w:t>
              </w:r>
            </w:hyperlink>
          </w:p>
        </w:tc>
      </w:tr>
      <w:tr>
        <w:trPr/>
        <w:tc>
          <w:tcPr>
            <w:tcW w:w="806" w:type="dxa"/>
            <w:tcBorders/>
            <w:shd w:fill="CCEEFF" w:val="clear"/>
            <w:vAlign w:val="center"/>
          </w:tcPr>
          <w:p>
            <w:pPr>
              <w:pStyle w:val="TableContents"/>
              <w:bidi w:val="0"/>
              <w:spacing w:lineRule="auto" w:line="259" w:before="0" w:after="283"/>
              <w:jc w:val="left"/>
              <w:rPr/>
            </w:pPr>
            <w:hyperlink w:anchor="ttsh-20250331xex31_1.htm">
              <w:r>
                <w:rPr>
                  <w:rStyle w:val="InternetLink"/>
                  <w:rFonts w:ascii="Times New Roman;serif" w:hAnsi="Times New Roman;serif"/>
                  <w:b w:val="false"/>
                  <w:i w:val="false"/>
                  <w:caps w:val="false"/>
                  <w:smallCaps w:val="false"/>
                  <w:color w:val="0563C1"/>
                  <w:sz w:val="20"/>
                  <w:u w:val="single"/>
                </w:rPr>
                <w:t>31.1*</w:t>
              </w:r>
            </w:hyperlink>
          </w:p>
        </w:tc>
        <w:tc>
          <w:tcPr>
            <w:tcW w:w="9399" w:type="dxa"/>
            <w:tcBorders/>
            <w:shd w:fill="CCEEFF" w:val="clear"/>
            <w:vAlign w:val="center"/>
          </w:tcPr>
          <w:p>
            <w:pPr>
              <w:pStyle w:val="TableContents"/>
              <w:bidi w:val="0"/>
              <w:spacing w:lineRule="auto" w:line="259" w:before="0" w:after="283"/>
              <w:jc w:val="left"/>
              <w:rPr/>
            </w:pPr>
            <w:hyperlink w:anchor="ttsh-20250331xex31_1.htm">
              <w:r>
                <w:rPr>
                  <w:rStyle w:val="InternetLink"/>
                  <w:rFonts w:ascii="Times New Roman;serif" w:hAnsi="Times New Roman;serif"/>
                  <w:b w:val="false"/>
                  <w:i w:val="false"/>
                  <w:caps w:val="false"/>
                  <w:smallCaps w:val="false"/>
                  <w:color w:val="0563C1"/>
                  <w:sz w:val="20"/>
                  <w:u w:val="single"/>
                </w:rPr>
                <w:t>Certification of Chief Executive Officer Pursuant to Section 302 of the Sarbanes Oxley Act of 2002.</w:t>
              </w:r>
            </w:hyperlink>
          </w:p>
        </w:tc>
      </w:tr>
      <w:tr>
        <w:trPr/>
        <w:tc>
          <w:tcPr>
            <w:tcW w:w="806" w:type="dxa"/>
            <w:tcBorders/>
            <w:shd w:fill="FFFFFF" w:val="clear"/>
            <w:vAlign w:val="center"/>
          </w:tcPr>
          <w:p>
            <w:pPr>
              <w:pStyle w:val="TableContents"/>
              <w:bidi w:val="0"/>
              <w:spacing w:lineRule="auto" w:line="259" w:before="0" w:after="283"/>
              <w:jc w:val="left"/>
              <w:rPr/>
            </w:pPr>
            <w:hyperlink w:anchor="ttsh-20250331xex31_2.htm">
              <w:r>
                <w:rPr>
                  <w:rStyle w:val="InternetLink"/>
                  <w:rFonts w:ascii="Times New Roman;serif" w:hAnsi="Times New Roman;serif"/>
                  <w:b w:val="false"/>
                  <w:i w:val="false"/>
                  <w:caps w:val="false"/>
                  <w:smallCaps w:val="false"/>
                  <w:color w:val="0563C1"/>
                  <w:sz w:val="20"/>
                  <w:u w:val="single"/>
                </w:rPr>
                <w:t>31.2*</w:t>
              </w:r>
            </w:hyperlink>
          </w:p>
        </w:tc>
        <w:tc>
          <w:tcPr>
            <w:tcW w:w="9399" w:type="dxa"/>
            <w:tcBorders/>
            <w:shd w:fill="FFFFFF" w:val="clear"/>
            <w:vAlign w:val="center"/>
          </w:tcPr>
          <w:p>
            <w:pPr>
              <w:pStyle w:val="TableContents"/>
              <w:bidi w:val="0"/>
              <w:spacing w:lineRule="auto" w:line="259" w:before="0" w:after="283"/>
              <w:jc w:val="left"/>
              <w:rPr/>
            </w:pPr>
            <w:hyperlink w:anchor="ttsh-20250331xex31_2.htm">
              <w:r>
                <w:rPr>
                  <w:rStyle w:val="InternetLink"/>
                  <w:rFonts w:ascii="Times New Roman;serif" w:hAnsi="Times New Roman;serif"/>
                  <w:b w:val="false"/>
                  <w:i w:val="false"/>
                  <w:caps w:val="false"/>
                  <w:smallCaps w:val="false"/>
                  <w:color w:val="0563C1"/>
                  <w:sz w:val="20"/>
                  <w:u w:val="single"/>
                </w:rPr>
                <w:t>Certification of Chief Financial Officer Pursuant to Section 302 of the Sarbanes Oxley Act of 2002.</w:t>
              </w:r>
            </w:hyperlink>
          </w:p>
        </w:tc>
      </w:tr>
      <w:tr>
        <w:trPr/>
        <w:tc>
          <w:tcPr>
            <w:tcW w:w="806" w:type="dxa"/>
            <w:tcBorders/>
            <w:shd w:fill="CCEEFF" w:val="clear"/>
            <w:vAlign w:val="center"/>
          </w:tcPr>
          <w:p>
            <w:pPr>
              <w:pStyle w:val="TableContents"/>
              <w:bidi w:val="0"/>
              <w:spacing w:lineRule="auto" w:line="259" w:before="0" w:after="283"/>
              <w:jc w:val="left"/>
              <w:rPr/>
            </w:pPr>
            <w:hyperlink w:anchor="ttsh-20250331xex32_1.htm">
              <w:r>
                <w:rPr>
                  <w:rStyle w:val="InternetLink"/>
                  <w:rFonts w:ascii="Times New Roman;serif" w:hAnsi="Times New Roman;serif"/>
                  <w:b w:val="false"/>
                  <w:i w:val="false"/>
                  <w:caps w:val="false"/>
                  <w:smallCaps w:val="false"/>
                  <w:color w:val="0563C1"/>
                  <w:sz w:val="20"/>
                  <w:u w:val="single"/>
                </w:rPr>
                <w:t>32.1**</w:t>
              </w:r>
            </w:hyperlink>
          </w:p>
        </w:tc>
        <w:tc>
          <w:tcPr>
            <w:tcW w:w="9399" w:type="dxa"/>
            <w:tcBorders/>
            <w:shd w:fill="CCEEFF" w:val="clear"/>
            <w:vAlign w:val="center"/>
          </w:tcPr>
          <w:p>
            <w:pPr>
              <w:pStyle w:val="TableContents"/>
              <w:bidi w:val="0"/>
              <w:spacing w:lineRule="auto" w:line="259" w:before="0" w:after="283"/>
              <w:jc w:val="left"/>
              <w:rPr/>
            </w:pPr>
            <w:hyperlink w:anchor="ttsh-20250331xex32_1.htm">
              <w:r>
                <w:rPr>
                  <w:rStyle w:val="InternetLink"/>
                  <w:rFonts w:ascii="Times New Roman;serif" w:hAnsi="Times New Roman;serif"/>
                  <w:b w:val="false"/>
                  <w:i w:val="false"/>
                  <w:caps w:val="false"/>
                  <w:smallCaps w:val="false"/>
                  <w:color w:val="0563C1"/>
                  <w:sz w:val="20"/>
                  <w:u w:val="single"/>
                </w:rPr>
                <w:t>Certifications of Chief Executive Officer Pursuant to Section 906 of the Sarbanes Oxley Act of 2002.</w:t>
              </w:r>
            </w:hyperlink>
          </w:p>
        </w:tc>
      </w:tr>
      <w:tr>
        <w:trPr/>
        <w:tc>
          <w:tcPr>
            <w:tcW w:w="806" w:type="dxa"/>
            <w:tcBorders/>
            <w:shd w:fill="FFFFFF" w:val="clear"/>
            <w:vAlign w:val="center"/>
          </w:tcPr>
          <w:p>
            <w:pPr>
              <w:pStyle w:val="TableContents"/>
              <w:bidi w:val="0"/>
              <w:spacing w:lineRule="auto" w:line="259" w:before="0" w:after="283"/>
              <w:jc w:val="left"/>
              <w:rPr/>
            </w:pPr>
            <w:hyperlink w:anchor="ttsh-20250331xex32_2.htm">
              <w:r>
                <w:rPr>
                  <w:rStyle w:val="InternetLink"/>
                  <w:rFonts w:ascii="Times New Roman;serif" w:hAnsi="Times New Roman;serif"/>
                  <w:b w:val="false"/>
                  <w:i w:val="false"/>
                  <w:caps w:val="false"/>
                  <w:smallCaps w:val="false"/>
                  <w:color w:val="0563C1"/>
                  <w:sz w:val="20"/>
                  <w:u w:val="single"/>
                </w:rPr>
                <w:t>32.2**</w:t>
              </w:r>
            </w:hyperlink>
          </w:p>
        </w:tc>
        <w:tc>
          <w:tcPr>
            <w:tcW w:w="9399" w:type="dxa"/>
            <w:tcBorders/>
            <w:shd w:fill="FFFFFF" w:val="clear"/>
            <w:vAlign w:val="center"/>
          </w:tcPr>
          <w:p>
            <w:pPr>
              <w:pStyle w:val="TableContents"/>
              <w:bidi w:val="0"/>
              <w:spacing w:lineRule="auto" w:line="259" w:before="0" w:after="283"/>
              <w:jc w:val="left"/>
              <w:rPr/>
            </w:pPr>
            <w:hyperlink w:anchor="ttsh-20250331xex32_2.htm">
              <w:r>
                <w:rPr>
                  <w:rStyle w:val="InternetLink"/>
                  <w:rFonts w:ascii="Times New Roman;serif" w:hAnsi="Times New Roman;serif"/>
                  <w:b w:val="false"/>
                  <w:i w:val="false"/>
                  <w:caps w:val="false"/>
                  <w:smallCaps w:val="false"/>
                  <w:color w:val="0563C1"/>
                  <w:sz w:val="20"/>
                  <w:u w:val="single"/>
                </w:rPr>
                <w:t>Certifications of Chief Financial Officer Pursuant to Section 906 of the Sarbanes Oxley Act of 2002.</w:t>
              </w:r>
            </w:hyperlink>
          </w:p>
        </w:tc>
      </w:tr>
      <w:tr>
        <w:trPr/>
        <w:tc>
          <w:tcPr>
            <w:tcW w:w="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3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Quarterly Report on Form 10-Q for the quarter ended March 31, 2025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w:t>
            </w:r>
          </w:p>
        </w:tc>
      </w:tr>
      <w:tr>
        <w:trPr/>
        <w:tc>
          <w:tcPr>
            <w:tcW w:w="8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3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Filed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Management compensatory plan or arrangement.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40" w:name="Signatures"/>
      <w:bookmarkEnd w:id="40"/>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4859" w:type="dxa"/>
        <w:jc w:val="left"/>
        <w:tblInd w:w="0" w:type="dxa"/>
        <w:tblLayout w:type="fixed"/>
        <w:tblCellMar>
          <w:top w:w="0" w:type="dxa"/>
          <w:left w:w="0" w:type="dxa"/>
          <w:bottom w:w="0" w:type="dxa"/>
          <w:right w:w="0" w:type="dxa"/>
        </w:tblCellMar>
      </w:tblPr>
      <w:tblGrid>
        <w:gridCol w:w="1741"/>
        <w:gridCol w:w="451"/>
        <w:gridCol w:w="247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92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May 8, 2025</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24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tbl>
      <w:tblPr>
        <w:tblW w:w="4349" w:type="dxa"/>
        <w:jc w:val="left"/>
        <w:tblInd w:w="0" w:type="dxa"/>
        <w:tblLayout w:type="fixed"/>
        <w:tblCellMar>
          <w:top w:w="0" w:type="dxa"/>
          <w:left w:w="0" w:type="dxa"/>
          <w:bottom w:w="0" w:type="dxa"/>
          <w:right w:w="0" w:type="dxa"/>
        </w:tblCellMar>
      </w:tblPr>
      <w:tblGrid>
        <w:gridCol w:w="1741"/>
        <w:gridCol w:w="451"/>
        <w:gridCol w:w="196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May 8, 2025</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19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uto" w:line="240" w:before="0" w:after="0"/>
        <w:ind w:left="1440" w:right="1440" w:hanging="0"/>
        <w:jc w:val="right"/>
        <w:rPr>
          <w:rFonts w:ascii="Times New Roman" w:hAnsi="Times New Roman"/>
          <w:sz w:val="20"/>
        </w:rPr>
      </w:pPr>
      <w:bookmarkStart w:id="41" w:name="ttsh-20250331xex31_1.htm"/>
      <w:bookmarkStart w:id="42" w:name="ksttsh20250331xex31_1"/>
      <w:bookmarkEnd w:id="41"/>
      <w:bookmarkEnd w:id="42"/>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Cabell H. Lolmaugh,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955" w:type="dxa"/>
        <w:jc w:val="left"/>
        <w:tblInd w:w="1440" w:type="dxa"/>
        <w:tblLayout w:type="fixed"/>
        <w:tblCellMar>
          <w:top w:w="0" w:type="dxa"/>
          <w:left w:w="0" w:type="dxa"/>
          <w:bottom w:w="0" w:type="dxa"/>
          <w:right w:w="0" w:type="dxa"/>
        </w:tblCellMar>
      </w:tblPr>
      <w:tblGrid>
        <w:gridCol w:w="1550"/>
        <w:gridCol w:w="2405"/>
      </w:tblGrid>
      <w:tr>
        <w:trPr/>
        <w:tc>
          <w:tcPr>
            <w:tcW w:w="155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May 8, 2025</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CABELL H. LOLMAUGH</w:t>
            </w:r>
          </w:p>
        </w:tc>
      </w:tr>
      <w:tr>
        <w:trPr/>
        <w:tc>
          <w:tcPr>
            <w:tcW w:w="1550" w:type="dxa"/>
            <w:tcBorders/>
          </w:tcPr>
          <w:p>
            <w:pPr>
              <w:pStyle w:val="TableContents"/>
              <w:bidi w:val="0"/>
              <w:spacing w:lineRule="auto" w:line="240" w:before="0" w:after="0"/>
              <w:ind w:left="0" w:right="0" w:hanging="0"/>
              <w:jc w:val="left"/>
              <w:rPr/>
            </w:pPr>
            <w:r>
              <w:rPr/>
              <w:t> </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Cabell H. Lolmaugh</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3" w:name="ttsh-20250331xex31_2.htm"/>
      <w:bookmarkStart w:id="44" w:name="ksttsh20250331xex31_2"/>
      <w:bookmarkEnd w:id="43"/>
      <w:bookmarkEnd w:id="44"/>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Mark B. Davis,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505" w:type="dxa"/>
        <w:jc w:val="left"/>
        <w:tblInd w:w="1440" w:type="dxa"/>
        <w:tblLayout w:type="fixed"/>
        <w:tblCellMar>
          <w:top w:w="0" w:type="dxa"/>
          <w:left w:w="0" w:type="dxa"/>
          <w:bottom w:w="0" w:type="dxa"/>
          <w:right w:w="0" w:type="dxa"/>
        </w:tblCellMar>
      </w:tblPr>
      <w:tblGrid>
        <w:gridCol w:w="1550"/>
        <w:gridCol w:w="1955"/>
      </w:tblGrid>
      <w:tr>
        <w:trPr/>
        <w:tc>
          <w:tcPr>
            <w:tcW w:w="155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May 8, 2025</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MARK B. DAVIS</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Mark B. Davis</w:t>
            </w:r>
          </w:p>
        </w:tc>
      </w:tr>
      <w:tr>
        <w:trPr/>
        <w:tc>
          <w:tcPr>
            <w:tcW w:w="1550" w:type="dxa"/>
            <w:tcBorders/>
          </w:tcPr>
          <w:p>
            <w:pPr>
              <w:pStyle w:val="TableContents"/>
              <w:bidi w:val="0"/>
              <w:spacing w:lineRule="auto" w:line="240" w:before="0" w:after="0"/>
              <w:ind w:left="0" w:right="0" w:hanging="0"/>
              <w:jc w:val="left"/>
              <w:rPr>
                <w:rFonts w:cs="Times New Roman"/>
                <w:iCs/>
                <w:color w:val="000000"/>
                <w:szCs w:val="20"/>
              </w:rPr>
            </w:pPr>
            <w:r>
              <w:rPr>
                <w:rFonts w:cs="Times New Roman"/>
                <w:iCs/>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5" w:name="ttsh-20250331xex32_1.htm"/>
      <w:bookmarkStart w:id="46" w:name="ksttsh20250331xex32_1"/>
      <w:bookmarkEnd w:id="45"/>
      <w:bookmarkEnd w:id="46"/>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Quarterly Report on Form 10-Q of the Company for the period ended March  31, 2025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955" w:type="dxa"/>
        <w:jc w:val="left"/>
        <w:tblInd w:w="1440" w:type="dxa"/>
        <w:tblLayout w:type="fixed"/>
        <w:tblCellMar>
          <w:top w:w="0" w:type="dxa"/>
          <w:left w:w="0" w:type="dxa"/>
          <w:bottom w:w="0" w:type="dxa"/>
          <w:right w:w="0" w:type="dxa"/>
        </w:tblCellMar>
      </w:tblPr>
      <w:tblGrid>
        <w:gridCol w:w="1550"/>
        <w:gridCol w:w="2405"/>
      </w:tblGrid>
      <w:tr>
        <w:trPr/>
        <w:tc>
          <w:tcPr>
            <w:tcW w:w="155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May 8, 2025</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CABELL H. LOLMAUGH</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Cabell H. Lolmaugh</w:t>
            </w:r>
          </w:p>
        </w:tc>
      </w:tr>
      <w:tr>
        <w:trPr/>
        <w:tc>
          <w:tcPr>
            <w:tcW w:w="155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7" w:name="ttsh-20250331xex32_2.htm"/>
      <w:bookmarkStart w:id="48" w:name="ksttsh20250331xex32_2"/>
      <w:bookmarkEnd w:id="47"/>
      <w:bookmarkEnd w:id="48"/>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Mark B. Davis, the Chief Financial Officer of Tile Shop Holdings, Inc. (the “Company”), hereby certify that the Quarterly Report on Form 10-Q of the Company for the period ended March  31, 2025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505" w:type="dxa"/>
        <w:jc w:val="left"/>
        <w:tblInd w:w="1440" w:type="dxa"/>
        <w:tblLayout w:type="fixed"/>
        <w:tblCellMar>
          <w:top w:w="0" w:type="dxa"/>
          <w:left w:w="0" w:type="dxa"/>
          <w:bottom w:w="0" w:type="dxa"/>
          <w:right w:w="0" w:type="dxa"/>
        </w:tblCellMar>
      </w:tblPr>
      <w:tblGrid>
        <w:gridCol w:w="1550"/>
        <w:gridCol w:w="1955"/>
      </w:tblGrid>
      <w:tr>
        <w:trPr/>
        <w:tc>
          <w:tcPr>
            <w:tcW w:w="155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May 8, 2025</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MARK B. DAVIS</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55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Mark B. Davis</w:t>
            </w:r>
          </w:p>
        </w:tc>
      </w:tr>
      <w:tr>
        <w:trPr/>
        <w:tc>
          <w:tcPr>
            <w:tcW w:w="155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sz w:val="20"/>
              </w:rPr>
            </w:pPr>
            <w:r>
              <w:rPr>
                <w:rFonts w:ascii="Times New Roman" w:hAnsi="Times New Roman"/>
                <w:i/>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Cambria Math">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2800/000114420412037509/v316486_ex3-1.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0465921094416/tm2122262d1_ex3-2.htm" TargetMode="External"/><Relationship Id="rId5" Type="http://schemas.openxmlformats.org/officeDocument/2006/relationships/hyperlink" Target="http://www.sec.gov/Archives/edgar/data/1552800/000110465921094416/tm2122262d1_ex3-2.htm" TargetMode="External"/><Relationship Id="rId6" Type="http://schemas.openxmlformats.org/officeDocument/2006/relationships/hyperlink" Target="http://www.sec.gov/Archives/edgar/data/1552800/000114420412037509/v316486_ex3-2.htm" TargetMode="External"/><Relationship Id="rId7" Type="http://schemas.openxmlformats.org/officeDocument/2006/relationships/hyperlink" Target="http://www.sec.gov/Archives/edgar/data/1552800/000114420412037509/v316486_ex3-2.htm" TargetMode="External"/><Relationship Id="rId8" Type="http://schemas.openxmlformats.org/officeDocument/2006/relationships/hyperlink" Target="http://www.sec.gov/Archives/edgar/data/1552800/000155280025000003/ttsh-20241231xex10_11.htm" TargetMode="External"/><Relationship Id="rId9" Type="http://schemas.openxmlformats.org/officeDocument/2006/relationships/hyperlink" Target="http://www.sec.gov/Archives/edgar/data/1552800/000155280025000003/ttsh-20241231xex10_1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11622</Words>
  <Characters>63502</Characters>
  <CharactersWithSpaces>73990</CharactersWithSpaces>
  <Paragraphs>1435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