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37"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2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spacing w:after="0" w:line="3"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ind w:left="60"/>
        <w:spacing w:after="0" w:line="234" w:lineRule="auto"/>
        <w:rPr>
          <w:sz w:val="20"/>
          <w:szCs w:val="20"/>
          <w:color w:val="auto"/>
        </w:rPr>
      </w:pPr>
      <w:r>
        <w:rPr>
          <w:rFonts w:ascii="Arial" w:cs="Arial" w:eastAsia="Arial" w:hAnsi="Arial"/>
          <w:sz w:val="18"/>
          <w:szCs w:val="18"/>
          <w:color w:val="auto"/>
        </w:rPr>
        <w:t>(Mark One)</w:t>
      </w:r>
    </w:p>
    <w:p>
      <w:pPr>
        <w:spacing w:after="0" w:line="1" w:lineRule="exact"/>
        <w:rPr>
          <w:sz w:val="24"/>
          <w:szCs w:val="24"/>
          <w:color w:val="auto"/>
        </w:rPr>
      </w:pPr>
    </w:p>
    <w:p>
      <w:pPr>
        <w:ind w:left="320" w:hanging="29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220" w:right="1640" w:hanging="4199"/>
        <w:spacing w:after="0" w:line="406" w:lineRule="auto"/>
        <w:tabs>
          <w:tab w:leader="none" w:pos="305"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20"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75" w:right="459" w:bottom="1440" w:gutter="0" w:footer="0" w:header="0"/>
        </w:sectPr>
      </w:pPr>
    </w:p>
    <w:p>
      <w:pPr>
        <w:spacing w:after="0" w:line="182"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75" w:right="459" w:bottom="1440" w:gutter="0" w:footer="0" w:header="0"/>
          <w:type w:val="continuous"/>
        </w:sectPr>
      </w:pPr>
    </w:p>
    <w:p>
      <w:pPr>
        <w:spacing w:after="0" w:line="11" w:lineRule="exact"/>
        <w:rPr>
          <w:sz w:val="24"/>
          <w:szCs w:val="24"/>
          <w:color w:val="auto"/>
        </w:rPr>
      </w:pPr>
    </w:p>
    <w:p>
      <w:pPr>
        <w:ind w:left="840"/>
        <w:spacing w:after="0"/>
        <w:rPr>
          <w:sz w:val="20"/>
          <w:szCs w:val="20"/>
          <w:color w:val="auto"/>
        </w:rPr>
      </w:pPr>
      <w:r>
        <w:rPr>
          <w:rFonts w:ascii="Arial" w:cs="Arial" w:eastAsia="Arial" w:hAnsi="Arial"/>
          <w:sz w:val="12"/>
          <w:szCs w:val="12"/>
          <w:b w:val="1"/>
          <w:bCs w:val="1"/>
          <w:color w:val="auto"/>
        </w:rPr>
        <w:t>Common Stock, $0.0001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TTSH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The Nasdaq Stock Market LLC</w:t>
      </w:r>
    </w:p>
    <w:p>
      <w:pPr>
        <w:spacing w:after="0" w:line="160" w:lineRule="exact"/>
        <w:rPr>
          <w:sz w:val="24"/>
          <w:szCs w:val="24"/>
          <w:color w:val="auto"/>
        </w:rPr>
      </w:pPr>
    </w:p>
    <w:p>
      <w:pPr>
        <w:sectPr>
          <w:pgSz w:w="11900" w:h="16838" w:orient="portrait"/>
          <w:cols w:equalWidth="0" w:num="3">
            <w:col w:w="4440" w:space="720"/>
            <w:col w:w="2240" w:space="720"/>
            <w:col w:w="3000"/>
          </w:cols>
          <w:pgMar w:left="320" w:top="675" w:right="459" w:bottom="1440" w:gutter="0" w:footer="0" w:header="0"/>
          <w:type w:val="continuous"/>
        </w:sectPr>
      </w:pPr>
    </w:p>
    <w:p>
      <w:pPr>
        <w:ind w:right="180"/>
        <w:spacing w:after="0" w:line="21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3" w:lineRule="exact"/>
        <w:rPr>
          <w:sz w:val="24"/>
          <w:szCs w:val="24"/>
          <w:color w:val="auto"/>
        </w:rPr>
      </w:pPr>
    </w:p>
    <w:p>
      <w:pPr>
        <w:spacing w:after="0" w:line="21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93" w:lineRule="exact"/>
        <w:rPr>
          <w:sz w:val="24"/>
          <w:szCs w:val="24"/>
          <w:color w:val="auto"/>
        </w:rPr>
      </w:pPr>
    </w:p>
    <w:p>
      <w:pPr>
        <w:ind w:right="200"/>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1" w:lineRule="exact"/>
        <w:rPr>
          <w:sz w:val="24"/>
          <w:szCs w:val="24"/>
          <w:color w:val="auto"/>
        </w:rPr>
      </w:pPr>
    </w:p>
    <w:tbl>
      <w:tblPr>
        <w:tblLayout w:type="fixed"/>
        <w:tblInd w:w="20" w:type="dxa"/>
        <w:tblCellMar>
          <w:top w:w="0" w:type="dxa"/>
          <w:left w:w="0" w:type="dxa"/>
          <w:bottom w:w="0" w:type="dxa"/>
          <w:right w:w="0" w:type="dxa"/>
        </w:tblCellMar>
      </w:tblPr>
      <w:tr>
        <w:trPr>
          <w:trHeight w:val="221"/>
        </w:trPr>
        <w:tc>
          <w:tcPr>
            <w:tcW w:w="1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189"/>
        </w:trPr>
        <w:tc>
          <w:tcPr>
            <w:tcW w:w="184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21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080" w:type="dxa"/>
            <w:vAlign w:val="bottom"/>
          </w:tcPr>
          <w:p>
            <w:pPr>
              <w:ind w:left="1800"/>
              <w:spacing w:after="0" w:line="189" w:lineRule="exact"/>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9" w:lineRule="exact"/>
              <w:rPr>
                <w:sz w:val="20"/>
                <w:szCs w:val="20"/>
                <w:color w:val="auto"/>
              </w:rPr>
            </w:pPr>
            <w:r>
              <w:rPr>
                <w:rFonts w:ascii="Arial" w:cs="Arial" w:eastAsia="Arial" w:hAnsi="Arial"/>
                <w:sz w:val="18"/>
                <w:szCs w:val="18"/>
                <w:color w:val="auto"/>
              </w:rPr>
              <w:t>x</w:t>
            </w:r>
          </w:p>
        </w:tc>
      </w:tr>
      <w:tr>
        <w:trPr>
          <w:trHeight w:val="303"/>
        </w:trPr>
        <w:tc>
          <w:tcPr>
            <w:tcW w:w="18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408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right="40"/>
        <w:spacing w:after="0" w:line="224"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760"/>
        <w:spacing w:after="0" w:line="31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x No As of October 30, 2023, there were 44,530,888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75"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600" w:type="dxa"/>
            <w:vAlign w:val="bottom"/>
            <w:gridSpan w:val="23"/>
          </w:tcPr>
          <w:p>
            <w:pPr>
              <w:spacing w:after="0"/>
              <w:rPr>
                <w:sz w:val="20"/>
                <w:szCs w:val="20"/>
                <w:color w:val="auto"/>
              </w:rPr>
            </w:pPr>
            <w:r>
              <w:rPr>
                <w:rFonts w:ascii="Arial" w:cs="Arial" w:eastAsia="Arial" w:hAnsi="Arial"/>
                <w:sz w:val="18"/>
                <w:szCs w:val="18"/>
                <w:b w:val="1"/>
                <w:bCs w:val="1"/>
                <w:color w:val="0563C1"/>
              </w:rPr>
              <w:t>Table of Contents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9"/>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220" w:type="dxa"/>
            <w:vAlign w:val="bottom"/>
            <w:tcBorders>
              <w:top w:val="single" w:sz="8" w:color="0563C1"/>
            </w:tcBorders>
          </w:tcPr>
          <w:p>
            <w:pPr>
              <w:spacing w:after="0"/>
              <w:rPr>
                <w:sz w:val="24"/>
                <w:szCs w:val="24"/>
                <w:color w:val="auto"/>
              </w:rPr>
            </w:pPr>
          </w:p>
        </w:tc>
        <w:tc>
          <w:tcPr>
            <w:tcW w:w="380" w:type="dxa"/>
            <w:vAlign w:val="bottom"/>
            <w:tcBorders>
              <w:top w:val="single" w:sz="8" w:color="0563C1"/>
            </w:tcBorders>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80" w:type="dxa"/>
            <w:vAlign w:val="bottom"/>
            <w:gridSpan w:val="6"/>
          </w:tcPr>
          <w:p>
            <w:pPr>
              <w:jc w:val="center"/>
              <w:ind w:right="348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80" w:type="dxa"/>
            <w:vAlign w:val="bottom"/>
            <w:gridSpan w:val="4"/>
          </w:tcPr>
          <w:p>
            <w:pPr>
              <w:jc w:val="center"/>
              <w:ind w:right="408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3"/>
        </w:trPr>
        <w:tc>
          <w:tcPr>
            <w:tcW w:w="3080" w:type="dxa"/>
            <w:vAlign w:val="bottom"/>
            <w:tcBorders>
              <w:top w:val="single" w:sz="8" w:color="CCEEFF"/>
              <w:bottom w:val="single" w:sz="8" w:color="0563C1"/>
            </w:tcBorders>
            <w:gridSpan w:val="12"/>
            <w:shd w:val="clear" w:color="auto" w:fill="CCEEFF"/>
          </w:tcPr>
          <w:p>
            <w:pPr>
              <w:spacing w:after="0" w:line="142" w:lineRule="exact"/>
              <w:rPr>
                <w:sz w:val="20"/>
                <w:szCs w:val="20"/>
                <w:color w:val="auto"/>
              </w:rPr>
            </w:pPr>
            <w:r>
              <w:rPr>
                <w:rFonts w:ascii="Arial" w:cs="Arial" w:eastAsia="Arial" w:hAnsi="Arial"/>
                <w:sz w:val="16"/>
                <w:szCs w:val="16"/>
                <w:b w:val="1"/>
                <w:bCs w:val="1"/>
                <w:color w:val="0563C1"/>
              </w:rPr>
              <w:t>PART I. FINANCIAL INFORMATION</w:t>
            </w:r>
          </w:p>
        </w:tc>
        <w:tc>
          <w:tcPr>
            <w:tcW w:w="7520" w:type="dxa"/>
            <w:vAlign w:val="bottom"/>
            <w:tcBorders>
              <w:top w:val="single" w:sz="8" w:color="CCEEFF"/>
              <w:bottom w:val="single" w:sz="8" w:color="CCEEFF"/>
            </w:tcBorders>
            <w:gridSpan w:val="11"/>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line="162" w:lineRule="exact"/>
              <w:rPr>
                <w:sz w:val="20"/>
                <w:szCs w:val="20"/>
                <w:color w:val="auto"/>
              </w:rPr>
            </w:pPr>
            <w:r>
              <w:rPr>
                <w:rFonts w:ascii="Arial" w:cs="Arial" w:eastAsia="Arial" w:hAnsi="Arial"/>
                <w:sz w:val="18"/>
                <w:szCs w:val="18"/>
                <w:color w:val="0563C1"/>
                <w:w w:val="90"/>
              </w:rPr>
              <w:t>Item 1.</w:t>
            </w:r>
          </w:p>
        </w:tc>
        <w:tc>
          <w:tcPr>
            <w:tcW w:w="460" w:type="dxa"/>
            <w:vAlign w:val="bottom"/>
            <w:gridSpan w:val="3"/>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Arial" w:cs="Arial" w:eastAsia="Arial" w:hAnsi="Arial"/>
                <w:sz w:val="18"/>
                <w:szCs w:val="18"/>
                <w:color w:val="0563C1"/>
              </w:rPr>
              <w:t>Financial Statements</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140" w:type="dxa"/>
            <w:vAlign w:val="bottom"/>
            <w:tcBorders>
              <w:bottom w:val="single" w:sz="8" w:color="0563C1"/>
            </w:tcBorders>
            <w:gridSpan w:val="9"/>
            <w:shd w:val="clear" w:color="auto" w:fill="CCEEFF"/>
          </w:tcPr>
          <w:p>
            <w:pPr>
              <w:spacing w:after="0" w:line="162" w:lineRule="exact"/>
              <w:rPr>
                <w:sz w:val="20"/>
                <w:szCs w:val="20"/>
                <w:color w:val="auto"/>
              </w:rPr>
            </w:pPr>
            <w:r>
              <w:rPr>
                <w:rFonts w:ascii="Arial" w:cs="Arial" w:eastAsia="Arial" w:hAnsi="Arial"/>
                <w:sz w:val="18"/>
                <w:szCs w:val="18"/>
                <w:color w:val="0563C1"/>
                <w:w w:val="89"/>
              </w:rPr>
              <w:t>Consolidated Balance Sheets</w:t>
            </w:r>
          </w:p>
        </w:tc>
        <w:tc>
          <w:tcPr>
            <w:tcW w:w="7480" w:type="dxa"/>
            <w:vAlign w:val="bottom"/>
            <w:tcBorders>
              <w:bottom w:val="single" w:sz="8" w:color="CCEEFF"/>
            </w:tcBorders>
            <w:gridSpan w:val="10"/>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Arial" w:cs="Arial" w:eastAsia="Arial" w:hAnsi="Arial"/>
                <w:sz w:val="18"/>
                <w:szCs w:val="18"/>
                <w:color w:val="0563C1"/>
              </w:rPr>
              <w:t>Consolidated Statements of Income</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3740" w:type="dxa"/>
            <w:vAlign w:val="bottom"/>
            <w:tcBorders>
              <w:bottom w:val="single" w:sz="8" w:color="0563C1"/>
            </w:tcBorders>
            <w:gridSpan w:val="15"/>
            <w:shd w:val="clear" w:color="auto" w:fill="CCEEFF"/>
          </w:tcPr>
          <w:p>
            <w:pPr>
              <w:spacing w:after="0" w:line="162" w:lineRule="exact"/>
              <w:rPr>
                <w:sz w:val="20"/>
                <w:szCs w:val="20"/>
                <w:color w:val="auto"/>
              </w:rPr>
            </w:pPr>
            <w:r>
              <w:rPr>
                <w:rFonts w:ascii="Arial" w:cs="Arial" w:eastAsia="Arial" w:hAnsi="Arial"/>
                <w:sz w:val="18"/>
                <w:szCs w:val="18"/>
                <w:color w:val="0563C1"/>
                <w:w w:val="89"/>
              </w:rPr>
              <w:t>Consolidated Statements of Comprehensive Income</w:t>
            </w:r>
          </w:p>
        </w:tc>
        <w:tc>
          <w:tcPr>
            <w:tcW w:w="5880" w:type="dxa"/>
            <w:vAlign w:val="bottom"/>
            <w:tcBorders>
              <w:bottom w:val="single" w:sz="8" w:color="CCEEFF"/>
            </w:tcBorders>
            <w:gridSpan w:val="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Arial" w:cs="Arial" w:eastAsia="Arial" w:hAnsi="Arial"/>
                <w:sz w:val="18"/>
                <w:szCs w:val="18"/>
                <w:color w:val="0563C1"/>
              </w:rPr>
              <w:t>Consolidated Statements of Stockholders’ Equity</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540" w:type="dxa"/>
            <w:vAlign w:val="bottom"/>
            <w:tcBorders>
              <w:top w:val="single" w:sz="8" w:color="0563C1"/>
            </w:tcBorders>
            <w:gridSpan w:val="14"/>
            <w:shd w:val="clear" w:color="auto" w:fill="CCEEFF"/>
          </w:tcPr>
          <w:p>
            <w:pPr>
              <w:spacing w:after="0" w:line="162" w:lineRule="exact"/>
              <w:rPr>
                <w:sz w:val="20"/>
                <w:szCs w:val="20"/>
                <w:color w:val="auto"/>
              </w:rPr>
            </w:pPr>
            <w:r>
              <w:rPr>
                <w:rFonts w:ascii="Arial" w:cs="Arial" w:eastAsia="Arial" w:hAnsi="Arial"/>
                <w:sz w:val="18"/>
                <w:szCs w:val="18"/>
                <w:color w:val="0563C1"/>
              </w:rPr>
              <w:t>Consolidated Statements of Cash Flows</w:t>
            </w:r>
          </w:p>
        </w:tc>
        <w:tc>
          <w:tcPr>
            <w:tcW w:w="6080" w:type="dxa"/>
            <w:vAlign w:val="bottom"/>
            <w:gridSpan w:val="5"/>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Arial" w:cs="Arial" w:eastAsia="Arial" w:hAnsi="Arial"/>
                <w:sz w:val="18"/>
                <w:szCs w:val="18"/>
                <w:color w:val="0563C1"/>
              </w:rPr>
              <w:t>Notes to Consolidated Financial Statements</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0563C1"/>
            </w:tcBorders>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24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280" w:type="dxa"/>
            <w:vAlign w:val="bottom"/>
            <w:shd w:val="clear" w:color="auto" w:fill="0563C1"/>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2.</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460" w:type="dxa"/>
            <w:vAlign w:val="bottom"/>
            <w:tcBorders>
              <w:bottom w:val="single" w:sz="8" w:color="0563C1"/>
            </w:tcBorders>
            <w:gridSpan w:val="17"/>
            <w:shd w:val="clear" w:color="auto" w:fill="CCEEFF"/>
          </w:tcPr>
          <w:p>
            <w:pPr>
              <w:spacing w:after="0" w:line="162" w:lineRule="exact"/>
              <w:rPr>
                <w:sz w:val="20"/>
                <w:szCs w:val="20"/>
                <w:color w:val="auto"/>
              </w:rPr>
            </w:pPr>
            <w:r>
              <w:rPr>
                <w:rFonts w:ascii="Arial" w:cs="Arial" w:eastAsia="Arial" w:hAnsi="Arial"/>
                <w:sz w:val="18"/>
                <w:szCs w:val="18"/>
                <w:color w:val="0563C1"/>
                <w:w w:val="90"/>
              </w:rPr>
              <w:t>Management’s Discussion and Analysis of Financial Condition and Results of Operations</w:t>
            </w:r>
          </w:p>
        </w:tc>
        <w:tc>
          <w:tcPr>
            <w:tcW w:w="3160" w:type="dxa"/>
            <w:vAlign w:val="bottom"/>
            <w:tcBorders>
              <w:bottom w:val="single" w:sz="8" w:color="CCEEFF"/>
            </w:tcBorders>
            <w:gridSpan w:val="2"/>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tcPr>
          <w:p>
            <w:pPr>
              <w:spacing w:after="0" w:line="162" w:lineRule="exact"/>
              <w:rPr>
                <w:sz w:val="20"/>
                <w:szCs w:val="20"/>
                <w:color w:val="auto"/>
              </w:rPr>
            </w:pPr>
            <w:r>
              <w:rPr>
                <w:rFonts w:ascii="Arial" w:cs="Arial" w:eastAsia="Arial" w:hAnsi="Arial"/>
                <w:sz w:val="18"/>
                <w:szCs w:val="18"/>
                <w:color w:val="0563C1"/>
                <w:w w:val="90"/>
              </w:rPr>
              <w:t>Item 3.</w:t>
            </w:r>
          </w:p>
        </w:tc>
        <w:tc>
          <w:tcPr>
            <w:tcW w:w="460" w:type="dxa"/>
            <w:vAlign w:val="bottom"/>
            <w:gridSpan w:val="3"/>
          </w:tcPr>
          <w:p>
            <w:pPr>
              <w:spacing w:after="0"/>
              <w:rPr>
                <w:sz w:val="14"/>
                <w:szCs w:val="14"/>
                <w:color w:val="auto"/>
              </w:rPr>
            </w:pPr>
          </w:p>
        </w:tc>
        <w:tc>
          <w:tcPr>
            <w:tcW w:w="4360" w:type="dxa"/>
            <w:vAlign w:val="bottom"/>
            <w:tcBorders>
              <w:bottom w:val="single" w:sz="8" w:color="0563C1"/>
            </w:tcBorders>
            <w:gridSpan w:val="16"/>
          </w:tcPr>
          <w:p>
            <w:pPr>
              <w:spacing w:after="0" w:line="162" w:lineRule="exact"/>
              <w:rPr>
                <w:sz w:val="20"/>
                <w:szCs w:val="20"/>
                <w:color w:val="auto"/>
              </w:rPr>
            </w:pPr>
            <w:r>
              <w:rPr>
                <w:rFonts w:ascii="Arial" w:cs="Arial" w:eastAsia="Arial" w:hAnsi="Arial"/>
                <w:sz w:val="18"/>
                <w:szCs w:val="18"/>
                <w:color w:val="0563C1"/>
                <w:w w:val="92"/>
              </w:rPr>
              <w:t>Quantitative and Qualitative Disclosures About Market Risk</w:t>
            </w:r>
          </w:p>
        </w:tc>
        <w:tc>
          <w:tcPr>
            <w:tcW w:w="5260" w:type="dxa"/>
            <w:vAlign w:val="bottom"/>
            <w:gridSpan w:val="3"/>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 w:type="dxa"/>
            <w:vAlign w:val="bottom"/>
            <w:shd w:val="clear" w:color="auto" w:fill="CCEEFF"/>
          </w:tcPr>
          <w:p>
            <w:pPr>
              <w:spacing w:after="0" w:line="162" w:lineRule="exact"/>
              <w:rPr>
                <w:sz w:val="20"/>
                <w:szCs w:val="20"/>
                <w:color w:val="auto"/>
              </w:rPr>
            </w:pPr>
            <w:r>
              <w:rPr>
                <w:rFonts w:ascii="Arial" w:cs="Arial" w:eastAsia="Arial" w:hAnsi="Arial"/>
                <w:sz w:val="18"/>
                <w:szCs w:val="18"/>
                <w:color w:val="0563C1"/>
                <w:w w:val="90"/>
              </w:rPr>
              <w:t>Item 4.</w:t>
            </w:r>
          </w:p>
        </w:tc>
        <w:tc>
          <w:tcPr>
            <w:tcW w:w="460" w:type="dxa"/>
            <w:vAlign w:val="bottom"/>
            <w:gridSpan w:val="3"/>
            <w:shd w:val="clear" w:color="auto" w:fill="CCEEFF"/>
          </w:tcPr>
          <w:p>
            <w:pPr>
              <w:spacing w:after="0"/>
              <w:rPr>
                <w:sz w:val="14"/>
                <w:szCs w:val="14"/>
                <w:color w:val="auto"/>
              </w:rPr>
            </w:pPr>
          </w:p>
        </w:tc>
        <w:tc>
          <w:tcPr>
            <w:tcW w:w="9620" w:type="dxa"/>
            <w:vAlign w:val="bottom"/>
            <w:gridSpan w:val="19"/>
            <w:shd w:val="clear" w:color="auto" w:fill="CCEEFF"/>
          </w:tcPr>
          <w:p>
            <w:pPr>
              <w:spacing w:after="0" w:line="162" w:lineRule="exact"/>
              <w:rPr>
                <w:sz w:val="20"/>
                <w:szCs w:val="20"/>
                <w:color w:val="auto"/>
              </w:rPr>
            </w:pPr>
            <w:r>
              <w:rPr>
                <w:rFonts w:ascii="Arial" w:cs="Arial" w:eastAsia="Arial" w:hAnsi="Arial"/>
                <w:sz w:val="18"/>
                <w:szCs w:val="18"/>
                <w:color w:val="0563C1"/>
              </w:rPr>
              <w:t>Controls and Procedures</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shd w:val="clear" w:color="auto" w:fill="0563C1"/>
          </w:tcPr>
          <w:p>
            <w:pPr>
              <w:spacing w:after="0"/>
              <w:rPr>
                <w:sz w:val="2"/>
                <w:szCs w:val="2"/>
                <w:color w:val="auto"/>
              </w:rPr>
            </w:pPr>
          </w:p>
        </w:tc>
        <w:tc>
          <w:tcPr>
            <w:tcW w:w="20" w:type="dxa"/>
            <w:vAlign w:val="bottom"/>
            <w:shd w:val="clear" w:color="auto" w:fill="0563C1"/>
          </w:tcPr>
          <w:p>
            <w:pPr>
              <w:spacing w:after="0"/>
              <w:rPr>
                <w:sz w:val="2"/>
                <w:szCs w:val="2"/>
                <w:color w:val="auto"/>
              </w:rPr>
            </w:pPr>
          </w:p>
        </w:tc>
        <w:tc>
          <w:tcPr>
            <w:tcW w:w="160" w:type="dxa"/>
            <w:vAlign w:val="bottom"/>
            <w:shd w:val="clear" w:color="auto" w:fill="0563C1"/>
          </w:tcPr>
          <w:p>
            <w:pPr>
              <w:spacing w:after="0"/>
              <w:rPr>
                <w:sz w:val="2"/>
                <w:szCs w:val="2"/>
                <w:color w:val="auto"/>
              </w:rPr>
            </w:pPr>
          </w:p>
        </w:tc>
        <w:tc>
          <w:tcPr>
            <w:tcW w:w="300" w:type="dxa"/>
            <w:vAlign w:val="bottom"/>
            <w:tcBorders>
              <w:right w:val="single" w:sz="8" w:color="CCEEFF"/>
            </w:tcBorders>
            <w:shd w:val="clear" w:color="auto" w:fill="0563C1"/>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2780" w:type="dxa"/>
            <w:vAlign w:val="bottom"/>
            <w:tcBorders>
              <w:bottom w:val="single" w:sz="8" w:color="0563C1"/>
            </w:tcBorders>
            <w:gridSpan w:val="11"/>
          </w:tcPr>
          <w:p>
            <w:pPr>
              <w:spacing w:after="0" w:line="162" w:lineRule="exact"/>
              <w:rPr>
                <w:sz w:val="20"/>
                <w:szCs w:val="20"/>
                <w:color w:val="auto"/>
              </w:rPr>
            </w:pPr>
            <w:r>
              <w:rPr>
                <w:rFonts w:ascii="Arial" w:cs="Arial" w:eastAsia="Arial" w:hAnsi="Arial"/>
                <w:sz w:val="18"/>
                <w:szCs w:val="18"/>
                <w:b w:val="1"/>
                <w:bCs w:val="1"/>
                <w:color w:val="0563C1"/>
              </w:rPr>
              <w:t>PART II. OTHER INFORMATION</w:t>
            </w:r>
          </w:p>
        </w:tc>
        <w:tc>
          <w:tcPr>
            <w:tcW w:w="7820" w:type="dxa"/>
            <w:vAlign w:val="bottom"/>
            <w:gridSpan w:val="12"/>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1.</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1340" w:type="dxa"/>
            <w:vAlign w:val="bottom"/>
            <w:tcBorders>
              <w:bottom w:val="single" w:sz="8" w:color="0563C1"/>
            </w:tcBorders>
            <w:gridSpan w:val="5"/>
            <w:shd w:val="clear" w:color="auto" w:fill="CCEEFF"/>
          </w:tcPr>
          <w:p>
            <w:pPr>
              <w:spacing w:after="0" w:line="162" w:lineRule="exact"/>
              <w:rPr>
                <w:sz w:val="20"/>
                <w:szCs w:val="20"/>
                <w:color w:val="auto"/>
              </w:rPr>
            </w:pPr>
            <w:r>
              <w:rPr>
                <w:rFonts w:ascii="Arial" w:cs="Arial" w:eastAsia="Arial" w:hAnsi="Arial"/>
                <w:sz w:val="18"/>
                <w:szCs w:val="18"/>
                <w:color w:val="0563C1"/>
                <w:w w:val="88"/>
              </w:rPr>
              <w:t>Legal Proceedings</w:t>
            </w:r>
          </w:p>
        </w:tc>
        <w:tc>
          <w:tcPr>
            <w:tcW w:w="8280" w:type="dxa"/>
            <w:vAlign w:val="bottom"/>
            <w:tcBorders>
              <w:bottom w:val="single" w:sz="8" w:color="CCEEFF"/>
            </w:tcBorders>
            <w:gridSpan w:val="14"/>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Arial" w:cs="Arial" w:eastAsia="Arial" w:hAnsi="Arial"/>
                <w:sz w:val="18"/>
                <w:szCs w:val="18"/>
                <w:color w:val="0563C1"/>
              </w:rPr>
              <w:t>Item 1A.</w:t>
            </w:r>
          </w:p>
        </w:tc>
        <w:tc>
          <w:tcPr>
            <w:tcW w:w="9620" w:type="dxa"/>
            <w:vAlign w:val="bottom"/>
            <w:gridSpan w:val="19"/>
          </w:tcPr>
          <w:p>
            <w:pPr>
              <w:spacing w:after="0" w:line="162" w:lineRule="exact"/>
              <w:rPr>
                <w:sz w:val="20"/>
                <w:szCs w:val="20"/>
                <w:color w:val="auto"/>
              </w:rPr>
            </w:pPr>
            <w:r>
              <w:rPr>
                <w:rFonts w:ascii="Arial" w:cs="Arial" w:eastAsia="Arial" w:hAnsi="Arial"/>
                <w:sz w:val="18"/>
                <w:szCs w:val="18"/>
                <w:color w:val="0563C1"/>
              </w:rPr>
              <w:t>Risk Factors</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563C1"/>
          </w:tcPr>
          <w:p>
            <w:pPr>
              <w:spacing w:after="0"/>
              <w:rPr>
                <w:sz w:val="2"/>
                <w:szCs w:val="2"/>
                <w:color w:val="auto"/>
              </w:rPr>
            </w:pPr>
          </w:p>
        </w:tc>
        <w:tc>
          <w:tcPr>
            <w:tcW w:w="120" w:type="dxa"/>
            <w:vAlign w:val="bottom"/>
            <w:shd w:val="clear" w:color="auto" w:fill="0563C1"/>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563C1"/>
          </w:tcPr>
          <w:p>
            <w:pPr>
              <w:spacing w:after="0"/>
              <w:rPr>
                <w:sz w:val="2"/>
                <w:szCs w:val="2"/>
                <w:color w:val="auto"/>
              </w:rPr>
            </w:pPr>
          </w:p>
        </w:tc>
        <w:tc>
          <w:tcPr>
            <w:tcW w:w="220" w:type="dxa"/>
            <w:vAlign w:val="bottom"/>
            <w:shd w:val="clear" w:color="auto" w:fill="0563C1"/>
          </w:tcPr>
          <w:p>
            <w:pPr>
              <w:spacing w:after="0"/>
              <w:rPr>
                <w:sz w:val="2"/>
                <w:szCs w:val="2"/>
                <w:color w:val="auto"/>
              </w:rPr>
            </w:pPr>
          </w:p>
        </w:tc>
        <w:tc>
          <w:tcPr>
            <w:tcW w:w="300" w:type="dxa"/>
            <w:vAlign w:val="bottom"/>
            <w:shd w:val="clear" w:color="auto" w:fill="0563C1"/>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2.</w:t>
            </w:r>
          </w:p>
        </w:tc>
        <w:tc>
          <w:tcPr>
            <w:tcW w:w="1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gridSpan w:val="2"/>
            <w:shd w:val="clear" w:color="auto" w:fill="CCEEFF"/>
          </w:tcPr>
          <w:p>
            <w:pPr>
              <w:spacing w:after="0"/>
              <w:rPr>
                <w:sz w:val="14"/>
                <w:szCs w:val="14"/>
                <w:color w:val="auto"/>
              </w:rPr>
            </w:pPr>
          </w:p>
        </w:tc>
        <w:tc>
          <w:tcPr>
            <w:tcW w:w="7160" w:type="dxa"/>
            <w:vAlign w:val="bottom"/>
            <w:tcBorders>
              <w:bottom w:val="single" w:sz="8" w:color="0563C1"/>
            </w:tcBorders>
            <w:gridSpan w:val="18"/>
            <w:shd w:val="clear" w:color="auto" w:fill="CCEEFF"/>
          </w:tcPr>
          <w:p>
            <w:pPr>
              <w:spacing w:after="0" w:line="162" w:lineRule="exact"/>
              <w:rPr>
                <w:sz w:val="20"/>
                <w:szCs w:val="20"/>
                <w:color w:val="auto"/>
              </w:rPr>
            </w:pPr>
            <w:r>
              <w:rPr>
                <w:rFonts w:ascii="Arial" w:cs="Arial" w:eastAsia="Arial" w:hAnsi="Arial"/>
                <w:sz w:val="18"/>
                <w:szCs w:val="18"/>
                <w:color w:val="0563C1"/>
                <w:w w:val="89"/>
              </w:rPr>
              <w:t>Unregistered Sales of Equity Securities, Use of Proceeds, and Issuer Purchases of Equity Securities</w:t>
            </w:r>
          </w:p>
        </w:tc>
        <w:tc>
          <w:tcPr>
            <w:tcW w:w="24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line="162" w:lineRule="exact"/>
              <w:rPr>
                <w:sz w:val="20"/>
                <w:szCs w:val="20"/>
                <w:color w:val="auto"/>
              </w:rPr>
            </w:pPr>
            <w:r>
              <w:rPr>
                <w:rFonts w:ascii="Arial" w:cs="Arial" w:eastAsia="Arial" w:hAnsi="Arial"/>
                <w:sz w:val="18"/>
                <w:szCs w:val="18"/>
                <w:color w:val="0563C1"/>
                <w:w w:val="90"/>
              </w:rPr>
              <w:t>Item 3.</w:t>
            </w:r>
          </w:p>
        </w:tc>
        <w:tc>
          <w:tcPr>
            <w:tcW w:w="460" w:type="dxa"/>
            <w:vAlign w:val="bottom"/>
            <w:gridSpan w:val="3"/>
          </w:tcPr>
          <w:p>
            <w:pPr>
              <w:spacing w:after="0"/>
              <w:rPr>
                <w:sz w:val="14"/>
                <w:szCs w:val="14"/>
                <w:color w:val="auto"/>
              </w:rPr>
            </w:pPr>
          </w:p>
        </w:tc>
        <w:tc>
          <w:tcPr>
            <w:tcW w:w="9620" w:type="dxa"/>
            <w:vAlign w:val="bottom"/>
            <w:gridSpan w:val="19"/>
          </w:tcPr>
          <w:p>
            <w:pPr>
              <w:spacing w:after="0" w:line="162" w:lineRule="exact"/>
              <w:rPr>
                <w:sz w:val="20"/>
                <w:szCs w:val="20"/>
                <w:color w:val="auto"/>
              </w:rPr>
            </w:pPr>
            <w:r>
              <w:rPr>
                <w:rFonts w:ascii="Arial" w:cs="Arial" w:eastAsia="Arial" w:hAnsi="Arial"/>
                <w:sz w:val="18"/>
                <w:szCs w:val="18"/>
                <w:color w:val="0563C1"/>
              </w:rPr>
              <w:t>Defaults Upon Senior Securities</w:t>
            </w: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4.</w:t>
            </w:r>
          </w:p>
        </w:tc>
        <w:tc>
          <w:tcPr>
            <w:tcW w:w="460" w:type="dxa"/>
            <w:vAlign w:val="bottom"/>
            <w:gridSpan w:val="3"/>
            <w:shd w:val="clear" w:color="auto" w:fill="CCEEFF"/>
          </w:tcPr>
          <w:p>
            <w:pPr>
              <w:spacing w:after="0"/>
              <w:rPr>
                <w:sz w:val="14"/>
                <w:szCs w:val="14"/>
                <w:color w:val="auto"/>
              </w:rPr>
            </w:pPr>
          </w:p>
        </w:tc>
        <w:tc>
          <w:tcPr>
            <w:tcW w:w="2320" w:type="dxa"/>
            <w:vAlign w:val="bottom"/>
            <w:tcBorders>
              <w:top w:val="single" w:sz="8" w:color="0563C1"/>
            </w:tcBorders>
            <w:gridSpan w:val="10"/>
            <w:shd w:val="clear" w:color="auto" w:fill="CCEEFF"/>
          </w:tcPr>
          <w:p>
            <w:pPr>
              <w:spacing w:after="0" w:line="162" w:lineRule="exact"/>
              <w:rPr>
                <w:sz w:val="20"/>
                <w:szCs w:val="20"/>
                <w:color w:val="auto"/>
              </w:rPr>
            </w:pPr>
            <w:r>
              <w:rPr>
                <w:rFonts w:ascii="Arial" w:cs="Arial" w:eastAsia="Arial" w:hAnsi="Arial"/>
                <w:sz w:val="18"/>
                <w:szCs w:val="18"/>
                <w:color w:val="0563C1"/>
              </w:rPr>
              <w:t>Mine Safety Disclosures</w:t>
            </w:r>
          </w:p>
        </w:tc>
        <w:tc>
          <w:tcPr>
            <w:tcW w:w="7300" w:type="dxa"/>
            <w:vAlign w:val="bottom"/>
            <w:gridSpan w:val="9"/>
            <w:shd w:val="clear" w:color="auto" w:fill="CCEEFF"/>
          </w:tcPr>
          <w:p>
            <w:pPr>
              <w:spacing w:after="0"/>
              <w:rPr>
                <w:sz w:val="14"/>
                <w:szCs w:val="14"/>
                <w:color w:val="auto"/>
              </w:rPr>
            </w:pP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top w:val="single" w:sz="8" w:color="0563C1"/>
              <w:bottom w:val="single" w:sz="8" w:color="0563C1"/>
            </w:tcBorders>
          </w:tcPr>
          <w:p>
            <w:pPr>
              <w:spacing w:after="0" w:line="162" w:lineRule="exact"/>
              <w:rPr>
                <w:sz w:val="20"/>
                <w:szCs w:val="20"/>
                <w:color w:val="auto"/>
              </w:rPr>
            </w:pPr>
            <w:r>
              <w:rPr>
                <w:rFonts w:ascii="Arial" w:cs="Arial" w:eastAsia="Arial" w:hAnsi="Arial"/>
                <w:sz w:val="18"/>
                <w:szCs w:val="18"/>
                <w:color w:val="0563C1"/>
                <w:w w:val="90"/>
              </w:rPr>
              <w:t>Item 5.</w:t>
            </w:r>
          </w:p>
        </w:tc>
        <w:tc>
          <w:tcPr>
            <w:tcW w:w="460" w:type="dxa"/>
            <w:vAlign w:val="bottom"/>
            <w:tcBorders>
              <w:top w:val="single" w:sz="8" w:color="CCEEFF"/>
            </w:tcBorders>
            <w:gridSpan w:val="3"/>
          </w:tcPr>
          <w:p>
            <w:pPr>
              <w:spacing w:after="0"/>
              <w:rPr>
                <w:sz w:val="14"/>
                <w:szCs w:val="14"/>
                <w:color w:val="auto"/>
              </w:rPr>
            </w:pPr>
          </w:p>
        </w:tc>
        <w:tc>
          <w:tcPr>
            <w:tcW w:w="1320" w:type="dxa"/>
            <w:vAlign w:val="bottom"/>
            <w:tcBorders>
              <w:top w:val="single" w:sz="8" w:color="0563C1"/>
              <w:bottom w:val="single" w:sz="8" w:color="0563C1"/>
            </w:tcBorders>
            <w:gridSpan w:val="4"/>
          </w:tcPr>
          <w:p>
            <w:pPr>
              <w:spacing w:after="0" w:line="162" w:lineRule="exact"/>
              <w:rPr>
                <w:sz w:val="20"/>
                <w:szCs w:val="20"/>
                <w:color w:val="auto"/>
              </w:rPr>
            </w:pPr>
            <w:r>
              <w:rPr>
                <w:rFonts w:ascii="Arial" w:cs="Arial" w:eastAsia="Arial" w:hAnsi="Arial"/>
                <w:sz w:val="18"/>
                <w:szCs w:val="18"/>
                <w:color w:val="0563C1"/>
                <w:w w:val="92"/>
              </w:rPr>
              <w:t>Other Information</w:t>
            </w:r>
          </w:p>
        </w:tc>
        <w:tc>
          <w:tcPr>
            <w:tcW w:w="480" w:type="dxa"/>
            <w:vAlign w:val="bottom"/>
            <w:tcBorders>
              <w:top w:val="single" w:sz="8" w:color="0563C1"/>
            </w:tcBorders>
            <w:gridSpan w:val="3"/>
          </w:tcPr>
          <w:p>
            <w:pPr>
              <w:spacing w:after="0"/>
              <w:rPr>
                <w:sz w:val="14"/>
                <w:szCs w:val="14"/>
                <w:color w:val="auto"/>
              </w:rPr>
            </w:pPr>
          </w:p>
        </w:tc>
        <w:tc>
          <w:tcPr>
            <w:tcW w:w="7820" w:type="dxa"/>
            <w:vAlign w:val="bottom"/>
            <w:tcBorders>
              <w:top w:val="single" w:sz="8" w:color="CCEEFF"/>
            </w:tcBorders>
            <w:gridSpan w:val="12"/>
          </w:tcPr>
          <w:p>
            <w:pPr>
              <w:spacing w:after="0"/>
              <w:rPr>
                <w:sz w:val="14"/>
                <w:szCs w:val="14"/>
                <w:color w:val="auto"/>
              </w:rPr>
            </w:pPr>
          </w:p>
        </w:tc>
        <w:tc>
          <w:tcPr>
            <w:tcW w:w="640" w:type="dxa"/>
            <w:vAlign w:val="bottom"/>
            <w:tcBorders>
              <w:top w:val="single" w:sz="8" w:color="CCEEFF"/>
            </w:tcBorders>
          </w:tcPr>
          <w:p>
            <w:pPr>
              <w:jc w:val="right"/>
              <w:spacing w:after="0" w:line="162"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20" w:type="dxa"/>
            <w:vAlign w:val="bottom"/>
            <w:tcBorders>
              <w:bottom w:val="single" w:sz="8" w:color="0563C1"/>
            </w:tcBorders>
            <w:shd w:val="clear" w:color="auto" w:fill="CCEEFF"/>
          </w:tcPr>
          <w:p>
            <w:pPr>
              <w:spacing w:after="0" w:line="162" w:lineRule="exact"/>
              <w:rPr>
                <w:sz w:val="20"/>
                <w:szCs w:val="20"/>
                <w:color w:val="auto"/>
              </w:rPr>
            </w:pPr>
            <w:r>
              <w:rPr>
                <w:rFonts w:ascii="Arial" w:cs="Arial" w:eastAsia="Arial" w:hAnsi="Arial"/>
                <w:sz w:val="18"/>
                <w:szCs w:val="18"/>
                <w:color w:val="0563C1"/>
                <w:w w:val="90"/>
              </w:rPr>
              <w:t>Item 6.</w:t>
            </w:r>
          </w:p>
        </w:tc>
        <w:tc>
          <w:tcPr>
            <w:tcW w:w="460" w:type="dxa"/>
            <w:vAlign w:val="bottom"/>
            <w:tcBorders>
              <w:bottom w:val="single" w:sz="8" w:color="CCEEFF"/>
            </w:tcBorders>
            <w:gridSpan w:val="3"/>
            <w:shd w:val="clear" w:color="auto" w:fill="CCEEFF"/>
          </w:tcPr>
          <w:p>
            <w:pPr>
              <w:spacing w:after="0"/>
              <w:rPr>
                <w:sz w:val="14"/>
                <w:szCs w:val="14"/>
                <w:color w:val="auto"/>
              </w:rPr>
            </w:pPr>
          </w:p>
        </w:tc>
        <w:tc>
          <w:tcPr>
            <w:tcW w:w="600" w:type="dxa"/>
            <w:vAlign w:val="bottom"/>
            <w:tcBorders>
              <w:bottom w:val="single" w:sz="8" w:color="0563C1"/>
            </w:tcBorders>
            <w:gridSpan w:val="2"/>
            <w:shd w:val="clear" w:color="auto" w:fill="CCEEFF"/>
          </w:tcPr>
          <w:p>
            <w:pPr>
              <w:spacing w:after="0" w:line="162" w:lineRule="exact"/>
              <w:rPr>
                <w:sz w:val="20"/>
                <w:szCs w:val="20"/>
                <w:color w:val="auto"/>
              </w:rPr>
            </w:pPr>
            <w:r>
              <w:rPr>
                <w:rFonts w:ascii="Arial" w:cs="Arial" w:eastAsia="Arial" w:hAnsi="Arial"/>
                <w:sz w:val="18"/>
                <w:szCs w:val="18"/>
                <w:color w:val="0563C1"/>
                <w:w w:val="91"/>
              </w:rPr>
              <w:t>Exhibits</w:t>
            </w:r>
          </w:p>
        </w:tc>
        <w:tc>
          <w:tcPr>
            <w:tcW w:w="9020" w:type="dxa"/>
            <w:vAlign w:val="bottom"/>
            <w:tcBorders>
              <w:bottom w:val="single" w:sz="8" w:color="CCEEFF"/>
            </w:tcBorders>
            <w:gridSpan w:val="17"/>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line="16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gridSpan w:val="4"/>
          </w:tcPr>
          <w:p>
            <w:pPr>
              <w:spacing w:after="0" w:line="162" w:lineRule="exact"/>
              <w:rPr>
                <w:sz w:val="20"/>
                <w:szCs w:val="20"/>
                <w:color w:val="auto"/>
              </w:rPr>
            </w:pPr>
            <w:r>
              <w:rPr>
                <w:rFonts w:ascii="Arial" w:cs="Arial" w:eastAsia="Arial" w:hAnsi="Arial"/>
                <w:sz w:val="18"/>
                <w:szCs w:val="18"/>
                <w:color w:val="0563C1"/>
              </w:rPr>
              <w:t>Signatures</w:t>
            </w: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jc w:val="right"/>
              <w:spacing w:after="0" w:line="162"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60" w:type="dxa"/>
            <w:vAlign w:val="bottom"/>
            <w:gridSpan w:val="2"/>
          </w:tcPr>
          <w:p>
            <w:pPr>
              <w:spacing w:after="0"/>
              <w:rPr>
                <w:sz w:val="20"/>
                <w:szCs w:val="20"/>
                <w:color w:val="auto"/>
              </w:rPr>
            </w:pPr>
            <w:r>
              <w:rPr>
                <w:rFonts w:ascii="Arial" w:cs="Arial" w:eastAsia="Arial" w:hAnsi="Arial"/>
                <w:sz w:val="18"/>
                <w:szCs w:val="18"/>
                <w:b w:val="1"/>
                <w:bCs w:val="1"/>
                <w:color w:val="0563C1"/>
              </w:rPr>
              <w:t>Table of Contents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326"/>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34"/>
        </w:trPr>
        <w:tc>
          <w:tcPr>
            <w:tcW w:w="806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0"/>
        </w:trPr>
        <w:tc>
          <w:tcPr>
            <w:tcW w:w="1360" w:type="dxa"/>
            <w:vAlign w:val="bottom"/>
          </w:tcPr>
          <w:p>
            <w:pPr>
              <w:spacing w:after="0"/>
              <w:rPr>
                <w:sz w:val="24"/>
                <w:szCs w:val="24"/>
                <w:color w:val="auto"/>
              </w:rPr>
            </w:pPr>
          </w:p>
        </w:tc>
        <w:tc>
          <w:tcPr>
            <w:tcW w:w="6700" w:type="dxa"/>
            <w:vAlign w:val="bottom"/>
          </w:tcPr>
          <w:p>
            <w:pPr>
              <w:ind w:left="2680"/>
              <w:spacing w:after="0"/>
              <w:rPr>
                <w:sz w:val="20"/>
                <w:szCs w:val="20"/>
                <w:color w:val="auto"/>
              </w:rPr>
            </w:pPr>
            <w:r>
              <w:rPr>
                <w:rFonts w:ascii="Arial" w:cs="Arial" w:eastAsia="Arial" w:hAnsi="Arial"/>
                <w:sz w:val="18"/>
                <w:szCs w:val="18"/>
                <w:b w:val="1"/>
                <w:bCs w:val="1"/>
                <w:color w:val="auto"/>
              </w:rPr>
              <w:t>Tile Shop Holdings, Inc. and Subsidiaries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6700" w:type="dxa"/>
            <w:vAlign w:val="bottom"/>
          </w:tcPr>
          <w:p>
            <w:pPr>
              <w:ind w:left="3220"/>
              <w:spacing w:after="0" w:line="202" w:lineRule="exact"/>
              <w:rPr>
                <w:sz w:val="20"/>
                <w:szCs w:val="20"/>
                <w:color w:val="auto"/>
              </w:rPr>
            </w:pPr>
            <w:r>
              <w:rPr>
                <w:rFonts w:ascii="Arial" w:cs="Arial" w:eastAsia="Arial" w:hAnsi="Arial"/>
                <w:sz w:val="18"/>
                <w:szCs w:val="18"/>
                <w:color w:val="auto"/>
              </w:rPr>
              <w:t>Consolidated Balance Sheets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1360" w:type="dxa"/>
            <w:vAlign w:val="bottom"/>
          </w:tcPr>
          <w:p>
            <w:pPr>
              <w:spacing w:after="0"/>
              <w:rPr>
                <w:sz w:val="20"/>
                <w:szCs w:val="20"/>
                <w:color w:val="auto"/>
              </w:rPr>
            </w:pPr>
          </w:p>
        </w:tc>
        <w:tc>
          <w:tcPr>
            <w:tcW w:w="6700" w:type="dxa"/>
            <w:vAlign w:val="bottom"/>
          </w:tcPr>
          <w:p>
            <w:pPr>
              <w:ind w:left="2660"/>
              <w:spacing w:after="0"/>
              <w:rPr>
                <w:sz w:val="20"/>
                <w:szCs w:val="20"/>
                <w:color w:val="auto"/>
              </w:rPr>
            </w:pPr>
            <w:r>
              <w:rPr>
                <w:rFonts w:ascii="Arial" w:cs="Arial" w:eastAsia="Arial" w:hAnsi="Arial"/>
                <w:sz w:val="18"/>
                <w:szCs w:val="18"/>
                <w:color w:val="auto"/>
              </w:rPr>
              <w:t>(dollars in thousands, except per share data)</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72"/>
        </w:trPr>
        <w:tc>
          <w:tcPr>
            <w:tcW w:w="136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140" w:type="dxa"/>
            <w:vAlign w:val="bottom"/>
          </w:tcPr>
          <w:p>
            <w:pPr>
              <w:spacing w:after="0"/>
              <w:rPr>
                <w:sz w:val="24"/>
                <w:szCs w:val="24"/>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0"/>
              </w:rPr>
              <w:t>December 31,</w:t>
            </w:r>
          </w:p>
        </w:tc>
      </w:tr>
      <w:tr>
        <w:trPr>
          <w:trHeight w:val="229"/>
        </w:trPr>
        <w:tc>
          <w:tcPr>
            <w:tcW w:w="13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2023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center"/>
              <w:ind w:right="30"/>
              <w:spacing w:after="0"/>
              <w:rPr>
                <w:sz w:val="20"/>
                <w:szCs w:val="20"/>
                <w:color w:val="auto"/>
              </w:rPr>
            </w:pPr>
            <w:r>
              <w:rPr>
                <w:rFonts w:ascii="Arial" w:cs="Arial" w:eastAsia="Arial" w:hAnsi="Arial"/>
                <w:sz w:val="18"/>
                <w:szCs w:val="18"/>
                <w:color w:val="auto"/>
                <w:w w:val="89"/>
              </w:rPr>
              <w:t>2022</w:t>
            </w:r>
          </w:p>
        </w:tc>
      </w:tr>
      <w:tr>
        <w:trPr>
          <w:trHeight w:val="217"/>
        </w:trPr>
        <w:tc>
          <w:tcPr>
            <w:tcW w:w="136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(unaudited)</w:t>
            </w:r>
          </w:p>
        </w:tc>
        <w:tc>
          <w:tcPr>
            <w:tcW w:w="140" w:type="dxa"/>
            <w:vAlign w:val="bottom"/>
          </w:tcPr>
          <w:p>
            <w:pPr>
              <w:spacing w:after="0"/>
              <w:rPr>
                <w:sz w:val="18"/>
                <w:szCs w:val="18"/>
                <w:color w:val="auto"/>
              </w:rPr>
            </w:pPr>
          </w:p>
        </w:tc>
        <w:tc>
          <w:tcPr>
            <w:tcW w:w="1240" w:type="dxa"/>
            <w:vAlign w:val="bottom"/>
          </w:tcPr>
          <w:p>
            <w:pPr>
              <w:jc w:val="center"/>
              <w:ind w:right="50"/>
              <w:spacing w:after="0"/>
              <w:rPr>
                <w:sz w:val="20"/>
                <w:szCs w:val="20"/>
                <w:color w:val="auto"/>
              </w:rPr>
            </w:pPr>
            <w:r>
              <w:rPr>
                <w:rFonts w:ascii="Arial" w:cs="Arial" w:eastAsia="Arial" w:hAnsi="Arial"/>
                <w:sz w:val="18"/>
                <w:szCs w:val="18"/>
                <w:color w:val="auto"/>
                <w:w w:val="92"/>
              </w:rPr>
              <w:t>(audited)</w:t>
            </w:r>
          </w:p>
        </w:tc>
      </w:tr>
      <w:tr>
        <w:trPr>
          <w:trHeight w:val="183"/>
        </w:trPr>
        <w:tc>
          <w:tcPr>
            <w:tcW w:w="80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16,371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5,948</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655</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1,811</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Receivables, net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3,501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3,411</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98,710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120,952</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receivable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3,859</w:t>
            </w:r>
          </w:p>
        </w:tc>
      </w:tr>
      <w:tr>
        <w:trPr>
          <w:trHeight w:val="189"/>
        </w:trPr>
        <w:tc>
          <w:tcPr>
            <w:tcW w:w="8060" w:type="dxa"/>
            <w:vAlign w:val="bottom"/>
            <w:tcBorders>
              <w:bottom w:val="single" w:sz="8" w:color="CCEEFF"/>
            </w:tcBorders>
            <w:gridSpan w:val="2"/>
          </w:tcPr>
          <w:p>
            <w:pPr>
              <w:ind w:left="100"/>
              <w:spacing w:after="0" w:line="189" w:lineRule="exact"/>
              <w:rPr>
                <w:sz w:val="20"/>
                <w:szCs w:val="20"/>
                <w:color w:val="auto"/>
              </w:rPr>
            </w:pPr>
            <w:r>
              <w:rPr>
                <w:rFonts w:ascii="Arial" w:cs="Arial" w:eastAsia="Arial" w:hAnsi="Arial"/>
                <w:sz w:val="18"/>
                <w:szCs w:val="18"/>
                <w:color w:val="auto"/>
              </w:rPr>
              <w:t>Other current assets, net</w:t>
            </w:r>
          </w:p>
        </w:tc>
        <w:tc>
          <w:tcPr>
            <w:tcW w:w="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10,352</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10,422</w:t>
            </w:r>
          </w:p>
        </w:tc>
      </w:tr>
      <w:tr>
        <w:trPr>
          <w:trHeight w:val="183"/>
        </w:trPr>
        <w:tc>
          <w:tcPr>
            <w:tcW w:w="80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130,024</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146,403</w:t>
            </w: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65,133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71,095</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119,619</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118,501</w:t>
            </w: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4,470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6,536</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3,461</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3,287</w:t>
            </w:r>
          </w:p>
        </w:tc>
      </w:tr>
      <w:tr>
        <w:trPr>
          <w:trHeight w:val="223"/>
        </w:trPr>
        <w:tc>
          <w:tcPr>
            <w:tcW w:w="80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2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322,707</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345,822</w:t>
            </w:r>
          </w:p>
        </w:tc>
      </w:tr>
      <w:tr>
        <w:trPr>
          <w:trHeight w:val="169"/>
        </w:trPr>
        <w:tc>
          <w:tcPr>
            <w:tcW w:w="1360" w:type="dxa"/>
            <w:vAlign w:val="bottom"/>
            <w:shd w:val="clear" w:color="auto" w:fill="CCEEFF"/>
          </w:tcPr>
          <w:p>
            <w:pPr>
              <w:spacing w:after="0"/>
              <w:rPr>
                <w:sz w:val="14"/>
                <w:szCs w:val="14"/>
                <w:color w:val="auto"/>
              </w:rPr>
            </w:pPr>
          </w:p>
        </w:tc>
        <w:tc>
          <w:tcPr>
            <w:tcW w:w="67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26,247</w:t>
            </w:r>
          </w:p>
        </w:tc>
        <w:tc>
          <w:tcPr>
            <w:tcW w:w="160" w:type="dxa"/>
            <w:vAlign w:val="bottom"/>
          </w:tcPr>
          <w:p>
            <w:pPr>
              <w:spacing w:after="0"/>
              <w:rPr>
                <w:sz w:val="16"/>
                <w:szCs w:val="16"/>
                <w:color w:val="auto"/>
              </w:rPr>
            </w:pP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23,506</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Income tax payable</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9"/>
        </w:trPr>
        <w:tc>
          <w:tcPr>
            <w:tcW w:w="806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Current portion of lease liability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27,214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27,866</w:t>
            </w:r>
          </w:p>
        </w:tc>
      </w:tr>
      <w:tr>
        <w:trPr>
          <w:trHeight w:val="189"/>
        </w:trPr>
        <w:tc>
          <w:tcPr>
            <w:tcW w:w="80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Other accrued liabilities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32,756</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31,916</w:t>
            </w:r>
          </w:p>
        </w:tc>
      </w:tr>
      <w:tr>
        <w:trPr>
          <w:trHeight w:val="183"/>
        </w:trPr>
        <w:tc>
          <w:tcPr>
            <w:tcW w:w="8060" w:type="dxa"/>
            <w:vAlign w:val="bottom"/>
            <w:gridSpan w:val="2"/>
          </w:tcPr>
          <w:p>
            <w:pPr>
              <w:spacing w:after="0" w:line="182" w:lineRule="exact"/>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86,330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83,291</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10,000</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45,400</w:t>
            </w: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103,786</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103,353</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long-term liabilities</w:t>
            </w:r>
          </w:p>
        </w:tc>
        <w:tc>
          <w:tcPr>
            <w:tcW w:w="2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3,836</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5,009</w:t>
            </w:r>
          </w:p>
        </w:tc>
      </w:tr>
      <w:tr>
        <w:trPr>
          <w:trHeight w:val="183"/>
        </w:trPr>
        <w:tc>
          <w:tcPr>
            <w:tcW w:w="80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203,952</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237,053</w:t>
            </w:r>
          </w:p>
        </w:tc>
      </w:tr>
      <w:tr>
        <w:trPr>
          <w:trHeight w:val="183"/>
        </w:trPr>
        <w:tc>
          <w:tcPr>
            <w:tcW w:w="1360" w:type="dxa"/>
            <w:vAlign w:val="bottom"/>
            <w:shd w:val="clear" w:color="auto" w:fill="CCEEFF"/>
          </w:tcPr>
          <w:p>
            <w:pPr>
              <w:spacing w:after="0"/>
              <w:rPr>
                <w:sz w:val="15"/>
                <w:szCs w:val="15"/>
                <w:color w:val="auto"/>
              </w:rPr>
            </w:pPr>
          </w:p>
        </w:tc>
        <w:tc>
          <w:tcPr>
            <w:tcW w:w="67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61"/>
        </w:trPr>
        <w:tc>
          <w:tcPr>
            <w:tcW w:w="8060" w:type="dxa"/>
            <w:vAlign w:val="bottom"/>
            <w:gridSpan w:val="2"/>
            <w:shd w:val="clear" w:color="auto" w:fill="CCEEFF"/>
          </w:tcPr>
          <w:p>
            <w:pPr>
              <w:spacing w:after="0" w:line="161" w:lineRule="exact"/>
              <w:rPr>
                <w:sz w:val="20"/>
                <w:szCs w:val="20"/>
                <w:color w:val="auto"/>
              </w:rPr>
            </w:pPr>
            <w:r>
              <w:rPr>
                <w:rFonts w:ascii="Arial" w:cs="Arial" w:eastAsia="Arial" w:hAnsi="Arial"/>
                <w:sz w:val="18"/>
                <w:szCs w:val="18"/>
                <w:color w:val="auto"/>
                <w:w w:val="92"/>
              </w:rPr>
              <w:t>Common stock, par value $0.0001; authorized: 100,000,000 shares; issued and outstanding: 44,561,554 and</w:t>
            </w: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230"/>
        </w:trPr>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44,377,445 shares, respectively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128,582</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127,997</w:t>
            </w:r>
          </w:p>
        </w:tc>
      </w:tr>
      <w:tr>
        <w:trPr>
          <w:trHeight w:val="189"/>
        </w:trPr>
        <w:tc>
          <w:tcPr>
            <w:tcW w:w="8060" w:type="dxa"/>
            <w:vAlign w:val="bottom"/>
            <w:gridSpan w:val="2"/>
          </w:tcPr>
          <w:p>
            <w:pPr>
              <w:spacing w:after="0" w:line="189" w:lineRule="exact"/>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(9,745)</w:t>
            </w: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(19,180)</w:t>
            </w:r>
          </w:p>
        </w:tc>
      </w:tr>
      <w:tr>
        <w:trPr>
          <w:trHeight w:val="189"/>
        </w:trPr>
        <w:tc>
          <w:tcPr>
            <w:tcW w:w="80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(86)</w:t>
            </w: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w:t>
            </w:r>
          </w:p>
        </w:tc>
      </w:tr>
      <w:tr>
        <w:trPr>
          <w:trHeight w:val="183"/>
        </w:trPr>
        <w:tc>
          <w:tcPr>
            <w:tcW w:w="8060" w:type="dxa"/>
            <w:vAlign w:val="bottom"/>
            <w:tcBorders>
              <w:bottom w:val="single" w:sz="8" w:color="CCEEFF"/>
            </w:tcBorders>
            <w:gridSpan w:val="2"/>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118,755</w:t>
            </w: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108,769</w:t>
            </w:r>
          </w:p>
        </w:tc>
      </w:tr>
      <w:tr>
        <w:trPr>
          <w:trHeight w:val="183"/>
        </w:trPr>
        <w:tc>
          <w:tcPr>
            <w:tcW w:w="8060" w:type="dxa"/>
            <w:vAlign w:val="bottom"/>
            <w:tcBorders>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322,707</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345,822</w:t>
            </w:r>
          </w:p>
        </w:tc>
      </w:tr>
      <w:tr>
        <w:trPr>
          <w:trHeight w:val="20"/>
        </w:trPr>
        <w:tc>
          <w:tcPr>
            <w:tcW w:w="13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620" w:type="dxa"/>
            <w:vAlign w:val="bottom"/>
            <w:gridSpan w:val="2"/>
          </w:tcPr>
          <w:p>
            <w:pPr>
              <w:spacing w:after="0"/>
              <w:rPr>
                <w:sz w:val="20"/>
                <w:szCs w:val="20"/>
                <w:color w:val="auto"/>
              </w:rPr>
            </w:pPr>
            <w:r>
              <w:rPr>
                <w:rFonts w:ascii="Arial" w:cs="Arial" w:eastAsia="Arial" w:hAnsi="Arial"/>
                <w:sz w:val="18"/>
                <w:szCs w:val="18"/>
                <w:b w:val="1"/>
                <w:bCs w:val="1"/>
                <w:color w:val="0563C1"/>
              </w:rPr>
              <w:t>Table of Contents</w:t>
            </w:r>
          </w:p>
        </w:tc>
        <w:tc>
          <w:tcPr>
            <w:tcW w:w="1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533"/>
        </w:trPr>
        <w:tc>
          <w:tcPr>
            <w:tcW w:w="1360" w:type="dxa"/>
            <w:vAlign w:val="bottom"/>
            <w:tcBorders>
              <w:top w:val="single" w:sz="8" w:color="0563C1"/>
            </w:tcBorders>
          </w:tcPr>
          <w:p>
            <w:pPr>
              <w:spacing w:after="0"/>
              <w:rPr>
                <w:sz w:val="24"/>
                <w:szCs w:val="24"/>
                <w:color w:val="auto"/>
              </w:rPr>
            </w:pPr>
          </w:p>
        </w:tc>
        <w:tc>
          <w:tcPr>
            <w:tcW w:w="2260" w:type="dxa"/>
            <w:vAlign w:val="bottom"/>
          </w:tcPr>
          <w:p>
            <w:pPr>
              <w:spacing w:after="0"/>
              <w:rPr>
                <w:sz w:val="24"/>
                <w:szCs w:val="24"/>
                <w:color w:val="auto"/>
              </w:rPr>
            </w:pPr>
          </w:p>
        </w:tc>
        <w:tc>
          <w:tcPr>
            <w:tcW w:w="3740" w:type="dxa"/>
            <w:vAlign w:val="bottom"/>
            <w:gridSpan w:val="5"/>
          </w:tcPr>
          <w:p>
            <w:pPr>
              <w:jc w:val="center"/>
              <w:ind w:left="19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440" w:type="dxa"/>
            <w:vAlign w:val="bottom"/>
            <w:gridSpan w:val="4"/>
          </w:tcPr>
          <w:p>
            <w:pPr>
              <w:jc w:val="center"/>
              <w:ind w:left="470"/>
              <w:spacing w:after="0" w:line="189" w:lineRule="exact"/>
              <w:rPr>
                <w:sz w:val="20"/>
                <w:szCs w:val="20"/>
                <w:color w:val="auto"/>
              </w:rPr>
            </w:pPr>
            <w:r>
              <w:rPr>
                <w:rFonts w:ascii="Arial" w:cs="Arial" w:eastAsia="Arial" w:hAnsi="Arial"/>
                <w:sz w:val="18"/>
                <w:szCs w:val="18"/>
                <w:color w:val="auto"/>
                <w:w w:val="89"/>
              </w:rPr>
              <w:t>Consolidated Statements of Income</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3740" w:type="dxa"/>
            <w:vAlign w:val="bottom"/>
            <w:gridSpan w:val="5"/>
          </w:tcPr>
          <w:p>
            <w:pPr>
              <w:jc w:val="center"/>
              <w:ind w:left="130"/>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0"/>
        </w:trPr>
        <w:tc>
          <w:tcPr>
            <w:tcW w:w="1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44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(unaudited)</w:t>
            </w: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8"/>
        </w:trPr>
        <w:tc>
          <w:tcPr>
            <w:tcW w:w="13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8"/>
                <w:szCs w:val="18"/>
                <w:color w:val="auto"/>
              </w:rPr>
              <w:t>Three Months Ended</w:t>
            </w:r>
          </w:p>
        </w:tc>
        <w:tc>
          <w:tcPr>
            <w:tcW w:w="260" w:type="dxa"/>
            <w:vAlign w:val="bottom"/>
          </w:tcPr>
          <w:p>
            <w:pPr>
              <w:spacing w:after="0"/>
              <w:rPr>
                <w:sz w:val="24"/>
                <w:szCs w:val="24"/>
                <w:color w:val="auto"/>
              </w:rPr>
            </w:pPr>
          </w:p>
        </w:tc>
        <w:tc>
          <w:tcPr>
            <w:tcW w:w="2460" w:type="dxa"/>
            <w:vAlign w:val="bottom"/>
            <w:gridSpan w:val="5"/>
          </w:tcPr>
          <w:p>
            <w:pPr>
              <w:jc w:val="right"/>
              <w:ind w:right="550"/>
              <w:spacing w:after="0"/>
              <w:rPr>
                <w:sz w:val="20"/>
                <w:szCs w:val="20"/>
                <w:color w:val="auto"/>
              </w:rPr>
            </w:pPr>
            <w:r>
              <w:rPr>
                <w:rFonts w:ascii="Arial" w:cs="Arial" w:eastAsia="Arial" w:hAnsi="Arial"/>
                <w:sz w:val="18"/>
                <w:szCs w:val="18"/>
                <w:color w:val="auto"/>
              </w:rPr>
              <w:t>Nine Months Ended</w:t>
            </w:r>
          </w:p>
        </w:tc>
      </w:tr>
      <w:tr>
        <w:trPr>
          <w:trHeight w:val="217"/>
        </w:trPr>
        <w:tc>
          <w:tcPr>
            <w:tcW w:w="1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5"/>
          </w:tcPr>
          <w:p>
            <w:pPr>
              <w:jc w:val="right"/>
              <w:ind w:right="1020"/>
              <w:spacing w:after="0"/>
              <w:rPr>
                <w:sz w:val="20"/>
                <w:szCs w:val="20"/>
                <w:color w:val="auto"/>
              </w:rPr>
            </w:pPr>
            <w:r>
              <w:rPr>
                <w:rFonts w:ascii="Arial" w:cs="Arial" w:eastAsia="Arial" w:hAnsi="Arial"/>
                <w:sz w:val="18"/>
                <w:szCs w:val="18"/>
                <w:color w:val="auto"/>
              </w:rPr>
              <w:t>September 30,</w:t>
            </w:r>
          </w:p>
        </w:tc>
        <w:tc>
          <w:tcPr>
            <w:tcW w:w="260" w:type="dxa"/>
            <w:vAlign w:val="bottom"/>
          </w:tcPr>
          <w:p>
            <w:pPr>
              <w:spacing w:after="0"/>
              <w:rPr>
                <w:sz w:val="18"/>
                <w:szCs w:val="18"/>
                <w:color w:val="auto"/>
              </w:rPr>
            </w:pPr>
          </w:p>
        </w:tc>
        <w:tc>
          <w:tcPr>
            <w:tcW w:w="2460" w:type="dxa"/>
            <w:vAlign w:val="bottom"/>
            <w:gridSpan w:val="5"/>
          </w:tcPr>
          <w:p>
            <w:pPr>
              <w:jc w:val="right"/>
              <w:ind w:right="750"/>
              <w:spacing w:after="0"/>
              <w:rPr>
                <w:sz w:val="20"/>
                <w:szCs w:val="20"/>
                <w:color w:val="auto"/>
              </w:rPr>
            </w:pPr>
            <w:r>
              <w:rPr>
                <w:rFonts w:ascii="Arial" w:cs="Arial" w:eastAsia="Arial" w:hAnsi="Arial"/>
                <w:sz w:val="18"/>
                <w:szCs w:val="18"/>
                <w:color w:val="auto"/>
              </w:rPr>
              <w:t>September 30,</w:t>
            </w:r>
          </w:p>
        </w:tc>
      </w:tr>
      <w:tr>
        <w:trPr>
          <w:trHeight w:val="183"/>
        </w:trPr>
        <w:tc>
          <w:tcPr>
            <w:tcW w:w="1360" w:type="dxa"/>
            <w:vAlign w:val="bottom"/>
            <w:tcBorders>
              <w:bottom w:val="single" w:sz="8" w:color="CCEEFF"/>
            </w:tcBorders>
          </w:tcPr>
          <w:p>
            <w:pPr>
              <w:spacing w:after="0"/>
              <w:rPr>
                <w:sz w:val="15"/>
                <w:szCs w:val="15"/>
                <w:color w:val="auto"/>
              </w:rPr>
            </w:pPr>
          </w:p>
        </w:tc>
        <w:tc>
          <w:tcPr>
            <w:tcW w:w="2260" w:type="dxa"/>
            <w:vAlign w:val="bottom"/>
            <w:tcBorders>
              <w:bottom w:val="single" w:sz="8" w:color="CCEEFF"/>
            </w:tcBorders>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2023</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2022</w:t>
            </w:r>
          </w:p>
        </w:tc>
        <w:tc>
          <w:tcPr>
            <w:tcW w:w="16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90"/>
              <w:spacing w:after="0" w:line="182" w:lineRule="exact"/>
              <w:rPr>
                <w:sz w:val="20"/>
                <w:szCs w:val="20"/>
                <w:color w:val="auto"/>
              </w:rPr>
            </w:pPr>
            <w:r>
              <w:rPr>
                <w:rFonts w:ascii="Arial" w:cs="Arial" w:eastAsia="Arial" w:hAnsi="Arial"/>
                <w:sz w:val="18"/>
                <w:szCs w:val="18"/>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6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ind w:right="370"/>
              <w:spacing w:after="0" w:line="182" w:lineRule="exact"/>
              <w:rPr>
                <w:sz w:val="20"/>
                <w:szCs w:val="20"/>
                <w:color w:val="auto"/>
              </w:rPr>
            </w:pPr>
            <w:r>
              <w:rPr>
                <w:rFonts w:ascii="Arial" w:cs="Arial" w:eastAsia="Arial" w:hAnsi="Arial"/>
                <w:sz w:val="18"/>
                <w:szCs w:val="18"/>
                <w:color w:val="auto"/>
              </w:rPr>
              <w:t>2022</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jc w:val="center"/>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92,112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97,154</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292,688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307,230</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1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32,549</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32,542</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104,285</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104,754</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59,563</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64,612</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188,403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202,476</w:t>
            </w:r>
          </w:p>
        </w:tc>
      </w:tr>
      <w:tr>
        <w:trPr>
          <w:trHeight w:val="189"/>
        </w:trPr>
        <w:tc>
          <w:tcPr>
            <w:tcW w:w="362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9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56,734</w:t>
            </w:r>
          </w:p>
        </w:tc>
        <w:tc>
          <w:tcPr>
            <w:tcW w:w="1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59,109</w:t>
            </w:r>
          </w:p>
        </w:tc>
        <w:tc>
          <w:tcPr>
            <w:tcW w:w="1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173,715</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182,459</w:t>
            </w:r>
          </w:p>
        </w:tc>
      </w:tr>
      <w:tr>
        <w:trPr>
          <w:trHeight w:val="183"/>
        </w:trPr>
        <w:tc>
          <w:tcPr>
            <w:tcW w:w="362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9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2,829</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5,503</w:t>
            </w: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14,688</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20,017</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(453)</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(319)</w:t>
            </w:r>
          </w:p>
        </w:tc>
        <w:tc>
          <w:tcPr>
            <w:tcW w:w="2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(1,920)</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(786)</w:t>
            </w:r>
          </w:p>
        </w:tc>
      </w:tr>
      <w:tr>
        <w:trPr>
          <w:trHeight w:val="183"/>
        </w:trPr>
        <w:tc>
          <w:tcPr>
            <w:tcW w:w="362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9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2,376</w:t>
            </w:r>
          </w:p>
        </w:tc>
        <w:tc>
          <w:tcPr>
            <w:tcW w:w="1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5,184</w:t>
            </w: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12,768</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19,231</w:t>
            </w:r>
          </w:p>
        </w:tc>
      </w:tr>
      <w:tr>
        <w:trPr>
          <w:trHeight w:val="189"/>
        </w:trPr>
        <w:tc>
          <w:tcPr>
            <w:tcW w:w="3620" w:type="dxa"/>
            <w:vAlign w:val="bottom"/>
            <w:gridSpan w:val="2"/>
          </w:tcPr>
          <w:p>
            <w:pPr>
              <w:spacing w:after="0" w:line="189" w:lineRule="exact"/>
              <w:rPr>
                <w:sz w:val="20"/>
                <w:szCs w:val="20"/>
                <w:color w:val="auto"/>
              </w:rPr>
            </w:pPr>
            <w:r>
              <w:rPr>
                <w:rFonts w:ascii="Arial" w:cs="Arial" w:eastAsia="Arial" w:hAnsi="Arial"/>
                <w:sz w:val="18"/>
                <w:szCs w:val="18"/>
                <w:color w:val="auto"/>
              </w:rPr>
              <w:t>Provision for income taxes</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(532)</w:t>
            </w:r>
          </w:p>
        </w:tc>
        <w:tc>
          <w:tcPr>
            <w:tcW w:w="300" w:type="dxa"/>
            <w:vAlign w:val="bottom"/>
          </w:tcPr>
          <w:p>
            <w:pPr>
              <w:spacing w:after="0"/>
              <w:rPr>
                <w:sz w:val="16"/>
                <w:szCs w:val="16"/>
                <w:color w:val="auto"/>
              </w:rPr>
            </w:pPr>
          </w:p>
        </w:tc>
        <w:tc>
          <w:tcPr>
            <w:tcW w:w="11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(1,361)</w:t>
            </w:r>
          </w:p>
        </w:tc>
        <w:tc>
          <w:tcPr>
            <w:tcW w:w="260" w:type="dxa"/>
            <w:vAlign w:val="bottom"/>
          </w:tcPr>
          <w:p>
            <w:pPr>
              <w:spacing w:after="0"/>
              <w:rPr>
                <w:sz w:val="16"/>
                <w:szCs w:val="16"/>
                <w:color w:val="auto"/>
              </w:rPr>
            </w:pPr>
          </w:p>
        </w:tc>
        <w:tc>
          <w:tcPr>
            <w:tcW w:w="112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(3,333)</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(4,981)</w:t>
            </w:r>
          </w:p>
        </w:tc>
      </w:tr>
      <w:tr>
        <w:trPr>
          <w:trHeight w:val="183"/>
        </w:trPr>
        <w:tc>
          <w:tcPr>
            <w:tcW w:w="362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w:t>
            </w:r>
          </w:p>
        </w:tc>
        <w:tc>
          <w:tcPr>
            <w:tcW w:w="198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center"/>
              <w:ind w:right="9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1,844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9,435</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r>
      <w:tr>
        <w:trPr>
          <w:trHeight w:val="20"/>
        </w:trPr>
        <w:tc>
          <w:tcPr>
            <w:tcW w:w="13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13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Income per common share:</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2240" w:type="dxa"/>
            <w:vAlign w:val="bottom"/>
            <w:gridSpan w:val="2"/>
          </w:tcPr>
          <w:p>
            <w:pPr>
              <w:jc w:val="center"/>
              <w:ind w:left="171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tcPr>
          <w:p>
            <w:pPr>
              <w:spacing w:after="0"/>
              <w:rPr>
                <w:sz w:val="16"/>
                <w:szCs w:val="16"/>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0.08</w:t>
            </w:r>
          </w:p>
        </w:tc>
        <w:tc>
          <w:tcPr>
            <w:tcW w:w="16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0.22</w:t>
            </w:r>
          </w:p>
        </w:tc>
        <w:tc>
          <w:tcPr>
            <w:tcW w:w="80" w:type="dxa"/>
            <w:vAlign w:val="bottom"/>
          </w:tcPr>
          <w:p>
            <w:pPr>
              <w:spacing w:after="0"/>
              <w:rPr>
                <w:sz w:val="16"/>
                <w:szCs w:val="16"/>
                <w:color w:val="auto"/>
              </w:rPr>
            </w:pPr>
          </w:p>
        </w:tc>
        <w:tc>
          <w:tcPr>
            <w:tcW w:w="300" w:type="dxa"/>
            <w:vAlign w:val="bottom"/>
            <w:gridSpan w:val="2"/>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0.28</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2240" w:type="dxa"/>
            <w:vAlign w:val="bottom"/>
            <w:gridSpan w:val="2"/>
            <w:shd w:val="clear" w:color="auto" w:fill="CCEEFF"/>
          </w:tcPr>
          <w:p>
            <w:pPr>
              <w:jc w:val="center"/>
              <w:ind w:left="171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0.08</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87"/>
              <w:spacing w:after="0" w:line="189"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0.28</w:t>
            </w:r>
          </w:p>
        </w:tc>
      </w:tr>
      <w:tr>
        <w:trPr>
          <w:trHeight w:val="189"/>
        </w:trPr>
        <w:tc>
          <w:tcPr>
            <w:tcW w:w="1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89"/>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Weighted average shares outstanding:</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9"/>
        </w:trPr>
        <w:tc>
          <w:tcPr>
            <w:tcW w:w="36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Basic</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43,522,768</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50,423,923</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43,385,316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line="189" w:lineRule="exact"/>
              <w:rPr>
                <w:sz w:val="20"/>
                <w:szCs w:val="20"/>
                <w:color w:val="auto"/>
              </w:rPr>
            </w:pPr>
            <w:r>
              <w:rPr>
                <w:rFonts w:ascii="Arial" w:cs="Arial" w:eastAsia="Arial" w:hAnsi="Arial"/>
                <w:sz w:val="18"/>
                <w:szCs w:val="18"/>
                <w:color w:val="auto"/>
              </w:rPr>
              <w:t>50,674,870</w:t>
            </w:r>
          </w:p>
        </w:tc>
      </w:tr>
      <w:tr>
        <w:trPr>
          <w:trHeight w:val="189"/>
        </w:trPr>
        <w:tc>
          <w:tcPr>
            <w:tcW w:w="362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43,733,706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50,717,426</w:t>
            </w: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43,555,988</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51,080,404</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37" w:lineRule="auto"/>
        <w:rPr>
          <w:sz w:val="20"/>
          <w:szCs w:val="20"/>
          <w:color w:val="auto"/>
        </w:rPr>
      </w:pPr>
      <w:r>
        <w:rPr>
          <w:rFonts w:ascii="Arial" w:cs="Arial" w:eastAsia="Arial" w:hAnsi="Arial"/>
          <w:sz w:val="18"/>
          <w:szCs w:val="18"/>
          <w:color w:val="auto"/>
        </w:rPr>
        <w:t>Consolidated Statements of Comprehensive Income</w:t>
      </w:r>
    </w:p>
    <w:p>
      <w:pPr>
        <w:jc w:val="center"/>
        <w:spacing w:after="0" w:line="219" w:lineRule="auto"/>
        <w:rPr>
          <w:sz w:val="20"/>
          <w:szCs w:val="20"/>
          <w:color w:val="auto"/>
        </w:rPr>
      </w:pPr>
      <w:r>
        <w:rPr>
          <w:rFonts w:ascii="Arial" w:cs="Arial" w:eastAsia="Arial" w:hAnsi="Arial"/>
          <w:sz w:val="18"/>
          <w:szCs w:val="18"/>
          <w:color w:val="auto"/>
        </w:rPr>
        <w:t>(dollars in thousands)</w:t>
      </w:r>
    </w:p>
    <w:p>
      <w:pPr>
        <w:jc w:val="center"/>
        <w:spacing w:after="0"/>
        <w:rPr>
          <w:sz w:val="20"/>
          <w:szCs w:val="20"/>
          <w:color w:val="auto"/>
        </w:rPr>
      </w:pPr>
      <w:r>
        <w:rPr>
          <w:rFonts w:ascii="Arial" w:cs="Arial" w:eastAsia="Arial" w:hAnsi="Arial"/>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520" w:type="dxa"/>
            <w:vAlign w:val="bottom"/>
            <w:gridSpan w:val="5"/>
          </w:tcPr>
          <w:p>
            <w:pPr>
              <w:jc w:val="right"/>
              <w:ind w:right="187"/>
              <w:spacing w:after="0"/>
              <w:rPr>
                <w:sz w:val="20"/>
                <w:szCs w:val="20"/>
                <w:color w:val="auto"/>
              </w:rPr>
            </w:pPr>
            <w:r>
              <w:rPr>
                <w:rFonts w:ascii="Arial" w:cs="Arial" w:eastAsia="Arial" w:hAnsi="Arial"/>
                <w:sz w:val="18"/>
                <w:szCs w:val="18"/>
                <w:color w:val="auto"/>
              </w:rPr>
              <w:t>Three Months Ended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gridSpan w:val="6"/>
          </w:tcPr>
          <w:p>
            <w:pPr>
              <w:jc w:val="right"/>
              <w:ind w:right="670"/>
              <w:spacing w:after="0"/>
              <w:rPr>
                <w:sz w:val="20"/>
                <w:szCs w:val="20"/>
                <w:color w:val="auto"/>
              </w:rPr>
            </w:pPr>
            <w:r>
              <w:rPr>
                <w:rFonts w:ascii="Arial" w:cs="Arial" w:eastAsia="Arial" w:hAnsi="Arial"/>
                <w:sz w:val="18"/>
                <w:szCs w:val="18"/>
                <w:color w:val="auto"/>
              </w:rPr>
              <w:t>Nine Months Ended</w:t>
            </w:r>
          </w:p>
        </w:tc>
      </w:tr>
      <w:tr>
        <w:trPr>
          <w:trHeight w:val="217"/>
        </w:trPr>
        <w:tc>
          <w:tcPr>
            <w:tcW w:w="50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right"/>
              <w:ind w:right="427"/>
              <w:spacing w:after="0"/>
              <w:rPr>
                <w:sz w:val="20"/>
                <w:szCs w:val="20"/>
                <w:color w:val="auto"/>
              </w:rPr>
            </w:pPr>
            <w:r>
              <w:rPr>
                <w:rFonts w:ascii="Arial" w:cs="Arial" w:eastAsia="Arial" w:hAnsi="Arial"/>
                <w:sz w:val="18"/>
                <w:szCs w:val="18"/>
                <w:color w:val="auto"/>
                <w:w w:val="89"/>
              </w:rPr>
              <w:t>September 30,</w:t>
            </w:r>
          </w:p>
        </w:tc>
        <w:tc>
          <w:tcPr>
            <w:tcW w:w="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1"/>
              </w:rPr>
              <w:t>September 30,</w:t>
            </w:r>
          </w:p>
        </w:tc>
        <w:tc>
          <w:tcPr>
            <w:tcW w:w="920" w:type="dxa"/>
            <w:vAlign w:val="bottom"/>
            <w:tcBorders>
              <w:bottom w:val="single" w:sz="8" w:color="auto"/>
            </w:tcBorders>
          </w:tcPr>
          <w:p>
            <w:pPr>
              <w:spacing w:after="0"/>
              <w:rPr>
                <w:sz w:val="18"/>
                <w:szCs w:val="18"/>
                <w:color w:val="auto"/>
              </w:rPr>
            </w:pPr>
          </w:p>
        </w:tc>
      </w:tr>
      <w:tr>
        <w:trPr>
          <w:trHeight w:val="210"/>
        </w:trPr>
        <w:tc>
          <w:tcPr>
            <w:tcW w:w="50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jc w:val="right"/>
              <w:ind w:right="430"/>
              <w:spacing w:after="0"/>
              <w:rPr>
                <w:sz w:val="20"/>
                <w:szCs w:val="20"/>
                <w:color w:val="auto"/>
              </w:rPr>
            </w:pPr>
            <w:r>
              <w:rPr>
                <w:rFonts w:ascii="Arial" w:cs="Arial" w:eastAsia="Arial" w:hAnsi="Arial"/>
                <w:sz w:val="18"/>
                <w:szCs w:val="18"/>
                <w:color w:val="auto"/>
                <w:w w:val="94"/>
              </w:rPr>
              <w:t>2022</w:t>
            </w:r>
          </w:p>
        </w:tc>
      </w:tr>
      <w:tr>
        <w:trPr>
          <w:trHeight w:val="183"/>
        </w:trPr>
        <w:tc>
          <w:tcPr>
            <w:tcW w:w="5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940" w:type="dxa"/>
            <w:vAlign w:val="bottom"/>
            <w:tcBorders>
              <w:top w:val="single" w:sz="8" w:color="auto"/>
            </w:tcBorders>
            <w:shd w:val="clear" w:color="auto" w:fill="CCEEFF"/>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3"/>
              </w:rPr>
              <w:t>1,844</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3,823</w:t>
            </w: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88"/>
              </w:rPr>
              <w:t>9,435</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r>
      <w:tr>
        <w:trPr>
          <w:trHeight w:val="189"/>
        </w:trPr>
        <w:tc>
          <w:tcPr>
            <w:tcW w:w="5080" w:type="dxa"/>
            <w:vAlign w:val="bottom"/>
          </w:tcPr>
          <w:p>
            <w:pPr>
              <w:spacing w:after="0" w:line="189" w:lineRule="exact"/>
              <w:rPr>
                <w:sz w:val="20"/>
                <w:szCs w:val="20"/>
                <w:color w:val="auto"/>
              </w:rPr>
            </w:pPr>
            <w:r>
              <w:rPr>
                <w:rFonts w:ascii="Arial" w:cs="Arial" w:eastAsia="Arial" w:hAnsi="Arial"/>
                <w:sz w:val="18"/>
                <w:szCs w:val="18"/>
                <w:color w:val="auto"/>
              </w:rPr>
              <w:t>Currency translation adjustment</w:t>
            </w:r>
          </w:p>
        </w:tc>
        <w:tc>
          <w:tcPr>
            <w:tcW w:w="940" w:type="dxa"/>
            <w:vAlign w:val="bottom"/>
          </w:tcPr>
          <w:p>
            <w:pPr>
              <w:spacing w:after="0"/>
              <w:rPr>
                <w:sz w:val="16"/>
                <w:szCs w:val="16"/>
                <w:color w:val="auto"/>
              </w:rPr>
            </w:pPr>
          </w:p>
        </w:tc>
        <w:tc>
          <w:tcPr>
            <w:tcW w:w="58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(46)</w:t>
            </w:r>
          </w:p>
        </w:tc>
        <w:tc>
          <w:tcPr>
            <w:tcW w:w="920" w:type="dxa"/>
            <w:vAlign w:val="bottom"/>
          </w:tcPr>
          <w:p>
            <w:pPr>
              <w:spacing w:after="0"/>
              <w:rPr>
                <w:sz w:val="16"/>
                <w:szCs w:val="16"/>
                <w:color w:val="auto"/>
              </w:rPr>
            </w:pPr>
          </w:p>
        </w:tc>
        <w:tc>
          <w:tcPr>
            <w:tcW w:w="6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(87)</w:t>
            </w:r>
          </w:p>
        </w:tc>
      </w:tr>
      <w:tr>
        <w:trPr>
          <w:trHeight w:val="183"/>
        </w:trPr>
        <w:tc>
          <w:tcPr>
            <w:tcW w:w="50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Other comprehensive income</w:t>
            </w:r>
          </w:p>
        </w:tc>
        <w:tc>
          <w:tcPr>
            <w:tcW w:w="94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(34)</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w:t>
            </w:r>
          </w:p>
        </w:tc>
      </w:tr>
      <w:tr>
        <w:trPr>
          <w:trHeight w:val="183"/>
        </w:trPr>
        <w:tc>
          <w:tcPr>
            <w:tcW w:w="5080" w:type="dxa"/>
            <w:vAlign w:val="bottom"/>
          </w:tcPr>
          <w:p>
            <w:pPr>
              <w:spacing w:after="0" w:line="182" w:lineRule="exact"/>
              <w:rPr>
                <w:sz w:val="20"/>
                <w:szCs w:val="20"/>
                <w:color w:val="auto"/>
              </w:rPr>
            </w:pPr>
            <w:r>
              <w:rPr>
                <w:rFonts w:ascii="Arial" w:cs="Arial" w:eastAsia="Arial" w:hAnsi="Arial"/>
                <w:sz w:val="18"/>
                <w:szCs w:val="18"/>
                <w:b w:val="1"/>
                <w:bCs w:val="1"/>
                <w:color w:val="auto"/>
              </w:rPr>
              <w:t>Comprehensive income</w:t>
            </w:r>
          </w:p>
        </w:tc>
        <w:tc>
          <w:tcPr>
            <w:tcW w:w="940" w:type="dxa"/>
            <w:vAlign w:val="bottom"/>
            <w:tcBorders>
              <w:bottom w:val="single" w:sz="8" w:color="auto"/>
            </w:tcBorders>
          </w:tcPr>
          <w:p>
            <w:pPr>
              <w:jc w:val="right"/>
              <w:ind w:right="75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3"/>
              </w:rPr>
              <w:t>1,841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3,777</w:t>
            </w:r>
          </w:p>
        </w:tc>
        <w:tc>
          <w:tcPr>
            <w:tcW w:w="160" w:type="dxa"/>
            <w:vAlign w:val="bottom"/>
          </w:tcPr>
          <w:p>
            <w:pPr>
              <w:spacing w:after="0"/>
              <w:rPr>
                <w:sz w:val="15"/>
                <w:szCs w:val="15"/>
                <w:color w:val="auto"/>
              </w:rPr>
            </w:pPr>
          </w:p>
        </w:tc>
        <w:tc>
          <w:tcPr>
            <w:tcW w:w="920" w:type="dxa"/>
            <w:vAlign w:val="bottom"/>
            <w:tcBorders>
              <w:bottom w:val="single" w:sz="8" w:color="auto"/>
            </w:tcBorders>
          </w:tcPr>
          <w:p>
            <w:pPr>
              <w:jc w:val="right"/>
              <w:ind w:right="730"/>
              <w:spacing w:after="0" w:line="182" w:lineRule="exact"/>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8"/>
              </w:rPr>
              <w:t>9,401</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14,163</w:t>
            </w:r>
          </w:p>
        </w:tc>
      </w:tr>
      <w:tr>
        <w:trPr>
          <w:trHeight w:val="20"/>
        </w:trPr>
        <w:tc>
          <w:tcPr>
            <w:tcW w:w="5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37" w:lineRule="auto"/>
        <w:rPr>
          <w:sz w:val="20"/>
          <w:szCs w:val="20"/>
          <w:color w:val="auto"/>
        </w:rPr>
      </w:pPr>
      <w:r>
        <w:rPr>
          <w:rFonts w:ascii="Arial" w:cs="Arial" w:eastAsia="Arial" w:hAnsi="Arial"/>
          <w:sz w:val="18"/>
          <w:szCs w:val="18"/>
          <w:color w:val="auto"/>
        </w:rPr>
        <w:t>Consolidated Statements of Stockholders’ Equity</w:t>
      </w:r>
    </w:p>
    <w:p>
      <w:pPr>
        <w:ind w:left="4820"/>
        <w:spacing w:after="0" w:line="219" w:lineRule="auto"/>
        <w:rPr>
          <w:sz w:val="20"/>
          <w:szCs w:val="20"/>
          <w:color w:val="auto"/>
        </w:rPr>
      </w:pPr>
      <w:r>
        <w:rPr>
          <w:rFonts w:ascii="Arial" w:cs="Arial" w:eastAsia="Arial" w:hAnsi="Arial"/>
          <w:sz w:val="18"/>
          <w:szCs w:val="18"/>
          <w:color w:val="auto"/>
        </w:rPr>
        <w:t>(dollars in thousands)</w:t>
      </w:r>
    </w:p>
    <w:p>
      <w:pPr>
        <w:ind w:left="5200"/>
        <w:spacing w:after="0"/>
        <w:rPr>
          <w:sz w:val="20"/>
          <w:szCs w:val="20"/>
          <w:color w:val="auto"/>
        </w:rPr>
      </w:pPr>
      <w:r>
        <w:rPr>
          <w:rFonts w:ascii="Arial" w:cs="Arial" w:eastAsia="Arial" w:hAnsi="Arial"/>
          <w:sz w:val="18"/>
          <w:szCs w:val="18"/>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5"/>
        </w:trPr>
        <w:tc>
          <w:tcPr>
            <w:tcW w:w="44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3"/>
              </w:rPr>
              <w:t>other‎</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Accumulated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220"/>
              <w:spacing w:after="0" w:line="149" w:lineRule="exact"/>
              <w:rPr>
                <w:sz w:val="20"/>
                <w:szCs w:val="20"/>
                <w:color w:val="auto"/>
              </w:rPr>
            </w:pPr>
            <w:r>
              <w:rPr>
                <w:rFonts w:ascii="Arial" w:cs="Arial" w:eastAsia="Arial" w:hAnsi="Arial"/>
                <w:sz w:val="14"/>
                <w:szCs w:val="14"/>
                <w:color w:val="auto"/>
                <w:w w:val="90"/>
              </w:rPr>
              <w:t>comprehensive‎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color w:val="auto"/>
                <w:w w:val="98"/>
              </w:rPr>
              <w:t>‎deficit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Arial" w:cs="Arial" w:eastAsia="Arial" w:hAnsi="Arial"/>
                <w:sz w:val="14"/>
                <w:szCs w:val="14"/>
                <w:color w:val="auto"/>
                <w:w w:val="92"/>
              </w:rPr>
              <w:t>income‎</w:t>
            </w:r>
          </w:p>
        </w:tc>
        <w:tc>
          <w:tcPr>
            <w:tcW w:w="660" w:type="dxa"/>
            <w:vAlign w:val="bottom"/>
            <w:gridSpan w:val="2"/>
          </w:tcPr>
          <w:p>
            <w:pPr>
              <w:ind w:left="20"/>
              <w:spacing w:after="0"/>
              <w:rPr>
                <w:sz w:val="20"/>
                <w:szCs w:val="20"/>
                <w:color w:val="auto"/>
              </w:rPr>
            </w:pPr>
            <w:r>
              <w:rPr>
                <w:rFonts w:ascii="Arial" w:cs="Arial" w:eastAsia="Arial" w:hAnsi="Arial"/>
                <w:sz w:val="14"/>
                <w:szCs w:val="14"/>
                <w:color w:val="auto"/>
              </w:rPr>
              <w:t>(loss)</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2022</w:t>
            </w: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52,270,922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127,298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5,714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132,988</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Cancellation of restricted shares</w:t>
            </w: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(77,292)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175"/>
        </w:trPr>
        <w:tc>
          <w:tcPr>
            <w:tcW w:w="4440" w:type="dxa"/>
            <w:vAlign w:val="bottom"/>
          </w:tcPr>
          <w:p>
            <w:pPr>
              <w:spacing w:after="0" w:line="175" w:lineRule="exact"/>
              <w:rPr>
                <w:sz w:val="20"/>
                <w:szCs w:val="20"/>
                <w:color w:val="auto"/>
              </w:rPr>
            </w:pPr>
            <w:r>
              <w:rPr>
                <w:rFonts w:ascii="Arial" w:cs="Arial" w:eastAsia="Arial" w:hAnsi="Arial"/>
                <w:sz w:val="18"/>
                <w:szCs w:val="18"/>
                <w:color w:val="auto"/>
                <w:w w:val="96"/>
              </w:rPr>
              <w:t>Tax withholdings related to net share settlements of stock</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(14,678)</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Repurchases of common stock</w:t>
            </w:r>
          </w:p>
        </w:tc>
        <w:tc>
          <w:tcPr>
            <w:tcW w:w="14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(4,094,592)</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(15,545)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3,823</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September 30, 2022</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48,084,360</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127,813</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(6,008)</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121,735</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June 30, 2023</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44,567,055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128,257</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(11,589)</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116,589</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common stock upon exercise of options</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366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175"/>
        </w:trPr>
        <w:tc>
          <w:tcPr>
            <w:tcW w:w="444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w w:val="96"/>
              </w:rPr>
              <w:t>Tax withholdings related to net share settlements of stock</w:t>
            </w: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(7,291)</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189"/>
        </w:trPr>
        <w:tc>
          <w:tcPr>
            <w:tcW w:w="4440" w:type="dxa"/>
            <w:vAlign w:val="bottom"/>
          </w:tcPr>
          <w:p>
            <w:pPr>
              <w:spacing w:after="0" w:line="182" w:lineRule="exact"/>
              <w:rPr>
                <w:sz w:val="20"/>
                <w:szCs w:val="20"/>
                <w:color w:val="auto"/>
              </w:rPr>
            </w:pPr>
            <w:r>
              <w:rPr>
                <w:rFonts w:ascii="Arial" w:cs="Arial" w:eastAsia="Arial" w:hAnsi="Arial"/>
                <w:sz w:val="18"/>
                <w:szCs w:val="18"/>
                <w:b w:val="1"/>
                <w:bCs w:val="1"/>
                <w:color w:val="auto"/>
              </w:rPr>
              <w:t>Balance at September 30, 2023</w:t>
            </w:r>
          </w:p>
        </w:tc>
        <w:tc>
          <w:tcPr>
            <w:tcW w:w="13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44,561,554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128,582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(9,745)</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118,755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ind w:left="4820"/>
        <w:spacing w:after="0" w:line="235" w:lineRule="auto"/>
        <w:rPr>
          <w:sz w:val="20"/>
          <w:szCs w:val="20"/>
          <w:color w:val="auto"/>
        </w:rPr>
      </w:pPr>
      <w:r>
        <w:rPr>
          <w:rFonts w:ascii="Arial" w:cs="Arial" w:eastAsia="Arial" w:hAnsi="Arial"/>
          <w:sz w:val="18"/>
          <w:szCs w:val="18"/>
          <w:color w:val="auto"/>
        </w:rPr>
        <w:t>(dollars in thousands)</w:t>
      </w:r>
    </w:p>
    <w:p>
      <w:pPr>
        <w:ind w:left="5200"/>
        <w:spacing w:after="0"/>
        <w:rPr>
          <w:sz w:val="20"/>
          <w:szCs w:val="20"/>
          <w:color w:val="auto"/>
        </w:rPr>
      </w:pPr>
      <w:r>
        <w:rPr>
          <w:rFonts w:ascii="Arial" w:cs="Arial" w:eastAsia="Arial" w:hAnsi="Arial"/>
          <w:sz w:val="18"/>
          <w:szCs w:val="18"/>
          <w:color w:val="auto"/>
        </w:rPr>
        <w:t>(unaudited)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440" w:type="dxa"/>
            <w:vAlign w:val="bottom"/>
          </w:tcPr>
          <w:p>
            <w:pPr>
              <w:spacing w:after="0"/>
              <w:rPr>
                <w:sz w:val="15"/>
                <w:szCs w:val="15"/>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4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color w:val="auto"/>
                <w:w w:val="96"/>
              </w:rPr>
              <w:t>Accumulated</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3"/>
              </w:rPr>
              <w:t>other‎</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paid‎-in</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Accumulated</w:t>
            </w:r>
          </w:p>
        </w:tc>
        <w:tc>
          <w:tcPr>
            <w:tcW w:w="120" w:type="dxa"/>
            <w:vAlign w:val="bottom"/>
          </w:tcPr>
          <w:p>
            <w:pPr>
              <w:spacing w:after="0"/>
              <w:rPr>
                <w:sz w:val="12"/>
                <w:szCs w:val="12"/>
                <w:color w:val="auto"/>
              </w:rPr>
            </w:pPr>
          </w:p>
        </w:tc>
        <w:tc>
          <w:tcPr>
            <w:tcW w:w="116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0"/>
              </w:rPr>
              <w:t>comprehensive‎</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4440" w:type="dxa"/>
            <w:vAlign w:val="bottom"/>
          </w:tcPr>
          <w:p>
            <w:pPr>
              <w:spacing w:after="0"/>
              <w:rPr>
                <w:sz w:val="15"/>
                <w:szCs w:val="15"/>
                <w:color w:val="auto"/>
              </w:rPr>
            </w:pPr>
          </w:p>
        </w:tc>
        <w:tc>
          <w:tcPr>
            <w:tcW w:w="1460" w:type="dxa"/>
            <w:vAlign w:val="bottom"/>
            <w:gridSpan w:val="2"/>
          </w:tcPr>
          <w:p>
            <w:pPr>
              <w:ind w:left="50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5"/>
                <w:szCs w:val="15"/>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capital‎</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color w:val="auto"/>
                <w:w w:val="98"/>
              </w:rPr>
              <w:t>‎deficit</w:t>
            </w:r>
          </w:p>
        </w:tc>
        <w:tc>
          <w:tcPr>
            <w:tcW w:w="120" w:type="dxa"/>
            <w:vAlign w:val="bottom"/>
          </w:tcPr>
          <w:p>
            <w:pPr>
              <w:spacing w:after="0"/>
              <w:rPr>
                <w:sz w:val="15"/>
                <w:szCs w:val="15"/>
                <w:color w:val="auto"/>
              </w:rPr>
            </w:pPr>
          </w:p>
        </w:tc>
        <w:tc>
          <w:tcPr>
            <w:tcW w:w="540" w:type="dxa"/>
            <w:vAlign w:val="bottom"/>
          </w:tcPr>
          <w:p>
            <w:pPr>
              <w:ind w:left="100"/>
              <w:spacing w:after="0"/>
              <w:rPr>
                <w:sz w:val="20"/>
                <w:szCs w:val="20"/>
                <w:color w:val="auto"/>
              </w:rPr>
            </w:pPr>
            <w:r>
              <w:rPr>
                <w:rFonts w:ascii="Arial" w:cs="Arial" w:eastAsia="Arial" w:hAnsi="Arial"/>
                <w:sz w:val="14"/>
                <w:szCs w:val="14"/>
                <w:color w:val="auto"/>
                <w:w w:val="92"/>
              </w:rPr>
              <w:t>income‎</w:t>
            </w:r>
          </w:p>
        </w:tc>
        <w:tc>
          <w:tcPr>
            <w:tcW w:w="620" w:type="dxa"/>
            <w:vAlign w:val="bottom"/>
            <w:gridSpan w:val="2"/>
          </w:tcPr>
          <w:p>
            <w:pPr>
              <w:ind w:left="20"/>
              <w:spacing w:after="0"/>
              <w:rPr>
                <w:sz w:val="20"/>
                <w:szCs w:val="20"/>
                <w:color w:val="auto"/>
              </w:rPr>
            </w:pPr>
            <w:r>
              <w:rPr>
                <w:rFonts w:ascii="Arial" w:cs="Arial" w:eastAsia="Arial" w:hAnsi="Arial"/>
                <w:sz w:val="14"/>
                <w:szCs w:val="14"/>
                <w:color w:val="auto"/>
              </w:rPr>
              <w:t>(loss)</w:t>
            </w: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ind w:right="25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444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13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51,963,377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126,920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(4,713)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122,224</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592,396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(258,038)</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Stock based compensation</w:t>
            </w:r>
          </w:p>
        </w:tc>
        <w:tc>
          <w:tcPr>
            <w:tcW w:w="13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1,617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161"/>
        </w:trPr>
        <w:tc>
          <w:tcPr>
            <w:tcW w:w="444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 of stock</w:t>
            </w: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(118,783)</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(724)</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Repurchases of common stock</w:t>
            </w:r>
          </w:p>
        </w:tc>
        <w:tc>
          <w:tcPr>
            <w:tcW w:w="14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(4,094,592)</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(15,545)</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(15,545)</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14,250</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30, 2022</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48,084,360</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127,813</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(6,008)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121,735</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2022</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44,377,445</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127,997</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(19,180)</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w:t>
            </w: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108,769</w:t>
            </w:r>
          </w:p>
        </w:tc>
        <w:tc>
          <w:tcPr>
            <w:tcW w:w="0" w:type="dxa"/>
            <w:vAlign w:val="bottom"/>
          </w:tcPr>
          <w:p>
            <w:pPr>
              <w:spacing w:after="0"/>
              <w:rPr>
                <w:sz w:val="1"/>
                <w:szCs w:val="1"/>
                <w:color w:val="auto"/>
              </w:rPr>
            </w:pPr>
          </w:p>
        </w:tc>
      </w:tr>
      <w:tr>
        <w:trPr>
          <w:trHeight w:val="176"/>
        </w:trPr>
        <w:tc>
          <w:tcPr>
            <w:tcW w:w="4440" w:type="dxa"/>
            <w:vAlign w:val="bottom"/>
          </w:tcPr>
          <w:p>
            <w:pPr>
              <w:spacing w:after="0" w:line="176" w:lineRule="exact"/>
              <w:rPr>
                <w:sz w:val="20"/>
                <w:szCs w:val="20"/>
                <w:color w:val="auto"/>
              </w:rPr>
            </w:pPr>
            <w:r>
              <w:rPr>
                <w:rFonts w:ascii="Arial" w:cs="Arial" w:eastAsia="Arial" w:hAnsi="Arial"/>
                <w:sz w:val="18"/>
                <w:szCs w:val="18"/>
                <w:color w:val="auto"/>
              </w:rPr>
              <w:t>Issuance of restricted shares</w:t>
            </w:r>
          </w:p>
        </w:tc>
        <w:tc>
          <w:tcPr>
            <w:tcW w:w="1360" w:type="dxa"/>
            <w:vAlign w:val="bottom"/>
          </w:tcPr>
          <w:p>
            <w:pPr>
              <w:jc w:val="right"/>
              <w:spacing w:after="0" w:line="176" w:lineRule="exact"/>
              <w:rPr>
                <w:sz w:val="20"/>
                <w:szCs w:val="20"/>
                <w:color w:val="auto"/>
              </w:rPr>
            </w:pPr>
            <w:r>
              <w:rPr>
                <w:rFonts w:ascii="Arial" w:cs="Arial" w:eastAsia="Arial" w:hAnsi="Arial"/>
                <w:sz w:val="18"/>
                <w:szCs w:val="18"/>
                <w:color w:val="auto"/>
              </w:rPr>
              <w:t>611,154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Issuance of common stock upon exercise of options</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1,790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9"/>
        </w:trPr>
        <w:tc>
          <w:tcPr>
            <w:tcW w:w="444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46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(329,536)</w:t>
            </w:r>
          </w:p>
        </w:tc>
        <w:tc>
          <w:tcPr>
            <w:tcW w:w="120" w:type="dxa"/>
            <w:vAlign w:val="bottom"/>
          </w:tcPr>
          <w:p>
            <w:pPr>
              <w:spacing w:after="0"/>
              <w:rPr>
                <w:sz w:val="16"/>
                <w:szCs w:val="16"/>
                <w:color w:val="auto"/>
              </w:rPr>
            </w:pPr>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1,072</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1,072</w:t>
            </w:r>
          </w:p>
        </w:tc>
        <w:tc>
          <w:tcPr>
            <w:tcW w:w="0" w:type="dxa"/>
            <w:vAlign w:val="bottom"/>
          </w:tcPr>
          <w:p>
            <w:pPr>
              <w:spacing w:after="0"/>
              <w:rPr>
                <w:sz w:val="1"/>
                <w:szCs w:val="1"/>
                <w:color w:val="auto"/>
              </w:rPr>
            </w:pPr>
          </w:p>
        </w:tc>
      </w:tr>
      <w:tr>
        <w:trPr>
          <w:trHeight w:val="161"/>
        </w:trPr>
        <w:tc>
          <w:tcPr>
            <w:tcW w:w="4440" w:type="dxa"/>
            <w:vAlign w:val="bottom"/>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 of stock</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based compensation awards</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(99,299)</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189"/>
        </w:trPr>
        <w:tc>
          <w:tcPr>
            <w:tcW w:w="44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3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89"/>
        </w:trPr>
        <w:tc>
          <w:tcPr>
            <w:tcW w:w="444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3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9,435</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9,435</w:t>
            </w:r>
          </w:p>
        </w:tc>
        <w:tc>
          <w:tcPr>
            <w:tcW w:w="0" w:type="dxa"/>
            <w:vAlign w:val="bottom"/>
          </w:tcPr>
          <w:p>
            <w:pPr>
              <w:spacing w:after="0"/>
              <w:rPr>
                <w:sz w:val="1"/>
                <w:szCs w:val="1"/>
                <w:color w:val="auto"/>
              </w:rPr>
            </w:pPr>
          </w:p>
        </w:tc>
      </w:tr>
      <w:tr>
        <w:trPr>
          <w:trHeight w:val="190"/>
        </w:trPr>
        <w:tc>
          <w:tcPr>
            <w:tcW w:w="44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September 30, 2023</w:t>
            </w:r>
          </w:p>
        </w:tc>
        <w:tc>
          <w:tcPr>
            <w:tcW w:w="13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44,561,554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128,582</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(9,745)</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(86)</w:t>
            </w: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118,755</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ind w:right="40"/>
        <w:spacing w:after="0" w:line="237" w:lineRule="auto"/>
        <w:rPr>
          <w:sz w:val="20"/>
          <w:szCs w:val="20"/>
          <w:color w:val="auto"/>
        </w:rPr>
      </w:pPr>
      <w:r>
        <w:rPr>
          <w:rFonts w:ascii="Arial" w:cs="Arial" w:eastAsia="Arial" w:hAnsi="Arial"/>
          <w:sz w:val="18"/>
          <w:szCs w:val="18"/>
          <w:color w:val="auto"/>
        </w:rPr>
        <w:t>Consolidated Statements of Cash Flows</w:t>
      </w:r>
    </w:p>
    <w:p>
      <w:pPr>
        <w:jc w:val="center"/>
        <w:spacing w:after="0" w:line="219" w:lineRule="auto"/>
        <w:rPr>
          <w:sz w:val="20"/>
          <w:szCs w:val="20"/>
          <w:color w:val="auto"/>
        </w:rPr>
      </w:pPr>
      <w:r>
        <w:rPr>
          <w:rFonts w:ascii="Arial" w:cs="Arial" w:eastAsia="Arial" w:hAnsi="Arial"/>
          <w:sz w:val="18"/>
          <w:szCs w:val="18"/>
          <w:color w:val="auto"/>
        </w:rPr>
        <w:t>(dollars in thousands)</w:t>
      </w:r>
    </w:p>
    <w:p>
      <w:pPr>
        <w:jc w:val="center"/>
        <w:spacing w:after="0"/>
        <w:rPr>
          <w:sz w:val="20"/>
          <w:szCs w:val="20"/>
          <w:color w:val="auto"/>
        </w:rPr>
      </w:pPr>
      <w:r>
        <w:rPr>
          <w:rFonts w:ascii="Arial" w:cs="Arial" w:eastAsia="Arial" w:hAnsi="Arial"/>
          <w:sz w:val="18"/>
          <w:szCs w:val="18"/>
          <w:color w:val="auto"/>
        </w:rPr>
        <w:t>(unaudited)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0" w:type="dxa"/>
            <w:vAlign w:val="bottom"/>
            <w:gridSpan w:val="4"/>
          </w:tcPr>
          <w:p>
            <w:pPr>
              <w:jc w:val="right"/>
              <w:ind w:right="630"/>
              <w:spacing w:after="0"/>
              <w:rPr>
                <w:sz w:val="20"/>
                <w:szCs w:val="20"/>
                <w:color w:val="auto"/>
              </w:rPr>
            </w:pPr>
            <w:r>
              <w:rPr>
                <w:rFonts w:ascii="Arial" w:cs="Arial" w:eastAsia="Arial" w:hAnsi="Arial"/>
                <w:sz w:val="18"/>
                <w:szCs w:val="18"/>
                <w:color w:val="auto"/>
              </w:rPr>
              <w:t>Nine Months Ended</w:t>
            </w:r>
          </w:p>
        </w:tc>
      </w:tr>
      <w:tr>
        <w:trPr>
          <w:trHeight w:val="217"/>
        </w:trPr>
        <w:tc>
          <w:tcPr>
            <w:tcW w:w="7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September 30,</w:t>
            </w:r>
          </w:p>
        </w:tc>
        <w:tc>
          <w:tcPr>
            <w:tcW w:w="900" w:type="dxa"/>
            <w:vAlign w:val="bottom"/>
            <w:tcBorders>
              <w:bottom w:val="single" w:sz="8" w:color="auto"/>
            </w:tcBorders>
          </w:tcPr>
          <w:p>
            <w:pPr>
              <w:spacing w:after="0"/>
              <w:rPr>
                <w:sz w:val="18"/>
                <w:szCs w:val="18"/>
                <w:color w:val="auto"/>
              </w:rPr>
            </w:pPr>
          </w:p>
        </w:tc>
      </w:tr>
      <w:tr>
        <w:trPr>
          <w:trHeight w:val="210"/>
        </w:trPr>
        <w:tc>
          <w:tcPr>
            <w:tcW w:w="770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2022</w:t>
            </w:r>
          </w:p>
        </w:tc>
      </w:tr>
      <w:tr>
        <w:trPr>
          <w:trHeight w:val="183"/>
        </w:trPr>
        <w:tc>
          <w:tcPr>
            <w:tcW w:w="7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940" w:type="dxa"/>
            <w:vAlign w:val="bottom"/>
            <w:gridSpan w:val="2"/>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9,435</w:t>
            </w:r>
          </w:p>
        </w:tc>
        <w:tc>
          <w:tcPr>
            <w:tcW w:w="160" w:type="dxa"/>
            <w:vAlign w:val="bottom"/>
          </w:tcPr>
          <w:p>
            <w:pPr>
              <w:spacing w:after="0"/>
              <w:rPr>
                <w:sz w:val="16"/>
                <w:szCs w:val="16"/>
                <w:color w:val="auto"/>
              </w:rPr>
            </w:pPr>
          </w:p>
        </w:tc>
        <w:tc>
          <w:tcPr>
            <w:tcW w:w="480" w:type="dxa"/>
            <w:vAlign w:val="bottom"/>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14,250</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16,394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19,011</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363</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Gain on disposals of property, plant and equipment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(51)</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Impairment charges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Non-cash lease expense</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19,561</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19,418</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1,072</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1,617</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2,066</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320</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r>
      <w:tr>
        <w:trPr>
          <w:trHeight w:val="189"/>
        </w:trPr>
        <w:tc>
          <w:tcPr>
            <w:tcW w:w="7700" w:type="dxa"/>
            <w:vAlign w:val="bottom"/>
          </w:tcPr>
          <w:p>
            <w:pPr>
              <w:ind w:left="220"/>
              <w:spacing w:after="0" w:line="189" w:lineRule="exact"/>
              <w:rPr>
                <w:sz w:val="20"/>
                <w:szCs w:val="20"/>
                <w:color w:val="auto"/>
              </w:rPr>
            </w:pPr>
            <w:r>
              <w:rPr>
                <w:rFonts w:ascii="Arial" w:cs="Arial" w:eastAsia="Arial" w:hAnsi="Arial"/>
                <w:sz w:val="18"/>
                <w:szCs w:val="18"/>
                <w:color w:val="auto"/>
              </w:rPr>
              <w:t>Receivables, net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(90)</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(902)</w:t>
            </w: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Inventories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22,242</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(24,305)</w:t>
            </w:r>
          </w:p>
        </w:tc>
      </w:tr>
      <w:tr>
        <w:trPr>
          <w:trHeight w:val="189"/>
        </w:trPr>
        <w:tc>
          <w:tcPr>
            <w:tcW w:w="7700" w:type="dxa"/>
            <w:vAlign w:val="bottom"/>
          </w:tcPr>
          <w:p>
            <w:pPr>
              <w:ind w:left="220"/>
              <w:spacing w:after="0" w:line="189" w:lineRule="exact"/>
              <w:rPr>
                <w:sz w:val="20"/>
                <w:szCs w:val="20"/>
                <w:color w:val="auto"/>
              </w:rPr>
            </w:pPr>
            <w:r>
              <w:rPr>
                <w:rFonts w:ascii="Arial" w:cs="Arial" w:eastAsia="Arial" w:hAnsi="Arial"/>
                <w:sz w:val="18"/>
                <w:szCs w:val="18"/>
                <w:color w:val="auto"/>
              </w:rPr>
              <w:t>Other current assets, net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(302)</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(3,479)</w:t>
            </w: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2,490</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1,831</w:t>
            </w:r>
          </w:p>
        </w:tc>
      </w:tr>
      <w:tr>
        <w:trPr>
          <w:trHeight w:val="189"/>
        </w:trPr>
        <w:tc>
          <w:tcPr>
            <w:tcW w:w="7700" w:type="dxa"/>
            <w:vAlign w:val="bottom"/>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3,533</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(263)</w:t>
            </w: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(20,989)</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(20,676)</w:t>
            </w:r>
          </w:p>
        </w:tc>
      </w:tr>
      <w:tr>
        <w:trPr>
          <w:trHeight w:val="183"/>
        </w:trPr>
        <w:tc>
          <w:tcPr>
            <w:tcW w:w="770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6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56,172</w:t>
            </w:r>
          </w:p>
        </w:tc>
        <w:tc>
          <w:tcPr>
            <w:tcW w:w="160" w:type="dxa"/>
            <w:vAlign w:val="bottom"/>
            <w:tcBorders>
              <w:bottom w:val="single" w:sz="8" w:color="CCEEFF"/>
            </w:tcBorders>
          </w:tcPr>
          <w:p>
            <w:pPr>
              <w:spacing w:after="0"/>
              <w:rPr>
                <w:sz w:val="15"/>
                <w:szCs w:val="15"/>
                <w:color w:val="auto"/>
              </w:rPr>
            </w:pPr>
          </w:p>
        </w:tc>
        <w:tc>
          <w:tcPr>
            <w:tcW w:w="4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7,185</w:t>
            </w:r>
          </w:p>
        </w:tc>
      </w:tr>
      <w:tr>
        <w:trPr>
          <w:trHeight w:val="183"/>
        </w:trPr>
        <w:tc>
          <w:tcPr>
            <w:tcW w:w="7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(11,046)</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(10,340)</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Proceeds from the sale of property, plant and equipment</w:t>
            </w:r>
          </w:p>
        </w:tc>
        <w:tc>
          <w:tcPr>
            <w:tcW w:w="6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3"/>
        </w:trPr>
        <w:tc>
          <w:tcPr>
            <w:tcW w:w="770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(10,988)</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(10,340)</w:t>
            </w:r>
          </w:p>
        </w:tc>
      </w:tr>
      <w:tr>
        <w:trPr>
          <w:trHeight w:val="182"/>
        </w:trPr>
        <w:tc>
          <w:tcPr>
            <w:tcW w:w="770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Payments of long-term debt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(50,400)</w:t>
            </w: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(45,000)</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15,000</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70,400</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Proceeds from exercise of stock options</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(491)</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(724)</w:t>
            </w:r>
          </w:p>
        </w:tc>
      </w:tr>
      <w:tr>
        <w:trPr>
          <w:trHeight w:val="189"/>
        </w:trPr>
        <w:tc>
          <w:tcPr>
            <w:tcW w:w="7700" w:type="dxa"/>
            <w:vAlign w:val="bottom"/>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(15,545)</w:t>
            </w:r>
          </w:p>
        </w:tc>
      </w:tr>
      <w:tr>
        <w:trPr>
          <w:trHeight w:val="189"/>
        </w:trPr>
        <w:tc>
          <w:tcPr>
            <w:tcW w:w="770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Debt issuance costs</w:t>
            </w:r>
          </w:p>
        </w:tc>
        <w:tc>
          <w:tcPr>
            <w:tcW w:w="6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(360)</w:t>
            </w:r>
          </w:p>
        </w:tc>
      </w:tr>
      <w:tr>
        <w:trPr>
          <w:trHeight w:val="183"/>
        </w:trPr>
        <w:tc>
          <w:tcPr>
            <w:tcW w:w="770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6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(35,887)</w:t>
            </w:r>
          </w:p>
        </w:tc>
        <w:tc>
          <w:tcPr>
            <w:tcW w:w="16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8,771</w:t>
            </w:r>
          </w:p>
        </w:tc>
      </w:tr>
      <w:tr>
        <w:trPr>
          <w:trHeight w:val="183"/>
        </w:trPr>
        <w:tc>
          <w:tcPr>
            <w:tcW w:w="7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6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(75)</w:t>
            </w: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9,267</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5,541</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6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7,759</w:t>
            </w:r>
          </w:p>
        </w:tc>
        <w:tc>
          <w:tcPr>
            <w:tcW w:w="1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10,013</w:t>
            </w:r>
          </w:p>
        </w:tc>
      </w:tr>
      <w:tr>
        <w:trPr>
          <w:trHeight w:val="223"/>
        </w:trPr>
        <w:tc>
          <w:tcPr>
            <w:tcW w:w="77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17,026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15,554</w:t>
            </w:r>
          </w:p>
        </w:tc>
      </w:tr>
      <w:tr>
        <w:trPr>
          <w:trHeight w:val="170"/>
        </w:trPr>
        <w:tc>
          <w:tcPr>
            <w:tcW w:w="7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color w:val="auto"/>
              </w:rPr>
              <w:t>Cash and cash equivalents</w:t>
            </w:r>
          </w:p>
        </w:tc>
        <w:tc>
          <w:tcPr>
            <w:tcW w:w="940" w:type="dxa"/>
            <w:vAlign w:val="bottom"/>
            <w:gridSpan w:val="2"/>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16,371</w:t>
            </w:r>
          </w:p>
        </w:tc>
        <w:tc>
          <w:tcPr>
            <w:tcW w:w="160" w:type="dxa"/>
            <w:vAlign w:val="bottom"/>
          </w:tcPr>
          <w:p>
            <w:pPr>
              <w:spacing w:after="0"/>
              <w:rPr>
                <w:sz w:val="16"/>
                <w:szCs w:val="16"/>
                <w:color w:val="auto"/>
              </w:rPr>
            </w:pPr>
          </w:p>
        </w:tc>
        <w:tc>
          <w:tcPr>
            <w:tcW w:w="480" w:type="dxa"/>
            <w:vAlign w:val="bottom"/>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12,423</w:t>
            </w:r>
          </w:p>
        </w:tc>
      </w:tr>
      <w:tr>
        <w:trPr>
          <w:trHeight w:val="189"/>
        </w:trPr>
        <w:tc>
          <w:tcPr>
            <w:tcW w:w="7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Restricted cash</w:t>
            </w:r>
          </w:p>
        </w:tc>
        <w:tc>
          <w:tcPr>
            <w:tcW w:w="64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655</w:t>
            </w:r>
          </w:p>
        </w:tc>
        <w:tc>
          <w:tcPr>
            <w:tcW w:w="16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3,131</w:t>
            </w:r>
          </w:p>
        </w:tc>
      </w:tr>
      <w:tr>
        <w:trPr>
          <w:trHeight w:val="223"/>
        </w:trPr>
        <w:tc>
          <w:tcPr>
            <w:tcW w:w="77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6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17,026</w:t>
            </w:r>
          </w:p>
        </w:tc>
        <w:tc>
          <w:tcPr>
            <w:tcW w:w="1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15,554</w:t>
            </w:r>
          </w:p>
        </w:tc>
      </w:tr>
      <w:tr>
        <w:trPr>
          <w:trHeight w:val="169"/>
        </w:trPr>
        <w:tc>
          <w:tcPr>
            <w:tcW w:w="7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r>
      <w:tr>
        <w:trPr>
          <w:trHeight w:val="189"/>
        </w:trPr>
        <w:tc>
          <w:tcPr>
            <w:tcW w:w="7700" w:type="dxa"/>
            <w:vAlign w:val="bottom"/>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96"/>
              </w:rPr>
              <w:t>Purchases of property, plant and equipment included in accounts payable and accrued expenses</w:t>
            </w:r>
          </w:p>
        </w:tc>
        <w:tc>
          <w:tcPr>
            <w:tcW w:w="940" w:type="dxa"/>
            <w:vAlign w:val="bottom"/>
            <w:gridSpan w:val="2"/>
            <w:shd w:val="clear" w:color="auto" w:fill="CCEEFF"/>
          </w:tcPr>
          <w:p>
            <w:pPr>
              <w:jc w:val="right"/>
              <w:ind w:right="147"/>
              <w:spacing w:after="0" w:line="189"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986</w:t>
            </w: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129</w:t>
            </w:r>
          </w:p>
        </w:tc>
      </w:tr>
      <w:tr>
        <w:trPr>
          <w:trHeight w:val="189"/>
        </w:trPr>
        <w:tc>
          <w:tcPr>
            <w:tcW w:w="7700" w:type="dxa"/>
            <w:vAlign w:val="bottom"/>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1,960</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882</w:t>
            </w:r>
          </w:p>
        </w:tc>
      </w:tr>
      <w:tr>
        <w:trPr>
          <w:trHeight w:val="189"/>
        </w:trPr>
        <w:tc>
          <w:tcPr>
            <w:tcW w:w="77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(received) paid for income taxes, net</w:t>
            </w: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(2,266)</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4,922</w:t>
            </w:r>
          </w:p>
        </w:tc>
      </w:tr>
    </w:tbl>
    <w:p>
      <w:pPr>
        <w:spacing w:after="0" w:line="16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Tile Shop Holdings, Inc. (“Holdings,” and together with its wholly owned subsidiaries, the “Company”) was incorporated in Delaware in June 2012.</w:t>
      </w:r>
    </w:p>
    <w:p>
      <w:pPr>
        <w:spacing w:after="0" w:line="196"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The Company is a specialty retailer of natural stone, man-made and luxury vinyl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September 30, 2023, the Company had 143 stores in 31 states and the District of Columbia, with an average size of approximately 20,000 square feet. The Company has distribution centers located in Michigan, New Jersey, Oklahoma, Virginia and Wisconsin. The Company also has a sourcing office located in China.</w:t>
      </w:r>
    </w:p>
    <w:p>
      <w:pPr>
        <w:spacing w:after="0" w:line="159" w:lineRule="exact"/>
        <w:rPr>
          <w:sz w:val="20"/>
          <w:szCs w:val="20"/>
          <w:color w:val="auto"/>
        </w:rPr>
      </w:pPr>
    </w:p>
    <w:p>
      <w:pPr>
        <w:ind w:right="40"/>
        <w:spacing w:after="0" w:line="232" w:lineRule="auto"/>
        <w:rPr>
          <w:sz w:val="20"/>
          <w:szCs w:val="20"/>
          <w:color w:val="auto"/>
        </w:rPr>
      </w:pPr>
      <w:r>
        <w:rPr>
          <w:rFonts w:ascii="Arial" w:cs="Arial" w:eastAsia="Arial" w:hAnsi="Arial"/>
          <w:sz w:val="18"/>
          <w:szCs w:val="18"/>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nine months ended September 30, 2023 are not necessarily indicative of the results that may be expected for the fiscal year ending December 31, 2023.</w:t>
      </w:r>
    </w:p>
    <w:p>
      <w:pPr>
        <w:spacing w:after="0" w:line="163"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2022. The accounting policies used in preparing these Consolidated Financial Statements are the same as those described in Note 1 to the Consolidated Financial Statements in such Form 10-K.</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Restatement of Previously Issued Financial Statements</w:t>
      </w:r>
    </w:p>
    <w:p>
      <w:pPr>
        <w:spacing w:after="0" w:line="17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In connection with the preparation of the unaudited interim financial statements for the period ended September 30, 2023, the Company identified an error related to operating lease agreements that were extended prior to the end of the second quarter of 2023, but not reflected in the unaudited financial information as of the quarter ended June 30, 2023. The Company assessed the materiality of the error identified in accordance with the SEC’s Staff Accounting Bulletin No. 99 and concluded that the changes were material and that certain of the unaudited interim consolidated financial statements should be restated.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this change on the unaudited Consolidated Balance Sheet presented as of June 30, 2023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400" w:type="dxa"/>
            <w:vAlign w:val="bottom"/>
          </w:tcPr>
          <w:p>
            <w:pPr>
              <w:spacing w:after="0"/>
              <w:rPr>
                <w:sz w:val="20"/>
                <w:szCs w:val="20"/>
                <w:color w:val="auto"/>
              </w:rPr>
            </w:pPr>
            <w:r>
              <w:rPr>
                <w:rFonts w:ascii="Arial" w:cs="Arial" w:eastAsia="Arial" w:hAnsi="Arial"/>
                <w:sz w:val="18"/>
                <w:szCs w:val="18"/>
                <w:color w:val="auto"/>
              </w:rPr>
              <w:t>(in thousands)</w:t>
            </w:r>
          </w:p>
        </w:tc>
        <w:tc>
          <w:tcPr>
            <w:tcW w:w="1640" w:type="dxa"/>
            <w:vAlign w:val="bottom"/>
          </w:tcPr>
          <w:p>
            <w:pPr>
              <w:spacing w:after="0"/>
              <w:rPr>
                <w:sz w:val="18"/>
                <w:szCs w:val="18"/>
                <w:color w:val="auto"/>
              </w:rPr>
            </w:pPr>
          </w:p>
        </w:tc>
        <w:tc>
          <w:tcPr>
            <w:tcW w:w="1400" w:type="dxa"/>
            <w:vAlign w:val="bottom"/>
          </w:tcPr>
          <w:p>
            <w:pPr>
              <w:jc w:val="right"/>
              <w:ind w:right="310"/>
              <w:spacing w:after="0"/>
              <w:rPr>
                <w:sz w:val="20"/>
                <w:szCs w:val="20"/>
                <w:color w:val="auto"/>
              </w:rPr>
            </w:pPr>
            <w:r>
              <w:rPr>
                <w:rFonts w:ascii="Arial" w:cs="Arial" w:eastAsia="Arial" w:hAnsi="Arial"/>
                <w:sz w:val="18"/>
                <w:szCs w:val="18"/>
                <w:color w:val="auto"/>
              </w:rPr>
              <w:t>As reported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Adjustment</w:t>
            </w:r>
          </w:p>
        </w:tc>
        <w:tc>
          <w:tcPr>
            <w:tcW w:w="24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As restated</w:t>
            </w:r>
          </w:p>
        </w:tc>
      </w:tr>
      <w:tr>
        <w:trPr>
          <w:trHeight w:val="183"/>
        </w:trPr>
        <w:tc>
          <w:tcPr>
            <w:tcW w:w="4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Right of use asset</w:t>
            </w:r>
          </w:p>
        </w:tc>
        <w:tc>
          <w:tcPr>
            <w:tcW w:w="1640" w:type="dxa"/>
            <w:vAlign w:val="bottom"/>
            <w:tcBorders>
              <w:top w:val="single" w:sz="8" w:color="CCEEFF"/>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114,616</w:t>
            </w:r>
          </w:p>
        </w:tc>
        <w:tc>
          <w:tcPr>
            <w:tcW w:w="2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2,152</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116,768</w:t>
            </w: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Total Assets</w:t>
            </w:r>
          </w:p>
        </w:tc>
        <w:tc>
          <w:tcPr>
            <w:tcW w:w="16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325,439</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2,152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327,591</w:t>
            </w: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6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98,845</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2,152</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100,997</w:t>
            </w:r>
          </w:p>
        </w:tc>
      </w:tr>
      <w:tr>
        <w:trPr>
          <w:trHeight w:val="189"/>
        </w:trPr>
        <w:tc>
          <w:tcPr>
            <w:tcW w:w="4400" w:type="dxa"/>
            <w:vAlign w:val="bottom"/>
          </w:tcPr>
          <w:p>
            <w:pPr>
              <w:spacing w:after="0" w:line="189" w:lineRule="exact"/>
              <w:rPr>
                <w:sz w:val="20"/>
                <w:szCs w:val="20"/>
                <w:color w:val="auto"/>
              </w:rPr>
            </w:pPr>
            <w:r>
              <w:rPr>
                <w:rFonts w:ascii="Arial" w:cs="Arial" w:eastAsia="Arial" w:hAnsi="Arial"/>
                <w:sz w:val="18"/>
                <w:szCs w:val="18"/>
                <w:color w:val="auto"/>
              </w:rPr>
              <w:t>Total Liabilities</w:t>
            </w:r>
          </w:p>
        </w:tc>
        <w:tc>
          <w:tcPr>
            <w:tcW w:w="16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208,850</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2,152</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jc w:val="right"/>
              <w:spacing w:after="0" w:line="189" w:lineRule="exact"/>
              <w:rPr>
                <w:sz w:val="20"/>
                <w:szCs w:val="20"/>
                <w:color w:val="auto"/>
              </w:rPr>
            </w:pPr>
            <w:r>
              <w:rPr>
                <w:rFonts w:ascii="Arial" w:cs="Arial" w:eastAsia="Arial" w:hAnsi="Arial"/>
                <w:sz w:val="18"/>
                <w:szCs w:val="18"/>
                <w:color w:val="auto"/>
              </w:rPr>
              <w:t>211,002</w:t>
            </w:r>
          </w:p>
        </w:tc>
      </w:tr>
      <w:tr>
        <w:trPr>
          <w:trHeight w:val="189"/>
        </w:trPr>
        <w:tc>
          <w:tcPr>
            <w:tcW w:w="4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Liabilities and Stockholders' Equity</w:t>
            </w:r>
          </w:p>
        </w:tc>
        <w:tc>
          <w:tcPr>
            <w:tcW w:w="16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325,439</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2,152</w:t>
            </w: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327,591</w:t>
            </w:r>
          </w:p>
        </w:tc>
      </w:tr>
    </w:tbl>
    <w:p>
      <w:pPr>
        <w:spacing w:after="0" w:line="16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impact of the error was immaterial to the unaudited Consolidated Statements of Income, Consolidated Statements of Stockholders’ Equity and the Consolidated Statement of Cash Flows for the period ended June 30, 2023 and do not require restatement.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17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disaggregated by product category:</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20" w:type="dxa"/>
            <w:vAlign w:val="bottom"/>
          </w:tcPr>
          <w:p>
            <w:pPr>
              <w:spacing w:after="0"/>
              <w:rPr>
                <w:sz w:val="19"/>
                <w:szCs w:val="19"/>
                <w:color w:val="auto"/>
              </w:rPr>
            </w:pPr>
          </w:p>
        </w:tc>
        <w:tc>
          <w:tcPr>
            <w:tcW w:w="3540" w:type="dxa"/>
            <w:vAlign w:val="bottom"/>
            <w:gridSpan w:val="5"/>
          </w:tcPr>
          <w:p>
            <w:pPr>
              <w:jc w:val="center"/>
              <w:ind w:right="180"/>
              <w:spacing w:after="0"/>
              <w:rPr>
                <w:sz w:val="20"/>
                <w:szCs w:val="20"/>
                <w:color w:val="auto"/>
              </w:rPr>
            </w:pPr>
            <w:r>
              <w:rPr>
                <w:rFonts w:ascii="Arial" w:cs="Arial" w:eastAsia="Arial" w:hAnsi="Arial"/>
                <w:sz w:val="18"/>
                <w:szCs w:val="18"/>
                <w:color w:val="auto"/>
                <w:w w:val="88"/>
              </w:rPr>
              <w:t>For the three months ended</w:t>
            </w:r>
          </w:p>
        </w:tc>
        <w:tc>
          <w:tcPr>
            <w:tcW w:w="3380" w:type="dxa"/>
            <w:vAlign w:val="bottom"/>
            <w:gridSpan w:val="4"/>
          </w:tcPr>
          <w:p>
            <w:pPr>
              <w:jc w:val="center"/>
              <w:spacing w:after="0"/>
              <w:rPr>
                <w:sz w:val="20"/>
                <w:szCs w:val="20"/>
                <w:color w:val="auto"/>
              </w:rPr>
            </w:pPr>
            <w:r>
              <w:rPr>
                <w:rFonts w:ascii="Arial" w:cs="Arial" w:eastAsia="Arial" w:hAnsi="Arial"/>
                <w:sz w:val="18"/>
                <w:szCs w:val="18"/>
                <w:color w:val="auto"/>
                <w:w w:val="89"/>
              </w:rPr>
              <w:t>For the nine months ended</w:t>
            </w:r>
          </w:p>
        </w:tc>
      </w:tr>
      <w:tr>
        <w:trPr>
          <w:trHeight w:val="217"/>
        </w:trPr>
        <w:tc>
          <w:tcPr>
            <w:tcW w:w="4320" w:type="dxa"/>
            <w:vAlign w:val="bottom"/>
          </w:tcPr>
          <w:p>
            <w:pPr>
              <w:spacing w:after="0"/>
              <w:rPr>
                <w:sz w:val="18"/>
                <w:szCs w:val="18"/>
                <w:color w:val="auto"/>
              </w:rPr>
            </w:pPr>
          </w:p>
        </w:tc>
        <w:tc>
          <w:tcPr>
            <w:tcW w:w="228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88"/>
              </w:rPr>
              <w:t>September 30,</w:t>
            </w:r>
          </w:p>
        </w:tc>
        <w:tc>
          <w:tcPr>
            <w:tcW w:w="10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88"/>
              </w:rPr>
              <w:t>September 30,</w:t>
            </w:r>
          </w:p>
        </w:tc>
        <w:tc>
          <w:tcPr>
            <w:tcW w:w="1080" w:type="dxa"/>
            <w:vAlign w:val="bottom"/>
            <w:tcBorders>
              <w:bottom w:val="single" w:sz="8" w:color="auto"/>
            </w:tcBorders>
          </w:tcPr>
          <w:p>
            <w:pPr>
              <w:spacing w:after="0"/>
              <w:rPr>
                <w:sz w:val="18"/>
                <w:szCs w:val="18"/>
                <w:color w:val="auto"/>
              </w:rPr>
            </w:pPr>
          </w:p>
        </w:tc>
      </w:tr>
      <w:tr>
        <w:trPr>
          <w:trHeight w:val="183"/>
        </w:trPr>
        <w:tc>
          <w:tcPr>
            <w:tcW w:w="432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2022</w:t>
            </w:r>
          </w:p>
        </w:tc>
        <w:tc>
          <w:tcPr>
            <w:tcW w:w="180" w:type="dxa"/>
            <w:vAlign w:val="bottom"/>
            <w:tcBorders>
              <w:bottom w:val="single" w:sz="8" w:color="CCEEFF"/>
            </w:tcBorders>
          </w:tcPr>
          <w:p>
            <w:pPr>
              <w:spacing w:after="0"/>
              <w:rPr>
                <w:sz w:val="15"/>
                <w:szCs w:val="15"/>
                <w:color w:val="auto"/>
              </w:rPr>
            </w:pPr>
          </w:p>
        </w:tc>
        <w:tc>
          <w:tcPr>
            <w:tcW w:w="15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30"/>
              <w:spacing w:after="0" w:line="182" w:lineRule="exact"/>
              <w:rPr>
                <w:sz w:val="20"/>
                <w:szCs w:val="20"/>
                <w:color w:val="auto"/>
              </w:rPr>
            </w:pPr>
            <w:r>
              <w:rPr>
                <w:rFonts w:ascii="Arial" w:cs="Arial" w:eastAsia="Arial" w:hAnsi="Arial"/>
                <w:sz w:val="18"/>
                <w:szCs w:val="18"/>
                <w:color w:val="auto"/>
              </w:rPr>
              <w:t>2022</w:t>
            </w:r>
          </w:p>
        </w:tc>
      </w:tr>
      <w:tr>
        <w:trPr>
          <w:trHeight w:val="236"/>
        </w:trPr>
        <w:tc>
          <w:tcPr>
            <w:tcW w:w="432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Man-made tiles</w:t>
            </w:r>
            <w:r>
              <w:rPr>
                <w:rFonts w:ascii="Arial" w:cs="Arial" w:eastAsia="Arial" w:hAnsi="Arial"/>
                <w:sz w:val="27"/>
                <w:szCs w:val="27"/>
                <w:color w:val="auto"/>
                <w:vertAlign w:val="superscript"/>
              </w:rPr>
              <w:t>(1)</w:t>
            </w: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54 %</w:t>
            </w: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51 %</w:t>
            </w: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53 %</w:t>
            </w: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50 %</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21</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25</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22</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25</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6"/>
                <w:szCs w:val="16"/>
                <w:color w:val="auto"/>
              </w:rPr>
            </w:pPr>
          </w:p>
        </w:tc>
        <w:tc>
          <w:tcPr>
            <w:tcW w:w="1580" w:type="dxa"/>
            <w:vAlign w:val="bottom"/>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15</w:t>
            </w:r>
          </w:p>
        </w:tc>
      </w:tr>
      <w:tr>
        <w:trPr>
          <w:trHeight w:val="189"/>
        </w:trPr>
        <w:tc>
          <w:tcPr>
            <w:tcW w:w="432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7</w:t>
            </w:r>
          </w:p>
        </w:tc>
        <w:tc>
          <w:tcPr>
            <w:tcW w:w="180" w:type="dxa"/>
            <w:vAlign w:val="bottom"/>
          </w:tcPr>
          <w:p>
            <w:pPr>
              <w:spacing w:after="0"/>
              <w:rPr>
                <w:sz w:val="16"/>
                <w:szCs w:val="16"/>
                <w:color w:val="auto"/>
              </w:rPr>
            </w:pPr>
          </w:p>
        </w:tc>
        <w:tc>
          <w:tcPr>
            <w:tcW w:w="158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8</w:t>
            </w: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7</w:t>
            </w:r>
          </w:p>
        </w:tc>
      </w:tr>
      <w:tr>
        <w:trPr>
          <w:trHeight w:val="189"/>
        </w:trPr>
        <w:tc>
          <w:tcPr>
            <w:tcW w:w="43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ind w:right="270"/>
              <w:spacing w:after="0" w:line="189"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290"/>
              <w:spacing w:after="0" w:line="189" w:lineRule="exact"/>
              <w:rPr>
                <w:sz w:val="20"/>
                <w:szCs w:val="20"/>
                <w:color w:val="auto"/>
              </w:rPr>
            </w:pPr>
            <w:r>
              <w:rPr>
                <w:rFonts w:ascii="Arial" w:cs="Arial" w:eastAsia="Arial" w:hAnsi="Arial"/>
                <w:sz w:val="18"/>
                <w:szCs w:val="18"/>
                <w:color w:val="auto"/>
              </w:rPr>
              <w:t>3</w:t>
            </w:r>
          </w:p>
        </w:tc>
      </w:tr>
      <w:tr>
        <w:trPr>
          <w:trHeight w:val="183"/>
        </w:trPr>
        <w:tc>
          <w:tcPr>
            <w:tcW w:w="432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158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rPr>
              <w:t>100 %</w:t>
            </w:r>
          </w:p>
        </w:tc>
        <w:tc>
          <w:tcPr>
            <w:tcW w:w="1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rPr>
              <w:t>100 %</w:t>
            </w:r>
          </w:p>
        </w:tc>
      </w:tr>
      <w:tr>
        <w:trPr>
          <w:trHeight w:val="20"/>
        </w:trPr>
        <w:tc>
          <w:tcPr>
            <w:tcW w:w="4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0" w:lineRule="exact"/>
        <w:rPr>
          <w:sz w:val="20"/>
          <w:szCs w:val="20"/>
          <w:color w:val="auto"/>
        </w:rPr>
      </w:pPr>
    </w:p>
    <w:p>
      <w:pPr>
        <w:ind w:left="220" w:hanging="212"/>
        <w:spacing w:after="0"/>
        <w:tabs>
          <w:tab w:leader="none" w:pos="22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Man-made tile revenues include sales of luxury vinyl tile products.</w:t>
      </w:r>
    </w:p>
    <w:p>
      <w:pPr>
        <w:spacing w:after="0" w:line="16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and online. The timing of revenue recognition coincides with the transfer of control of goods and services ordered by the customer, which falls into one of three categories described below:</w:t>
      </w:r>
    </w:p>
    <w:p>
      <w:pPr>
        <w:spacing w:after="0" w:line="149" w:lineRule="exact"/>
        <w:rPr>
          <w:sz w:val="20"/>
          <w:szCs w:val="20"/>
          <w:color w:val="auto"/>
        </w:rPr>
      </w:pPr>
    </w:p>
    <w:p>
      <w:pPr>
        <w:ind w:left="660" w:right="180"/>
        <w:spacing w:after="0" w:line="261"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3"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61" w:lineRule="exact"/>
        <w:rPr>
          <w:sz w:val="20"/>
          <w:szCs w:val="20"/>
          <w:color w:val="auto"/>
        </w:rPr>
      </w:pPr>
    </w:p>
    <w:p>
      <w:pPr>
        <w:ind w:left="660" w:right="1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110"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The customer deposit balance was $12.5 million and $11.3 million as of September 30, 2023 and December 31, 2022, respectively. Revenues recognized during the nine months ended September 30, 2023 that were included in the customer deposit balance as of the beginning of the period were $11.1 million.</w:t>
      </w:r>
    </w:p>
    <w:p>
      <w:pPr>
        <w:spacing w:after="0" w:line="165" w:lineRule="exact"/>
        <w:rPr>
          <w:sz w:val="20"/>
          <w:szCs w:val="20"/>
          <w:color w:val="auto"/>
        </w:rPr>
      </w:pPr>
    </w:p>
    <w:p>
      <w:pPr>
        <w:ind w:right="200"/>
        <w:spacing w:after="0" w:line="251" w:lineRule="auto"/>
        <w:rPr>
          <w:sz w:val="20"/>
          <w:szCs w:val="20"/>
          <w:color w:val="auto"/>
        </w:rPr>
      </w:pPr>
      <w:r>
        <w:rPr>
          <w:rFonts w:ascii="Arial" w:cs="Arial" w:eastAsia="Arial" w:hAnsi="Arial"/>
          <w:sz w:val="17"/>
          <w:szCs w:val="17"/>
          <w:color w:val="auto"/>
        </w:rPr>
        <w:t>The Company extends financing to qualified professional customers who apply for credit. Customers who qualify for an account receive 30-day payment terms. The accounts receivable balance was $3.5 million and $3.4 million at September 30, 2023 and December 31, 2022, respectively. The Company expects that the customer will pay for the goods and services ordered within one year from the date the order is placed. Accordingly, the Company does not adjust the promised amount of consideration for the effects of the financing component.</w:t>
      </w:r>
    </w:p>
    <w:p>
      <w:pPr>
        <w:spacing w:after="0" w:line="154"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Sheets as of September 30, 2023 and December 31, 2022 were as follows:</w:t>
      </w:r>
    </w:p>
    <w:tbl>
      <w:tblPr>
        <w:tblLayout w:type="fixed"/>
        <w:tblInd w:w="0" w:type="dxa"/>
        <w:tblCellMar>
          <w:top w:w="0" w:type="dxa"/>
          <w:left w:w="0" w:type="dxa"/>
          <w:bottom w:w="0" w:type="dxa"/>
          <w:right w:w="0" w:type="dxa"/>
        </w:tblCellMar>
      </w:tblPr>
      <w:tr>
        <w:trPr>
          <w:trHeight w:val="189"/>
        </w:trPr>
        <w:tc>
          <w:tcPr>
            <w:tcW w:w="39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ind w:right="850"/>
              <w:spacing w:after="0" w:line="189"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c>
          <w:tcPr>
            <w:tcW w:w="0" w:type="dxa"/>
            <w:vAlign w:val="bottom"/>
          </w:tcPr>
          <w:p>
            <w:pPr>
              <w:spacing w:after="0"/>
              <w:rPr>
                <w:sz w:val="1"/>
                <w:szCs w:val="1"/>
                <w:color w:val="auto"/>
              </w:rPr>
            </w:pPr>
          </w:p>
        </w:tc>
      </w:tr>
      <w:tr>
        <w:trPr>
          <w:trHeight w:val="217"/>
        </w:trPr>
        <w:tc>
          <w:tcPr>
            <w:tcW w:w="3920" w:type="dxa"/>
            <w:vAlign w:val="bottom"/>
            <w:tcBorders>
              <w:bottom w:val="single" w:sz="8" w:color="CCEEFF"/>
            </w:tcBorders>
          </w:tcPr>
          <w:p>
            <w:pPr>
              <w:spacing w:after="0"/>
              <w:rPr>
                <w:sz w:val="18"/>
                <w:szCs w:val="18"/>
                <w:color w:val="auto"/>
              </w:rPr>
            </w:pPr>
          </w:p>
        </w:tc>
        <w:tc>
          <w:tcPr>
            <w:tcW w:w="44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182"/>
        </w:trPr>
        <w:tc>
          <w:tcPr>
            <w:tcW w:w="39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current accrued liabilities</w:t>
            </w:r>
          </w:p>
        </w:tc>
        <w:tc>
          <w:tcPr>
            <w:tcW w:w="44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4,089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4,993</w:t>
            </w:r>
          </w:p>
        </w:tc>
        <w:tc>
          <w:tcPr>
            <w:tcW w:w="0" w:type="dxa"/>
            <w:vAlign w:val="bottom"/>
          </w:tcPr>
          <w:p>
            <w:pPr>
              <w:spacing w:after="0"/>
              <w:rPr>
                <w:sz w:val="1"/>
                <w:szCs w:val="1"/>
                <w:color w:val="auto"/>
              </w:rPr>
            </w:pPr>
          </w:p>
        </w:tc>
      </w:tr>
      <w:tr>
        <w:trPr>
          <w:trHeight w:val="189"/>
        </w:trPr>
        <w:tc>
          <w:tcPr>
            <w:tcW w:w="392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44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1,347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1,687</w:t>
            </w:r>
          </w:p>
        </w:tc>
        <w:tc>
          <w:tcPr>
            <w:tcW w:w="0" w:type="dxa"/>
            <w:vAlign w:val="bottom"/>
          </w:tcPr>
          <w:p>
            <w:pPr>
              <w:spacing w:after="0"/>
              <w:rPr>
                <w:sz w:val="1"/>
                <w:szCs w:val="1"/>
                <w:color w:val="auto"/>
              </w:rPr>
            </w:pPr>
          </w:p>
        </w:tc>
      </w:tr>
      <w:tr>
        <w:trPr>
          <w:trHeight w:val="183"/>
        </w:trPr>
        <w:tc>
          <w:tcPr>
            <w:tcW w:w="392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44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2,742</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3,306</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4440" w:type="dxa"/>
            <w:vAlign w:val="bottom"/>
            <w:vMerge w:val="restart"/>
          </w:tcPr>
          <w:p>
            <w:pPr>
              <w:jc w:val="right"/>
              <w:ind w:right="255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9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89" w:lineRule="exact"/>
        <w:rPr>
          <w:sz w:val="20"/>
          <w:szCs w:val="20"/>
          <w:color w:val="auto"/>
        </w:rPr>
      </w:pPr>
    </w:p>
    <w:p>
      <w:pPr>
        <w:ind w:right="480"/>
        <w:spacing w:after="0" w:line="265"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September 30, 2023 and December 31, 2022:</w:t>
      </w: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60" w:type="dxa"/>
            <w:vAlign w:val="bottom"/>
            <w:gridSpan w:val="4"/>
          </w:tcPr>
          <w:p>
            <w:pPr>
              <w:jc w:val="right"/>
              <w:ind w:right="850"/>
              <w:spacing w:after="0" w:line="189"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89"/>
              </w:rPr>
              <w:t>September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97,463</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119,517</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1,247</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1,435</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98,710</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120,952</w:t>
            </w:r>
          </w:p>
        </w:tc>
      </w:tr>
      <w:tr>
        <w:trPr>
          <w:trHeight w:val="20"/>
        </w:trPr>
        <w:tc>
          <w:tcPr>
            <w:tcW w:w="8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$1.0 million and $0.7 million as of September 30, 2023 and December 31, 2022,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75"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The provision for income taxes was $0.5 million and $1.4 million for the third quarter of 2023 and 2022, respectively. The decrease in income tax expense was primarily due to a decrease in pre-tax earnings during the third quarter of 2023 as compared to the third quarter of 2022. The Company’s effective tax rate for the three months ended September 30, 2023 and 2022 was 22.4% and 26.3%, respectively. The decrease in the effective tax rate is largely due to tax benefits associated with employee equity award vestings.</w:t>
      </w:r>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color w:val="auto"/>
        </w:rPr>
        <w:t>The provision for income taxes was $3.3 million and $5.0 million for the nine months ended September 30, 2023 compared with the nine months ended September 30, 2022. The decrease in income tax expense was primarily due to a decrease in pre-tax earnings. The Company’s effective tax rate for the nine months ended September 30, 2023 and 2022 was 26.1% and 25.9%, respectively.</w:t>
      </w:r>
    </w:p>
    <w:p>
      <w:pPr>
        <w:spacing w:after="0" w:line="162" w:lineRule="exact"/>
        <w:rPr>
          <w:sz w:val="20"/>
          <w:szCs w:val="20"/>
          <w:color w:val="auto"/>
        </w:rPr>
      </w:pPr>
    </w:p>
    <w:p>
      <w:pPr>
        <w:ind w:right="54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As of both September 30, 2023 and 2022, the Company had not recognized any liabilities for uncertain tax positions, nor had interest and penalties related to uncertain tax positions been accrued.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Basic earnings per share is calculated by dividing net income by the weighted-average number of common shares outstanding during the period. Diluted earnings per share is calculated by dividing net income by the weighted-average number of common shares outstanding, after taking into consideration all dilutive potential shares outstanding during the period.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80" w:type="dxa"/>
            <w:vAlign w:val="bottom"/>
            <w:gridSpan w:val="9"/>
          </w:tcPr>
          <w:p>
            <w:pPr>
              <w:jc w:val="right"/>
              <w:ind w:right="7"/>
              <w:spacing w:after="0"/>
              <w:rPr>
                <w:sz w:val="20"/>
                <w:szCs w:val="20"/>
                <w:color w:val="auto"/>
              </w:rPr>
            </w:pPr>
            <w:r>
              <w:rPr>
                <w:rFonts w:ascii="Arial" w:cs="Arial" w:eastAsia="Arial" w:hAnsi="Arial"/>
                <w:sz w:val="18"/>
                <w:szCs w:val="18"/>
                <w:color w:val="auto"/>
              </w:rPr>
              <w:t>(dollars in thousands, except per share data)</w:t>
            </w:r>
          </w:p>
        </w:tc>
        <w:tc>
          <w:tcPr>
            <w:tcW w:w="960" w:type="dxa"/>
            <w:vAlign w:val="bottom"/>
          </w:tcPr>
          <w:p>
            <w:pPr>
              <w:spacing w:after="0"/>
              <w:rPr>
                <w:sz w:val="19"/>
                <w:szCs w:val="19"/>
                <w:color w:val="auto"/>
              </w:rPr>
            </w:pPr>
          </w:p>
        </w:tc>
      </w:tr>
      <w:tr>
        <w:trPr>
          <w:trHeight w:val="229"/>
        </w:trPr>
        <w:tc>
          <w:tcPr>
            <w:tcW w:w="5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8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For the three months ended</w:t>
            </w:r>
          </w:p>
        </w:tc>
        <w:tc>
          <w:tcPr>
            <w:tcW w:w="200" w:type="dxa"/>
            <w:vAlign w:val="bottom"/>
          </w:tcPr>
          <w:p>
            <w:pPr>
              <w:spacing w:after="0"/>
              <w:rPr>
                <w:sz w:val="19"/>
                <w:szCs w:val="19"/>
                <w:color w:val="auto"/>
              </w:rPr>
            </w:pPr>
          </w:p>
        </w:tc>
        <w:tc>
          <w:tcPr>
            <w:tcW w:w="2360" w:type="dxa"/>
            <w:vAlign w:val="bottom"/>
            <w:gridSpan w:val="4"/>
          </w:tcPr>
          <w:p>
            <w:pPr>
              <w:jc w:val="right"/>
              <w:ind w:right="230"/>
              <w:spacing w:after="0"/>
              <w:rPr>
                <w:sz w:val="20"/>
                <w:szCs w:val="20"/>
                <w:color w:val="auto"/>
              </w:rPr>
            </w:pPr>
            <w:r>
              <w:rPr>
                <w:rFonts w:ascii="Arial" w:cs="Arial" w:eastAsia="Arial" w:hAnsi="Arial"/>
                <w:sz w:val="18"/>
                <w:szCs w:val="18"/>
                <w:color w:val="auto"/>
                <w:w w:val="93"/>
              </w:rPr>
              <w:t>For the nine months ended</w:t>
            </w:r>
          </w:p>
        </w:tc>
      </w:tr>
      <w:tr>
        <w:trPr>
          <w:trHeight w:val="217"/>
        </w:trPr>
        <w:tc>
          <w:tcPr>
            <w:tcW w:w="5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5"/>
          </w:tcPr>
          <w:p>
            <w:pPr>
              <w:jc w:val="center"/>
              <w:ind w:right="320"/>
              <w:spacing w:after="0"/>
              <w:rPr>
                <w:sz w:val="20"/>
                <w:szCs w:val="20"/>
                <w:color w:val="auto"/>
              </w:rPr>
            </w:pPr>
            <w:r>
              <w:rPr>
                <w:rFonts w:ascii="Arial" w:cs="Arial" w:eastAsia="Arial" w:hAnsi="Arial"/>
                <w:sz w:val="18"/>
                <w:szCs w:val="18"/>
                <w:color w:val="auto"/>
                <w:w w:val="88"/>
              </w:rPr>
              <w:t>September 30,</w:t>
            </w:r>
          </w:p>
        </w:tc>
        <w:tc>
          <w:tcPr>
            <w:tcW w:w="200" w:type="dxa"/>
            <w:vAlign w:val="bottom"/>
          </w:tcPr>
          <w:p>
            <w:pPr>
              <w:spacing w:after="0"/>
              <w:rPr>
                <w:sz w:val="18"/>
                <w:szCs w:val="18"/>
                <w:color w:val="auto"/>
              </w:rPr>
            </w:pPr>
          </w:p>
        </w:tc>
        <w:tc>
          <w:tcPr>
            <w:tcW w:w="2360" w:type="dxa"/>
            <w:vAlign w:val="bottom"/>
            <w:gridSpan w:val="4"/>
          </w:tcPr>
          <w:p>
            <w:pPr>
              <w:jc w:val="right"/>
              <w:ind w:right="670"/>
              <w:spacing w:after="0"/>
              <w:rPr>
                <w:sz w:val="20"/>
                <w:szCs w:val="20"/>
                <w:color w:val="auto"/>
              </w:rPr>
            </w:pPr>
            <w:r>
              <w:rPr>
                <w:rFonts w:ascii="Arial" w:cs="Arial" w:eastAsia="Arial" w:hAnsi="Arial"/>
                <w:sz w:val="18"/>
                <w:szCs w:val="18"/>
                <w:color w:val="auto"/>
              </w:rPr>
              <w:t>September 30,</w:t>
            </w:r>
          </w:p>
        </w:tc>
      </w:tr>
      <w:tr>
        <w:trPr>
          <w:trHeight w:val="210"/>
        </w:trPr>
        <w:tc>
          <w:tcPr>
            <w:tcW w:w="524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2022</w:t>
            </w: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1,844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9,435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r>
      <w:tr>
        <w:trPr>
          <w:trHeight w:val="189"/>
        </w:trPr>
        <w:tc>
          <w:tcPr>
            <w:tcW w:w="524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43,522,768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w w:val="99"/>
              </w:rPr>
              <w:t>50,423,923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43,385,316</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w w:val="97"/>
              </w:rPr>
              <w:t>50,674,870</w:t>
            </w: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76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210,938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293,503</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170,672</w:t>
            </w:r>
          </w:p>
        </w:tc>
        <w:tc>
          <w:tcPr>
            <w:tcW w:w="14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405,534</w:t>
            </w:r>
          </w:p>
        </w:tc>
      </w:tr>
      <w:tr>
        <w:trPr>
          <w:trHeight w:val="183"/>
        </w:trPr>
        <w:tc>
          <w:tcPr>
            <w:tcW w:w="52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43,733,706</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50,717,426</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43,555,988</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51,080,404</w:t>
            </w:r>
          </w:p>
        </w:tc>
      </w:tr>
      <w:tr>
        <w:trPr>
          <w:trHeight w:val="183"/>
        </w:trPr>
        <w:tc>
          <w:tcPr>
            <w:tcW w:w="52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per common share:</w:t>
            </w: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89"/>
        </w:trPr>
        <w:tc>
          <w:tcPr>
            <w:tcW w:w="524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96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0.04</w:t>
            </w:r>
          </w:p>
        </w:tc>
        <w:tc>
          <w:tcPr>
            <w:tcW w:w="340" w:type="dxa"/>
            <w:vAlign w:val="bottom"/>
            <w:gridSpan w:val="2"/>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0.08</w:t>
            </w:r>
          </w:p>
        </w:tc>
        <w:tc>
          <w:tcPr>
            <w:tcW w:w="120" w:type="dxa"/>
            <w:vAlign w:val="bottom"/>
          </w:tcPr>
          <w:p>
            <w:pPr>
              <w:spacing w:after="0"/>
              <w:rPr>
                <w:sz w:val="16"/>
                <w:szCs w:val="16"/>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0.22</w:t>
            </w:r>
          </w:p>
        </w:tc>
        <w:tc>
          <w:tcPr>
            <w:tcW w:w="400" w:type="dxa"/>
            <w:vAlign w:val="bottom"/>
            <w:gridSpan w:val="2"/>
          </w:tcPr>
          <w:p>
            <w:pPr>
              <w:jc w:val="right"/>
              <w:ind w:right="107"/>
              <w:spacing w:after="0" w:line="189"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89" w:lineRule="exact"/>
              <w:rPr>
                <w:sz w:val="20"/>
                <w:szCs w:val="20"/>
                <w:color w:val="auto"/>
              </w:rPr>
            </w:pPr>
            <w:r>
              <w:rPr>
                <w:rFonts w:ascii="Arial" w:cs="Arial" w:eastAsia="Arial" w:hAnsi="Arial"/>
                <w:sz w:val="18"/>
                <w:szCs w:val="18"/>
                <w:color w:val="auto"/>
              </w:rPr>
              <w:t>0.28</w:t>
            </w:r>
          </w:p>
        </w:tc>
      </w:tr>
      <w:tr>
        <w:trPr>
          <w:trHeight w:val="189"/>
        </w:trPr>
        <w:tc>
          <w:tcPr>
            <w:tcW w:w="52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96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CEEFF"/>
          </w:tcPr>
          <w:p>
            <w:pPr>
              <w:jc w:val="right"/>
              <w:ind w:right="67"/>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0.22</w:t>
            </w:r>
          </w:p>
        </w:tc>
        <w:tc>
          <w:tcPr>
            <w:tcW w:w="400" w:type="dxa"/>
            <w:vAlign w:val="bottom"/>
            <w:gridSpan w:val="2"/>
            <w:shd w:val="clear" w:color="auto" w:fill="CCEEFF"/>
          </w:tcPr>
          <w:p>
            <w:pPr>
              <w:jc w:val="right"/>
              <w:ind w:right="107"/>
              <w:spacing w:after="0" w:line="189"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0.28</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w w:val="97"/>
              </w:rPr>
              <w:t>Anti-dilutive securities excluded from earnings per share calculation</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312,217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1,176,621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515,226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821,794</w:t>
            </w:r>
          </w:p>
        </w:tc>
      </w:tr>
      <w:tr>
        <w:trPr>
          <w:trHeight w:val="512"/>
        </w:trPr>
        <w:tc>
          <w:tcPr>
            <w:tcW w:w="5240" w:type="dxa"/>
            <w:vAlign w:val="bottom"/>
          </w:tcPr>
          <w:p>
            <w:pPr>
              <w:spacing w:after="0"/>
              <w:rPr>
                <w:sz w:val="24"/>
                <w:szCs w:val="24"/>
                <w:color w:val="auto"/>
              </w:rPr>
            </w:pPr>
          </w:p>
        </w:tc>
        <w:tc>
          <w:tcPr>
            <w:tcW w:w="760" w:type="dxa"/>
            <w:vAlign w:val="bottom"/>
          </w:tcPr>
          <w:p>
            <w:pPr>
              <w:jc w:val="right"/>
              <w:ind w:right="19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1"/>
        </w:trPr>
        <w:tc>
          <w:tcPr>
            <w:tcW w:w="52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r>
              <w:rPr>
                <w:rFonts w:ascii="Arial" w:cs="Arial" w:eastAsia="Arial" w:hAnsi="Arial"/>
                <w:sz w:val="18"/>
                <w:szCs w:val="18"/>
                <w:b w:val="1"/>
                <w:bCs w:val="1"/>
                <w:color w:val="auto"/>
              </w:rPr>
              <w:t>Note 7: Other Accrued Liabilities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92"/>
        </w:trPr>
        <w:tc>
          <w:tcPr>
            <w:tcW w:w="834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2"/>
        </w:trPr>
        <w:tc>
          <w:tcPr>
            <w:tcW w:w="8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gridSpan w:val="4"/>
          </w:tcPr>
          <w:p>
            <w:pPr>
              <w:jc w:val="right"/>
              <w:ind w:right="850"/>
              <w:spacing w:after="0" w:line="201" w:lineRule="exact"/>
              <w:rPr>
                <w:sz w:val="20"/>
                <w:szCs w:val="20"/>
                <w:color w:val="auto"/>
              </w:rPr>
            </w:pPr>
            <w:r>
              <w:rPr>
                <w:rFonts w:ascii="Arial" w:cs="Arial" w:eastAsia="Arial" w:hAnsi="Arial"/>
                <w:sz w:val="18"/>
                <w:szCs w:val="18"/>
                <w:color w:val="auto"/>
              </w:rPr>
              <w:t>(in thousands)</w:t>
            </w:r>
          </w:p>
        </w:tc>
      </w:tr>
      <w:tr>
        <w:trPr>
          <w:trHeight w:val="189"/>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ind w:left="40"/>
              <w:spacing w:after="0" w:line="189" w:lineRule="exact"/>
              <w:rPr>
                <w:sz w:val="20"/>
                <w:szCs w:val="20"/>
                <w:color w:val="auto"/>
              </w:rPr>
            </w:pPr>
            <w:r>
              <w:rPr>
                <w:rFonts w:ascii="Arial" w:cs="Arial" w:eastAsia="Arial" w:hAnsi="Arial"/>
                <w:sz w:val="18"/>
                <w:szCs w:val="18"/>
                <w:color w:val="auto"/>
              </w:rPr>
              <w:t>September 30,</w:t>
            </w:r>
          </w:p>
        </w:tc>
        <w:tc>
          <w:tcPr>
            <w:tcW w:w="140" w:type="dxa"/>
            <w:vAlign w:val="bottom"/>
          </w:tcPr>
          <w:p>
            <w:pPr>
              <w:spacing w:after="0"/>
              <w:rPr>
                <w:sz w:val="16"/>
                <w:szCs w:val="16"/>
                <w:color w:val="auto"/>
              </w:rPr>
            </w:pPr>
          </w:p>
        </w:tc>
        <w:tc>
          <w:tcPr>
            <w:tcW w:w="124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1"/>
              </w:rPr>
              <w:t>December 31,</w:t>
            </w:r>
          </w:p>
        </w:tc>
      </w:tr>
      <w:tr>
        <w:trPr>
          <w:trHeight w:val="217"/>
        </w:trPr>
        <w:tc>
          <w:tcPr>
            <w:tcW w:w="8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2022</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Customer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12,477</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11,315</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Sales returns reserve</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4,089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4,993</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wages and salaries</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5,871</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6,040</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Payroll and sales taxes</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2,381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2,286</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7,938</w:t>
            </w: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7,282</w:t>
            </w:r>
          </w:p>
        </w:tc>
      </w:tr>
      <w:tr>
        <w:trPr>
          <w:trHeight w:val="183"/>
        </w:trPr>
        <w:tc>
          <w:tcPr>
            <w:tcW w:w="8340" w:type="dxa"/>
            <w:vAlign w:val="bottom"/>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32,756</w:t>
            </w:r>
          </w:p>
        </w:tc>
        <w:tc>
          <w:tcPr>
            <w:tcW w:w="16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31,916</w:t>
            </w: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189"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the Company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Tile Shop, LLC’s Rent Adjusted Leverage Ratio (as defined in the Credit Agreement). Borrowings outstanding as of September 30, 2023 were SOFR-based interest rate loans. The SOFR-based interest rate was 6.92% on September 30, 2023.</w:t>
      </w:r>
    </w:p>
    <w:p>
      <w:pPr>
        <w:spacing w:after="0" w:line="145"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Credit Agreement is secured by virtually all of the assets of the Company, including, but not limited to, inventory, accounts receivable, equipment and general intangibles. The Credit Agreement contains customary events of default, conditions to borrowing and restrictive covenants, including restrictions on the Company’s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The Company was in compliance with the covenants as of September 30, 2023.</w:t>
      </w:r>
    </w:p>
    <w:p>
      <w:pPr>
        <w:spacing w:after="0" w:line="14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Borrowings outstanding consisted of $10.0 million on the revolving line of credit as of September 30, 2023. As of September 30, 2023, there was $63.3 million available for borrowing on the revolving line of credit, which may be used to purchase inventory, acquire assets to maintain our stores and distribution centers, build new stores and general corporate purposes.</w:t>
      </w:r>
    </w:p>
    <w:p>
      <w:pPr>
        <w:spacing w:after="0" w:line="189" w:lineRule="exact"/>
        <w:rPr>
          <w:sz w:val="20"/>
          <w:szCs w:val="20"/>
          <w:color w:val="auto"/>
        </w:rPr>
      </w:pPr>
    </w:p>
    <w:p>
      <w:pPr>
        <w:ind w:right="160"/>
        <w:spacing w:after="0" w:line="308" w:lineRule="auto"/>
        <w:rPr>
          <w:sz w:val="20"/>
          <w:szCs w:val="20"/>
          <w:color w:val="auto"/>
        </w:rPr>
      </w:pPr>
      <w:r>
        <w:rPr>
          <w:rFonts w:ascii="Arial" w:cs="Arial" w:eastAsia="Arial" w:hAnsi="Arial"/>
          <w:sz w:val="18"/>
          <w:szCs w:val="18"/>
          <w:color w:val="auto"/>
        </w:rPr>
        <w:t>The Company has standby letters of credit outstanding related to its workers compensation plan and property leases. Standby letters of credit totaled $1.7 million as of September 30, 2023 and were secured by the Company’s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75"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an initial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Leasehold improvements are amortized using the straight-line method over the shorter of the original lease term, the renewal term if the lease renewal is reasonably certain or the useful life of the improvement.</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Leases (in thousands)</w:t>
            </w:r>
          </w:p>
        </w:tc>
        <w:tc>
          <w:tcPr>
            <w:tcW w:w="3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Classification</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September 30, 2023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December 31, 2022</w:t>
            </w: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38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80" w:type="dxa"/>
            <w:vAlign w:val="bottom"/>
            <w:shd w:val="clear" w:color="auto" w:fill="CCEEFF"/>
          </w:tcPr>
          <w:p>
            <w:pPr>
              <w:spacing w:after="0"/>
              <w:rPr>
                <w:sz w:val="15"/>
                <w:szCs w:val="15"/>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Operating lease assets</w:t>
            </w:r>
          </w:p>
        </w:tc>
        <w:tc>
          <w:tcPr>
            <w:tcW w:w="3800" w:type="dxa"/>
            <w:vAlign w:val="bottom"/>
          </w:tcPr>
          <w:p>
            <w:pPr>
              <w:ind w:left="580"/>
              <w:spacing w:after="0" w:line="189" w:lineRule="exact"/>
              <w:rPr>
                <w:sz w:val="20"/>
                <w:szCs w:val="20"/>
                <w:color w:val="auto"/>
              </w:rPr>
            </w:pPr>
            <w:r>
              <w:rPr>
                <w:rFonts w:ascii="Arial" w:cs="Arial" w:eastAsia="Arial" w:hAnsi="Arial"/>
                <w:sz w:val="18"/>
                <w:szCs w:val="18"/>
                <w:color w:val="auto"/>
              </w:rPr>
              <w:t>Right of use asset</w:t>
            </w:r>
          </w:p>
        </w:tc>
        <w:tc>
          <w:tcPr>
            <w:tcW w:w="420" w:type="dxa"/>
            <w:vAlign w:val="bottom"/>
            <w:gridSpan w:val="5"/>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2120" w:type="dxa"/>
            <w:vAlign w:val="bottom"/>
          </w:tcPr>
          <w:p>
            <w:pPr>
              <w:jc w:val="right"/>
              <w:spacing w:after="0" w:line="189" w:lineRule="exact"/>
              <w:rPr>
                <w:sz w:val="20"/>
                <w:szCs w:val="20"/>
                <w:color w:val="auto"/>
              </w:rPr>
            </w:pPr>
            <w:r>
              <w:rPr>
                <w:rFonts w:ascii="Arial" w:cs="Arial" w:eastAsia="Arial" w:hAnsi="Arial"/>
                <w:sz w:val="18"/>
                <w:szCs w:val="18"/>
                <w:color w:val="auto"/>
              </w:rPr>
              <w:t>119,619</w:t>
            </w:r>
          </w:p>
        </w:tc>
        <w:tc>
          <w:tcPr>
            <w:tcW w:w="400" w:type="dxa"/>
            <w:vAlign w:val="bottom"/>
            <w:gridSpan w:val="6"/>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2080" w:type="dxa"/>
            <w:vAlign w:val="bottom"/>
          </w:tcPr>
          <w:p>
            <w:pPr>
              <w:jc w:val="right"/>
              <w:spacing w:after="0" w:line="189" w:lineRule="exact"/>
              <w:rPr>
                <w:sz w:val="20"/>
                <w:szCs w:val="20"/>
                <w:color w:val="auto"/>
              </w:rPr>
            </w:pPr>
            <w:r>
              <w:rPr>
                <w:rFonts w:ascii="Arial" w:cs="Arial" w:eastAsia="Arial" w:hAnsi="Arial"/>
                <w:sz w:val="18"/>
                <w:szCs w:val="18"/>
                <w:color w:val="auto"/>
              </w:rPr>
              <w:t>118,501</w:t>
            </w:r>
          </w:p>
        </w:tc>
      </w:tr>
      <w:tr>
        <w:trPr>
          <w:trHeight w:val="183"/>
        </w:trPr>
        <w:tc>
          <w:tcPr>
            <w:tcW w:w="242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leased assets</w:t>
            </w:r>
          </w:p>
        </w:tc>
        <w:tc>
          <w:tcPr>
            <w:tcW w:w="38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gridSpan w:val="3"/>
            <w:shd w:val="clear" w:color="auto" w:fill="CCEEFF"/>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119,619</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gridSpan w:val="2"/>
            <w:shd w:val="clear" w:color="auto" w:fill="CCEEFF"/>
          </w:tcPr>
          <w:p>
            <w:pPr>
              <w:jc w:val="right"/>
              <w:ind w:right="150"/>
              <w:spacing w:after="0"/>
              <w:rPr>
                <w:sz w:val="20"/>
                <w:szCs w:val="20"/>
                <w:color w:val="auto"/>
              </w:rPr>
            </w:pPr>
            <w:r>
              <w:rPr>
                <w:rFonts w:ascii="Arial" w:cs="Arial" w:eastAsia="Arial" w:hAnsi="Arial"/>
                <w:sz w:val="15"/>
                <w:szCs w:val="15"/>
                <w:color w:val="auto"/>
                <w:w w:val="71"/>
              </w:rPr>
              <w:t>$</w:t>
            </w:r>
          </w:p>
        </w:tc>
        <w:tc>
          <w:tcPr>
            <w:tcW w:w="2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118,501</w:t>
            </w:r>
          </w:p>
        </w:tc>
      </w:tr>
      <w:tr>
        <w:trPr>
          <w:trHeight w:val="20"/>
        </w:trPr>
        <w:tc>
          <w:tcPr>
            <w:tcW w:w="2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r>
        <w:trPr>
          <w:trHeight w:val="169"/>
        </w:trPr>
        <w:tc>
          <w:tcPr>
            <w:tcW w:w="24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spacing w:after="0"/>
              <w:rPr>
                <w:sz w:val="14"/>
                <w:szCs w:val="14"/>
                <w:color w:val="auto"/>
              </w:rPr>
            </w:pP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Liabilities</w:t>
            </w:r>
          </w:p>
        </w:tc>
        <w:tc>
          <w:tcPr>
            <w:tcW w:w="3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rPr>
                <w:sz w:val="16"/>
                <w:szCs w:val="16"/>
                <w:color w:val="auto"/>
              </w:rPr>
            </w:pP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Current</w:t>
            </w: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9"/>
        </w:trPr>
        <w:tc>
          <w:tcPr>
            <w:tcW w:w="2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80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rPr>
              <w:t>Current portion of lease liability</w:t>
            </w:r>
          </w:p>
        </w:tc>
        <w:tc>
          <w:tcPr>
            <w:tcW w:w="420" w:type="dxa"/>
            <w:vAlign w:val="bottom"/>
            <w:gridSpan w:val="5"/>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27,214</w:t>
            </w:r>
          </w:p>
        </w:tc>
        <w:tc>
          <w:tcPr>
            <w:tcW w:w="400" w:type="dxa"/>
            <w:vAlign w:val="bottom"/>
            <w:gridSpan w:val="6"/>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rPr>
              <w:t>$</w:t>
            </w:r>
          </w:p>
        </w:tc>
        <w:tc>
          <w:tcPr>
            <w:tcW w:w="2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27,866</w:t>
            </w:r>
          </w:p>
        </w:tc>
      </w:tr>
      <w:tr>
        <w:trPr>
          <w:trHeight w:val="189"/>
        </w:trPr>
        <w:tc>
          <w:tcPr>
            <w:tcW w:w="242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189"/>
        </w:trPr>
        <w:tc>
          <w:tcPr>
            <w:tcW w:w="2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3800" w:type="dxa"/>
            <w:vAlign w:val="bottom"/>
            <w:shd w:val="clear" w:color="auto" w:fill="CCEEFF"/>
          </w:tcPr>
          <w:p>
            <w:pPr>
              <w:ind w:left="580"/>
              <w:spacing w:after="0" w:line="189" w:lineRule="exact"/>
              <w:rPr>
                <w:sz w:val="20"/>
                <w:szCs w:val="20"/>
                <w:color w:val="auto"/>
              </w:rPr>
            </w:pPr>
            <w:r>
              <w:rPr>
                <w:rFonts w:ascii="Arial" w:cs="Arial" w:eastAsia="Arial" w:hAnsi="Arial"/>
                <w:sz w:val="18"/>
                <w:szCs w:val="18"/>
                <w:color w:val="auto"/>
              </w:rPr>
              <w:t>Long-term lease liability, net</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103,786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103,353</w:t>
            </w: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Total lease liabilities</w:t>
            </w: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Borders>
              <w:bottom w:val="single" w:sz="8" w:color="auto"/>
            </w:tcBorders>
            <w:gridSpan w:val="3"/>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131,000</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131,219</w:t>
            </w:r>
          </w:p>
        </w:tc>
      </w:tr>
      <w:tr>
        <w:trPr>
          <w:trHeight w:val="20"/>
        </w:trPr>
        <w:tc>
          <w:tcPr>
            <w:tcW w:w="2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r>
      <w:tr>
        <w:trPr>
          <w:trHeight w:val="371"/>
        </w:trPr>
        <w:tc>
          <w:tcPr>
            <w:tcW w:w="2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gridSpan w:val="8"/>
          </w:tcPr>
          <w:p>
            <w:pPr>
              <w:jc w:val="right"/>
              <w:ind w:right="1650"/>
              <w:spacing w:after="0"/>
              <w:rPr>
                <w:sz w:val="20"/>
                <w:szCs w:val="20"/>
                <w:color w:val="auto"/>
              </w:rPr>
            </w:pPr>
            <w:r>
              <w:rPr>
                <w:rFonts w:ascii="Arial" w:cs="Arial" w:eastAsia="Arial" w:hAnsi="Arial"/>
                <w:sz w:val="18"/>
                <w:szCs w:val="18"/>
                <w:color w:val="auto"/>
              </w:rPr>
              <w:t>Three Months Ended</w:t>
            </w:r>
          </w:p>
        </w:tc>
      </w:t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3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Classification</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September 30, 2023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September 30, 2022</w:t>
            </w: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800" w:type="dxa"/>
            <w:vAlign w:val="bottom"/>
            <w:shd w:val="clear" w:color="auto" w:fill="CCEEFF"/>
          </w:tcPr>
          <w:p>
            <w:pPr>
              <w:ind w:left="600"/>
              <w:spacing w:after="0" w:line="182" w:lineRule="exact"/>
              <w:rPr>
                <w:sz w:val="20"/>
                <w:szCs w:val="20"/>
                <w:color w:val="auto"/>
              </w:rPr>
            </w:pPr>
            <w:r>
              <w:rPr>
                <w:rFonts w:ascii="Arial" w:cs="Arial" w:eastAsia="Arial" w:hAnsi="Arial"/>
                <w:sz w:val="18"/>
                <w:szCs w:val="18"/>
                <w:color w:val="auto"/>
              </w:rPr>
              <w:t>SG&amp;A expenses</w:t>
            </w:r>
          </w:p>
        </w:tc>
        <w:tc>
          <w:tcPr>
            <w:tcW w:w="20" w:type="dxa"/>
            <w:vAlign w:val="bottom"/>
            <w:shd w:val="clear" w:color="auto" w:fill="CCEEFF"/>
          </w:tcPr>
          <w:p>
            <w:pPr>
              <w:spacing w:after="0"/>
              <w:rPr>
                <w:sz w:val="15"/>
                <w:szCs w:val="15"/>
                <w:color w:val="auto"/>
              </w:rPr>
            </w:pPr>
          </w:p>
        </w:tc>
        <w:tc>
          <w:tcPr>
            <w:tcW w:w="60" w:type="dxa"/>
            <w:vAlign w:val="bottom"/>
            <w:gridSpan w:val="2"/>
            <w:shd w:val="clear" w:color="auto" w:fill="CCEEFF"/>
          </w:tcPr>
          <w:p>
            <w:pPr>
              <w:spacing w:after="0"/>
              <w:rPr>
                <w:sz w:val="15"/>
                <w:szCs w:val="15"/>
                <w:color w:val="auto"/>
              </w:rPr>
            </w:pPr>
          </w:p>
        </w:tc>
        <w:tc>
          <w:tcPr>
            <w:tcW w:w="340" w:type="dxa"/>
            <w:vAlign w:val="bottom"/>
            <w:gridSpan w:val="2"/>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2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9,052</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7,848</w:t>
            </w:r>
          </w:p>
        </w:tc>
      </w:tr>
      <w:tr>
        <w:trPr>
          <w:trHeight w:val="257"/>
        </w:trPr>
        <w:tc>
          <w:tcPr>
            <w:tcW w:w="2420" w:type="dxa"/>
            <w:vAlign w:val="bottom"/>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800" w:type="dxa"/>
            <w:vAlign w:val="bottom"/>
          </w:tcPr>
          <w:p>
            <w:pPr>
              <w:ind w:left="600"/>
              <w:spacing w:after="0"/>
              <w:rPr>
                <w:sz w:val="20"/>
                <w:szCs w:val="20"/>
                <w:color w:val="auto"/>
              </w:rPr>
            </w:pPr>
            <w:r>
              <w:rPr>
                <w:rFonts w:ascii="Arial" w:cs="Arial" w:eastAsia="Arial" w:hAnsi="Arial"/>
                <w:sz w:val="18"/>
                <w:szCs w:val="18"/>
                <w:color w:val="auto"/>
              </w:rPr>
              <w:t>SG&amp;A expenses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3,800</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3,709</w:t>
            </w: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380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SG&amp;A expenses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104</w:t>
            </w: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Net lease cost</w:t>
            </w:r>
          </w:p>
        </w:tc>
        <w:tc>
          <w:tcPr>
            <w:tcW w:w="3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3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12,894</w:t>
            </w: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gridSpan w:val="3"/>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11,661</w:t>
            </w:r>
          </w:p>
        </w:tc>
      </w:tr>
      <w:tr>
        <w:trPr>
          <w:trHeight w:val="20"/>
        </w:trPr>
        <w:tc>
          <w:tcPr>
            <w:tcW w:w="2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2380" w:type="dxa"/>
            <w:vAlign w:val="bottom"/>
            <w:tcBorders>
              <w:bottom w:val="single" w:sz="8" w:color="auto"/>
            </w:tcBorders>
            <w:gridSpan w:val="2"/>
          </w:tcPr>
          <w:p>
            <w:pPr>
              <w:spacing w:after="0" w:line="20" w:lineRule="exact"/>
              <w:rPr>
                <w:sz w:val="1"/>
                <w:szCs w:val="1"/>
                <w:color w:val="auto"/>
              </w:rPr>
            </w:pPr>
          </w:p>
        </w:tc>
      </w:tr>
      <w:tr>
        <w:trPr>
          <w:trHeight w:val="439"/>
        </w:trPr>
        <w:tc>
          <w:tcPr>
            <w:tcW w:w="24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0" w:type="dxa"/>
            <w:vAlign w:val="bottom"/>
            <w:gridSpan w:val="8"/>
          </w:tcPr>
          <w:p>
            <w:pPr>
              <w:jc w:val="right"/>
              <w:ind w:right="1670"/>
              <w:spacing w:after="0"/>
              <w:rPr>
                <w:sz w:val="20"/>
                <w:szCs w:val="20"/>
                <w:color w:val="auto"/>
              </w:rPr>
            </w:pPr>
            <w:r>
              <w:rPr>
                <w:rFonts w:ascii="Arial" w:cs="Arial" w:eastAsia="Arial" w:hAnsi="Arial"/>
                <w:sz w:val="18"/>
                <w:szCs w:val="18"/>
                <w:color w:val="auto"/>
              </w:rPr>
              <w:t>Nine Months Ended</w:t>
            </w:r>
          </w:p>
        </w:tc>
      </w:tr>
      <w:tr>
        <w:trPr>
          <w:trHeight w:val="217"/>
        </w:trPr>
        <w:tc>
          <w:tcPr>
            <w:tcW w:w="2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Lease cost (in thousands)</w:t>
            </w:r>
          </w:p>
        </w:tc>
        <w:tc>
          <w:tcPr>
            <w:tcW w:w="3800" w:type="dxa"/>
            <w:vAlign w:val="bottom"/>
            <w:tcBorders>
              <w:bottom w:val="single" w:sz="8" w:color="auto"/>
            </w:tcBorders>
          </w:tcPr>
          <w:p>
            <w:pPr>
              <w:ind w:left="600"/>
              <w:spacing w:after="0"/>
              <w:rPr>
                <w:sz w:val="20"/>
                <w:szCs w:val="20"/>
                <w:color w:val="auto"/>
              </w:rPr>
            </w:pPr>
            <w:r>
              <w:rPr>
                <w:rFonts w:ascii="Arial" w:cs="Arial" w:eastAsia="Arial" w:hAnsi="Arial"/>
                <w:sz w:val="18"/>
                <w:szCs w:val="18"/>
                <w:color w:val="auto"/>
              </w:rPr>
              <w:t>Classification</w:t>
            </w:r>
          </w:p>
        </w:tc>
        <w:tc>
          <w:tcPr>
            <w:tcW w:w="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September 30, 2023</w:t>
            </w: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September 30, 2022</w:t>
            </w:r>
          </w:p>
        </w:tc>
      </w:tr>
      <w:tr>
        <w:trPr>
          <w:trHeight w:val="183"/>
        </w:trPr>
        <w:tc>
          <w:tcPr>
            <w:tcW w:w="24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3800" w:type="dxa"/>
            <w:vAlign w:val="bottom"/>
            <w:shd w:val="clear" w:color="auto" w:fill="CCEEFF"/>
          </w:tcPr>
          <w:p>
            <w:pPr>
              <w:ind w:left="600"/>
              <w:spacing w:after="0" w:line="182" w:lineRule="exact"/>
              <w:rPr>
                <w:sz w:val="20"/>
                <w:szCs w:val="20"/>
                <w:color w:val="auto"/>
              </w:rPr>
            </w:pPr>
            <w:r>
              <w:rPr>
                <w:rFonts w:ascii="Arial" w:cs="Arial" w:eastAsia="Arial" w:hAnsi="Arial"/>
                <w:sz w:val="18"/>
                <w:szCs w:val="18"/>
                <w:color w:val="auto"/>
              </w:rPr>
              <w:t>SG&amp;A expenses</w:t>
            </w:r>
          </w:p>
        </w:tc>
        <w:tc>
          <w:tcPr>
            <w:tcW w:w="20" w:type="dxa"/>
            <w:vAlign w:val="bottom"/>
            <w:shd w:val="clear" w:color="auto" w:fill="CCEEFF"/>
          </w:tcPr>
          <w:p>
            <w:pPr>
              <w:spacing w:after="0"/>
              <w:rPr>
                <w:sz w:val="15"/>
                <w:szCs w:val="15"/>
                <w:color w:val="auto"/>
              </w:rPr>
            </w:pPr>
          </w:p>
        </w:tc>
        <w:tc>
          <w:tcPr>
            <w:tcW w:w="80" w:type="dxa"/>
            <w:vAlign w:val="bottom"/>
            <w:gridSpan w:val="3"/>
            <w:shd w:val="clear" w:color="auto" w:fill="CCEEFF"/>
          </w:tcPr>
          <w:p>
            <w:pPr>
              <w:spacing w:after="0"/>
              <w:rPr>
                <w:sz w:val="15"/>
                <w:szCs w:val="15"/>
                <w:color w:val="auto"/>
              </w:rPr>
            </w:pPr>
          </w:p>
        </w:tc>
        <w:tc>
          <w:tcPr>
            <w:tcW w:w="320" w:type="dxa"/>
            <w:vAlign w:val="bottom"/>
            <w:shd w:val="clear" w:color="auto" w:fill="CCEEFF"/>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26,890</w:t>
            </w:r>
          </w:p>
        </w:tc>
        <w:tc>
          <w:tcPr>
            <w:tcW w:w="40" w:type="dxa"/>
            <w:vAlign w:val="bottom"/>
            <w:gridSpan w:val="2"/>
            <w:shd w:val="clear" w:color="auto" w:fill="CCEEFF"/>
          </w:tcPr>
          <w:p>
            <w:pPr>
              <w:spacing w:after="0"/>
              <w:rPr>
                <w:sz w:val="15"/>
                <w:szCs w:val="15"/>
                <w:color w:val="auto"/>
              </w:rPr>
            </w:pPr>
          </w:p>
        </w:tc>
        <w:tc>
          <w:tcPr>
            <w:tcW w:w="60" w:type="dxa"/>
            <w:vAlign w:val="bottom"/>
            <w:gridSpan w:val="3"/>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25,130</w:t>
            </w:r>
          </w:p>
        </w:tc>
      </w:tr>
      <w:tr>
        <w:trPr>
          <w:trHeight w:val="256"/>
        </w:trPr>
        <w:tc>
          <w:tcPr>
            <w:tcW w:w="2420" w:type="dxa"/>
            <w:vAlign w:val="bottom"/>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3800" w:type="dxa"/>
            <w:vAlign w:val="bottom"/>
          </w:tcPr>
          <w:p>
            <w:pPr>
              <w:ind w:left="600"/>
              <w:spacing w:after="0"/>
              <w:rPr>
                <w:sz w:val="20"/>
                <w:szCs w:val="20"/>
                <w:color w:val="auto"/>
              </w:rPr>
            </w:pPr>
            <w:r>
              <w:rPr>
                <w:rFonts w:ascii="Arial" w:cs="Arial" w:eastAsia="Arial" w:hAnsi="Arial"/>
                <w:sz w:val="18"/>
                <w:szCs w:val="18"/>
                <w:color w:val="auto"/>
              </w:rPr>
              <w:t>SG&amp;A expenses</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11,179</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10,670</w:t>
            </w:r>
          </w:p>
        </w:tc>
      </w:tr>
      <w:tr>
        <w:trPr>
          <w:trHeight w:val="189"/>
        </w:trPr>
        <w:tc>
          <w:tcPr>
            <w:tcW w:w="2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Short term lease cost</w:t>
            </w:r>
          </w:p>
        </w:tc>
        <w:tc>
          <w:tcPr>
            <w:tcW w:w="3800" w:type="dxa"/>
            <w:vAlign w:val="bottom"/>
            <w:shd w:val="clear" w:color="auto" w:fill="CCEEFF"/>
          </w:tcPr>
          <w:p>
            <w:pPr>
              <w:ind w:left="600"/>
              <w:spacing w:after="0" w:line="189" w:lineRule="exact"/>
              <w:rPr>
                <w:sz w:val="20"/>
                <w:szCs w:val="20"/>
                <w:color w:val="auto"/>
              </w:rPr>
            </w:pPr>
            <w:r>
              <w:rPr>
                <w:rFonts w:ascii="Arial" w:cs="Arial" w:eastAsia="Arial" w:hAnsi="Arial"/>
                <w:sz w:val="18"/>
                <w:szCs w:val="18"/>
                <w:color w:val="auto"/>
              </w:rPr>
              <w:t>SG&amp;A expenses</w:t>
            </w: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2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223</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2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346</w:t>
            </w:r>
          </w:p>
        </w:tc>
      </w:tr>
      <w:tr>
        <w:trPr>
          <w:trHeight w:val="183"/>
        </w:trPr>
        <w:tc>
          <w:tcPr>
            <w:tcW w:w="2420" w:type="dxa"/>
            <w:vAlign w:val="bottom"/>
          </w:tcPr>
          <w:p>
            <w:pPr>
              <w:spacing w:after="0" w:line="182" w:lineRule="exact"/>
              <w:rPr>
                <w:sz w:val="20"/>
                <w:szCs w:val="20"/>
                <w:color w:val="auto"/>
              </w:rPr>
            </w:pPr>
            <w:r>
              <w:rPr>
                <w:rFonts w:ascii="Arial" w:cs="Arial" w:eastAsia="Arial" w:hAnsi="Arial"/>
                <w:sz w:val="18"/>
                <w:szCs w:val="18"/>
                <w:color w:val="auto"/>
              </w:rPr>
              <w:t>Net lease cost</w:t>
            </w:r>
          </w:p>
        </w:tc>
        <w:tc>
          <w:tcPr>
            <w:tcW w:w="3800" w:type="dxa"/>
            <w:vAlign w:val="bottom"/>
          </w:tcPr>
          <w:p>
            <w:pPr>
              <w:spacing w:after="0"/>
              <w:rPr>
                <w:sz w:val="15"/>
                <w:szCs w:val="15"/>
                <w:color w:val="auto"/>
              </w:rPr>
            </w:pPr>
          </w:p>
        </w:tc>
        <w:tc>
          <w:tcPr>
            <w:tcW w:w="100" w:type="dxa"/>
            <w:vAlign w:val="bottom"/>
            <w:gridSpan w:val="4"/>
          </w:tcPr>
          <w:p>
            <w:pPr>
              <w:spacing w:after="0"/>
              <w:rPr>
                <w:sz w:val="15"/>
                <w:szCs w:val="15"/>
                <w:color w:val="auto"/>
              </w:rPr>
            </w:pP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38,292</w:t>
            </w:r>
          </w:p>
        </w:tc>
        <w:tc>
          <w:tcPr>
            <w:tcW w:w="40" w:type="dxa"/>
            <w:vAlign w:val="bottom"/>
            <w:tcBorders>
              <w:bottom w:val="single" w:sz="8" w:color="auto"/>
            </w:tcBorders>
            <w:gridSpan w:val="2"/>
          </w:tcPr>
          <w:p>
            <w:pPr>
              <w:spacing w:after="0"/>
              <w:rPr>
                <w:sz w:val="15"/>
                <w:szCs w:val="15"/>
                <w:color w:val="auto"/>
              </w:rPr>
            </w:pPr>
          </w:p>
        </w:tc>
        <w:tc>
          <w:tcPr>
            <w:tcW w:w="60" w:type="dxa"/>
            <w:vAlign w:val="bottom"/>
            <w:gridSpan w:val="3"/>
          </w:tcPr>
          <w:p>
            <w:pPr>
              <w:spacing w:after="0"/>
              <w:rPr>
                <w:sz w:val="15"/>
                <w:szCs w:val="15"/>
                <w:color w:val="auto"/>
              </w:rPr>
            </w:pPr>
          </w:p>
        </w:tc>
        <w:tc>
          <w:tcPr>
            <w:tcW w:w="300" w:type="dxa"/>
            <w:vAlign w:val="bottom"/>
            <w:tcBorders>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2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36,146</w:t>
            </w:r>
          </w:p>
        </w:tc>
      </w:tr>
      <w:tr>
        <w:trPr>
          <w:trHeight w:val="20"/>
        </w:trPr>
        <w:tc>
          <w:tcPr>
            <w:tcW w:w="24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ind w:left="260" w:hanging="215"/>
        <w:spacing w:after="0" w:line="216" w:lineRule="auto"/>
        <w:tabs>
          <w:tab w:leader="none" w:pos="26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Variable lease cost consists primarily of taxes, insurance, and common area or other maintenance costs for the Company’s leased facilities.</w:t>
      </w:r>
    </w:p>
    <w:tbl>
      <w:tblPr>
        <w:tblLayout w:type="fixed"/>
        <w:tblInd w:w="0" w:type="dxa"/>
        <w:tblCellMar>
          <w:top w:w="0" w:type="dxa"/>
          <w:left w:w="0" w:type="dxa"/>
          <w:bottom w:w="0" w:type="dxa"/>
          <w:right w:w="0" w:type="dxa"/>
        </w:tblCellMar>
      </w:tblPr>
      <w:tr>
        <w:trPr>
          <w:trHeight w:val="189"/>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0" w:type="dxa"/>
            <w:vAlign w:val="bottom"/>
            <w:gridSpan w:val="4"/>
          </w:tcPr>
          <w:p>
            <w:pPr>
              <w:jc w:val="right"/>
              <w:ind w:right="1230"/>
              <w:spacing w:after="0" w:line="189" w:lineRule="exact"/>
              <w:rPr>
                <w:sz w:val="20"/>
                <w:szCs w:val="20"/>
                <w:color w:val="auto"/>
              </w:rPr>
            </w:pPr>
            <w:r>
              <w:rPr>
                <w:rFonts w:ascii="Arial" w:cs="Arial" w:eastAsia="Arial" w:hAnsi="Arial"/>
                <w:sz w:val="18"/>
                <w:szCs w:val="18"/>
                <w:color w:val="auto"/>
              </w:rPr>
              <w:t>Nine Months Ended</w:t>
            </w:r>
          </w:p>
        </w:tc>
      </w:tr>
      <w:tr>
        <w:trPr>
          <w:trHeight w:val="217"/>
        </w:trPr>
        <w:tc>
          <w:tcPr>
            <w:tcW w:w="7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Information (in thousands)</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5"/>
              </w:rPr>
              <w:t>September 30, 2023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September 30, 2022</w:t>
            </w:r>
          </w:p>
        </w:tc>
      </w:tr>
      <w:tr>
        <w:trPr>
          <w:trHeight w:val="183"/>
        </w:trPr>
        <w:tc>
          <w:tcPr>
            <w:tcW w:w="70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189"/>
        </w:trPr>
        <w:tc>
          <w:tcPr>
            <w:tcW w:w="708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36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740" w:type="dxa"/>
            <w:vAlign w:val="bottom"/>
          </w:tcPr>
          <w:p>
            <w:pPr>
              <w:jc w:val="right"/>
              <w:spacing w:after="0" w:line="189" w:lineRule="exact"/>
              <w:rPr>
                <w:sz w:val="20"/>
                <w:szCs w:val="20"/>
                <w:color w:val="auto"/>
              </w:rPr>
            </w:pPr>
            <w:r>
              <w:rPr>
                <w:rFonts w:ascii="Arial" w:cs="Arial" w:eastAsia="Arial" w:hAnsi="Arial"/>
                <w:sz w:val="18"/>
                <w:szCs w:val="18"/>
                <w:color w:val="auto"/>
              </w:rPr>
              <w:t>28,619</w:t>
            </w:r>
          </w:p>
        </w:tc>
        <w:tc>
          <w:tcPr>
            <w:tcW w:w="3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720" w:type="dxa"/>
            <w:vAlign w:val="bottom"/>
          </w:tcPr>
          <w:p>
            <w:pPr>
              <w:jc w:val="right"/>
              <w:spacing w:after="0" w:line="189" w:lineRule="exact"/>
              <w:rPr>
                <w:sz w:val="20"/>
                <w:szCs w:val="20"/>
                <w:color w:val="auto"/>
              </w:rPr>
            </w:pPr>
            <w:r>
              <w:rPr>
                <w:rFonts w:ascii="Arial" w:cs="Arial" w:eastAsia="Arial" w:hAnsi="Arial"/>
                <w:sz w:val="18"/>
                <w:szCs w:val="18"/>
                <w:color w:val="auto"/>
              </w:rPr>
              <w:t>28,147</w:t>
            </w:r>
          </w:p>
        </w:tc>
      </w:tr>
      <w:tr>
        <w:trPr>
          <w:trHeight w:val="189"/>
        </w:trPr>
        <w:tc>
          <w:tcPr>
            <w:tcW w:w="7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Lease right-of-use assets obtained or modified in exchange for lease obligations</w:t>
            </w:r>
          </w:p>
        </w:tc>
        <w:tc>
          <w:tcPr>
            <w:tcW w:w="36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21,769</w:t>
            </w:r>
          </w:p>
        </w:tc>
        <w:tc>
          <w:tcPr>
            <w:tcW w:w="340" w:type="dxa"/>
            <w:vAlign w:val="bottom"/>
            <w:gridSpan w:val="2"/>
            <w:shd w:val="clear" w:color="auto" w:fill="CCEEFF"/>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12,420</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189"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85"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jc w:val="both"/>
        <w:ind w:left="980" w:right="4560"/>
        <w:spacing w:after="0" w:line="484" w:lineRule="auto"/>
        <w:rPr>
          <w:sz w:val="20"/>
          <w:szCs w:val="20"/>
          <w:color w:val="auto"/>
        </w:rPr>
      </w:pPr>
      <w:r>
        <w:rPr>
          <w:rFonts w:ascii="Arial" w:cs="Arial" w:eastAsia="Arial" w:hAnsi="Arial"/>
          <w:sz w:val="16"/>
          <w:szCs w:val="16"/>
          <w:color w:val="auto"/>
        </w:rPr>
        <w:t>Quoted prices for identical or similar assets or liabilities in non-active markets; Inputs other than quoted prices that are observable for the asset or liability; and</w:t>
      </w:r>
    </w:p>
    <w:p>
      <w:pPr>
        <w:ind w:left="66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85"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20"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September 30, 2023 and December 31, 2022 according to the valuation techniques the Company uses to determine their fair values. There have been no transfers of assets among the fair value hierarchies presented.</w:t>
      </w: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340" w:type="dxa"/>
            <w:vAlign w:val="bottom"/>
            <w:gridSpan w:val="2"/>
          </w:tcPr>
          <w:p>
            <w:pPr>
              <w:jc w:val="center"/>
              <w:ind w:right="180"/>
              <w:spacing w:after="0" w:line="202" w:lineRule="exact"/>
              <w:rPr>
                <w:sz w:val="20"/>
                <w:szCs w:val="20"/>
                <w:color w:val="auto"/>
              </w:rPr>
            </w:pPr>
            <w:r>
              <w:rPr>
                <w:rFonts w:ascii="Arial" w:cs="Arial" w:eastAsia="Arial" w:hAnsi="Arial"/>
                <w:sz w:val="18"/>
                <w:szCs w:val="18"/>
                <w:color w:val="auto"/>
                <w:w w:val="94"/>
              </w:rPr>
              <w:t>Pricing</w:t>
            </w:r>
          </w:p>
        </w:tc>
        <w:tc>
          <w:tcPr>
            <w:tcW w:w="100" w:type="dxa"/>
            <w:vAlign w:val="bottom"/>
          </w:tcPr>
          <w:p>
            <w:pPr>
              <w:spacing w:after="0"/>
              <w:rPr>
                <w:sz w:val="17"/>
                <w:szCs w:val="17"/>
                <w:color w:val="auto"/>
              </w:rPr>
            </w:pPr>
          </w:p>
        </w:tc>
        <w:tc>
          <w:tcPr>
            <w:tcW w:w="3440" w:type="dxa"/>
            <w:vAlign w:val="bottom"/>
            <w:gridSpan w:val="3"/>
          </w:tcPr>
          <w:p>
            <w:pPr>
              <w:jc w:val="right"/>
              <w:ind w:right="1210"/>
              <w:spacing w:after="0" w:line="202" w:lineRule="exact"/>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3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Category</w:t>
            </w:r>
          </w:p>
        </w:tc>
        <w:tc>
          <w:tcPr>
            <w:tcW w:w="100" w:type="dxa"/>
            <w:vAlign w:val="bottom"/>
          </w:tcPr>
          <w:p>
            <w:pPr>
              <w:spacing w:after="0"/>
              <w:rPr>
                <w:sz w:val="18"/>
                <w:szCs w:val="18"/>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w w:val="88"/>
              </w:rPr>
              <w:t>September 30, 2023</w:t>
            </w:r>
          </w:p>
        </w:tc>
        <w:tc>
          <w:tcPr>
            <w:tcW w:w="220" w:type="dxa"/>
            <w:vAlign w:val="bottom"/>
          </w:tcPr>
          <w:p>
            <w:pPr>
              <w:spacing w:after="0"/>
              <w:rPr>
                <w:sz w:val="18"/>
                <w:szCs w:val="18"/>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2022</w:t>
            </w:r>
          </w:p>
        </w:tc>
        <w:tc>
          <w:tcPr>
            <w:tcW w:w="0" w:type="dxa"/>
            <w:vAlign w:val="bottom"/>
          </w:tcPr>
          <w:p>
            <w:pPr>
              <w:spacing w:after="0"/>
              <w:rPr>
                <w:sz w:val="1"/>
                <w:szCs w:val="1"/>
                <w:color w:val="auto"/>
              </w:rPr>
            </w:pPr>
          </w:p>
        </w:tc>
      </w:tr>
      <w:tr>
        <w:trPr>
          <w:trHeight w:val="183"/>
        </w:trPr>
        <w:tc>
          <w:tcPr>
            <w:tcW w:w="6360" w:type="dxa"/>
            <w:vAlign w:val="bottom"/>
            <w:vMerge w:val="continue"/>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440" w:type="dxa"/>
            <w:vAlign w:val="bottom"/>
            <w:tcBorders>
              <w:top w:val="single" w:sz="8" w:color="auto"/>
            </w:tcBorders>
            <w:gridSpan w:val="3"/>
          </w:tcPr>
          <w:p>
            <w:pPr>
              <w:jc w:val="right"/>
              <w:ind w:right="1170"/>
              <w:spacing w:after="0" w:line="182" w:lineRule="exact"/>
              <w:rPr>
                <w:sz w:val="20"/>
                <w:szCs w:val="20"/>
                <w:color w:val="auto"/>
              </w:rPr>
            </w:pPr>
            <w:r>
              <w:rPr>
                <w:rFonts w:ascii="Arial" w:cs="Arial" w:eastAsia="Arial" w:hAnsi="Arial"/>
                <w:sz w:val="18"/>
                <w:szCs w:val="18"/>
                <w:color w:val="auto"/>
              </w:rPr>
              <w:t>(in thousands)</w:t>
            </w:r>
          </w:p>
        </w:tc>
        <w:tc>
          <w:tcPr>
            <w:tcW w:w="0" w:type="dxa"/>
            <w:vAlign w:val="bottom"/>
          </w:tcPr>
          <w:p>
            <w:pPr>
              <w:spacing w:after="0"/>
              <w:rPr>
                <w:sz w:val="1"/>
                <w:szCs w:val="1"/>
                <w:color w:val="auto"/>
              </w:rPr>
            </w:pPr>
          </w:p>
        </w:tc>
      </w:tr>
      <w:tr>
        <w:trPr>
          <w:trHeight w:val="189"/>
        </w:trPr>
        <w:tc>
          <w:tcPr>
            <w:tcW w:w="6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center"/>
              <w:ind w:right="160"/>
              <w:spacing w:after="0" w:line="189" w:lineRule="exact"/>
              <w:rPr>
                <w:sz w:val="20"/>
                <w:szCs w:val="20"/>
                <w:color w:val="auto"/>
              </w:rPr>
            </w:pPr>
            <w:r>
              <w:rPr>
                <w:rFonts w:ascii="Arial" w:cs="Arial" w:eastAsia="Arial" w:hAnsi="Arial"/>
                <w:sz w:val="18"/>
                <w:szCs w:val="18"/>
                <w:color w:val="auto"/>
                <w:w w:val="92"/>
              </w:rPr>
              <w:t>Level 1</w:t>
            </w:r>
          </w:p>
        </w:tc>
        <w:tc>
          <w:tcPr>
            <w:tcW w:w="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64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16,371</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5,948</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Restricted cash</w:t>
            </w: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Level 1</w:t>
            </w:r>
          </w:p>
        </w:tc>
        <w:tc>
          <w:tcPr>
            <w:tcW w:w="100" w:type="dxa"/>
            <w:vAlign w:val="bottom"/>
          </w:tcPr>
          <w:p>
            <w:pPr>
              <w:spacing w:after="0"/>
              <w:rPr>
                <w:sz w:val="20"/>
                <w:szCs w:val="20"/>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color w:val="auto"/>
              </w:rPr>
              <w:t>655</w:t>
            </w:r>
          </w:p>
        </w:tc>
        <w:tc>
          <w:tcPr>
            <w:tcW w:w="22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56"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56" w:lineRule="exact"/>
        <w:rPr>
          <w:sz w:val="20"/>
          <w:szCs w:val="20"/>
          <w:color w:val="auto"/>
        </w:rPr>
      </w:pPr>
    </w:p>
    <w:p>
      <w:pPr>
        <w:ind w:left="980" w:right="100"/>
        <w:spacing w:after="0"/>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62"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three and nine months ended September 30, 2023 the Company recorded $0.0 million and $0.6 million, respectively, of impairment charges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 comparable properties are considered Level 2 inputs. No impairment charges were recorded during the three or nine months ended September 30, 2022.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 Incentive Plans</w:t>
      </w:r>
    </w:p>
    <w:p>
      <w:pPr>
        <w:spacing w:after="0" w:line="189"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On July 20, 2021, the Company’s stockholders approved the 2021 Omnibus Equity Compensation Plan (the “2021 Plan”). The 2021 Plan replaced the 2012 Omnibus Award Plan (the “Prior Plan”). Awards granted under the Prior Plan that were outstanding on the date of stockholder approval remained outstanding in accordance with their terms. The maximum number of shares that may be delivered with respect to awards under the 2021 Plan is 3,500,000 shares, subject to adjustment in certain circumstances. Shares tendered or withheld to pay the exercise price of a stock option or to cover tax withholding will not be added back to the number of shares available under the 2021 Plan. To the extent that any award under the 2021 Plan, or any award granted under the Prior Plan prior to stockholder approval of the 2021 Plan, is forfeited, canceled, surrendered or otherwise terminated without the issuance of shares or an award is settled only in cash, the shares subject to such awards granted but not delivered will be added to the number of shares available for awards under the 2021 Plan.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right="140"/>
        <w:spacing w:after="0" w:line="245" w:lineRule="auto"/>
        <w:rPr>
          <w:sz w:val="20"/>
          <w:szCs w:val="20"/>
          <w:color w:val="auto"/>
        </w:rPr>
      </w:pPr>
      <w:r>
        <w:rPr>
          <w:rFonts w:ascii="Arial" w:cs="Arial" w:eastAsia="Arial" w:hAnsi="Arial"/>
          <w:sz w:val="17"/>
          <w:szCs w:val="17"/>
          <w:color w:val="auto"/>
        </w:rPr>
        <w:t>The Company measures and recognizes compensation expense for all stock based awards at fair value. The financial statements for the three and nine months ended September 30, 2023 and 2022 include compensation expense for the portion of outstanding awards that vested during those periods. The Company recognizes stock based compensation expenses on a straight-line basis over the requisite service period of the award, which is generally the option vesting term. The Company did not record any stock based compensation related to stock options during the three months ended September 30, 2023. Total stock based compensation expense related to stock options was less than $0.1 million for the three months ended September 30, 2022. Total stock based compensation expense related to stock options was less than $0.1 million and $0.1 million for the nine months ended September 30, 2023 and 2022, respectively. Stock based compensation expense pertaining to stock options is included in selling, general and administrative expenses in the accompanying Consolidated Statements of Income.</w:t>
      </w:r>
    </w:p>
    <w:p>
      <w:pPr>
        <w:spacing w:after="0" w:line="14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As of September 30, 2023, the Company had fully vested outstanding stock options to purchase 368,217 shares of common stock at a weighted average exercise price of $9.49 per share.</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ind w:right="-99"/>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9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$0.4 million and $0.5 million for the three months ended September 30, 2023 and 2022, respectively. Total stock based compensation expense related to restricted stock was $1.1 million and $1.5 million for the nine months ended September 30, 2023 and 2022, respectively. Stock based compensation expense pertaining to restricted stock awards is included in selling, general and administrative expenses in the accompanying Consolidated Statements of Income.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had 1,034,748 unvested outstanding restricted common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New Markets Tax Credit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85" w:lineRule="exact"/>
        <w:rPr>
          <w:sz w:val="20"/>
          <w:szCs w:val="20"/>
          <w:color w:val="auto"/>
        </w:rPr>
      </w:pPr>
    </w:p>
    <w:p>
      <w:pPr>
        <w:ind w:right="40"/>
        <w:spacing w:after="0" w:line="230"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6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16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In December 2016, U.S. Bank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49"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color w:val="auto"/>
        </w:rPr>
        <w:t>The Company has determined that the financing arrangement with the Investment Fund and CDEs constitutes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 contributed $3.2 million, net of syndication fees, to the Investment Fund. The Company incurred $1.3 million of syndication fees in connection with this transaction. The Company is recognizing the benefit of this net $1.9 million contribution over the seven-year compliance period as it is being earned through the on-going compliance with the conditions of the</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 w:right="41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563C1"/>
        </w:rPr>
        <w:t>Table of Contents</w:t>
      </w:r>
    </w:p>
    <w:p>
      <w:pPr>
        <w:jc w:val="center"/>
        <w:ind w:right="-139"/>
        <w:spacing w:after="0" w:line="237"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NMTC program. As of September 30, 2023, the balance of the contribution liability for this arrangement was $0.1 million, which was classified as other accrued liabilities on the Consolidated Balance Sheet.</w:t>
      </w:r>
    </w:p>
    <w:p>
      <w:pPr>
        <w:spacing w:after="0" w:line="156"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September 30, 2023, the remaining balance in the Investment Fund available for reimbursement to the Company was $0.7 million.</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The following discussion and analysis of Tile Shop Holdings, Inc.’s (“Holdings,” and together with its wholly owned subsidiaries, the “Company,” “we,” “us,” or “our”) financial condition and results of operations should be read in conjunction with our Annual Report on Form 10-K for the year ended December 31, 2022 and our consolidated financial statements and related notes appearing elsewhere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“predict,”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are based on current expectations and assumptions that are subject to risks and uncertainties, many of which are difficult to predict and are outside of our control, that may cause our actual results, performance, or achievements to differ materially from any expected future results, performance, or achievements expressed or implied by such forward-looking statements. These risks and uncertainties include, but are not limited to, our anticipated new store openings, remodeling plans, and growth opportunities; our business strengths, marketing strategies, competitive advantages and role in our industry and markets; an overall decline in the health of the economy, the tile industry, consumer confidence and spending, and the housing market, including as a result of rising inflation or interest rates, instability in the global banking system, or the possibility of an economic recession; the impact of ongoing supply chain disruptions and inflationary cost pressures, including increased materials, labor, energy, and transportation costs and decreased discretionary consumer spending; our ability to successfully implement and realize the anticipated benefits of our strategic plan; our ability to successfully anticipate consumer trends; any statements with respect to dividends or stock repurchases and timing, methods, and payment of same; the effectiveness of our marketing strategy; potential fluctuations in our comparable store sales; our expectations regarding our and our customers’ financing arrangements and our ability to obtain additional capital, geopolitical conditions, and other economic factors; supply costs and expectations, including the continued availability of sufficient products from our suppliers, risks related to relying on foreign suppliers, and the potential impact of the Russia-Ukraine, Israel/Hamas and other geopolitical conflicts on, among other things, product availability and pricing and timing and cost of deliveries; our expectations with respect to ongoing compliance with the terms of the Credit Agreement (as defined below), including increasing interest rates; our ability to provide timely delivery to our customers; the effect of regulations on us and our industry, and our suppliers’ compliance with such regulations, including any environmental or climate change-related requirements; the impact of corporate citizenship and environmental, social and governance matters; labor shortages and our expectations regarding the effects of employee recruiting, training, mentoring, and retention on our ability to recruit and retain employees; tax-related risks; the potential impact of cybersecurity breaches or disruptions to our management information systems; our ability to successfully implement our information technology and other digital initiatives; our ability to effectively manage our online sales; costs and adequacy of insurance; the potential impact of natural disasters, which may worsen or increase due to the effects of climate change, and other catastrophic events; risks inherent in operating as a holding company; fluctuations in material and energy costs, including ongoing volatility of, oil and gas prices; our ability to remediate the material weakness in our internal control over financial reporting; the potential outcome of any legal proceedings; risks related to ownership of our common stock; and those factors set forth in the section captioned “Risk Factors” in our Annual Report on Form 10-K for the year ended December 31, 2022 and in this Form 10-Q.</w:t>
      </w:r>
    </w:p>
    <w:p>
      <w:pPr>
        <w:spacing w:after="0" w:line="345"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by law, we undertake no obligation to update any forward-looking statements to reflect events or circumstances after the date of such statements.</w:t>
      </w:r>
    </w:p>
    <w:p>
      <w:pPr>
        <w:spacing w:after="0" w:line="196" w:lineRule="exact"/>
        <w:rPr>
          <w:sz w:val="20"/>
          <w:szCs w:val="20"/>
          <w:color w:val="auto"/>
        </w:rPr>
      </w:pPr>
    </w:p>
    <w:p>
      <w:pPr>
        <w:ind w:right="260"/>
        <w:spacing w:after="0" w:line="232" w:lineRule="auto"/>
        <w:rPr>
          <w:sz w:val="20"/>
          <w:szCs w:val="20"/>
          <w:color w:val="auto"/>
        </w:rPr>
      </w:pPr>
      <w:r>
        <w:rPr>
          <w:rFonts w:ascii="Arial" w:cs="Arial" w:eastAsia="Arial" w:hAnsi="Arial"/>
          <w:sz w:val="18"/>
          <w:szCs w:val="18"/>
          <w:i w:val="1"/>
          <w:iCs w:val="1"/>
          <w:color w:val="auto"/>
        </w:rPr>
        <w:t>We intend to use our website, investors.tileshop.com, as a means of disclosing material non-public information and for complying with our disclosure obligations under Regulation FD of the Securities and Exchange Commission (“SEC”). Such disclosures will be included on our website under the heading News and Events. Accordingly, investors should monitor such portions of our website, in addition to following our press releases, SEC filings and public conference calls and webcasts. Information contained on or accessible through our website is not a part of, and is not incorporated by reference into, this Quarterly Report on Form 10-Q or any other report or document we file with the SEC. Any reference to our website is intended to be an inactive textual reference only.</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8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a specialty retailer of natural stone, man-made tiles and luxury vinyl, setting and maintenance materials, and related accessories in the United States. We offer a wide selection of products, attractive prices, and exceptional customer service in an extensive showroom setting. As of September 30, 2023, we operated 143 stores in 31 states and the District of Columbia, with an average size of approximately 20,000 square feet.</w:t>
      </w:r>
    </w:p>
    <w:p>
      <w:pPr>
        <w:spacing w:after="0" w:line="145" w:lineRule="exact"/>
        <w:rPr>
          <w:sz w:val="20"/>
          <w:szCs w:val="20"/>
          <w:color w:val="auto"/>
        </w:rPr>
      </w:pPr>
    </w:p>
    <w:p>
      <w:pPr>
        <w:ind w:right="120"/>
        <w:spacing w:after="0" w:line="231"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 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16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Our business continues to be impacted by a number of macro-economic factors, including rising interest rates, and slowing existing home turnover. We believe this is contributing to a slowdown in demand for home improvement products. Our comparable store sales decreased by 4.9% and 4.3% during the three and nine months ended September 30, 2023, respectively, due to lower levels of traffic in our stores, which was partially offset by an increase in average ticket value.</w:t>
      </w:r>
    </w:p>
    <w:p>
      <w:pPr>
        <w:spacing w:after="0" w:line="161"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Our gross margin rate improved by 50 basis points from the second quarter of 2023 to 64.7% for the three months ended September 30, 2023. We were encouraged to see signs that inflationary cost pressures have continued to subside. International freight rates have come down over the last year and we continue to actively work to resource portions of our assortment to suppliers who can provide high quality products at lower price points. We believe that these factors will help improve our gross margins during the fourth quarter of 2023.</w:t>
      </w:r>
    </w:p>
    <w:p>
      <w:pPr>
        <w:spacing w:after="0" w:line="161" w:lineRule="exact"/>
        <w:rPr>
          <w:sz w:val="20"/>
          <w:szCs w:val="20"/>
          <w:color w:val="auto"/>
        </w:rPr>
      </w:pPr>
    </w:p>
    <w:p>
      <w:pPr>
        <w:ind w:right="400"/>
        <w:spacing w:after="0" w:line="234" w:lineRule="auto"/>
        <w:rPr>
          <w:sz w:val="20"/>
          <w:szCs w:val="20"/>
          <w:color w:val="auto"/>
        </w:rPr>
      </w:pPr>
      <w:r>
        <w:rPr>
          <w:rFonts w:ascii="Arial" w:cs="Arial" w:eastAsia="Arial" w:hAnsi="Arial"/>
          <w:sz w:val="18"/>
          <w:szCs w:val="18"/>
          <w:color w:val="auto"/>
        </w:rPr>
        <w:t>Selling, general and administrative expenses decreased by $2.4 million or 4.0% to $56.7 million in the third quarter of 2023 as compared to the third quarter of 2022. The decrease in selling, general and administrative expenses was due to a $1.7 million decrease in variable selling expenses, a $1.1 million decrease in depreciation expense and a $1.0 million decrease in transportation expenses. These decreases were partially offset by the one-time lease exit benefit of $0.8 million that was recognized in the third quarter of 2022 and not repeated in 2023 and a $0.7 million increase in marketing expenses.</w:t>
      </w:r>
    </w:p>
    <w:p>
      <w:pPr>
        <w:spacing w:after="0" w:line="152" w:lineRule="exact"/>
        <w:rPr>
          <w:sz w:val="20"/>
          <w:szCs w:val="20"/>
          <w:color w:val="auto"/>
        </w:rPr>
      </w:pPr>
    </w:p>
    <w:p>
      <w:pPr>
        <w:ind w:right="80"/>
        <w:spacing w:after="0"/>
        <w:rPr>
          <w:sz w:val="20"/>
          <w:szCs w:val="20"/>
          <w:color w:val="auto"/>
        </w:rPr>
      </w:pPr>
      <w:r>
        <w:rPr>
          <w:rFonts w:ascii="Arial" w:cs="Arial" w:eastAsia="Arial" w:hAnsi="Arial"/>
          <w:sz w:val="18"/>
          <w:szCs w:val="18"/>
          <w:color w:val="auto"/>
        </w:rPr>
        <w:t>During the nine months ended September 30, 2023, we generated $56.2 million of operating cash flow, which was used to fund $11.0 million of capital expenditures and reduce our debt by $35.4 million. As of September 30, 2023, our cash balance was $16.4 million and borrowings outstanding on our line of credit were $10.0 million.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 Interim Period Restatement</w:t>
      </w:r>
    </w:p>
    <w:p>
      <w:pPr>
        <w:spacing w:after="0" w:line="189"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In connection with the preparation of the unaudited interim financial statements for the period ended September 30, 2023, an error was identified in the Company’s unaudited interim Consolidated Balance Sheet for the quarter ended June 30, 2023. In accordance with Staff Accounting Bulletin No. 99, “Materiality,” we determined that the unaudited interim consolidated financial statements were materially misstated and should be restated. The misstatements relate solely to the understatement of right of use assets and lease liabilities due to the failure to record certain lease extensions in a timely manner. The impact of the error identified was immaterial to the unaudited Consolidated Statements of Income, Consolidated Statements of Stockholders’ Equity and Consolidated Statement of Cash Flows for the period ended June 30, 2023. The restated unaudited interim Consolidated Balance Sheet information is included in Note 2 to the consolidated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Income</w:t>
      </w:r>
    </w:p>
    <w:p>
      <w:pPr>
        <w:spacing w:after="0" w:line="189" w:lineRule="exact"/>
        <w:rPr>
          <w:sz w:val="20"/>
          <w:szCs w:val="20"/>
          <w:color w:val="auto"/>
        </w:rPr>
      </w:pPr>
    </w:p>
    <w:p>
      <w:pPr>
        <w:jc w:val="both"/>
        <w:ind w:right="20"/>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 Net sales represents total charges to customers, net of returns, and includes freight charged to customers. We recognize sales at the time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takes control of the merchandise or final delivery of the product has occurred. We are required to charge and collect sales and other taxes on sales to our customers and remit these taxes back to government authorities. Total revenues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do not include sales tax because we are a pass-through conduit for collecting and remitting sales tax. Sales are reduced by a reserve for anticipated sales returns that we estimate based on historical returns.</w:t>
      </w:r>
    </w:p>
    <w:p>
      <w:pPr>
        <w:spacing w:after="0" w:line="15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Comparable store sales growth is the percentage change in sales of comparable stores period-over-period. A store is considered comparable on the first day of the 13th full month of operation. When a store is relocated, it is excluded from the comparable store sales growth calculation. Comparable store sales growth amounts include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growth (decline) metric provides useful information to both management and investors to evaluate the Company’s performance, the effectiveness of its strategy and its competitive position.</w:t>
      </w:r>
    </w:p>
    <w:p>
      <w:pPr>
        <w:spacing w:after="0" w:line="16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 Gross profit is net sales less cost of sales. Gross margin rate is the percentage determined by dividing gross profit by net sales.</w:t>
      </w:r>
    </w:p>
    <w:p>
      <w:pPr>
        <w:spacing w:after="0" w:line="196" w:lineRule="exact"/>
        <w:rPr>
          <w:sz w:val="20"/>
          <w:szCs w:val="20"/>
          <w:color w:val="auto"/>
        </w:rPr>
      </w:pPr>
    </w:p>
    <w:p>
      <w:pPr>
        <w:jc w:val="both"/>
        <w:ind w:right="480"/>
        <w:spacing w:after="0"/>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 Selling, general, and administrative expenses consist primarily of compensation costs, occupancy,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maintenance costs, advertising costs, shipping and transportation expenses to move inventory from our distribution centers to our stores, and depreciation and amortization.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ind w:left="1560"/>
        <w:spacing w:after="0"/>
        <w:rPr>
          <w:sz w:val="20"/>
          <w:szCs w:val="20"/>
          <w:color w:val="auto"/>
        </w:rPr>
      </w:pPr>
      <w:r>
        <w:rPr>
          <w:rFonts w:ascii="Arial" w:cs="Arial" w:eastAsia="Arial" w:hAnsi="Arial"/>
          <w:sz w:val="18"/>
          <w:szCs w:val="18"/>
          <w:b w:val="1"/>
          <w:bCs w:val="1"/>
          <w:u w:val="single" w:color="auto"/>
          <w:color w:val="auto"/>
        </w:rPr>
        <w:t>Comparison of the three months ended September 30, 2023 to the three months ended September 30, 2022</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4"/>
          </w:tcPr>
          <w:p>
            <w:pPr>
              <w:jc w:val="right"/>
              <w:spacing w:after="0"/>
              <w:rPr>
                <w:sz w:val="20"/>
                <w:szCs w:val="20"/>
                <w:color w:val="auto"/>
              </w:rPr>
            </w:pPr>
            <w:r>
              <w:rPr>
                <w:rFonts w:ascii="Arial" w:cs="Arial" w:eastAsia="Arial" w:hAnsi="Arial"/>
                <w:sz w:val="18"/>
                <w:szCs w:val="18"/>
                <w:color w:val="auto"/>
              </w:rPr>
              <w:t>($ in thousands)</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70"/>
        </w:trPr>
        <w:tc>
          <w:tcPr>
            <w:tcW w:w="430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23"/>
                <w:szCs w:val="23"/>
                <w:color w:val="auto"/>
              </w:rPr>
            </w:pPr>
          </w:p>
        </w:tc>
        <w:tc>
          <w:tcPr>
            <w:tcW w:w="12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color w:val="auto"/>
              </w:rPr>
              <w:t>% of sales</w:t>
            </w:r>
          </w:p>
        </w:tc>
        <w:tc>
          <w:tcPr>
            <w:tcW w:w="180" w:type="dxa"/>
            <w:vAlign w:val="bottom"/>
            <w:tcBorders>
              <w:bottom w:val="single" w:sz="8" w:color="CCEEFF"/>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84"/>
              </w:rPr>
              <w:t>2022</w:t>
            </w: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auto"/>
            </w:tcBorders>
            <w:gridSpan w:val="2"/>
          </w:tcPr>
          <w:p>
            <w:pPr>
              <w:jc w:val="right"/>
              <w:ind w:right="110"/>
              <w:spacing w:after="0" w:line="270"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92,112</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97,154</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32,549</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35.3</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32,542</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33.5</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59,563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64.7</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64,612</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66.5</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56,734</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61.6</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59,109</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60.8</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2,829</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5,503</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(453)</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(0.5)%</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(319)</w:t>
            </w:r>
          </w:p>
        </w:tc>
        <w:tc>
          <w:tcPr>
            <w:tcW w:w="130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(0.3)%</w:t>
            </w:r>
          </w:p>
        </w:tc>
      </w:tr>
      <w:tr>
        <w:trPr>
          <w:trHeight w:val="183"/>
        </w:trPr>
        <w:tc>
          <w:tcPr>
            <w:tcW w:w="4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2,376</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5,184</w:t>
            </w: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5.3</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(532)</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(1,361)</w:t>
            </w:r>
          </w:p>
        </w:tc>
        <w:tc>
          <w:tcPr>
            <w:tcW w:w="130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(1.4)%</w:t>
            </w:r>
          </w:p>
        </w:tc>
      </w:tr>
      <w:tr>
        <w:trPr>
          <w:trHeight w:val="183"/>
        </w:trPr>
        <w:tc>
          <w:tcPr>
            <w:tcW w:w="4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1,844</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2.0 %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500" w:type="dxa"/>
            <w:vAlign w:val="bottom"/>
            <w:tcBorders>
              <w:top w:val="single" w:sz="8" w:color="auto"/>
              <w:bottom w:val="single" w:sz="8" w:color="auto"/>
            </w:tcBorders>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3.9 %</w:t>
            </w: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95"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third quarter of 2023 decreased $5.0 million, or 5.2%, compared with the third quarter of 2022. Sales decreased at comparable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stores by 4.9% during the third quarter of 2023 compared to the third quarter of 2022, primarily due to a decrease in traffic, which was partially offset by an increase in average ticket value.</w:t>
      </w:r>
    </w:p>
    <w:p>
      <w:pPr>
        <w:spacing w:after="0" w:line="161"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third quarter of 2023 decreased $5.0 million, or 7.8%, compared with the third quarter of 2022. The gross margin rate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64.7% and 66.5% during the third quarter of 2023 and 2022, respectively. The decrease in the gross margin rate was primarily due to inflationary cost pressure which resulted in an increase in the cost of products we sold over the last year. These cost increases were partially offset by an increase in our selling prices.</w:t>
      </w:r>
    </w:p>
    <w:p>
      <w:pPr>
        <w:spacing w:after="0" w:line="161"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for the third quarter of 2023 decreased $2.4 million, or 4.0%,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$56.7 million in the third quarter of 2023. The decrease in selling, general and administrative expenses was due to a $1.7 million decrease in variable selling expenses, a $1.1 million decrease in depreciation expense and a $1.0 million decrease in transportation expenses. These decreases were partially offset by the one-time lease exit benefit of $0.8 million that was recognized in the third quarter of 2022 and not repeated in 2023 and a $0.7 million increase in marketing expenses.</w:t>
      </w:r>
    </w:p>
    <w:p>
      <w:pPr>
        <w:spacing w:after="0" w:line="165" w:lineRule="exact"/>
        <w:rPr>
          <w:sz w:val="20"/>
          <w:szCs w:val="20"/>
          <w:color w:val="auto"/>
        </w:rPr>
      </w:pPr>
    </w:p>
    <w:p>
      <w:pPr>
        <w:jc w:val="both"/>
        <w:ind w:right="480"/>
        <w:spacing w:after="0" w:line="235"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$0.5 million and $0.3 million for the third quarter of 2023 and 2022, respectively. The increase was due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average borrowings outstanding on our line of credit as well as an increase in interest rates between the third quarter of 2022 and the third quarter of 2023.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200" w:lineRule="exact"/>
        <w:rPr>
          <w:sz w:val="20"/>
          <w:szCs w:val="20"/>
          <w:color w:val="auto"/>
        </w:rPr>
      </w:pPr>
    </w:p>
    <w:p>
      <w:pPr>
        <w:spacing w:after="0" w:line="34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was $0.5 million and $1.4 million for the third quarter of 2023 and 2022, respectively.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income tax expense was primarily due to a decrease in pretax income during the third quarter of 2023 as compared to the third quarter of 2022. Our effective tax rate for the three months ended September 30, 2023 and 2022 was 22.4% and 26.3%, respectively. The decrease in the effective tax rate is largely due to tax benefits associated with employee equity award vestings.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Comparison of the nine months ended September 30, 2023 to the nine months ended September 30, 2022</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54"/>
        </w:trPr>
        <w:tc>
          <w:tcPr>
            <w:tcW w:w="430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2"/>
          </w:tcPr>
          <w:p>
            <w:pPr>
              <w:jc w:val="right"/>
              <w:ind w:right="9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18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2022</w:t>
            </w:r>
          </w:p>
        </w:tc>
        <w:tc>
          <w:tcPr>
            <w:tcW w:w="1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ind w:right="11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292,688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307,230</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104,285</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35.6</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104,754</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34.1</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188,403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64.4</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202,476</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65.9</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1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173,715</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59.4</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182,459</w:t>
            </w:r>
          </w:p>
        </w:tc>
        <w:tc>
          <w:tcPr>
            <w:tcW w:w="18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59.4</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4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14,688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20,017</w:t>
            </w: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6.5</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(1,920)</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(0.7)%</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(786)</w:t>
            </w:r>
          </w:p>
        </w:tc>
        <w:tc>
          <w:tcPr>
            <w:tcW w:w="130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(0.3)%</w:t>
            </w:r>
          </w:p>
        </w:tc>
      </w:tr>
      <w:tr>
        <w:trPr>
          <w:trHeight w:val="183"/>
        </w:trPr>
        <w:tc>
          <w:tcPr>
            <w:tcW w:w="43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Income before income taxes</w:t>
            </w:r>
          </w:p>
        </w:tc>
        <w:tc>
          <w:tcPr>
            <w:tcW w:w="1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12,768</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4.4</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19,231</w:t>
            </w:r>
          </w:p>
        </w:tc>
        <w:tc>
          <w:tcPr>
            <w:tcW w:w="1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6.3</w:t>
            </w:r>
          </w:p>
        </w:tc>
        <w:tc>
          <w:tcPr>
            <w:tcW w:w="320" w:type="dxa"/>
            <w:vAlign w:val="bottom"/>
            <w:tcBorders>
              <w:top w:val="single" w:sz="8" w:color="auto"/>
            </w:tcBorders>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4300" w:type="dxa"/>
            <w:vAlign w:val="bottom"/>
          </w:tcPr>
          <w:p>
            <w:pPr>
              <w:spacing w:after="0" w:line="189" w:lineRule="exact"/>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(3,333)</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(4,981)</w:t>
            </w:r>
          </w:p>
        </w:tc>
        <w:tc>
          <w:tcPr>
            <w:tcW w:w="130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(1.6)%</w:t>
            </w:r>
          </w:p>
        </w:tc>
      </w:tr>
      <w:tr>
        <w:trPr>
          <w:trHeight w:val="183"/>
        </w:trPr>
        <w:tc>
          <w:tcPr>
            <w:tcW w:w="430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9,435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3.2 %</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gridSpan w:val="2"/>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rPr>
              <w:t>4.6 %</w:t>
            </w:r>
          </w:p>
        </w:tc>
      </w:tr>
      <w:tr>
        <w:trPr>
          <w:trHeight w:val="20"/>
        </w:trPr>
        <w:tc>
          <w:tcPr>
            <w:tcW w:w="4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b w:val="1"/>
          <w:bCs w:val="1"/>
          <w:i w:val="1"/>
          <w:iCs w:val="1"/>
          <w:color w:val="auto"/>
        </w:rPr>
        <w:t xml:space="preserve">Net Sales </w:t>
      </w:r>
      <w:r>
        <w:rPr>
          <w:rFonts w:ascii="Arial" w:cs="Arial" w:eastAsia="Arial" w:hAnsi="Arial"/>
          <w:sz w:val="17"/>
          <w:szCs w:val="17"/>
          <w:color w:val="auto"/>
        </w:rPr>
        <w:t>Net sales for the nine months ended September 30, 2023 decreased $14.5 million, or 4.7%, compared with the nine months ended September 30,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2022. Sales decreased at comparable stores by 4.3% during the nine months ended September 30, 2023 when compared to the nine months ended September 30, 2022, primarily due to a decrease in store traffic, which was partially offset by an increase in average ticket value.</w:t>
      </w:r>
    </w:p>
    <w:p>
      <w:pPr>
        <w:spacing w:after="0" w:line="186"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Gross profit for the nine months ended September 30, 2023 decreased $14.1 million, or 7.0%, compared with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2022. The gross margin rate was 64.4% and 65.9% for the nine months ended September 30, 2023 and 2022, respectively. The decrease in the gross margin rate was primarily due to inflationary cost pressure which resulted in an increase in the cost of products we sold over the last year. These cost increases were partially offset by an increase in our selling prices.</w:t>
      </w:r>
    </w:p>
    <w:p>
      <w:pPr>
        <w:spacing w:after="0" w:line="161"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Selling, general, and administrative expenses for the nine months ended September 30, 2023 decreased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$8.7 million, or 4.8%, compared with the nine months ended September 30, 2022. The decrease in selling, general, and administrative expenses was primarily due to a $6.0 million decrease in variable selling costs, a $3.0 million decrease in transportation expenses due to an improvement in inventory availability across our distribution centers, and a $2.6 million decrease in depreciation expense. These factors were partially offset by a $1.0 million increase in marketing expenses and a $0.8 million one-time lease exit benefit that was recognized during the nine months ended September 30, 2022, and not repeated in 2023. Additionally, the Company recorded $0.6 million of asset impairment charges during the nine months ended September 30, 2023. The Company did not record any asset impairment charges during the nine months ended September 30, 2022.</w:t>
      </w:r>
    </w:p>
    <w:p>
      <w:pPr>
        <w:spacing w:after="0" w:line="187" w:lineRule="exact"/>
        <w:rPr>
          <w:sz w:val="20"/>
          <w:szCs w:val="20"/>
          <w:color w:val="auto"/>
        </w:rPr>
      </w:pPr>
    </w:p>
    <w:p>
      <w:pPr>
        <w:ind w:right="220"/>
        <w:spacing w:after="0"/>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$1.9 million and $0.8 million for the nine months ended September 30, 2023 and 2022, respectively. The increase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due to an increase in average borrowings outstanding on our line of credit as well as an increase in interest rates between the nine months ended September 30, 2023 and the nine months ended September 30, 2022.</w:t>
      </w:r>
    </w:p>
    <w:p>
      <w:pPr>
        <w:spacing w:after="0" w:line="149" w:lineRule="exact"/>
        <w:rPr>
          <w:sz w:val="20"/>
          <w:szCs w:val="20"/>
          <w:color w:val="auto"/>
        </w:rPr>
      </w:pPr>
    </w:p>
    <w:p>
      <w:pPr>
        <w:jc w:val="both"/>
        <w:ind w:right="60"/>
        <w:spacing w:after="0"/>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The provision for income taxes decreased $1.6 million for the nine months ended September 30, 2023 compared with the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2022 due to a decrease in taxable income. Our effective tax rate for the nine months ended September 30, 2023 and 2022 was 26.1% and 25.9%,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89" w:lineRule="exact"/>
        <w:rPr>
          <w:sz w:val="20"/>
          <w:szCs w:val="20"/>
          <w:color w:val="auto"/>
        </w:rPr>
      </w:pPr>
    </w:p>
    <w:p>
      <w:pPr>
        <w:ind w:right="80"/>
        <w:spacing w:after="0" w:line="232" w:lineRule="auto"/>
        <w:rPr>
          <w:sz w:val="20"/>
          <w:szCs w:val="20"/>
          <w:color w:val="auto"/>
        </w:rPr>
      </w:pPr>
      <w:r>
        <w:rPr>
          <w:rFonts w:ascii="Arial" w:cs="Arial" w:eastAsia="Arial" w:hAnsi="Arial"/>
          <w:sz w:val="18"/>
          <w:szCs w:val="18"/>
          <w:color w:val="auto"/>
        </w:rPr>
        <w:t>We calculate Adjusted EBITDA by taking net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income from operations divided by capital employed. Capital employed equals total assets less accounts payable, income taxes payable, other accrued liabilities, lease liability and other long-term liabilities. Other companies may calculate both Adjusted EBITDA and pretax return on capital employed differently, limiting the usefulness of these measures for comparative purposes.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7"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nine months ended September 30, 2023 and 2022 is as follows: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ind w:left="720"/>
              <w:spacing w:after="0"/>
              <w:rPr>
                <w:sz w:val="20"/>
                <w:szCs w:val="20"/>
                <w:color w:val="auto"/>
              </w:rPr>
            </w:pPr>
            <w:r>
              <w:rPr>
                <w:rFonts w:ascii="Arial" w:cs="Arial" w:eastAsia="Arial" w:hAnsi="Arial"/>
                <w:sz w:val="18"/>
                <w:szCs w:val="18"/>
                <w:color w:val="auto"/>
              </w:rPr>
              <w:t>($ in thousands)</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29"/>
        </w:trPr>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jc w:val="center"/>
              <w:ind w:right="120"/>
              <w:spacing w:after="0"/>
              <w:rPr>
                <w:sz w:val="20"/>
                <w:szCs w:val="20"/>
                <w:color w:val="auto"/>
              </w:rPr>
            </w:pPr>
            <w:r>
              <w:rPr>
                <w:rFonts w:ascii="Arial" w:cs="Arial" w:eastAsia="Arial" w:hAnsi="Arial"/>
                <w:sz w:val="18"/>
                <w:szCs w:val="18"/>
                <w:color w:val="auto"/>
                <w:w w:val="90"/>
              </w:rPr>
              <w:t>Three Months Ended</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7"/>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left="730"/>
              <w:spacing w:after="0"/>
              <w:rPr>
                <w:sz w:val="20"/>
                <w:szCs w:val="20"/>
                <w:color w:val="auto"/>
              </w:rPr>
            </w:pPr>
            <w:r>
              <w:rPr>
                <w:rFonts w:ascii="Arial" w:cs="Arial" w:eastAsia="Arial" w:hAnsi="Arial"/>
                <w:sz w:val="18"/>
                <w:szCs w:val="18"/>
                <w:color w:val="auto"/>
                <w:w w:val="88"/>
              </w:rPr>
              <w:t>September 30,</w:t>
            </w: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63"/>
        </w:trPr>
        <w:tc>
          <w:tcPr>
            <w:tcW w:w="57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CEEFF"/>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26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6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gridSpan w:val="2"/>
          </w:tcPr>
          <w:p>
            <w:pPr>
              <w:jc w:val="right"/>
              <w:ind w:right="110"/>
              <w:spacing w:after="0" w:line="26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1,844</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3,823</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453</w:t>
            </w:r>
          </w:p>
        </w:tc>
        <w:tc>
          <w:tcPr>
            <w:tcW w:w="60" w:type="dxa"/>
            <w:vAlign w:val="bottom"/>
          </w:tcPr>
          <w:p>
            <w:pPr>
              <w:spacing w:after="0"/>
              <w:rPr>
                <w:sz w:val="16"/>
                <w:szCs w:val="16"/>
                <w:color w:val="auto"/>
              </w:rPr>
            </w:pPr>
          </w:p>
        </w:tc>
        <w:tc>
          <w:tcPr>
            <w:tcW w:w="10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0.5</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319</w:t>
            </w:r>
          </w:p>
        </w:tc>
        <w:tc>
          <w:tcPr>
            <w:tcW w:w="6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0.3</w:t>
            </w:r>
          </w:p>
        </w:tc>
        <w:tc>
          <w:tcPr>
            <w:tcW w:w="260" w:type="dxa"/>
            <w:vAlign w:val="bottom"/>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532</w:t>
            </w: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0.6</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1,361</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1.4</w:t>
            </w:r>
          </w:p>
        </w:tc>
        <w:tc>
          <w:tcPr>
            <w:tcW w:w="2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5,062</w:t>
            </w:r>
          </w:p>
        </w:tc>
        <w:tc>
          <w:tcPr>
            <w:tcW w:w="60" w:type="dxa"/>
            <w:vAlign w:val="bottom"/>
          </w:tcPr>
          <w:p>
            <w:pPr>
              <w:spacing w:after="0"/>
              <w:rPr>
                <w:sz w:val="16"/>
                <w:szCs w:val="16"/>
                <w:color w:val="auto"/>
              </w:rPr>
            </w:pPr>
          </w:p>
        </w:tc>
        <w:tc>
          <w:tcPr>
            <w:tcW w:w="10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5.5</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6,157</w:t>
            </w:r>
          </w:p>
        </w:tc>
        <w:tc>
          <w:tcPr>
            <w:tcW w:w="6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6.3</w:t>
            </w:r>
          </w:p>
        </w:tc>
        <w:tc>
          <w:tcPr>
            <w:tcW w:w="260" w:type="dxa"/>
            <w:vAlign w:val="bottom"/>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563</w:t>
            </w:r>
          </w:p>
        </w:tc>
        <w:tc>
          <w:tcPr>
            <w:tcW w:w="6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0.6</w:t>
            </w:r>
          </w:p>
        </w:tc>
        <w:tc>
          <w:tcPr>
            <w:tcW w:w="26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8,257</w:t>
            </w:r>
          </w:p>
        </w:tc>
        <w:tc>
          <w:tcPr>
            <w:tcW w:w="60" w:type="dxa"/>
            <w:vAlign w:val="bottom"/>
          </w:tcPr>
          <w:p>
            <w:pPr>
              <w:spacing w:after="0"/>
              <w:rPr>
                <w:sz w:val="15"/>
                <w:szCs w:val="15"/>
                <w:color w:val="auto"/>
              </w:rPr>
            </w:pPr>
          </w:p>
        </w:tc>
        <w:tc>
          <w:tcPr>
            <w:tcW w:w="10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9.0</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12,223</w:t>
            </w:r>
          </w:p>
        </w:tc>
        <w:tc>
          <w:tcPr>
            <w:tcW w:w="60" w:type="dxa"/>
            <w:vAlign w:val="bottom"/>
          </w:tcPr>
          <w:p>
            <w:pPr>
              <w:spacing w:after="0"/>
              <w:rPr>
                <w:sz w:val="15"/>
                <w:szCs w:val="15"/>
                <w:color w:val="auto"/>
              </w:rPr>
            </w:pPr>
          </w:p>
        </w:tc>
        <w:tc>
          <w:tcPr>
            <w:tcW w:w="10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12.6</w:t>
            </w:r>
          </w:p>
        </w:tc>
        <w:tc>
          <w:tcPr>
            <w:tcW w:w="26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87"/>
              </w:rPr>
              <w:t>%</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452"/>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0" w:type="dxa"/>
            <w:vAlign w:val="bottom"/>
            <w:gridSpan w:val="6"/>
          </w:tcPr>
          <w:p>
            <w:pPr>
              <w:ind w:left="720"/>
              <w:spacing w:after="0"/>
              <w:rPr>
                <w:sz w:val="20"/>
                <w:szCs w:val="20"/>
                <w:color w:val="auto"/>
              </w:rPr>
            </w:pPr>
            <w:r>
              <w:rPr>
                <w:rFonts w:ascii="Arial" w:cs="Arial" w:eastAsia="Arial" w:hAnsi="Arial"/>
                <w:sz w:val="18"/>
                <w:szCs w:val="18"/>
                <w:color w:val="auto"/>
              </w:rPr>
              <w:t>($ in thousands)</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30"/>
        </w:trPr>
        <w:tc>
          <w:tcPr>
            <w:tcW w:w="5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0" w:type="dxa"/>
            <w:vAlign w:val="bottom"/>
            <w:gridSpan w:val="6"/>
          </w:tcPr>
          <w:p>
            <w:pPr>
              <w:jc w:val="center"/>
              <w:ind w:right="100"/>
              <w:spacing w:after="0"/>
              <w:rPr>
                <w:sz w:val="20"/>
                <w:szCs w:val="20"/>
                <w:color w:val="auto"/>
              </w:rPr>
            </w:pPr>
            <w:r>
              <w:rPr>
                <w:rFonts w:ascii="Arial" w:cs="Arial" w:eastAsia="Arial" w:hAnsi="Arial"/>
                <w:sz w:val="18"/>
                <w:szCs w:val="18"/>
                <w:color w:val="auto"/>
                <w:w w:val="92"/>
              </w:rPr>
              <w:t>Nine Months Ended</w:t>
            </w: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17"/>
        </w:trPr>
        <w:tc>
          <w:tcPr>
            <w:tcW w:w="5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4"/>
          </w:tcPr>
          <w:p>
            <w:pPr>
              <w:jc w:val="center"/>
              <w:ind w:left="730"/>
              <w:spacing w:after="0"/>
              <w:rPr>
                <w:sz w:val="20"/>
                <w:szCs w:val="20"/>
                <w:color w:val="auto"/>
              </w:rPr>
            </w:pPr>
            <w:r>
              <w:rPr>
                <w:rFonts w:ascii="Arial" w:cs="Arial" w:eastAsia="Arial" w:hAnsi="Arial"/>
                <w:sz w:val="18"/>
                <w:szCs w:val="18"/>
                <w:color w:val="auto"/>
                <w:w w:val="88"/>
              </w:rPr>
              <w:t>September 30,</w:t>
            </w:r>
          </w:p>
        </w:tc>
        <w:tc>
          <w:tcPr>
            <w:tcW w:w="8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r>
      <w:tr>
        <w:trPr>
          <w:trHeight w:val="210"/>
        </w:trPr>
        <w:tc>
          <w:tcPr>
            <w:tcW w:w="57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2023</w:t>
            </w:r>
          </w:p>
        </w:tc>
        <w:tc>
          <w:tcPr>
            <w:tcW w:w="6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84"/>
              </w:rPr>
              <w:t>2022</w:t>
            </w:r>
          </w:p>
        </w:tc>
        <w:tc>
          <w:tcPr>
            <w:tcW w:w="6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of sales</w:t>
            </w:r>
          </w:p>
        </w:tc>
        <w:tc>
          <w:tcPr>
            <w:tcW w:w="260" w:type="dxa"/>
            <w:vAlign w:val="bottom"/>
            <w:tcBorders>
              <w:bottom w:val="single" w:sz="8" w:color="auto"/>
            </w:tcBorders>
          </w:tcPr>
          <w:p>
            <w:pPr>
              <w:spacing w:after="0"/>
              <w:rPr>
                <w:sz w:val="18"/>
                <w:szCs w:val="18"/>
                <w:color w:val="auto"/>
              </w:rPr>
            </w:pPr>
          </w:p>
        </w:tc>
      </w:tr>
      <w:tr>
        <w:trPr>
          <w:trHeight w:val="183"/>
        </w:trPr>
        <w:tc>
          <w:tcPr>
            <w:tcW w:w="57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9,435</w:t>
            </w: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3.2</w:t>
            </w:r>
          </w:p>
        </w:tc>
        <w:tc>
          <w:tcPr>
            <w:tcW w:w="2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14,250</w:t>
            </w:r>
          </w:p>
        </w:tc>
        <w:tc>
          <w:tcPr>
            <w:tcW w:w="6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0"/>
              <w:spacing w:after="0" w:line="182" w:lineRule="exact"/>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1,920</w:t>
            </w:r>
          </w:p>
        </w:tc>
        <w:tc>
          <w:tcPr>
            <w:tcW w:w="60" w:type="dxa"/>
            <w:vAlign w:val="bottom"/>
          </w:tcPr>
          <w:p>
            <w:pPr>
              <w:spacing w:after="0"/>
              <w:rPr>
                <w:sz w:val="16"/>
                <w:szCs w:val="16"/>
                <w:color w:val="auto"/>
              </w:rPr>
            </w:pPr>
          </w:p>
        </w:tc>
        <w:tc>
          <w:tcPr>
            <w:tcW w:w="10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0.7</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786</w:t>
            </w:r>
          </w:p>
        </w:tc>
        <w:tc>
          <w:tcPr>
            <w:tcW w:w="6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0.3</w:t>
            </w:r>
          </w:p>
        </w:tc>
        <w:tc>
          <w:tcPr>
            <w:tcW w:w="260" w:type="dxa"/>
            <w:vAlign w:val="bottom"/>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3,333</w:t>
            </w: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1.1</w:t>
            </w:r>
          </w:p>
        </w:tc>
        <w:tc>
          <w:tcPr>
            <w:tcW w:w="2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4,981</w:t>
            </w:r>
          </w:p>
        </w:tc>
        <w:tc>
          <w:tcPr>
            <w:tcW w:w="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1.6</w:t>
            </w:r>
          </w:p>
        </w:tc>
        <w:tc>
          <w:tcPr>
            <w:tcW w:w="26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6"/>
                <w:szCs w:val="16"/>
                <w:color w:val="auto"/>
              </w:rPr>
            </w:pPr>
          </w:p>
        </w:tc>
        <w:tc>
          <w:tcPr>
            <w:tcW w:w="1060" w:type="dxa"/>
            <w:vAlign w:val="bottom"/>
          </w:tcPr>
          <w:p>
            <w:pPr>
              <w:jc w:val="right"/>
              <w:spacing w:after="0" w:line="189" w:lineRule="exact"/>
              <w:rPr>
                <w:sz w:val="20"/>
                <w:szCs w:val="20"/>
                <w:color w:val="auto"/>
              </w:rPr>
            </w:pPr>
            <w:r>
              <w:rPr>
                <w:rFonts w:ascii="Arial" w:cs="Arial" w:eastAsia="Arial" w:hAnsi="Arial"/>
                <w:sz w:val="18"/>
                <w:szCs w:val="18"/>
                <w:color w:val="auto"/>
              </w:rPr>
              <w:t>16,394</w:t>
            </w:r>
          </w:p>
        </w:tc>
        <w:tc>
          <w:tcPr>
            <w:tcW w:w="60" w:type="dxa"/>
            <w:vAlign w:val="bottom"/>
          </w:tcPr>
          <w:p>
            <w:pPr>
              <w:spacing w:after="0"/>
              <w:rPr>
                <w:sz w:val="16"/>
                <w:szCs w:val="16"/>
                <w:color w:val="auto"/>
              </w:rPr>
            </w:pPr>
          </w:p>
        </w:tc>
        <w:tc>
          <w:tcPr>
            <w:tcW w:w="1020" w:type="dxa"/>
            <w:vAlign w:val="bottom"/>
          </w:tcPr>
          <w:p>
            <w:pPr>
              <w:jc w:val="right"/>
              <w:ind w:right="10"/>
              <w:spacing w:after="0" w:line="189" w:lineRule="exact"/>
              <w:rPr>
                <w:sz w:val="20"/>
                <w:szCs w:val="20"/>
                <w:color w:val="auto"/>
              </w:rPr>
            </w:pPr>
            <w:r>
              <w:rPr>
                <w:rFonts w:ascii="Arial" w:cs="Arial" w:eastAsia="Arial" w:hAnsi="Arial"/>
                <w:sz w:val="18"/>
                <w:szCs w:val="18"/>
                <w:color w:val="auto"/>
              </w:rPr>
              <w:t>5.6</w:t>
            </w:r>
          </w:p>
        </w:tc>
        <w:tc>
          <w:tcPr>
            <w:tcW w:w="260" w:type="dxa"/>
            <w:vAlign w:val="bottom"/>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19,011</w:t>
            </w:r>
          </w:p>
        </w:tc>
        <w:tc>
          <w:tcPr>
            <w:tcW w:w="60" w:type="dxa"/>
            <w:vAlign w:val="bottom"/>
          </w:tcPr>
          <w:p>
            <w:pPr>
              <w:spacing w:after="0"/>
              <w:rPr>
                <w:sz w:val="16"/>
                <w:szCs w:val="16"/>
                <w:color w:val="auto"/>
              </w:rPr>
            </w:pPr>
          </w:p>
        </w:tc>
        <w:tc>
          <w:tcPr>
            <w:tcW w:w="1060" w:type="dxa"/>
            <w:vAlign w:val="bottom"/>
          </w:tcPr>
          <w:p>
            <w:pPr>
              <w:jc w:val="right"/>
              <w:ind w:right="30"/>
              <w:spacing w:after="0" w:line="189" w:lineRule="exact"/>
              <w:rPr>
                <w:sz w:val="20"/>
                <w:szCs w:val="20"/>
                <w:color w:val="auto"/>
              </w:rPr>
            </w:pPr>
            <w:r>
              <w:rPr>
                <w:rFonts w:ascii="Arial" w:cs="Arial" w:eastAsia="Arial" w:hAnsi="Arial"/>
                <w:sz w:val="18"/>
                <w:szCs w:val="18"/>
                <w:color w:val="auto"/>
              </w:rPr>
              <w:t>6.2</w:t>
            </w:r>
          </w:p>
        </w:tc>
        <w:tc>
          <w:tcPr>
            <w:tcW w:w="260" w:type="dxa"/>
            <w:vAlign w:val="bottom"/>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9"/>
        </w:trPr>
        <w:tc>
          <w:tcPr>
            <w:tcW w:w="57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1,072</w:t>
            </w:r>
          </w:p>
        </w:tc>
        <w:tc>
          <w:tcPr>
            <w:tcW w:w="6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0.4</w:t>
            </w:r>
          </w:p>
        </w:tc>
        <w:tc>
          <w:tcPr>
            <w:tcW w:w="2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1,617</w:t>
            </w:r>
          </w:p>
        </w:tc>
        <w:tc>
          <w:tcPr>
            <w:tcW w:w="6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0.5</w:t>
            </w:r>
          </w:p>
        </w:tc>
        <w:tc>
          <w:tcPr>
            <w:tcW w:w="260" w:type="dxa"/>
            <w:vAlign w:val="bottom"/>
            <w:tcBorders>
              <w:bottom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87"/>
              </w:rPr>
              <w:t>%</w:t>
            </w: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32,154</w:t>
            </w:r>
          </w:p>
        </w:tc>
        <w:tc>
          <w:tcPr>
            <w:tcW w:w="60" w:type="dxa"/>
            <w:vAlign w:val="bottom"/>
          </w:tcPr>
          <w:p>
            <w:pPr>
              <w:spacing w:after="0"/>
              <w:rPr>
                <w:sz w:val="15"/>
                <w:szCs w:val="15"/>
                <w:color w:val="auto"/>
              </w:rPr>
            </w:pPr>
          </w:p>
        </w:tc>
        <w:tc>
          <w:tcPr>
            <w:tcW w:w="102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rPr>
              <w:t>11.0</w:t>
            </w:r>
          </w:p>
        </w:tc>
        <w:tc>
          <w:tcPr>
            <w:tcW w:w="2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5"/>
                <w:szCs w:val="15"/>
                <w:color w:val="auto"/>
              </w:rPr>
            </w:pPr>
          </w:p>
        </w:tc>
        <w:tc>
          <w:tcPr>
            <w:tcW w:w="500" w:type="dxa"/>
            <w:vAlign w:val="bottom"/>
            <w:tcBorders>
              <w:bottom w:val="single" w:sz="8" w:color="auto"/>
            </w:tcBorders>
          </w:tcPr>
          <w:p>
            <w:pPr>
              <w:jc w:val="right"/>
              <w:ind w:right="34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40,645</w:t>
            </w:r>
          </w:p>
        </w:tc>
        <w:tc>
          <w:tcPr>
            <w:tcW w:w="60" w:type="dxa"/>
            <w:vAlign w:val="bottom"/>
          </w:tcPr>
          <w:p>
            <w:pPr>
              <w:spacing w:after="0"/>
              <w:rPr>
                <w:sz w:val="15"/>
                <w:szCs w:val="15"/>
                <w:color w:val="auto"/>
              </w:rPr>
            </w:pPr>
          </w:p>
        </w:tc>
        <w:tc>
          <w:tcPr>
            <w:tcW w:w="106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rPr>
              <w:t>13.2</w:t>
            </w:r>
          </w:p>
        </w:tc>
        <w:tc>
          <w:tcPr>
            <w:tcW w:w="26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87"/>
              </w:rPr>
              <w:t>%</w:t>
            </w:r>
          </w:p>
        </w:tc>
      </w:tr>
      <w:tr>
        <w:trPr>
          <w:trHeight w:val="20"/>
        </w:trPr>
        <w:tc>
          <w:tcPr>
            <w:tcW w:w="5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220" w:hanging="212"/>
        <w:spacing w:after="0"/>
        <w:tabs>
          <w:tab w:leader="none" w:pos="220"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Arial" w:cs="Arial" w:eastAsia="Arial" w:hAnsi="Arial"/>
                <w:sz w:val="18"/>
                <w:szCs w:val="18"/>
                <w:b w:val="1"/>
                <w:bCs w:val="1"/>
                <w:color w:val="0563C1"/>
              </w:rPr>
              <w:t>Table of Contents</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563C1"/>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640" w:type="dxa"/>
            <w:vAlign w:val="bottom"/>
            <w:gridSpan w:val="2"/>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00" w:type="dxa"/>
            <w:vAlign w:val="bottom"/>
          </w:tcPr>
          <w:p>
            <w:pPr>
              <w:spacing w:after="0"/>
              <w:rPr>
                <w:sz w:val="24"/>
                <w:szCs w:val="24"/>
                <w:color w:val="auto"/>
              </w:rPr>
            </w:pPr>
          </w:p>
        </w:tc>
        <w:tc>
          <w:tcPr>
            <w:tcW w:w="2400" w:type="dxa"/>
            <w:vAlign w:val="bottom"/>
            <w:gridSpan w:val="5"/>
            <w:vMerge w:val="restart"/>
          </w:tcPr>
          <w:p>
            <w:pPr>
              <w:jc w:val="center"/>
              <w:ind w:right="360"/>
              <w:spacing w:after="0"/>
              <w:rPr>
                <w:sz w:val="20"/>
                <w:szCs w:val="20"/>
                <w:color w:val="auto"/>
              </w:rPr>
            </w:pPr>
            <w:r>
              <w:rPr>
                <w:rFonts w:ascii="Arial" w:cs="Arial" w:eastAsia="Arial" w:hAnsi="Arial"/>
                <w:sz w:val="18"/>
                <w:szCs w:val="18"/>
                <w:color w:val="auto"/>
                <w:w w:val="89"/>
              </w:rPr>
              <w:t>($ in thousands)</w:t>
            </w:r>
          </w:p>
        </w:tc>
        <w:tc>
          <w:tcPr>
            <w:tcW w:w="0" w:type="dxa"/>
            <w:vAlign w:val="bottom"/>
          </w:tcPr>
          <w:p>
            <w:pPr>
              <w:spacing w:after="0"/>
              <w:rPr>
                <w:sz w:val="1"/>
                <w:szCs w:val="1"/>
                <w:color w:val="auto"/>
              </w:rPr>
            </w:pPr>
          </w:p>
        </w:tc>
      </w:tr>
      <w:tr>
        <w:trPr>
          <w:trHeight w:val="188"/>
        </w:trPr>
        <w:tc>
          <w:tcPr>
            <w:tcW w:w="136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3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5"/>
          </w:tcPr>
          <w:p>
            <w:pPr>
              <w:jc w:val="center"/>
              <w:ind w:right="36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50"/>
        </w:trPr>
        <w:tc>
          <w:tcPr>
            <w:tcW w:w="1360" w:type="dxa"/>
            <w:vAlign w:val="bottom"/>
            <w:tcBorders>
              <w:bottom w:val="single" w:sz="8" w:color="CCEEFF"/>
            </w:tcBorders>
          </w:tcPr>
          <w:p>
            <w:pPr>
              <w:spacing w:after="0"/>
              <w:rPr>
                <w:sz w:val="21"/>
                <w:szCs w:val="21"/>
                <w:color w:val="auto"/>
              </w:rPr>
            </w:pPr>
          </w:p>
        </w:tc>
        <w:tc>
          <w:tcPr>
            <w:tcW w:w="7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10"/>
              <w:spacing w:after="0" w:line="250" w:lineRule="exact"/>
              <w:rPr>
                <w:sz w:val="20"/>
                <w:szCs w:val="20"/>
                <w:color w:val="auto"/>
              </w:rPr>
            </w:pPr>
            <w:r>
              <w:rPr>
                <w:rFonts w:ascii="Arial" w:cs="Arial" w:eastAsia="Arial" w:hAnsi="Arial"/>
                <w:sz w:val="17"/>
                <w:szCs w:val="17"/>
                <w:color w:val="auto"/>
              </w:rPr>
              <w:t>2023</w:t>
            </w:r>
            <w:r>
              <w:rPr>
                <w:rFonts w:ascii="Arial" w:cs="Arial" w:eastAsia="Arial" w:hAnsi="Arial"/>
                <w:sz w:val="28"/>
                <w:szCs w:val="28"/>
                <w:color w:val="auto"/>
                <w:vertAlign w:val="superscript"/>
              </w:rPr>
              <w:t>(1)</w:t>
            </w:r>
          </w:p>
        </w:tc>
        <w:tc>
          <w:tcPr>
            <w:tcW w:w="160" w:type="dxa"/>
            <w:vAlign w:val="bottom"/>
            <w:tcBorders>
              <w:top w:val="single" w:sz="8" w:color="auto"/>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ind w:right="210"/>
              <w:spacing w:after="0" w:line="250" w:lineRule="exact"/>
              <w:rPr>
                <w:sz w:val="20"/>
                <w:szCs w:val="20"/>
                <w:color w:val="auto"/>
              </w:rPr>
            </w:pPr>
            <w:r>
              <w:rPr>
                <w:rFonts w:ascii="Arial" w:cs="Arial" w:eastAsia="Arial" w:hAnsi="Arial"/>
                <w:sz w:val="17"/>
                <w:szCs w:val="17"/>
                <w:color w:val="auto"/>
              </w:rPr>
              <w:t>2022</w:t>
            </w:r>
            <w:r>
              <w:rPr>
                <w:rFonts w:ascii="Arial" w:cs="Arial" w:eastAsia="Arial" w:hAnsi="Arial"/>
                <w:sz w:val="28"/>
                <w:szCs w:val="28"/>
                <w:color w:val="auto"/>
                <w:vertAlign w:val="superscript"/>
              </w:rPr>
              <w:t>(1)</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86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 (trailing twelve months)</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17,280</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22,947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332,168</w:t>
            </w: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347,454</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6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200" w:type="dxa"/>
            <w:vAlign w:val="bottom"/>
          </w:tcPr>
          <w:p>
            <w:pPr>
              <w:spacing w:after="0"/>
              <w:rPr>
                <w:sz w:val="16"/>
                <w:szCs w:val="16"/>
                <w:color w:val="auto"/>
              </w:rPr>
            </w:pPr>
          </w:p>
        </w:tc>
        <w:tc>
          <w:tcPr>
            <w:tcW w:w="11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(24,925)</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(30,597)</w:t>
            </w:r>
          </w:p>
        </w:tc>
        <w:tc>
          <w:tcPr>
            <w:tcW w:w="0" w:type="dxa"/>
            <w:vAlign w:val="bottom"/>
          </w:tcPr>
          <w:p>
            <w:pPr>
              <w:spacing w:after="0"/>
              <w:rPr>
                <w:sz w:val="1"/>
                <w:szCs w:val="1"/>
                <w:color w:val="auto"/>
              </w:rPr>
            </w:pPr>
          </w:p>
        </w:tc>
      </w:tr>
      <w:tr>
        <w:trPr>
          <w:trHeight w:val="189"/>
        </w:trPr>
        <w:tc>
          <w:tcPr>
            <w:tcW w:w="86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(236)</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189"/>
        </w:trPr>
        <w:tc>
          <w:tcPr>
            <w:tcW w:w="86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200" w:type="dxa"/>
            <w:vAlign w:val="bottom"/>
          </w:tcPr>
          <w:p>
            <w:pPr>
              <w:spacing w:after="0"/>
              <w:rPr>
                <w:sz w:val="16"/>
                <w:szCs w:val="16"/>
                <w:color w:val="auto"/>
              </w:rPr>
            </w:pPr>
          </w:p>
        </w:tc>
        <w:tc>
          <w:tcPr>
            <w:tcW w:w="11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(33,957)</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(41,534)</w:t>
            </w:r>
          </w:p>
        </w:tc>
        <w:tc>
          <w:tcPr>
            <w:tcW w:w="0" w:type="dxa"/>
            <w:vAlign w:val="bottom"/>
          </w:tcPr>
          <w:p>
            <w:pPr>
              <w:spacing w:after="0"/>
              <w:rPr>
                <w:sz w:val="1"/>
                <w:szCs w:val="1"/>
                <w:color w:val="auto"/>
              </w:rPr>
            </w:pPr>
          </w:p>
        </w:tc>
      </w:tr>
      <w:tr>
        <w:trPr>
          <w:trHeight w:val="189"/>
        </w:trPr>
        <w:tc>
          <w:tcPr>
            <w:tcW w:w="864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8"/>
                <w:szCs w:val="18"/>
                <w:color w:val="auto"/>
              </w:rPr>
              <w:t>Less: Lease liability</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(129,654)</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(132,660)</w:t>
            </w:r>
          </w:p>
        </w:tc>
        <w:tc>
          <w:tcPr>
            <w:tcW w:w="0" w:type="dxa"/>
            <w:vAlign w:val="bottom"/>
          </w:tcPr>
          <w:p>
            <w:pPr>
              <w:spacing w:after="0"/>
              <w:rPr>
                <w:sz w:val="1"/>
                <w:szCs w:val="1"/>
                <w:color w:val="auto"/>
              </w:rPr>
            </w:pPr>
          </w:p>
        </w:tc>
      </w:tr>
      <w:tr>
        <w:trPr>
          <w:trHeight w:val="189"/>
        </w:trPr>
        <w:tc>
          <w:tcPr>
            <w:tcW w:w="86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200" w:type="dxa"/>
            <w:vAlign w:val="bottom"/>
          </w:tcPr>
          <w:p>
            <w:pPr>
              <w:spacing w:after="0"/>
              <w:rPr>
                <w:sz w:val="16"/>
                <w:szCs w:val="16"/>
                <w:color w:val="auto"/>
              </w:rPr>
            </w:pPr>
          </w:p>
        </w:tc>
        <w:tc>
          <w:tcPr>
            <w:tcW w:w="110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(4,451)</w:t>
            </w:r>
          </w:p>
        </w:tc>
        <w:tc>
          <w:tcPr>
            <w:tcW w:w="20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(4,756)</w:t>
            </w:r>
          </w:p>
        </w:tc>
        <w:tc>
          <w:tcPr>
            <w:tcW w:w="0" w:type="dxa"/>
            <w:vAlign w:val="bottom"/>
          </w:tcPr>
          <w:p>
            <w:pPr>
              <w:spacing w:after="0"/>
              <w:rPr>
                <w:sz w:val="1"/>
                <w:szCs w:val="1"/>
                <w:color w:val="auto"/>
              </w:rPr>
            </w:pPr>
          </w:p>
        </w:tc>
      </w:tr>
      <w:tr>
        <w:trPr>
          <w:trHeight w:val="183"/>
        </w:trPr>
        <w:tc>
          <w:tcPr>
            <w:tcW w:w="8640" w:type="dxa"/>
            <w:vAlign w:val="bottom"/>
            <w:tcBorders>
              <w:top w:val="single" w:sz="8" w:color="CCEEFF"/>
              <w:bottom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138,945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136,992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86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12.4</w:t>
            </w:r>
          </w:p>
        </w:tc>
        <w:tc>
          <w:tcPr>
            <w:tcW w:w="16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firstLine="59"/>
        <w:spacing w:after="0" w:line="194" w:lineRule="auto"/>
        <w:tabs>
          <w:tab w:leader="none" w:pos="288"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Our principal liquidity requirements have been for working capital and capital expenditures. Our principal sources of liquidity are $16.4 million of cash and cash equivalents at September 30, 2023, our cash flow from operations, and borrowings available under our Credit Agreement. We expect to use this liquidity to purchase inventory, acquire assets to maintain our stores and distribution centers, build new stores and general corporate purposes.</w:t>
      </w:r>
    </w:p>
    <w:p>
      <w:pPr>
        <w:spacing w:after="0" w:line="145"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On September 30, 2022, Holdings and its operating subsidiary, The Tile Shop, LLC, and certain subsidiaries of each entered into a Credit Agreement with JPMorgan Chase Bank, N.A. and the lenders party thereto, including Fifth Third Bank (the “Credit Agreement”). The Credit Agreement provides us with a senior credit facility consisting of a $75.0 million revolving line of credit through September 30, 2027. Borrowings pursuant to the Credit Agreement initially bear interest at a rate per annum equal to: (i) Adjusted Term SOFR Rate (as defined in the Credit Agreement), plus a margin ranging from 1.25% to 1.75%; (ii) Adjusted Daily Simple SOFR (as defined in the Credit Agreement), plus a margin ranging from 1.25% to 1.75%; or (iii) the Alternate Base Rate (as defined in the Credit Agreement), plus a margin ranging from 0.25% to 0.75%. The margin is determined based on the Rent Adjusted Leverage Ratio (as defined in the Credit Agreement). Borrowings outstanding as of September 30, 2023 were SOFR-based interest rate loans. The SOFR-based interest rate was 6.92% on September 30, 2023.</w:t>
      </w:r>
    </w:p>
    <w:p>
      <w:pPr>
        <w:spacing w:after="0" w:line="159" w:lineRule="exact"/>
        <w:rPr>
          <w:sz w:val="20"/>
          <w:szCs w:val="20"/>
          <w:color w:val="auto"/>
        </w:rPr>
      </w:pPr>
    </w:p>
    <w:p>
      <w:pPr>
        <w:ind w:right="80"/>
        <w:spacing w:after="0" w:line="247" w:lineRule="auto"/>
        <w:rPr>
          <w:sz w:val="20"/>
          <w:szCs w:val="20"/>
          <w:color w:val="auto"/>
        </w:rPr>
      </w:pPr>
      <w:r>
        <w:rPr>
          <w:rFonts w:ascii="Arial" w:cs="Arial" w:eastAsia="Arial" w:hAnsi="Arial"/>
          <w:sz w:val="17"/>
          <w:szCs w:val="17"/>
          <w:color w:val="auto"/>
        </w:rPr>
        <w:t>The Credit Agreement is secured by virtually all of our assets, including but not limited to, inventory, accounts receivable, equipment and general intangibles. The Credit Agreement contains customary events of default, conditions to borrowing and restrictive covenants, including restrictions on our ability to dispose of assets, engage in acquisitions or mergers, make distributions on or repurchases of capital stock, incur additional debt, incur liens or make investments. The Credit Agreement also includes financial and other covenants, including covenants to maintain a Fixed Charge Coverage Ratio (as defined in the Credit Agreement) of no less than 1.20 to 1.00 and a Rent Adjusted Leverage Ratio (as defined in the Credit Agreement) of no greater than 3.50 to 1.00. We were in compliance with the covenants as of September 30, 2023.</w:t>
      </w:r>
    </w:p>
    <w:p>
      <w:pPr>
        <w:spacing w:after="0" w:line="143"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Borrowings outstanding consisted of $10.0 million on the revolving line of credit as of September 30, 2023. As of September 30, 2023, there was $63.3 million available for borrowing on the revolving line of credit, which may be used to purchase inventory, acquire assets to maintain our stores and distribution centers, build new stores and general corporate purposes.</w:t>
      </w:r>
    </w:p>
    <w:p>
      <w:pPr>
        <w:spacing w:after="0" w:line="162" w:lineRule="exact"/>
        <w:rPr>
          <w:sz w:val="20"/>
          <w:szCs w:val="20"/>
          <w:color w:val="auto"/>
        </w:rPr>
      </w:pPr>
    </w:p>
    <w:p>
      <w:pPr>
        <w:jc w:val="both"/>
        <w:ind w:right="80"/>
        <w:spacing w:after="0" w:line="307" w:lineRule="auto"/>
        <w:rPr>
          <w:sz w:val="20"/>
          <w:szCs w:val="20"/>
          <w:color w:val="auto"/>
        </w:rPr>
      </w:pPr>
      <w:r>
        <w:rPr>
          <w:rFonts w:ascii="Arial" w:cs="Arial" w:eastAsia="Arial" w:hAnsi="Arial"/>
          <w:sz w:val="16"/>
          <w:szCs w:val="16"/>
          <w:color w:val="auto"/>
        </w:rPr>
        <w:t>We believe that our cash flow from operations, together with our existing cash and cash equivalents and borrowings available under our Credit Agreement, will be sufficient to fund our operations and anticipated capital expenditures over at least the next twelve months and our long-term liquidity requirements.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Capital expenditures were $11.0 million and $10.3 million for the nine months ended September 30, 2023 and 2022, respectively. Capital expenditures in 2023 were primarily due to investments in new stores, store remodels, merchandising, distribution and information technology assets. We opened one new store and relocated one new store in 2023. We do not anticipate any additional store openings, and anticipate one store closing, during the remainder 2023.</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nine months ended September 30, 2023 and 2022.</w:t>
      </w:r>
    </w:p>
    <w:p>
      <w:pPr>
        <w:spacing w:after="0" w:line="34"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Nine Months Ended</w:t>
      </w:r>
    </w:p>
    <w:p>
      <w:pPr>
        <w:jc w:val="center"/>
        <w:ind w:left="8320"/>
        <w:spacing w:after="0" w:line="233" w:lineRule="auto"/>
        <w:rPr>
          <w:sz w:val="20"/>
          <w:szCs w:val="20"/>
          <w:color w:val="auto"/>
        </w:rPr>
      </w:pPr>
      <w:r>
        <w:rPr>
          <w:rFonts w:ascii="Arial" w:cs="Arial" w:eastAsia="Arial" w:hAnsi="Arial"/>
          <w:sz w:val="18"/>
          <w:szCs w:val="18"/>
          <w:color w:val="auto"/>
        </w:rPr>
        <w:t>September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2023</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2022</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56,172</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7,185</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(10,988)</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(10,340)</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provided by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(35,887)</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8,771</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5"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Net cash provided by operating activities during the nine months ended September 30, 2023 was $56.2 million compared with $7.2 million during the nine months ended September 30, 2022. The increase was primarily attributable to a decrease in inventory purchases in 2023, collection of an income tax refund in 2023 and other working capital changes.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Net cash used in investing activities totaled $11.0 million for the nine months ended September 30, 2023 compared with $10.3 million for the nine months ended September 30, 2022. Cash used in investing activities during the nine months ended September 30, 2023 was primarily due to investments in new stores, store remodels, merchandising, distribution and information technology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5" w:lineRule="exact"/>
        <w:rPr>
          <w:sz w:val="20"/>
          <w:szCs w:val="20"/>
          <w:color w:val="auto"/>
        </w:rPr>
      </w:pPr>
    </w:p>
    <w:p>
      <w:pPr>
        <w:jc w:val="both"/>
        <w:ind w:right="60"/>
        <w:spacing w:after="0" w:line="261" w:lineRule="auto"/>
        <w:rPr>
          <w:sz w:val="20"/>
          <w:szCs w:val="20"/>
          <w:color w:val="auto"/>
        </w:rPr>
      </w:pPr>
      <w:r>
        <w:rPr>
          <w:rFonts w:ascii="Arial" w:cs="Arial" w:eastAsia="Arial" w:hAnsi="Arial"/>
          <w:sz w:val="17"/>
          <w:szCs w:val="17"/>
          <w:color w:val="auto"/>
        </w:rPr>
        <w:t>Net cash used in financing activities was $35.9 million for the nine months ended September 30, 2023 compared with $8.8 million of net cash provided for the nine months ended September 30, 2022. The increase in cash outflows associated with financing activities was primarily attributable to payments made during the nine months ended September 30, 2023 to reduce the balance outstanding on our line of credit.</w:t>
      </w:r>
    </w:p>
    <w:p>
      <w:pPr>
        <w:spacing w:after="0" w:line="132" w:lineRule="exact"/>
        <w:rPr>
          <w:sz w:val="20"/>
          <w:szCs w:val="20"/>
          <w:color w:val="auto"/>
        </w:rPr>
      </w:pPr>
    </w:p>
    <w:p>
      <w:pPr>
        <w:ind w:right="440"/>
        <w:spacing w:after="0" w:line="261" w:lineRule="auto"/>
        <w:rPr>
          <w:sz w:val="20"/>
          <w:szCs w:val="20"/>
          <w:color w:val="auto"/>
        </w:rPr>
      </w:pPr>
      <w:r>
        <w:rPr>
          <w:rFonts w:ascii="Arial" w:cs="Arial" w:eastAsia="Arial" w:hAnsi="Arial"/>
          <w:sz w:val="18"/>
          <w:szCs w:val="18"/>
          <w:color w:val="auto"/>
        </w:rPr>
        <w:t>Cash and cash equivalents totaled $16.4 million at September 30, 2023 compared with $5.9 million at December 31, 2022. Working capital was $43.7 million at September 30, 2023 compared with $63.1 million at December 31,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There have been no material changes in our primary risk exposures or management of market risks from those disclosed in our Annual Report on Form 10-K for the fiscal year ended December 31, 2022.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9" w:lineRule="exact"/>
        <w:rPr>
          <w:sz w:val="20"/>
          <w:szCs w:val="20"/>
          <w:color w:val="auto"/>
        </w:rPr>
      </w:pPr>
    </w:p>
    <w:p>
      <w:pPr>
        <w:ind w:right="260"/>
        <w:spacing w:after="0" w:line="261"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Securities and Exchange Commission, and that information relating to the Company is accumulated and communicated to management, including our principal officers as appropriate to allow timely decisions regarding required disclosure. In designing and evaluating our internal control over financial reporting, management recognizes that internal control over financial reporting, no matter how well designed and operated, can provide only reasonable assurance of achieving the desired control objectives. In addition, the design of internal control over financial reporting must reflect the fact that there are resource constraints, and that management is required to apply its judgment in evaluating the benefits of possible internal control over financial reporting relative to their costs. Our Chief Executive Officer and Chief Financial Officer have evaluated the effectiveness of our disclosure controls and procedures as of September 30, 2023 and have concluded that our disclosure controls and procedures were not effective due to the material weakness in our internal control over financial reporting as described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 in Internal Control over Financial Reporting</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In connection with the preparation of the unaudited interim financial statements for the period ended September 30, 2023, we identified an error related to operating lease agreements that were extended prior to the end of the second quarter of 2023,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jc w:val="both"/>
        <w:ind w:right="220"/>
        <w:spacing w:after="0"/>
        <w:rPr>
          <w:sz w:val="20"/>
          <w:szCs w:val="20"/>
          <w:color w:val="auto"/>
        </w:rPr>
      </w:pPr>
      <w:r>
        <w:rPr>
          <w:rFonts w:ascii="Arial" w:cs="Arial" w:eastAsia="Arial" w:hAnsi="Arial"/>
          <w:sz w:val="18"/>
          <w:szCs w:val="18"/>
          <w:color w:val="auto"/>
        </w:rPr>
        <w:t>but not reflected in the unaudited financial information as of the quarter ended June 30, 2023. We identified a material weakness in internal control over financial reporting attributable to the breakdown in the operating effectiveness of our controls designed to identify and ensure timely recognition of new and modified leases.</w:t>
      </w:r>
    </w:p>
    <w:p>
      <w:pPr>
        <w:spacing w:after="0" w:line="149"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Management has actively engaged in implementing remediation plans to address the control deficiency outlined above. The remediation efforts include the following:</w:t>
      </w:r>
    </w:p>
    <w:p>
      <w:pPr>
        <w:spacing w:after="0" w:line="144" w:lineRule="exact"/>
        <w:rPr>
          <w:sz w:val="20"/>
          <w:szCs w:val="20"/>
          <w:color w:val="auto"/>
        </w:rPr>
      </w:pPr>
    </w:p>
    <w:p>
      <w:pPr>
        <w:ind w:left="660" w:right="280"/>
        <w:spacing w:after="0" w:line="246" w:lineRule="auto"/>
        <w:rPr>
          <w:sz w:val="20"/>
          <w:szCs w:val="20"/>
          <w:color w:val="auto"/>
        </w:rPr>
      </w:pPr>
      <w:r>
        <w:rPr>
          <w:rFonts w:ascii="Arial" w:cs="Arial" w:eastAsia="Arial" w:hAnsi="Arial"/>
          <w:sz w:val="18"/>
          <w:szCs w:val="18"/>
          <w:color w:val="auto"/>
        </w:rPr>
        <w:t>We have reviewed new leases and lease amendments entered into during 2023 and confirmed that our accounting records have been updated to reflect the terms of the new leases and lease amendments.</w:t>
      </w:r>
    </w:p>
    <w:p>
      <w:pPr>
        <w:spacing w:after="0" w:line="156" w:lineRule="exact"/>
        <w:rPr>
          <w:sz w:val="20"/>
          <w:szCs w:val="20"/>
          <w:color w:val="auto"/>
        </w:rPr>
      </w:pPr>
    </w:p>
    <w:p>
      <w:pPr>
        <w:ind w:left="660" w:right="140"/>
        <w:spacing w:after="0"/>
        <w:rPr>
          <w:sz w:val="20"/>
          <w:szCs w:val="20"/>
          <w:color w:val="auto"/>
        </w:rPr>
      </w:pPr>
      <w:r>
        <w:rPr>
          <w:rFonts w:ascii="Arial" w:cs="Arial" w:eastAsia="Arial" w:hAnsi="Arial"/>
          <w:sz w:val="18"/>
          <w:szCs w:val="18"/>
          <w:color w:val="auto"/>
        </w:rPr>
        <w:t>We have transitioned responsibility to certify the completeness of the population of new and amended leases each quarter to a new control operator who is responsible for oversight of lease negotiations. We have provided training to our new control operator and set clear expectations with respect to our controls involving the accounting for leases.</w:t>
      </w:r>
    </w:p>
    <w:p>
      <w:pPr>
        <w:spacing w:after="0" w:line="149"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We have started implementing the remediation steps outlined above. The identified material weakness in internal control over financial reporting will not be considered remediated until the controls have been in operation for a sufficient period of time for our management to conclude that the material weakness has been remediated. We will continue to assess the effectiveness of our remediation efforts in connection with our evaluations of internal control over financial reporting. No assurance can be made that our remediation efforts will be completed in a timely manner or that the updated controls and procedures associated with such efforts will be deemed adequate after being subjected to testing.</w:t>
      </w:r>
    </w:p>
    <w:p>
      <w:pPr>
        <w:spacing w:after="0" w:line="152"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color w:val="auto"/>
        </w:rPr>
        <w:t>Notwithstanding the identified material weakness, we believe the consolidated financial statements included in this Form 10-Q fairly present, in all material respects, our financial condition, results of operations, and cash flows for the periods presented in conformity with GAAP.</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9"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color w:val="auto"/>
        </w:rPr>
        <w:t>Other than the remediation efforts in progress, as described above, there were no changes in internal control over financial reporting (as defined by Rule 13a-15(f) under the Exchange Act) during the quarter ended September 30, 2023 that have materially affected, or are reasonably likely to materially affect, our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right="20"/>
        <w:spacing w:after="0" w:line="243" w:lineRule="auto"/>
        <w:rPr>
          <w:sz w:val="20"/>
          <w:szCs w:val="20"/>
          <w:color w:val="auto"/>
        </w:rPr>
      </w:pPr>
      <w:r>
        <w:rPr>
          <w:rFonts w:ascii="Arial" w:cs="Arial" w:eastAsia="Arial" w:hAnsi="Arial"/>
          <w:sz w:val="17"/>
          <w:szCs w:val="17"/>
          <w:color w:val="auto"/>
        </w:rPr>
        <w:t>We are, from time to time, party to lawsuits, threatened lawsuits, disputes and other claims arising in the normal course of business. We assess our liabilities and contingencies in connection with outstanding legal proceedings utilizing the latest information available. Where it is probable that we will incur a loss and the amount of the loss can be reasonably estimated, we record a liability in our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In the opinion of management, while the outcome of such claims and disputes cannot be predicted with certainty, our ultimate liability in connection with these matters is not expected to have a material adverse effect on our results of operations, financial position or cash flows, and the amounts accrued for any individual matter are not material. However, legal proceedings are inherently uncertain. As a result, the outcome of a particular matter or a combination of matters may be material to our results of operations for a particular period, depending upon the size of the loss or our income for that particular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There have been no material changes from the risk factors previously disclosed in our Annual Report on Form 10-K for the year ended December 31, 2022, other than with respect to the risk factor discussed below.</w:t>
      </w:r>
    </w:p>
    <w:p>
      <w:pPr>
        <w:spacing w:after="0" w:line="144"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b w:val="1"/>
          <w:bCs w:val="1"/>
          <w:i w:val="1"/>
          <w:iCs w:val="1"/>
          <w:color w:val="auto"/>
        </w:rPr>
        <w:t>Our failure to maintain effective internal control over financial reporting and disclosure controls and procedures could have a material adverse effect on our business.</w:t>
      </w:r>
    </w:p>
    <w:p>
      <w:pPr>
        <w:spacing w:after="0" w:line="156"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We are required to maintain internal control over financial reporting and disclosure controls and procedures in order to provide reasonable assurance regarding the reliability of financial reporting and the preparation of our consolidated financial statements for external purposes in accordance with GAAP. We identified a material weakness in internal control over financial reporting that pertains to our accounting for leases.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The material weakness could adversely impact our ability to record, process and report financial information accurately, and to prepare financial statements within the time periods specified by the rules and forms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SEC. While we continue to take meaningful steps to enhance our disclosure controls and procedures and our internal control over financial reporting by strengthening our financial reporting and accounting functions, we cannot provide any assurance that we will be able to maintain adequate controls over our financial processes and reporting in the future or that we will not identify additional significant deficiencies and material weaknesses in our internal control over financial reporting in the future. Any failure of our internal controls could result in material misstatements in our consolidated financial statements, significant deficiencies, material weaknesses, costs, failure to timely meet our periodic reporting obligations and erosion of investor confidence. Such failure could also negatively affect the market price and trading liquidity of our common stock, subject us to civil and criminal investigations and penalties and could have a material adverse effect on our business, financial condition, results of operations or cash flow.</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USE OF PROCEEDS, AND 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right="10"/>
              <w:spacing w:after="0"/>
              <w:rPr>
                <w:sz w:val="20"/>
                <w:szCs w:val="20"/>
                <w:color w:val="auto"/>
              </w:rPr>
            </w:pPr>
            <w:r>
              <w:rPr>
                <w:rFonts w:ascii="Arial" w:cs="Arial" w:eastAsia="Arial" w:hAnsi="Arial"/>
                <w:sz w:val="18"/>
                <w:szCs w:val="18"/>
                <w:color w:val="auto"/>
                <w:w w:val="89"/>
              </w:rPr>
              <w:t>(in thousands)</w:t>
            </w:r>
          </w:p>
        </w:tc>
      </w:tr>
      <w:tr>
        <w:trPr>
          <w:trHeight w:val="189"/>
        </w:trPr>
        <w:tc>
          <w:tcPr>
            <w:tcW w:w="4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80"/>
              <w:spacing w:after="0" w:line="189" w:lineRule="exact"/>
              <w:rPr>
                <w:sz w:val="20"/>
                <w:szCs w:val="20"/>
                <w:color w:val="auto"/>
              </w:rPr>
            </w:pPr>
            <w:r>
              <w:rPr>
                <w:rFonts w:ascii="Arial" w:cs="Arial" w:eastAsia="Arial" w:hAnsi="Arial"/>
                <w:sz w:val="18"/>
                <w:szCs w:val="18"/>
                <w:color w:val="auto"/>
                <w:w w:val="92"/>
              </w:rPr>
              <w:t>Total Number of</w:t>
            </w:r>
          </w:p>
        </w:tc>
        <w:tc>
          <w:tcPr>
            <w:tcW w:w="20" w:type="dxa"/>
            <w:vAlign w:val="bottom"/>
          </w:tcPr>
          <w:p>
            <w:pPr>
              <w:spacing w:after="0"/>
              <w:rPr>
                <w:sz w:val="16"/>
                <w:szCs w:val="16"/>
                <w:color w:val="auto"/>
              </w:rPr>
            </w:pPr>
          </w:p>
        </w:tc>
        <w:tc>
          <w:tcPr>
            <w:tcW w:w="162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4"/>
              </w:rPr>
              <w:t>‎Approximate Dollar</w:t>
            </w:r>
          </w:p>
        </w:tc>
      </w:tr>
      <w:tr>
        <w:trPr>
          <w:trHeight w:val="189"/>
        </w:trPr>
        <w:tc>
          <w:tcPr>
            <w:tcW w:w="4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84"/>
              </w:rPr>
              <w:t>Shares Purchased as</w:t>
            </w:r>
          </w:p>
        </w:tc>
        <w:tc>
          <w:tcPr>
            <w:tcW w:w="20" w:type="dxa"/>
            <w:vAlign w:val="bottom"/>
          </w:tcPr>
          <w:p>
            <w:pPr>
              <w:spacing w:after="0"/>
              <w:rPr>
                <w:sz w:val="16"/>
                <w:szCs w:val="16"/>
                <w:color w:val="auto"/>
              </w:rPr>
            </w:pPr>
          </w:p>
        </w:tc>
        <w:tc>
          <w:tcPr>
            <w:tcW w:w="162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89"/>
              </w:rPr>
              <w:t>Value of Shares That</w:t>
            </w:r>
          </w:p>
        </w:tc>
      </w:tr>
      <w:tr>
        <w:trPr>
          <w:trHeight w:val="203"/>
        </w:trPr>
        <w:tc>
          <w:tcPr>
            <w:tcW w:w="480" w:type="dxa"/>
            <w:vAlign w:val="bottom"/>
          </w:tcPr>
          <w:p>
            <w:pPr>
              <w:spacing w:after="0"/>
              <w:rPr>
                <w:sz w:val="17"/>
                <w:szCs w:val="17"/>
                <w:color w:val="auto"/>
              </w:rPr>
            </w:pPr>
          </w:p>
        </w:tc>
        <w:tc>
          <w:tcPr>
            <w:tcW w:w="4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4"/>
              </w:rPr>
              <w:t>Part of Publicly</w:t>
            </w:r>
          </w:p>
        </w:tc>
        <w:tc>
          <w:tcPr>
            <w:tcW w:w="1640" w:type="dxa"/>
            <w:vAlign w:val="bottom"/>
            <w:gridSpan w:val="3"/>
          </w:tcPr>
          <w:p>
            <w:pPr>
              <w:jc w:val="center"/>
              <w:spacing w:after="0" w:line="202" w:lineRule="exact"/>
              <w:rPr>
                <w:sz w:val="20"/>
                <w:szCs w:val="20"/>
                <w:color w:val="auto"/>
              </w:rPr>
            </w:pPr>
            <w:r>
              <w:rPr>
                <w:rFonts w:ascii="Arial" w:cs="Arial" w:eastAsia="Arial" w:hAnsi="Arial"/>
                <w:sz w:val="18"/>
                <w:szCs w:val="18"/>
                <w:color w:val="auto"/>
                <w:w w:val="88"/>
              </w:rPr>
              <w:t>May Yet be Purchased</w:t>
            </w:r>
          </w:p>
        </w:tc>
      </w:tr>
      <w:tr>
        <w:trPr>
          <w:trHeight w:val="189"/>
        </w:trPr>
        <w:tc>
          <w:tcPr>
            <w:tcW w:w="480" w:type="dxa"/>
            <w:vAlign w:val="bottom"/>
          </w:tcPr>
          <w:p>
            <w:pPr>
              <w:spacing w:after="0"/>
              <w:rPr>
                <w:sz w:val="16"/>
                <w:szCs w:val="16"/>
                <w:color w:val="auto"/>
              </w:rPr>
            </w:pPr>
          </w:p>
        </w:tc>
        <w:tc>
          <w:tcPr>
            <w:tcW w:w="4300" w:type="dxa"/>
            <w:vAlign w:val="bottom"/>
          </w:tcPr>
          <w:p>
            <w:pPr>
              <w:spacing w:after="0"/>
              <w:rPr>
                <w:sz w:val="16"/>
                <w:szCs w:val="16"/>
                <w:color w:val="auto"/>
              </w:rPr>
            </w:pPr>
          </w:p>
        </w:tc>
        <w:tc>
          <w:tcPr>
            <w:tcW w:w="168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Total Number of</w:t>
            </w:r>
          </w:p>
        </w:tc>
        <w:tc>
          <w:tcPr>
            <w:tcW w:w="40" w:type="dxa"/>
            <w:vAlign w:val="bottom"/>
          </w:tcPr>
          <w:p>
            <w:pPr>
              <w:spacing w:after="0"/>
              <w:rPr>
                <w:sz w:val="16"/>
                <w:szCs w:val="16"/>
                <w:color w:val="auto"/>
              </w:rPr>
            </w:pPr>
          </w:p>
        </w:tc>
        <w:tc>
          <w:tcPr>
            <w:tcW w:w="1480" w:type="dxa"/>
            <w:vAlign w:val="bottom"/>
            <w:gridSpan w:val="3"/>
          </w:tcPr>
          <w:p>
            <w:pPr>
              <w:ind w:left="80"/>
              <w:spacing w:after="0" w:line="189" w:lineRule="exact"/>
              <w:rPr>
                <w:sz w:val="20"/>
                <w:szCs w:val="20"/>
                <w:color w:val="auto"/>
              </w:rPr>
            </w:pPr>
            <w:r>
              <w:rPr>
                <w:rFonts w:ascii="Arial" w:cs="Arial" w:eastAsia="Arial" w:hAnsi="Arial"/>
                <w:sz w:val="18"/>
                <w:szCs w:val="18"/>
                <w:color w:val="auto"/>
              </w:rPr>
              <w:t>Average Price</w:t>
            </w:r>
          </w:p>
        </w:tc>
        <w:tc>
          <w:tcPr>
            <w:tcW w:w="1620" w:type="dxa"/>
            <w:vAlign w:val="bottom"/>
            <w:gridSpan w:val="2"/>
          </w:tcPr>
          <w:p>
            <w:pPr>
              <w:jc w:val="center"/>
              <w:ind w:right="160"/>
              <w:spacing w:after="0" w:line="189" w:lineRule="exact"/>
              <w:rPr>
                <w:sz w:val="20"/>
                <w:szCs w:val="20"/>
                <w:color w:val="auto"/>
              </w:rPr>
            </w:pPr>
            <w:r>
              <w:rPr>
                <w:rFonts w:ascii="Arial" w:cs="Arial" w:eastAsia="Arial" w:hAnsi="Arial"/>
                <w:sz w:val="18"/>
                <w:szCs w:val="18"/>
                <w:color w:val="auto"/>
                <w:w w:val="90"/>
              </w:rPr>
              <w:t>Announced Plans or</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0"/>
              </w:rPr>
              <w:t>Under the Plans or</w:t>
            </w:r>
          </w:p>
        </w:tc>
      </w:tr>
      <w:tr>
        <w:trPr>
          <w:trHeight w:val="203"/>
        </w:trPr>
        <w:tc>
          <w:tcPr>
            <w:tcW w:w="4780" w:type="dxa"/>
            <w:vAlign w:val="bottom"/>
            <w:gridSpan w:val="2"/>
          </w:tcPr>
          <w:p>
            <w:pPr>
              <w:spacing w:after="0" w:line="203" w:lineRule="exact"/>
              <w:rPr>
                <w:sz w:val="20"/>
                <w:szCs w:val="20"/>
                <w:color w:val="auto"/>
              </w:rPr>
            </w:pPr>
            <w:r>
              <w:rPr>
                <w:rFonts w:ascii="Arial" w:cs="Arial" w:eastAsia="Arial" w:hAnsi="Arial"/>
                <w:sz w:val="18"/>
                <w:szCs w:val="18"/>
                <w:color w:val="auto"/>
              </w:rPr>
              <w:t>Period</w:t>
            </w:r>
          </w:p>
        </w:tc>
        <w:tc>
          <w:tcPr>
            <w:tcW w:w="1680" w:type="dxa"/>
            <w:vAlign w:val="bottom"/>
            <w:gridSpan w:val="2"/>
          </w:tcPr>
          <w:p>
            <w:pPr>
              <w:ind w:left="100"/>
              <w:spacing w:after="0" w:line="203" w:lineRule="exact"/>
              <w:rPr>
                <w:sz w:val="20"/>
                <w:szCs w:val="20"/>
                <w:color w:val="auto"/>
              </w:rPr>
            </w:pPr>
            <w:r>
              <w:rPr>
                <w:rFonts w:ascii="Arial" w:cs="Arial" w:eastAsia="Arial" w:hAnsi="Arial"/>
                <w:sz w:val="18"/>
                <w:szCs w:val="18"/>
                <w:color w:val="auto"/>
              </w:rPr>
              <w:t>Shares Purchased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Arial" w:cs="Arial" w:eastAsia="Arial" w:hAnsi="Arial"/>
                <w:sz w:val="18"/>
                <w:szCs w:val="18"/>
                <w:color w:val="auto"/>
              </w:rPr>
              <w:t>Paid per Share</w:t>
            </w:r>
          </w:p>
        </w:tc>
        <w:tc>
          <w:tcPr>
            <w:tcW w:w="1620" w:type="dxa"/>
            <w:vAlign w:val="bottom"/>
            <w:gridSpan w:val="2"/>
          </w:tcPr>
          <w:p>
            <w:pPr>
              <w:jc w:val="center"/>
              <w:ind w:right="140"/>
              <w:spacing w:after="0" w:line="203" w:lineRule="exact"/>
              <w:rPr>
                <w:sz w:val="20"/>
                <w:szCs w:val="20"/>
                <w:color w:val="auto"/>
              </w:rPr>
            </w:pPr>
            <w:r>
              <w:rPr>
                <w:rFonts w:ascii="Arial" w:cs="Arial" w:eastAsia="Arial" w:hAnsi="Arial"/>
                <w:sz w:val="18"/>
                <w:szCs w:val="18"/>
                <w:color w:val="auto"/>
                <w:w w:val="87"/>
              </w:rPr>
              <w:t>Programs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jc w:val="center"/>
              <w:ind w:right="30"/>
              <w:spacing w:after="0" w:line="203" w:lineRule="exact"/>
              <w:rPr>
                <w:sz w:val="20"/>
                <w:szCs w:val="20"/>
                <w:color w:val="auto"/>
              </w:rPr>
            </w:pPr>
            <w:r>
              <w:rPr>
                <w:rFonts w:ascii="Arial" w:cs="Arial" w:eastAsia="Arial" w:hAnsi="Arial"/>
                <w:sz w:val="18"/>
                <w:szCs w:val="18"/>
                <w:color w:val="auto"/>
                <w:w w:val="87"/>
              </w:rPr>
              <w:t>Programs</w:t>
            </w:r>
          </w:p>
        </w:tc>
      </w:tr>
      <w:tr>
        <w:trPr>
          <w:trHeight w:val="20"/>
        </w:trPr>
        <w:tc>
          <w:tcPr>
            <w:tcW w:w="480" w:type="dxa"/>
            <w:vAlign w:val="bottom"/>
            <w:tcBorders>
              <w:top w:val="single" w:sz="8" w:color="auto"/>
              <w:bottom w:val="single" w:sz="8" w:color="CCEEFF"/>
            </w:tcBorders>
          </w:tcPr>
          <w:p>
            <w:pPr>
              <w:spacing w:after="0" w:line="20" w:lineRule="exact"/>
              <w:rPr>
                <w:sz w:val="1"/>
                <w:szCs w:val="1"/>
                <w:color w:val="auto"/>
              </w:rPr>
            </w:pPr>
          </w:p>
        </w:tc>
        <w:tc>
          <w:tcPr>
            <w:tcW w:w="430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83"/>
        </w:trPr>
        <w:tc>
          <w:tcPr>
            <w:tcW w:w="4780" w:type="dxa"/>
            <w:vAlign w:val="bottom"/>
            <w:gridSpan w:val="2"/>
            <w:shd w:val="clear" w:color="auto" w:fill="CCEEFF"/>
          </w:tcPr>
          <w:p>
            <w:pPr>
              <w:spacing w:after="0" w:line="183" w:lineRule="exact"/>
              <w:rPr>
                <w:sz w:val="20"/>
                <w:szCs w:val="20"/>
                <w:color w:val="auto"/>
              </w:rPr>
            </w:pPr>
            <w:r>
              <w:rPr>
                <w:rFonts w:ascii="Arial" w:cs="Arial" w:eastAsia="Arial" w:hAnsi="Arial"/>
                <w:sz w:val="18"/>
                <w:szCs w:val="18"/>
                <w:color w:val="auto"/>
              </w:rPr>
              <w:t>July 1, 2023 - July 31, 2023</w:t>
            </w:r>
          </w:p>
        </w:tc>
        <w:tc>
          <w:tcPr>
            <w:tcW w:w="14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7,291</w:t>
            </w:r>
          </w:p>
        </w:tc>
        <w:tc>
          <w:tcPr>
            <w:tcW w:w="220" w:type="dxa"/>
            <w:vAlign w:val="bottom"/>
            <w:shd w:val="clear" w:color="auto" w:fill="CCEEFF"/>
          </w:tcPr>
          <w:p>
            <w:pPr>
              <w:jc w:val="right"/>
              <w:spacing w:after="0" w:line="170" w:lineRule="exact"/>
              <w:rPr>
                <w:sz w:val="20"/>
                <w:szCs w:val="20"/>
                <w:color w:val="auto"/>
              </w:rPr>
            </w:pPr>
            <w:r>
              <w:rPr>
                <w:rFonts w:ascii="Arial" w:cs="Arial" w:eastAsia="Arial" w:hAnsi="Arial"/>
                <w:sz w:val="15"/>
                <w:szCs w:val="15"/>
                <w:color w:val="auto"/>
                <w:w w:val="87"/>
              </w:rPr>
              <w:t>(1)</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6.24</w:t>
            </w:r>
          </w:p>
        </w:tc>
        <w:tc>
          <w:tcPr>
            <w:tcW w:w="260" w:type="dxa"/>
            <w:vAlign w:val="bottom"/>
            <w:shd w:val="clear" w:color="auto" w:fill="CCEEFF"/>
          </w:tcPr>
          <w:p>
            <w:pPr>
              <w:spacing w:after="0"/>
              <w:rPr>
                <w:sz w:val="15"/>
                <w:szCs w:val="15"/>
                <w:color w:val="auto"/>
              </w:rPr>
            </w:pP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August 1, 2023 - August 31, 2023</w:t>
            </w: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0.00</w:t>
            </w: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2023 - September 30,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6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8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4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7,291</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6.24</w:t>
            </w:r>
          </w:p>
        </w:tc>
        <w:tc>
          <w:tcPr>
            <w:tcW w:w="260" w:type="dxa"/>
            <w:vAlign w:val="bottom"/>
          </w:tcPr>
          <w:p>
            <w:pPr>
              <w:spacing w:after="0"/>
              <w:rPr>
                <w:sz w:val="15"/>
                <w:szCs w:val="15"/>
                <w:color w:val="auto"/>
              </w:rPr>
            </w:pP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right="200" w:hanging="328"/>
        <w:spacing w:after="0" w:line="307"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withheld a total of 7,291 shares to satisfy tax withholding obligations due upon the vesting of restricted stock grants as allowed by the 2012 Omnibus Award Plan. We did not pay cash to repurchase these shares, nor were these repurchases part of a publicly announced plan or program.</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10b5-1 Trading Plans</w:t>
      </w:r>
    </w:p>
    <w:p>
      <w:pPr>
        <w:spacing w:after="0" w:line="171"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During the quarter ended September 30, 2023, none of the Company’s directors or executive officers adopted, modified or terminated any contract, instruction or written plan for the purchase or sale of Company securities that was intended to satisfy the affirmative defense conditions of Rule 10b5-1(c) or any “non-Rule 10b5-1 trading arrangement” (as defined in Item 408(c) of Regulation S-K).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Beneficial Ownership</w:t>
      </w:r>
    </w:p>
    <w:p>
      <w:pPr>
        <w:spacing w:after="0" w:line="18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following table sets forth, as of October 30, 2023, information regarding beneficial ownership of our common stock by each person, or group of affiliated persons, known by us to beneficially own more than 5% of our common stock.</w:t>
      </w:r>
    </w:p>
    <w:p>
      <w:pPr>
        <w:spacing w:after="0" w:line="156"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Beneficial ownership is determined according to the rules of the SEC, and generally means that a person has beneficial ownership of a security if he, she, or it possesses sole or shared voting or investment power of that security. Except as indicated by the footnotes below, we believe, based on the information furnished to us, that the persons named in the table below have sole voting and investment power with respect to all shares of common stock shown that they beneficially own, subject to community property laws where applicable. The information does not necessarily indicate beneficial ownership for any other purpose.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We have based our calculation of the percentage of beneficial ownership on 44,530,888 shares of our common stock outstanding on October 30, 2023.</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Unless otherwise noted below, the address for each of the shareholders in the table below is c/o Tile Shop Holdings, Inc., 14000 Carlson Parkway, Plymouth, Minnesota 55441.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60" w:type="dxa"/>
            <w:vAlign w:val="bottom"/>
            <w:gridSpan w:val="2"/>
          </w:tcPr>
          <w:p>
            <w:pPr>
              <w:ind w:left="80"/>
              <w:spacing w:after="0"/>
              <w:rPr>
                <w:sz w:val="20"/>
                <w:szCs w:val="20"/>
                <w:color w:val="auto"/>
              </w:rPr>
            </w:pPr>
            <w:r>
              <w:rPr>
                <w:rFonts w:ascii="Arial" w:cs="Arial" w:eastAsia="Arial" w:hAnsi="Arial"/>
                <w:sz w:val="14"/>
                <w:szCs w:val="14"/>
                <w:b w:val="1"/>
                <w:bCs w:val="1"/>
                <w:color w:val="auto"/>
              </w:rPr>
              <w:t>Number of Shares</w:t>
            </w:r>
          </w:p>
        </w:tc>
        <w:tc>
          <w:tcPr>
            <w:tcW w:w="104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480" w:type="dxa"/>
            <w:vAlign w:val="bottom"/>
            <w:gridSpan w:val="2"/>
            <w:vMerge w:val="continue"/>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Beneficially Owned</w:t>
            </w:r>
          </w:p>
        </w:tc>
        <w:tc>
          <w:tcPr>
            <w:tcW w:w="10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83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b w:val="1"/>
                <w:bCs w:val="1"/>
                <w:color w:val="auto"/>
              </w:rPr>
              <w:t>5% Stockholders:</w:t>
            </w:r>
          </w:p>
        </w:tc>
        <w:tc>
          <w:tcPr>
            <w:tcW w:w="160" w:type="dxa"/>
            <w:vAlign w:val="bottom"/>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Peter J. Jacullo III, Director</w:t>
            </w:r>
            <w:r>
              <w:rPr>
                <w:rFonts w:ascii="Arial" w:cs="Arial" w:eastAsia="Arial" w:hAnsi="Arial"/>
                <w:sz w:val="29"/>
                <w:szCs w:val="29"/>
                <w:color w:val="auto"/>
                <w:vertAlign w:val="superscript"/>
              </w:rPr>
              <w:t>(1)</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8,412,699</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Peter H. Kamin, Chairman of the Board</w:t>
            </w:r>
            <w:r>
              <w:rPr>
                <w:rFonts w:ascii="Arial" w:cs="Arial" w:eastAsia="Arial" w:hAnsi="Arial"/>
                <w:sz w:val="29"/>
                <w:szCs w:val="29"/>
                <w:color w:val="auto"/>
                <w:vertAlign w:val="superscript"/>
              </w:rPr>
              <w:t>(2)</w:t>
            </w:r>
          </w:p>
        </w:tc>
        <w:tc>
          <w:tcPr>
            <w:tcW w:w="1300" w:type="dxa"/>
            <w:vAlign w:val="bottom"/>
          </w:tcPr>
          <w:p>
            <w:pPr>
              <w:jc w:val="right"/>
              <w:spacing w:after="0"/>
              <w:rPr>
                <w:sz w:val="20"/>
                <w:szCs w:val="20"/>
                <w:color w:val="auto"/>
              </w:rPr>
            </w:pPr>
            <w:r>
              <w:rPr>
                <w:rFonts w:ascii="Arial" w:cs="Arial" w:eastAsia="Arial" w:hAnsi="Arial"/>
                <w:sz w:val="18"/>
                <w:szCs w:val="18"/>
                <w:color w:val="auto"/>
              </w:rPr>
              <w:t>6,956,344</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Fund 1 Investments, LLC</w:t>
            </w:r>
            <w:r>
              <w:rPr>
                <w:rFonts w:ascii="Arial" w:cs="Arial" w:eastAsia="Arial" w:hAnsi="Arial"/>
                <w:sz w:val="29"/>
                <w:szCs w:val="29"/>
                <w:color w:val="auto"/>
                <w:vertAlign w:val="superscript"/>
              </w:rPr>
              <w:t>(3)</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4,455,547</w:t>
            </w:r>
          </w:p>
        </w:tc>
        <w:tc>
          <w:tcPr>
            <w:tcW w:w="16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6"/>
        </w:trPr>
        <w:tc>
          <w:tcPr>
            <w:tcW w:w="8480" w:type="dxa"/>
            <w:vAlign w:val="bottom"/>
            <w:gridSpan w:val="2"/>
          </w:tcPr>
          <w:p>
            <w:pPr>
              <w:spacing w:after="0" w:line="256" w:lineRule="exact"/>
              <w:rPr>
                <w:sz w:val="20"/>
                <w:szCs w:val="20"/>
                <w:color w:val="auto"/>
              </w:rPr>
            </w:pPr>
            <w:r>
              <w:rPr>
                <w:rFonts w:ascii="Arial" w:cs="Arial" w:eastAsia="Arial" w:hAnsi="Arial"/>
                <w:sz w:val="18"/>
                <w:szCs w:val="18"/>
                <w:color w:val="auto"/>
              </w:rPr>
              <w:t>Savitr Capital LLC</w:t>
            </w:r>
            <w:r>
              <w:rPr>
                <w:rFonts w:ascii="Arial" w:cs="Arial" w:eastAsia="Arial" w:hAnsi="Arial"/>
                <w:sz w:val="29"/>
                <w:szCs w:val="29"/>
                <w:color w:val="auto"/>
                <w:vertAlign w:val="superscript"/>
              </w:rPr>
              <w:t>(4)</w:t>
            </w:r>
          </w:p>
        </w:tc>
        <w:tc>
          <w:tcPr>
            <w:tcW w:w="1300" w:type="dxa"/>
            <w:vAlign w:val="bottom"/>
          </w:tcPr>
          <w:p>
            <w:pPr>
              <w:jc w:val="right"/>
              <w:spacing w:after="0"/>
              <w:rPr>
                <w:sz w:val="20"/>
                <w:szCs w:val="20"/>
                <w:color w:val="auto"/>
              </w:rPr>
            </w:pPr>
            <w:r>
              <w:rPr>
                <w:rFonts w:ascii="Arial" w:cs="Arial" w:eastAsia="Arial" w:hAnsi="Arial"/>
                <w:sz w:val="18"/>
                <w:szCs w:val="18"/>
                <w:color w:val="auto"/>
              </w:rPr>
              <w:t>2,770,535</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57"/>
        </w:trPr>
        <w:tc>
          <w:tcPr>
            <w:tcW w:w="84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Monomoy</w:t>
            </w:r>
            <w:r>
              <w:rPr>
                <w:rFonts w:ascii="Arial" w:cs="Arial" w:eastAsia="Arial" w:hAnsi="Arial"/>
                <w:sz w:val="29"/>
                <w:szCs w:val="29"/>
                <w:color w:val="auto"/>
                <w:vertAlign w:val="superscript"/>
              </w:rPr>
              <w:t>(5)</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2,531,462</w:t>
            </w: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393"/>
        </w:trPr>
        <w:tc>
          <w:tcPr>
            <w:tcW w:w="8480" w:type="dxa"/>
            <w:vAlign w:val="bottom"/>
            <w:gridSpan w:val="2"/>
          </w:tcPr>
          <w:p>
            <w:pPr>
              <w:spacing w:after="0"/>
              <w:rPr>
                <w:sz w:val="20"/>
                <w:szCs w:val="20"/>
                <w:color w:val="auto"/>
              </w:rPr>
            </w:pPr>
            <w:r>
              <w:rPr>
                <w:rFonts w:ascii="Arial" w:cs="Arial" w:eastAsia="Arial" w:hAnsi="Arial"/>
                <w:sz w:val="18"/>
                <w:szCs w:val="18"/>
                <w:color w:val="auto"/>
              </w:rPr>
              <w:t>Cannell Capital LLC</w:t>
            </w:r>
            <w:r>
              <w:rPr>
                <w:rFonts w:ascii="Arial" w:cs="Arial" w:eastAsia="Arial" w:hAnsi="Arial"/>
                <w:sz w:val="29"/>
                <w:szCs w:val="29"/>
                <w:color w:val="auto"/>
                <w:vertAlign w:val="superscript"/>
              </w:rPr>
              <w:t>(6)</w:t>
            </w:r>
          </w:p>
        </w:tc>
        <w:tc>
          <w:tcPr>
            <w:tcW w:w="1300" w:type="dxa"/>
            <w:vAlign w:val="bottom"/>
          </w:tcPr>
          <w:p>
            <w:pPr>
              <w:jc w:val="right"/>
              <w:spacing w:after="0"/>
              <w:rPr>
                <w:sz w:val="20"/>
                <w:szCs w:val="20"/>
                <w:color w:val="auto"/>
              </w:rPr>
            </w:pPr>
            <w:r>
              <w:rPr>
                <w:rFonts w:ascii="Arial" w:cs="Arial" w:eastAsia="Arial" w:hAnsi="Arial"/>
                <w:sz w:val="18"/>
                <w:szCs w:val="18"/>
                <w:color w:val="auto"/>
              </w:rPr>
              <w:t>2,453,327</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c>
          <w:tcPr>
            <w:tcW w:w="2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660" w:right="200" w:hanging="652"/>
        <w:spacing w:after="0" w:line="244"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a Schedule 13D/A filed with the SEC on January 13, 2023 by JWTS, Inc. (“JWTS”), Peter J. Jacullo III, and the Katherine D. Jacullo Children’s 1993 Irrevocable Trust (the “Jacullo Trust”) and a Form 4 filed by Mr. Jacullo with the SEC on June 15, 2023. JWTS directly holds 3,191,180 shares of common stock and has sole voting and dispositive power with respect to such shares. Mr. Jacullo is the President and sole member of the board of directors of JWTS, holds sole voting and dispositive power over the securities held by JWTS, and may be deemed to beneficially own the securities held by JWTS. The Jacullo Trust directly holds 4,706,489 shares of common stock and has sole voting and dispositive power with respect to such shares. Mr. Jacullo is a co-trustee of the Jacullo Trust, holds shared voting and dispositive power over the securities held by the Jacullo Trust, and may be deemed to beneficially own the securities held by the Jacullo Trust. Mr. Jacullo disclaims beneficial ownership of the shares of common stock held by the Jacullo Trust, except to the extent of his pecuniary interest therein. Mr. Jacullo directly holds 515,030 shares of common stock over which he has sole voting and dispositive power, including 20,131 shares of unvested restricted common stock.</w:t>
      </w:r>
    </w:p>
    <w:p>
      <w:pPr>
        <w:spacing w:after="0" w:line="159" w:lineRule="exact"/>
        <w:rPr>
          <w:rFonts w:ascii="Arial" w:cs="Arial" w:eastAsia="Arial" w:hAnsi="Arial"/>
          <w:sz w:val="17"/>
          <w:szCs w:val="17"/>
          <w:color w:val="auto"/>
        </w:rPr>
      </w:pPr>
    </w:p>
    <w:p>
      <w:pPr>
        <w:ind w:left="660" w:right="20" w:hanging="652"/>
        <w:spacing w:after="0" w:line="26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Schedule 13D/A filed with the SEC on January 13, 2023 by Peter H. Kamin and a Form 4 filed by Mr. Kamin with the SEC on June 15, 2023. Includes (i) 1,695,320 shares of common stock held by the Peter H. Kamin Revocable Trust dated February 2003, of which Peter H. Kamin is the trustee; (ii) 1,033,733 shares of common stock held by the Peter H. Kamin Childrens Trust dated March 1997, of which Mr. Kamin is the trustee; (iii) 117,453 shares of common stock held by the Peter H. Kamin Family Foundation, of which Mr. Kamin is the trustee; (iv) 328,711 shares of common stock held by the Peter H. Kamin GST Trust, of which Mr. Kamin is the trustee; (v) 333,495 shares of common stock held by 3K Limited Partnership, of which Mr. Kamin is the general partner; and (vi) 3,447,632 shares of common stock directly held by Mr. Kamin, including 38,248 shares of unvested restricted common stock. Mr. Kamin has sole voting and dispositive power over all such shares.</w:t>
      </w:r>
    </w:p>
    <w:p>
      <w:pPr>
        <w:spacing w:after="0" w:line="146" w:lineRule="exact"/>
        <w:rPr>
          <w:rFonts w:ascii="Arial" w:cs="Arial" w:eastAsia="Arial" w:hAnsi="Arial"/>
          <w:sz w:val="16"/>
          <w:szCs w:val="16"/>
          <w:color w:val="auto"/>
        </w:rPr>
      </w:pPr>
    </w:p>
    <w:p>
      <w:pPr>
        <w:ind w:left="660" w:right="140" w:hanging="652"/>
        <w:spacing w:after="0" w:line="26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a Schedule 13G/A filed with the SEC on September 7, 2023 and a Form 4 filed October 30, 2023 by Fund 1 Investments, LLC, as of October 30, 2023, Fund 1 Investments, LLC held shared voting and dispositive power over 4,455,547 shares of common stock. The shares are held for the benefit of private investment vehicles for which Pleasant Lake Partners LLC serves as investment adviser. Fund 1 Investments, LLC serves as managing member of Pleasant Lake Partners LLC. Jonathan Lennon serves as managing member of Fund 1 Investments, LLC. Each of Fund 1 Investments, LLC, Pleasant Lake Partners LLC and Mr. Lennon disclaims beneficial ownership of the shares except to the extent of its or his pecuniary interest therein. The business address of Fund 1 Investments, LLC is 100 Carr 115 Unit 1900, Rincon, Puerto Rico 00677.</w:t>
      </w:r>
    </w:p>
    <w:p>
      <w:pPr>
        <w:spacing w:after="0" w:line="144" w:lineRule="exact"/>
        <w:rPr>
          <w:rFonts w:ascii="Arial" w:cs="Arial" w:eastAsia="Arial" w:hAnsi="Arial"/>
          <w:sz w:val="16"/>
          <w:szCs w:val="16"/>
          <w:color w:val="auto"/>
        </w:rPr>
      </w:pPr>
    </w:p>
    <w:p>
      <w:pPr>
        <w:ind w:left="660" w:right="240" w:hanging="652"/>
        <w:spacing w:after="0" w:line="23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Schedule 13G filed with the SEC on January 28, 2020 by Savitr Capital LLC (“Savitr”), Savitr holds shared voting and dispositive power over 2,770,535 shares of common stock. The business address of Savitr is 600 Montgomery Street, 47th Floor, San Francisco, California 94111.</w:t>
      </w:r>
    </w:p>
    <w:p>
      <w:pPr>
        <w:spacing w:after="0" w:line="161" w:lineRule="exact"/>
        <w:rPr>
          <w:rFonts w:ascii="Arial" w:cs="Arial" w:eastAsia="Arial" w:hAnsi="Arial"/>
          <w:sz w:val="18"/>
          <w:szCs w:val="18"/>
          <w:color w:val="auto"/>
        </w:rPr>
      </w:pPr>
    </w:p>
    <w:p>
      <w:pPr>
        <w:ind w:left="660" w:right="40" w:hanging="652"/>
        <w:spacing w:after="0" w:line="242"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a Schedule 13G filed with the SEC on February 14, 2023, by Monomoy Capital Partners IV, L.P. (“MCP IV”), Monomoy Capital Partners IV Parallel, L.P. (“MCP IV Parallel”), Monomoy General Partner IV, L.P. (“GP IV”), Monomoy Ultimate GP II, LLC (“Ultimate GP II”), Monomoy Ultimate GP Holdings, LLC (“Ultimate GP Holdings”), Daniel Collin, and Justin Hillenbrand (together with Mr. Collin, Ultimate GP Holdings, Ultimate GP II, GP IV, MCP IV Parallel and MCP IV, the “Monomoy Reporting Persons”), the Monomoy Reporting Persons hold shared voting and dipositive power over the shares reported as held. MCP IV directly holds 1,603,643.44 shares of common stock. MCP IV Parallel directly holds 927,819.56 shares of common stock. GP IV is the general partner of MCP IV and MCP IV Parallel. Ultimate GP II is the general partner of GP IV. Ultimate GP Holdings is the sole member of Ultimate GP II. Ultimate GP Holdings is managed by its members, Mr. Collin and Mr. Hillenbrand. As a result of the foregoing relationships, each of GP IV, Ultimate GP II, Ultimate GP Holdings, Mr. Collin and Mr. Hillenbrand may be deemed to beneficially own the shares of common stock directly held by MCP IV and MCP IV Parallel. Each of Mr. Collin and Mr. Hillenbrand disclaims beneficial ownership of the shares of common stock held by MCP IV and MCP IV Parallel. The business address of the Monomoy Reporting Persons is 1 Greenwich Office Park, Building 1S, 2nd Floor, Greenwich, Connecticut 06831.</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7" w:lineRule="exact"/>
        <w:rPr>
          <w:sz w:val="20"/>
          <w:szCs w:val="20"/>
          <w:color w:val="auto"/>
        </w:rPr>
      </w:pPr>
    </w:p>
    <w:p>
      <w:pPr>
        <w:ind w:left="660" w:hanging="652"/>
        <w:spacing w:after="0" w:line="235"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a Schedule 13G/A filed with the SEC on February 13, 2023 by Cannell Capital LLC and J. Carlo Cannell, as of December 31, 2022, Cannell Capital LLC and Mr. Cannell held shared voting and dispositive power over 2,453,327 shares of common stock. Cannell Capital LLC acts as an investment adviser. Mr. Cannell is the managing member of Cannell Capital LLC. The business address of the reporting persons is 245 Meriwether Circle, Alta, Wyoming 83414.</w:t>
      </w: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Arial" w:cs="Arial" w:eastAsia="Arial" w:hAnsi="Arial"/>
                <w:sz w:val="18"/>
                <w:szCs w:val="18"/>
                <w:color w:val="auto"/>
              </w:rPr>
              <w:t>Exhibit No.</w:t>
            </w:r>
          </w:p>
        </w:tc>
        <w:tc>
          <w:tcPr>
            <w:tcW w:w="10020" w:type="dxa"/>
            <w:vAlign w:val="bottom"/>
            <w:gridSpan w:val="9"/>
          </w:tcPr>
          <w:p>
            <w:pPr>
              <w:spacing w:after="0"/>
              <w:rPr>
                <w:sz w:val="20"/>
                <w:szCs w:val="20"/>
                <w:color w:val="auto"/>
              </w:rPr>
            </w:pPr>
            <w:r>
              <w:rPr>
                <w:rFonts w:ascii="Arial" w:cs="Arial" w:eastAsia="Arial" w:hAnsi="Arial"/>
                <w:sz w:val="18"/>
                <w:szCs w:val="18"/>
                <w:color w:val="auto"/>
              </w:rPr>
              <w:t>Description</w:t>
            </w:r>
          </w:p>
        </w:tc>
      </w:tr>
      <w:tr>
        <w:trPr>
          <w:trHeight w:val="27"/>
        </w:trPr>
        <w:tc>
          <w:tcPr>
            <w:tcW w:w="2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0">
              <w:r>
                <w:rPr>
                  <w:rFonts w:ascii="Arial" w:cs="Arial" w:eastAsia="Arial" w:hAnsi="Arial"/>
                  <w:sz w:val="18"/>
                  <w:szCs w:val="18"/>
                  <w:color w:val="0563C1"/>
                </w:rPr>
                <w:t>3.</w:t>
              </w:r>
              <w:r>
                <w:rPr>
                  <w:rFonts w:ascii="Arial" w:cs="Arial" w:eastAsia="Arial" w:hAnsi="Arial"/>
                  <w:sz w:val="18"/>
                  <w:szCs w:val="18"/>
                  <w:u w:val="single" w:color="auto"/>
                  <w:color w:val="0563C1"/>
                </w:rPr>
                <w:t>1</w:t>
              </w:r>
            </w:hyperlink>
          </w:p>
        </w:tc>
        <w:tc>
          <w:tcPr>
            <w:tcW w:w="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w w:val="92"/>
              </w:rPr>
            </w:pPr>
            <w:hyperlink r:id="rId40">
              <w:r>
                <w:rPr>
                  <w:rFonts w:ascii="Arial" w:cs="Arial" w:eastAsia="Arial" w:hAnsi="Arial"/>
                  <w:sz w:val="18"/>
                  <w:szCs w:val="18"/>
                  <w:color w:val="0563C1"/>
                  <w:w w:val="92"/>
                </w:rPr>
                <w:t>Certificate of Incorporation of Tile Shop Holdings, Inc. (incorporated by reference to Exhibit 3.1 to the Company’s Registration Statement</w:t>
              </w:r>
            </w:hyperlink>
          </w:p>
        </w:tc>
      </w:tr>
      <w:tr>
        <w:trPr>
          <w:trHeight w:val="183"/>
        </w:trPr>
        <w:tc>
          <w:tcPr>
            <w:tcW w:w="240" w:type="dxa"/>
            <w:vAlign w:val="bottom"/>
            <w:tcBorders>
              <w:top w:val="single" w:sz="8" w:color="0563C1"/>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right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0020" w:type="dxa"/>
            <w:vAlign w:val="bottom"/>
            <w:tcBorders>
              <w:top w:val="single" w:sz="8" w:color="0563C1"/>
            </w:tcBorders>
            <w:gridSpan w:val="9"/>
            <w:shd w:val="clear" w:color="auto" w:fill="CCEEFF"/>
          </w:tcPr>
          <w:p>
            <w:pPr>
              <w:spacing w:after="0" w:line="182" w:lineRule="exact"/>
              <w:rPr>
                <w:rFonts w:ascii="Arial" w:cs="Arial" w:eastAsia="Arial" w:hAnsi="Arial"/>
                <w:sz w:val="18"/>
                <w:szCs w:val="18"/>
                <w:color w:val="0563C1"/>
              </w:rPr>
            </w:pPr>
            <w:hyperlink r:id="rId40">
              <w:r>
                <w:rPr>
                  <w:rFonts w:ascii="Arial" w:cs="Arial" w:eastAsia="Arial" w:hAnsi="Arial"/>
                  <w:sz w:val="18"/>
                  <w:szCs w:val="18"/>
                  <w:color w:val="0563C1"/>
                </w:rPr>
                <w:t>on Form S-4 (Reg. No. 333-182482) filed with the Securities and Exchange Commission on July 2, 2012).</w:t>
              </w:r>
            </w:hyperlink>
          </w:p>
        </w:tc>
      </w:tr>
      <w:tr>
        <w:trPr>
          <w:trHeight w:val="27"/>
        </w:trPr>
        <w:tc>
          <w:tcPr>
            <w:tcW w:w="2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Borders>
              <w:left w:val="single" w:sz="8" w:color="0563C1"/>
            </w:tcBorders>
            <w:shd w:val="clear" w:color="auto" w:fill="0563C1"/>
          </w:tcPr>
          <w:p>
            <w:pPr>
              <w:spacing w:after="0"/>
              <w:rPr>
                <w:sz w:val="2"/>
                <w:szCs w:val="2"/>
                <w:color w:val="auto"/>
              </w:rPr>
            </w:pPr>
          </w:p>
        </w:tc>
        <w:tc>
          <w:tcPr>
            <w:tcW w:w="360" w:type="dxa"/>
            <w:vAlign w:val="bottom"/>
            <w:shd w:val="clear" w:color="auto" w:fill="0563C1"/>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62"/>
        </w:trPr>
        <w:tc>
          <w:tcPr>
            <w:tcW w:w="420" w:type="dxa"/>
            <w:vAlign w:val="bottom"/>
            <w:gridSpan w:val="2"/>
          </w:tcPr>
          <w:p>
            <w:pPr>
              <w:spacing w:after="0" w:line="162" w:lineRule="exact"/>
              <w:rPr>
                <w:rFonts w:ascii="Arial" w:cs="Arial" w:eastAsia="Arial" w:hAnsi="Arial"/>
                <w:sz w:val="18"/>
                <w:szCs w:val="18"/>
                <w:color w:val="0563C1"/>
              </w:rPr>
            </w:pPr>
            <w:hyperlink r:id="rId41">
              <w:r>
                <w:rPr>
                  <w:rFonts w:ascii="Arial" w:cs="Arial" w:eastAsia="Arial" w:hAnsi="Arial"/>
                  <w:sz w:val="18"/>
                  <w:szCs w:val="18"/>
                  <w:color w:val="0563C1"/>
                </w:rPr>
                <w:t>3.</w:t>
              </w:r>
              <w:r>
                <w:rPr>
                  <w:rFonts w:ascii="Arial" w:cs="Arial" w:eastAsia="Arial" w:hAnsi="Arial"/>
                  <w:sz w:val="18"/>
                  <w:szCs w:val="18"/>
                  <w:u w:val="single" w:color="auto"/>
                  <w:color w:val="0563C1"/>
                </w:rPr>
                <w:t>2</w:t>
              </w:r>
            </w:hyperlink>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rFonts w:ascii="Arial" w:cs="Arial" w:eastAsia="Arial" w:hAnsi="Arial"/>
                <w:sz w:val="18"/>
                <w:szCs w:val="18"/>
                <w:color w:val="0563C1"/>
                <w:w w:val="94"/>
              </w:rPr>
            </w:pPr>
            <w:hyperlink r:id="rId41">
              <w:r>
                <w:rPr>
                  <w:rFonts w:ascii="Arial" w:cs="Arial" w:eastAsia="Arial" w:hAnsi="Arial"/>
                  <w:sz w:val="18"/>
                  <w:szCs w:val="18"/>
                  <w:color w:val="0563C1"/>
                  <w:w w:val="94"/>
                </w:rPr>
                <w:t>Certificate of Amendment to the Certificate of Incorporation of Tile Shop Holdings, Inc. (incorporated by reference to Exhibit 3.2 to the</w:t>
              </w:r>
            </w:hyperlink>
          </w:p>
        </w:tc>
      </w:tr>
      <w:tr>
        <w:trPr>
          <w:trHeight w:val="189"/>
        </w:trPr>
        <w:tc>
          <w:tcPr>
            <w:tcW w:w="240" w:type="dxa"/>
            <w:vAlign w:val="bottom"/>
            <w:tcBorders>
              <w:top w:val="single" w:sz="8" w:color="0563C1"/>
            </w:tcBorders>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60" w:type="dxa"/>
            <w:vAlign w:val="bottom"/>
            <w:tcBorders>
              <w:top w:val="single" w:sz="8" w:color="0563C1"/>
              <w:bottom w:val="single" w:sz="8" w:color="0563C1"/>
            </w:tcBorders>
            <w:gridSpan w:val="6"/>
          </w:tcPr>
          <w:p>
            <w:pPr>
              <w:spacing w:after="0" w:line="182" w:lineRule="exact"/>
              <w:rPr>
                <w:rFonts w:ascii="Arial" w:cs="Arial" w:eastAsia="Arial" w:hAnsi="Arial"/>
                <w:sz w:val="18"/>
                <w:szCs w:val="18"/>
                <w:color w:val="0563C1"/>
                <w:w w:val="91"/>
              </w:rPr>
            </w:pPr>
            <w:hyperlink r:id="rId41">
              <w:r>
                <w:rPr>
                  <w:rFonts w:ascii="Arial" w:cs="Arial" w:eastAsia="Arial" w:hAnsi="Arial"/>
                  <w:sz w:val="18"/>
                  <w:szCs w:val="18"/>
                  <w:color w:val="0563C1"/>
                  <w:w w:val="91"/>
                </w:rPr>
                <w:t>Company’s Current Report on Form 8-K filed with the Securities and Exchange Commission on July 21, 2021).</w:t>
              </w:r>
            </w:hyperlink>
          </w:p>
        </w:tc>
        <w:tc>
          <w:tcPr>
            <w:tcW w:w="1780" w:type="dxa"/>
            <w:vAlign w:val="bottom"/>
            <w:tcBorders>
              <w:top w:val="single" w:sz="8" w:color="0563C1"/>
            </w:tcBorders>
            <w:gridSpan w:val="2"/>
          </w:tcPr>
          <w:p>
            <w:pPr>
              <w:spacing w:after="0"/>
              <w:rPr>
                <w:sz w:val="16"/>
                <w:szCs w:val="16"/>
                <w:color w:val="auto"/>
              </w:rPr>
            </w:pPr>
          </w:p>
        </w:tc>
        <w:tc>
          <w:tcPr>
            <w:tcW w:w="180" w:type="dxa"/>
            <w:vAlign w:val="bottom"/>
          </w:tcPr>
          <w:p>
            <w:pPr>
              <w:spacing w:after="0"/>
              <w:rPr>
                <w:sz w:val="16"/>
                <w:szCs w:val="16"/>
                <w:color w:val="auto"/>
              </w:rPr>
            </w:pPr>
          </w:p>
        </w:tc>
      </w:tr>
      <w:tr>
        <w:trPr>
          <w:trHeight w:val="162"/>
        </w:trPr>
        <w:tc>
          <w:tcPr>
            <w:tcW w:w="420" w:type="dxa"/>
            <w:vAlign w:val="bottom"/>
            <w:gridSpan w:val="2"/>
            <w:shd w:val="clear" w:color="auto" w:fill="CCEEFF"/>
          </w:tcPr>
          <w:p>
            <w:pPr>
              <w:spacing w:after="0" w:line="162" w:lineRule="exact"/>
              <w:rPr>
                <w:rFonts w:ascii="Arial" w:cs="Arial" w:eastAsia="Arial" w:hAnsi="Arial"/>
                <w:sz w:val="18"/>
                <w:szCs w:val="18"/>
                <w:color w:val="0563C1"/>
              </w:rPr>
            </w:pPr>
            <w:hyperlink r:id="rId42">
              <w:r>
                <w:rPr>
                  <w:rFonts w:ascii="Arial" w:cs="Arial" w:eastAsia="Arial" w:hAnsi="Arial"/>
                  <w:sz w:val="18"/>
                  <w:szCs w:val="18"/>
                  <w:color w:val="0563C1"/>
                </w:rPr>
                <w:t>3.</w:t>
              </w:r>
              <w:r>
                <w:rPr>
                  <w:rFonts w:ascii="Arial" w:cs="Arial" w:eastAsia="Arial" w:hAnsi="Arial"/>
                  <w:sz w:val="18"/>
                  <w:szCs w:val="18"/>
                  <w:u w:val="single" w:color="auto"/>
                  <w:color w:val="0563C1"/>
                </w:rPr>
                <w:t>3</w:t>
              </w:r>
            </w:hyperlink>
          </w:p>
        </w:tc>
        <w:tc>
          <w:tcPr>
            <w:tcW w:w="80" w:type="dxa"/>
            <w:vAlign w:val="bottom"/>
            <w:tcBorders>
              <w:right w:val="single" w:sz="8" w:color="CCEEFF"/>
            </w:tcBorders>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rFonts w:ascii="Arial" w:cs="Arial" w:eastAsia="Arial" w:hAnsi="Arial"/>
                <w:sz w:val="18"/>
                <w:szCs w:val="18"/>
                <w:color w:val="0563C1"/>
                <w:w w:val="95"/>
              </w:rPr>
            </w:pPr>
            <w:hyperlink r:id="rId42">
              <w:r>
                <w:rPr>
                  <w:rFonts w:ascii="Arial" w:cs="Arial" w:eastAsia="Arial" w:hAnsi="Arial"/>
                  <w:sz w:val="18"/>
                  <w:szCs w:val="18"/>
                  <w:color w:val="0563C1"/>
                  <w:w w:val="95"/>
                </w:rPr>
                <w:t>By-Laws of Tile Shop Holdings, Inc. (incorporated by reference to Exhibit 3.2 to the Company’s Registration Statement on Form S-4</w:t>
              </w:r>
            </w:hyperlink>
          </w:p>
        </w:tc>
      </w:tr>
      <w:tr>
        <w:trPr>
          <w:trHeight w:val="190"/>
        </w:trPr>
        <w:tc>
          <w:tcPr>
            <w:tcW w:w="240" w:type="dxa"/>
            <w:vAlign w:val="bottom"/>
            <w:tcBorders>
              <w:top w:val="single" w:sz="8" w:color="0563C1"/>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CCEEFF"/>
              <w:bottom w:val="single" w:sz="8" w:color="CCEEFF"/>
            </w:tcBorders>
            <w:shd w:val="clear" w:color="auto" w:fill="CCEEFF"/>
          </w:tcPr>
          <w:p>
            <w:pPr>
              <w:spacing w:after="0"/>
              <w:rPr>
                <w:sz w:val="16"/>
                <w:szCs w:val="16"/>
                <w:color w:val="auto"/>
              </w:rPr>
            </w:pPr>
          </w:p>
        </w:tc>
        <w:tc>
          <w:tcPr>
            <w:tcW w:w="6720" w:type="dxa"/>
            <w:vAlign w:val="bottom"/>
            <w:tcBorders>
              <w:top w:val="single" w:sz="8" w:color="0563C1"/>
              <w:bottom w:val="single" w:sz="8" w:color="0563C1"/>
            </w:tcBorders>
            <w:gridSpan w:val="2"/>
            <w:shd w:val="clear" w:color="auto" w:fill="CCEEFF"/>
          </w:tcPr>
          <w:p>
            <w:pPr>
              <w:spacing w:after="0" w:line="182" w:lineRule="exact"/>
              <w:rPr>
                <w:rFonts w:ascii="Arial" w:cs="Arial" w:eastAsia="Arial" w:hAnsi="Arial"/>
                <w:sz w:val="18"/>
                <w:szCs w:val="18"/>
                <w:color w:val="0563C1"/>
                <w:w w:val="91"/>
              </w:rPr>
            </w:pPr>
            <w:hyperlink r:id="rId42">
              <w:r>
                <w:rPr>
                  <w:rFonts w:ascii="Arial" w:cs="Arial" w:eastAsia="Arial" w:hAnsi="Arial"/>
                  <w:sz w:val="18"/>
                  <w:szCs w:val="18"/>
                  <w:color w:val="0563C1"/>
                  <w:w w:val="91"/>
                </w:rPr>
                <w:t>(Reg. No. 333-182482) filed with the Securities and Exchange Commission on July 2, 2012).</w:t>
              </w:r>
            </w:hyperlink>
          </w:p>
        </w:tc>
        <w:tc>
          <w:tcPr>
            <w:tcW w:w="2940" w:type="dxa"/>
            <w:vAlign w:val="bottom"/>
            <w:tcBorders>
              <w:top w:val="single" w:sz="8" w:color="0563C1"/>
              <w:bottom w:val="single" w:sz="8" w:color="CCEEFF"/>
            </w:tcBorders>
            <w:gridSpan w:val="5"/>
            <w:shd w:val="clear" w:color="auto" w:fill="CCEEFF"/>
          </w:tcPr>
          <w:p>
            <w:pPr>
              <w:spacing w:after="0"/>
              <w:rPr>
                <w:sz w:val="16"/>
                <w:szCs w:val="16"/>
                <w:color w:val="auto"/>
              </w:rPr>
            </w:pPr>
          </w:p>
        </w:tc>
        <w:tc>
          <w:tcPr>
            <w:tcW w:w="360" w:type="dxa"/>
            <w:vAlign w:val="bottom"/>
            <w:tcBorders>
              <w:top w:val="single" w:sz="8" w:color="CCEEFF"/>
              <w:bottom w:val="single" w:sz="8" w:color="CCEEFF"/>
            </w:tcBorders>
            <w:gridSpan w:val="2"/>
            <w:shd w:val="clear" w:color="auto" w:fill="CCEEFF"/>
          </w:tcPr>
          <w:p>
            <w:pPr>
              <w:spacing w:after="0"/>
              <w:rPr>
                <w:sz w:val="16"/>
                <w:szCs w:val="16"/>
                <w:color w:val="auto"/>
              </w:rPr>
            </w:pPr>
          </w:p>
        </w:tc>
      </w:tr>
      <w:tr>
        <w:trPr>
          <w:trHeight w:val="162"/>
        </w:trPr>
        <w:tc>
          <w:tcPr>
            <w:tcW w:w="420" w:type="dxa"/>
            <w:vAlign w:val="bottom"/>
            <w:gridSpan w:val="2"/>
          </w:tcPr>
          <w:p>
            <w:pPr>
              <w:spacing w:after="0" w:line="162" w:lineRule="exact"/>
              <w:rPr>
                <w:sz w:val="20"/>
                <w:szCs w:val="20"/>
                <w:color w:val="auto"/>
              </w:rPr>
            </w:pPr>
            <w:r>
              <w:rPr>
                <w:rFonts w:ascii="Arial" w:cs="Arial" w:eastAsia="Arial" w:hAnsi="Arial"/>
                <w:sz w:val="18"/>
                <w:szCs w:val="18"/>
                <w:color w:val="0563C1"/>
                <w:w w:val="95"/>
              </w:rPr>
              <w:t>31.</w:t>
            </w:r>
            <w:r>
              <w:rPr>
                <w:rFonts w:ascii="Arial" w:cs="Arial" w:eastAsia="Arial" w:hAnsi="Arial"/>
                <w:sz w:val="18"/>
                <w:szCs w:val="18"/>
                <w:u w:val="single" w:color="auto"/>
                <w:color w:val="0563C1"/>
                <w:w w:val="95"/>
              </w:rPr>
              <w:t>1*</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20" w:type="dxa"/>
            <w:vAlign w:val="bottom"/>
            <w:gridSpan w:val="9"/>
          </w:tcPr>
          <w:p>
            <w:pPr>
              <w:spacing w:after="0" w:line="162" w:lineRule="exact"/>
              <w:rPr>
                <w:sz w:val="20"/>
                <w:szCs w:val="20"/>
                <w:color w:val="auto"/>
              </w:rPr>
            </w:pPr>
            <w:r>
              <w:rPr>
                <w:rFonts w:ascii="Arial" w:cs="Arial" w:eastAsia="Arial" w:hAnsi="Arial"/>
                <w:sz w:val="18"/>
                <w:szCs w:val="18"/>
                <w:color w:val="0563C1"/>
              </w:rPr>
              <w:t>Certification of Chief Executive Officer Pursuant to Section 302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9"/>
        </w:trPr>
        <w:tc>
          <w:tcPr>
            <w:tcW w:w="500" w:type="dxa"/>
            <w:vAlign w:val="bottom"/>
            <w:tcBorders>
              <w:bottom w:val="single" w:sz="8" w:color="0563C1"/>
              <w:right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color w:val="0563C1"/>
                <w:w w:val="97"/>
              </w:rPr>
              <w:t>31. 2*</w:t>
            </w:r>
          </w:p>
        </w:tc>
        <w:tc>
          <w:tcPr>
            <w:tcW w:w="34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7220" w:type="dxa"/>
            <w:vAlign w:val="bottom"/>
            <w:tcBorders>
              <w:bottom w:val="single" w:sz="8" w:color="0563C1"/>
              <w:right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color w:val="0563C1"/>
                <w:w w:val="92"/>
              </w:rPr>
              <w:t>Certification of Chief Financial Officer Pursuant to Section 302 of the Sarbanes Oxley Act of 2002.</w:t>
            </w:r>
          </w:p>
        </w:tc>
        <w:tc>
          <w:tcPr>
            <w:tcW w:w="2800" w:type="dxa"/>
            <w:vAlign w:val="bottom"/>
            <w:tcBorders>
              <w:left w:val="single" w:sz="8" w:color="CCEEFF"/>
              <w:bottom w:val="single" w:sz="8" w:color="CCEEFF"/>
            </w:tcBorders>
            <w:gridSpan w:val="6"/>
            <w:shd w:val="clear" w:color="auto" w:fill="CCEEFF"/>
          </w:tcPr>
          <w:p>
            <w:pPr>
              <w:spacing w:after="0"/>
              <w:rPr>
                <w:sz w:val="14"/>
                <w:szCs w:val="14"/>
                <w:color w:val="auto"/>
              </w:rPr>
            </w:pPr>
          </w:p>
        </w:tc>
      </w:tr>
      <w:tr>
        <w:trPr>
          <w:trHeight w:val="162"/>
        </w:trPr>
        <w:tc>
          <w:tcPr>
            <w:tcW w:w="840" w:type="dxa"/>
            <w:vAlign w:val="bottom"/>
            <w:gridSpan w:val="4"/>
          </w:tcPr>
          <w:p>
            <w:pPr>
              <w:spacing w:after="0" w:line="162" w:lineRule="exact"/>
              <w:rPr>
                <w:sz w:val="20"/>
                <w:szCs w:val="20"/>
                <w:color w:val="auto"/>
              </w:rPr>
            </w:pPr>
            <w:r>
              <w:rPr>
                <w:rFonts w:ascii="Arial" w:cs="Arial" w:eastAsia="Arial" w:hAnsi="Arial"/>
                <w:sz w:val="18"/>
                <w:szCs w:val="18"/>
                <w:color w:val="0563C1"/>
              </w:rPr>
              <w:t>32.</w:t>
            </w:r>
            <w:r>
              <w:rPr>
                <w:rFonts w:ascii="Arial" w:cs="Arial" w:eastAsia="Arial" w:hAnsi="Arial"/>
                <w:sz w:val="18"/>
                <w:szCs w:val="18"/>
                <w:u w:val="single" w:color="auto"/>
                <w:color w:val="0563C1"/>
              </w:rPr>
              <w:t>1**</w:t>
            </w:r>
          </w:p>
        </w:tc>
        <w:tc>
          <w:tcPr>
            <w:tcW w:w="380" w:type="dxa"/>
            <w:vAlign w:val="bottom"/>
          </w:tcPr>
          <w:p>
            <w:pPr>
              <w:spacing w:after="0"/>
              <w:rPr>
                <w:sz w:val="14"/>
                <w:szCs w:val="14"/>
                <w:color w:val="auto"/>
              </w:rPr>
            </w:pPr>
          </w:p>
        </w:tc>
        <w:tc>
          <w:tcPr>
            <w:tcW w:w="10020" w:type="dxa"/>
            <w:vAlign w:val="bottom"/>
            <w:gridSpan w:val="9"/>
          </w:tcPr>
          <w:p>
            <w:pPr>
              <w:spacing w:after="0" w:line="162" w:lineRule="exact"/>
              <w:rPr>
                <w:sz w:val="20"/>
                <w:szCs w:val="20"/>
                <w:color w:val="auto"/>
              </w:rPr>
            </w:pPr>
            <w:r>
              <w:rPr>
                <w:rFonts w:ascii="Arial" w:cs="Arial" w:eastAsia="Arial" w:hAnsi="Arial"/>
                <w:sz w:val="18"/>
                <w:szCs w:val="18"/>
                <w:color w:val="0563C1"/>
              </w:rPr>
              <w:t>Certifications of Chief Executive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tcBorders>
              <w:right w:val="single" w:sz="8" w:color="0563C1"/>
            </w:tcBorders>
            <w:shd w:val="clear" w:color="auto" w:fill="0563C1"/>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Borders>
              <w:left w:val="single" w:sz="8" w:color="0563C1"/>
            </w:tcBorders>
            <w:shd w:val="clear" w:color="auto" w:fill="0563C1"/>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62"/>
        </w:trPr>
        <w:tc>
          <w:tcPr>
            <w:tcW w:w="840" w:type="dxa"/>
            <w:vAlign w:val="bottom"/>
            <w:gridSpan w:val="4"/>
            <w:shd w:val="clear" w:color="auto" w:fill="CCEEFF"/>
          </w:tcPr>
          <w:p>
            <w:pPr>
              <w:spacing w:after="0" w:line="162" w:lineRule="exact"/>
              <w:rPr>
                <w:sz w:val="20"/>
                <w:szCs w:val="20"/>
                <w:color w:val="auto"/>
              </w:rPr>
            </w:pPr>
            <w:r>
              <w:rPr>
                <w:rFonts w:ascii="Arial" w:cs="Arial" w:eastAsia="Arial" w:hAnsi="Arial"/>
                <w:sz w:val="18"/>
                <w:szCs w:val="18"/>
                <w:color w:val="0563C1"/>
              </w:rPr>
              <w:t>32.</w:t>
            </w:r>
            <w:r>
              <w:rPr>
                <w:rFonts w:ascii="Arial" w:cs="Arial" w:eastAsia="Arial" w:hAnsi="Arial"/>
                <w:sz w:val="18"/>
                <w:szCs w:val="18"/>
                <w:u w:val="single" w:color="auto"/>
                <w:color w:val="0563C1"/>
              </w:rPr>
              <w:t>2**</w:t>
            </w:r>
          </w:p>
        </w:tc>
        <w:tc>
          <w:tcPr>
            <w:tcW w:w="380" w:type="dxa"/>
            <w:vAlign w:val="bottom"/>
            <w:shd w:val="clear" w:color="auto" w:fill="CCEEFF"/>
          </w:tcPr>
          <w:p>
            <w:pPr>
              <w:spacing w:after="0"/>
              <w:rPr>
                <w:sz w:val="14"/>
                <w:szCs w:val="14"/>
                <w:color w:val="auto"/>
              </w:rPr>
            </w:pPr>
          </w:p>
        </w:tc>
        <w:tc>
          <w:tcPr>
            <w:tcW w:w="10020" w:type="dxa"/>
            <w:vAlign w:val="bottom"/>
            <w:gridSpan w:val="9"/>
            <w:shd w:val="clear" w:color="auto" w:fill="CCEEFF"/>
          </w:tcPr>
          <w:p>
            <w:pPr>
              <w:spacing w:after="0" w:line="162" w:lineRule="exact"/>
              <w:rPr>
                <w:sz w:val="20"/>
                <w:szCs w:val="20"/>
                <w:color w:val="auto"/>
              </w:rPr>
            </w:pPr>
            <w:r>
              <w:rPr>
                <w:rFonts w:ascii="Arial" w:cs="Arial" w:eastAsia="Arial" w:hAnsi="Arial"/>
                <w:sz w:val="18"/>
                <w:szCs w:val="18"/>
                <w:color w:val="0563C1"/>
              </w:rPr>
              <w:t>Certifications of Chief Financial Officer Pursuant to Section 906 of the Sarbanes Oxley Act of 2002.</w:t>
            </w:r>
          </w:p>
        </w:tc>
      </w:tr>
      <w:tr>
        <w:trPr>
          <w:trHeight w:val="27"/>
        </w:trPr>
        <w:tc>
          <w:tcPr>
            <w:tcW w:w="240" w:type="dxa"/>
            <w:vAlign w:val="bottom"/>
            <w:shd w:val="clear" w:color="auto" w:fill="0563C1"/>
          </w:tcPr>
          <w:p>
            <w:pPr>
              <w:spacing w:after="0"/>
              <w:rPr>
                <w:sz w:val="2"/>
                <w:szCs w:val="2"/>
                <w:color w:val="auto"/>
              </w:rPr>
            </w:pPr>
          </w:p>
        </w:tc>
        <w:tc>
          <w:tcPr>
            <w:tcW w:w="180" w:type="dxa"/>
            <w:vAlign w:val="bottom"/>
            <w:shd w:val="clear" w:color="auto" w:fill="0563C1"/>
          </w:tcPr>
          <w:p>
            <w:pPr>
              <w:spacing w:after="0"/>
              <w:rPr>
                <w:sz w:val="2"/>
                <w:szCs w:val="2"/>
                <w:color w:val="auto"/>
              </w:rPr>
            </w:pPr>
          </w:p>
        </w:tc>
        <w:tc>
          <w:tcPr>
            <w:tcW w:w="80" w:type="dxa"/>
            <w:vAlign w:val="bottom"/>
            <w:tcBorders>
              <w:right w:val="single" w:sz="8" w:color="0563C1"/>
            </w:tcBorders>
            <w:shd w:val="clear" w:color="auto" w:fill="0563C1"/>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40" w:type="dxa"/>
            <w:vAlign w:val="bottom"/>
            <w:shd w:val="clear" w:color="auto" w:fill="0563C1"/>
          </w:tcPr>
          <w:p>
            <w:pPr>
              <w:spacing w:after="0"/>
              <w:rPr>
                <w:sz w:val="2"/>
                <w:szCs w:val="2"/>
                <w:color w:val="auto"/>
              </w:rPr>
            </w:pPr>
          </w:p>
        </w:tc>
        <w:tc>
          <w:tcPr>
            <w:tcW w:w="5880" w:type="dxa"/>
            <w:vAlign w:val="bottom"/>
            <w:shd w:val="clear" w:color="auto" w:fill="0563C1"/>
          </w:tcPr>
          <w:p>
            <w:pPr>
              <w:spacing w:after="0"/>
              <w:rPr>
                <w:sz w:val="2"/>
                <w:szCs w:val="2"/>
                <w:color w:val="auto"/>
              </w:rPr>
            </w:pPr>
          </w:p>
        </w:tc>
        <w:tc>
          <w:tcPr>
            <w:tcW w:w="500" w:type="dxa"/>
            <w:vAlign w:val="bottom"/>
            <w:tcBorders>
              <w:right w:val="single" w:sz="8" w:color="0563C1"/>
            </w:tcBorders>
            <w:shd w:val="clear" w:color="auto" w:fill="0563C1"/>
          </w:tcPr>
          <w:p>
            <w:pPr>
              <w:spacing w:after="0"/>
              <w:rPr>
                <w:sz w:val="2"/>
                <w:szCs w:val="2"/>
                <w:color w:val="auto"/>
              </w:rPr>
            </w:pPr>
          </w:p>
        </w:tc>
        <w:tc>
          <w:tcPr>
            <w:tcW w:w="80" w:type="dxa"/>
            <w:vAlign w:val="bottom"/>
            <w:tcBorders>
              <w:left w:val="single" w:sz="8" w:color="0563C1"/>
            </w:tcBorders>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r>
        <w:trPr>
          <w:trHeight w:val="175"/>
        </w:trPr>
        <w:tc>
          <w:tcPr>
            <w:tcW w:w="420" w:type="dxa"/>
            <w:vAlign w:val="bottom"/>
            <w:gridSpan w:val="2"/>
          </w:tcPr>
          <w:p>
            <w:pPr>
              <w:spacing w:after="0" w:line="175" w:lineRule="exact"/>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20" w:type="dxa"/>
            <w:vAlign w:val="bottom"/>
            <w:gridSpan w:val="9"/>
          </w:tcPr>
          <w:p>
            <w:pPr>
              <w:spacing w:after="0" w:line="175" w:lineRule="exact"/>
              <w:rPr>
                <w:sz w:val="20"/>
                <w:szCs w:val="20"/>
                <w:color w:val="auto"/>
              </w:rPr>
            </w:pPr>
            <w:r>
              <w:rPr>
                <w:rFonts w:ascii="Arial" w:cs="Arial" w:eastAsia="Arial" w:hAnsi="Arial"/>
                <w:sz w:val="18"/>
                <w:szCs w:val="18"/>
                <w:color w:val="auto"/>
                <w:w w:val="93"/>
              </w:rPr>
              <w:t>The following financial statements from the Quarterly Report on Form 10-Q for the quarter ended September 30, 2023 are formatted in</w:t>
            </w:r>
          </w:p>
        </w:tc>
      </w:tr>
      <w:tr>
        <w:trPr>
          <w:trHeight w:val="189"/>
        </w:trPr>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20" w:type="dxa"/>
            <w:vAlign w:val="bottom"/>
            <w:gridSpan w:val="9"/>
          </w:tcPr>
          <w:p>
            <w:pPr>
              <w:spacing w:after="0" w:line="189" w:lineRule="exact"/>
              <w:rPr>
                <w:sz w:val="20"/>
                <w:szCs w:val="20"/>
                <w:color w:val="auto"/>
              </w:rPr>
            </w:pPr>
            <w:r>
              <w:rPr>
                <w:rFonts w:ascii="Arial" w:cs="Arial" w:eastAsia="Arial" w:hAnsi="Arial"/>
                <w:sz w:val="18"/>
                <w:szCs w:val="18"/>
                <w:color w:val="auto"/>
                <w:w w:val="93"/>
              </w:rPr>
              <w:t>iXBRL (Inline eXtensible Business Reporting Language): (i) Consolidated Balance Sheets, (ii) Consolidated Statements of Income, (iii)</w:t>
            </w:r>
          </w:p>
        </w:tc>
      </w:tr>
      <w:tr>
        <w:trPr>
          <w:trHeight w:val="203"/>
        </w:trPr>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20" w:type="dxa"/>
            <w:vAlign w:val="bottom"/>
            <w:gridSpan w:val="9"/>
          </w:tcPr>
          <w:p>
            <w:pPr>
              <w:spacing w:after="0" w:line="202" w:lineRule="exact"/>
              <w:rPr>
                <w:sz w:val="20"/>
                <w:szCs w:val="20"/>
                <w:color w:val="auto"/>
              </w:rPr>
            </w:pPr>
            <w:r>
              <w:rPr>
                <w:rFonts w:ascii="Arial" w:cs="Arial" w:eastAsia="Arial" w:hAnsi="Arial"/>
                <w:sz w:val="18"/>
                <w:szCs w:val="18"/>
                <w:color w:val="auto"/>
                <w:w w:val="90"/>
              </w:rPr>
              <w:t>Consolidated Statements of Comprehensive Income, (iv) Consolidated Statements of Stockholders’ Equity, (v) Consolidated Statements of</w:t>
            </w:r>
          </w:p>
        </w:tc>
      </w:tr>
      <w:tr>
        <w:trPr>
          <w:trHeight w:val="217"/>
        </w:trPr>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20" w:type="dxa"/>
            <w:vAlign w:val="bottom"/>
            <w:gridSpan w:val="9"/>
          </w:tcPr>
          <w:p>
            <w:pPr>
              <w:spacing w:after="0"/>
              <w:rPr>
                <w:sz w:val="20"/>
                <w:szCs w:val="20"/>
                <w:color w:val="auto"/>
              </w:rPr>
            </w:pPr>
            <w:r>
              <w:rPr>
                <w:rFonts w:ascii="Arial" w:cs="Arial" w:eastAsia="Arial" w:hAnsi="Arial"/>
                <w:sz w:val="18"/>
                <w:szCs w:val="18"/>
                <w:color w:val="auto"/>
              </w:rPr>
              <w:t>Cash Flows, and (vi) the Notes to Consolidated Financial Statements.</w:t>
            </w:r>
          </w:p>
        </w:tc>
      </w:tr>
      <w:tr>
        <w:trPr>
          <w:trHeight w:val="189"/>
        </w:trPr>
        <w:tc>
          <w:tcPr>
            <w:tcW w:w="4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104*</w:t>
            </w:r>
          </w:p>
        </w:tc>
        <w:tc>
          <w:tcPr>
            <w:tcW w:w="80" w:type="dxa"/>
            <w:vAlign w:val="bottom"/>
            <w:tcBorders>
              <w:right w:val="single" w:sz="8" w:color="CCEEFF"/>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20" w:type="dxa"/>
            <w:vAlign w:val="bottom"/>
            <w:gridSpan w:val="9"/>
            <w:shd w:val="clear" w:color="auto" w:fill="CCEEFF"/>
          </w:tcPr>
          <w:p>
            <w:pPr>
              <w:spacing w:after="0" w:line="189" w:lineRule="exact"/>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ind w:left="240" w:hanging="232"/>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68"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563C1"/>
        </w:rPr>
        <w:t>Table of Contents</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618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700" w:type="dxa"/>
            <w:vAlign w:val="bottom"/>
          </w:tcPr>
          <w:p>
            <w:pPr>
              <w:spacing w:after="0"/>
              <w:rPr>
                <w:sz w:val="20"/>
                <w:szCs w:val="20"/>
                <w:color w:val="auto"/>
              </w:rPr>
            </w:pPr>
            <w:r>
              <w:rPr>
                <w:rFonts w:ascii="Arial" w:cs="Arial" w:eastAsia="Arial" w:hAnsi="Arial"/>
                <w:sz w:val="18"/>
                <w:szCs w:val="18"/>
                <w:color w:val="auto"/>
              </w:rPr>
              <w:t>Dated: November 3, 2023</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CABELL H. LOLMAUGH</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700" w:type="dxa"/>
            <w:vAlign w:val="bottom"/>
          </w:tcPr>
          <w:p>
            <w:pPr>
              <w:spacing w:after="0"/>
              <w:rPr>
                <w:sz w:val="20"/>
                <w:szCs w:val="20"/>
                <w:color w:val="auto"/>
              </w:rPr>
            </w:pPr>
            <w:r>
              <w:rPr>
                <w:rFonts w:ascii="Arial" w:cs="Arial" w:eastAsia="Arial" w:hAnsi="Arial"/>
                <w:sz w:val="18"/>
                <w:szCs w:val="18"/>
                <w:color w:val="auto"/>
              </w:rPr>
              <w:t>Dated: November 3, 2023</w:t>
            </w:r>
          </w:p>
        </w:tc>
        <w:tc>
          <w:tcPr>
            <w:tcW w:w="6180" w:type="dxa"/>
            <w:vAlign w:val="bottom"/>
            <w:gridSpan w:val="2"/>
          </w:tcPr>
          <w:p>
            <w:pPr>
              <w:ind w:left="1940"/>
              <w:spacing w:after="0"/>
              <w:rPr>
                <w:sz w:val="20"/>
                <w:szCs w:val="20"/>
                <w:color w:val="auto"/>
              </w:rPr>
            </w:pPr>
            <w:r>
              <w:rPr>
                <w:rFonts w:ascii="Arial" w:cs="Arial" w:eastAsia="Arial" w:hAnsi="Arial"/>
                <w:sz w:val="18"/>
                <w:szCs w:val="18"/>
                <w:color w:val="auto"/>
              </w:rPr>
              <w:t>By: /s/ KARLA LUNAN</w:t>
            </w:r>
          </w:p>
        </w:tc>
      </w:tr>
      <w:tr>
        <w:trPr>
          <w:trHeight w:val="155"/>
        </w:trPr>
        <w:tc>
          <w:tcPr>
            <w:tcW w:w="37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Karla Lunan</w:t>
            </w:r>
          </w:p>
        </w:tc>
      </w:tr>
      <w:tr>
        <w:trPr>
          <w:trHeight w:val="230"/>
        </w:trPr>
        <w:tc>
          <w:tcPr>
            <w:tcW w:w="37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0"/>
        </w:trPr>
        <w:tc>
          <w:tcPr>
            <w:tcW w:w="3700" w:type="dxa"/>
            <w:vAlign w:val="bottom"/>
          </w:tcPr>
          <w:p>
            <w:pPr>
              <w:spacing w:after="0"/>
              <w:rPr>
                <w:sz w:val="24"/>
                <w:szCs w:val="24"/>
                <w:color w:val="auto"/>
              </w:rPr>
            </w:pPr>
          </w:p>
        </w:tc>
        <w:tc>
          <w:tcPr>
            <w:tcW w:w="2260" w:type="dxa"/>
            <w:vAlign w:val="bottom"/>
          </w:tcPr>
          <w:p>
            <w:pPr>
              <w:jc w:val="right"/>
              <w:ind w:right="170"/>
              <w:spacing w:after="0"/>
              <w:rPr>
                <w:sz w:val="20"/>
                <w:szCs w:val="20"/>
                <w:color w:val="auto"/>
              </w:rPr>
            </w:pPr>
            <w:r>
              <w:rPr>
                <w:rFonts w:ascii="Arial" w:cs="Arial" w:eastAsia="Arial" w:hAnsi="Arial"/>
                <w:sz w:val="18"/>
                <w:szCs w:val="18"/>
                <w:color w:val="auto"/>
              </w:rPr>
              <w:t>28</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28" w:name="page29"/>
    <w:bookmarkEnd w:id="28"/>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ind w:left="180" w:right="2199" w:firstLine="1998"/>
        <w:spacing w:after="0" w:line="417" w:lineRule="auto"/>
        <w:rPr>
          <w:sz w:val="20"/>
          <w:szCs w:val="20"/>
          <w:color w:val="auto"/>
        </w:rPr>
      </w:pPr>
      <w:r>
        <w:rPr>
          <w:rFonts w:ascii="Arial" w:cs="Arial" w:eastAsia="Arial" w:hAnsi="Arial"/>
          <w:sz w:val="18"/>
          <w:szCs w:val="18"/>
          <w:b w:val="1"/>
          <w:bCs w:val="1"/>
          <w:color w:val="auto"/>
        </w:rPr>
        <w:t xml:space="preserve">302 CERTIFICATION OF CHIEF EXECUTIVE OFFICER </w:t>
      </w:r>
      <w:r>
        <w:rPr>
          <w:rFonts w:ascii="Arial" w:cs="Arial" w:eastAsia="Arial" w:hAnsi="Arial"/>
          <w:sz w:val="18"/>
          <w:szCs w:val="18"/>
          <w:color w:val="auto"/>
        </w:rPr>
        <w:t>I, Cabell H. Lolmaugh, certify that:</w:t>
      </w:r>
    </w:p>
    <w:p>
      <w:pPr>
        <w:ind w:left="500" w:hanging="316"/>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500" w:right="399" w:hanging="316"/>
        <w:spacing w:after="0" w:line="267" w:lineRule="auto"/>
        <w:tabs>
          <w:tab w:leader="none" w:pos="5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1" w:lineRule="exact"/>
        <w:rPr>
          <w:rFonts w:ascii="Arial" w:cs="Arial" w:eastAsia="Arial" w:hAnsi="Arial"/>
          <w:sz w:val="16"/>
          <w:szCs w:val="16"/>
          <w:color w:val="auto"/>
        </w:rPr>
      </w:pPr>
    </w:p>
    <w:p>
      <w:pPr>
        <w:ind w:left="820" w:right="239" w:hanging="312"/>
        <w:spacing w:after="0" w:line="223"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820" w:right="219" w:hanging="312"/>
        <w:spacing w:after="0" w:line="223"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820" w:right="399" w:hanging="312"/>
        <w:spacing w:after="0" w:line="229"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820" w:right="319" w:hanging="312"/>
        <w:spacing w:after="0" w:line="223"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820" w:right="499" w:hanging="312"/>
        <w:spacing w:after="0" w:line="229"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8"/>
          <w:szCs w:val="18"/>
          <w:color w:val="auto"/>
        </w:rPr>
      </w:pPr>
    </w:p>
    <w:p>
      <w:pPr>
        <w:ind w:left="820" w:right="299" w:hanging="312"/>
        <w:spacing w:after="0" w:line="246"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2023</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9" w:name="page30"/>
    <w:bookmarkEnd w:id="29"/>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302 CERTIFICATION OF CHIEF FINANCIAL OFFICER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Karla Lunan, certify that:</w:t>
      </w:r>
    </w:p>
    <w:p>
      <w:pPr>
        <w:spacing w:after="0" w:line="158" w:lineRule="exact"/>
        <w:rPr>
          <w:sz w:val="20"/>
          <w:szCs w:val="20"/>
          <w:color w:val="auto"/>
        </w:rPr>
      </w:pPr>
    </w:p>
    <w:p>
      <w:pPr>
        <w:ind w:left="500" w:hanging="316"/>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9"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5" w:lineRule="exact"/>
        <w:rPr>
          <w:rFonts w:ascii="Arial" w:cs="Arial" w:eastAsia="Arial" w:hAnsi="Arial"/>
          <w:sz w:val="18"/>
          <w:szCs w:val="18"/>
          <w:color w:val="auto"/>
        </w:rPr>
      </w:pPr>
    </w:p>
    <w:p>
      <w:pPr>
        <w:ind w:left="500" w:right="399" w:hanging="316"/>
        <w:spacing w:after="0" w:line="267" w:lineRule="auto"/>
        <w:tabs>
          <w:tab w:leader="none" w:pos="5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1" w:lineRule="exact"/>
        <w:rPr>
          <w:rFonts w:ascii="Arial" w:cs="Arial" w:eastAsia="Arial" w:hAnsi="Arial"/>
          <w:sz w:val="16"/>
          <w:szCs w:val="16"/>
          <w:color w:val="auto"/>
        </w:rPr>
      </w:pPr>
    </w:p>
    <w:p>
      <w:pPr>
        <w:ind w:left="820" w:right="239" w:hanging="312"/>
        <w:spacing w:after="0" w:line="223"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left="820" w:right="219" w:hanging="312"/>
        <w:spacing w:after="0" w:line="223"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8"/>
          <w:szCs w:val="18"/>
          <w:color w:val="auto"/>
        </w:rPr>
      </w:pPr>
    </w:p>
    <w:p>
      <w:pPr>
        <w:jc w:val="both"/>
        <w:ind w:left="820" w:right="399" w:hanging="312"/>
        <w:spacing w:after="0" w:line="229"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8"/>
          <w:szCs w:val="18"/>
          <w:color w:val="auto"/>
        </w:rPr>
      </w:pPr>
    </w:p>
    <w:p>
      <w:pPr>
        <w:ind w:left="820" w:right="319" w:hanging="312"/>
        <w:spacing w:after="0" w:line="223"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Arial" w:cs="Arial" w:eastAsia="Arial" w:hAnsi="Arial"/>
          <w:sz w:val="18"/>
          <w:szCs w:val="18"/>
          <w:color w:val="auto"/>
        </w:rPr>
      </w:pPr>
    </w:p>
    <w:p>
      <w:pPr>
        <w:ind w:left="820" w:right="499" w:hanging="312"/>
        <w:spacing w:after="0" w:line="229"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8"/>
          <w:szCs w:val="18"/>
          <w:color w:val="auto"/>
        </w:rPr>
      </w:pPr>
    </w:p>
    <w:p>
      <w:pPr>
        <w:ind w:left="820" w:right="299" w:hanging="312"/>
        <w:spacing w:after="0" w:line="246" w:lineRule="auto"/>
        <w:tabs>
          <w:tab w:leader="none" w:pos="8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1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2023</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528945" cy="508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0" w:name="page31"/>
    <w:bookmarkEnd w:id="30"/>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7" w:lineRule="exact"/>
        <w:rPr>
          <w:sz w:val="20"/>
          <w:szCs w:val="20"/>
          <w:color w:val="auto"/>
        </w:rPr>
      </w:pPr>
    </w:p>
    <w:p>
      <w:pPr>
        <w:ind w:left="180" w:right="319" w:firstLine="648"/>
        <w:spacing w:after="0" w:line="248" w:lineRule="auto"/>
        <w:rPr>
          <w:sz w:val="20"/>
          <w:szCs w:val="20"/>
          <w:color w:val="auto"/>
        </w:rPr>
      </w:pPr>
      <w:r>
        <w:rPr>
          <w:rFonts w:ascii="Arial" w:cs="Arial" w:eastAsia="Arial" w:hAnsi="Arial"/>
          <w:sz w:val="16"/>
          <w:szCs w:val="16"/>
          <w:color w:val="auto"/>
        </w:rPr>
        <w:t>Pursuant to 18 U.S.C. §1350 (as adopted pursuant to §906 of the Sarbanes-Oxley Act of 2002), I, Cabell H. Lolmaugh, the Chief Executive Officer of Tile Shop Holdings, Inc. (the “Company”), hereby certify that the Quarterly</w:t>
      </w:r>
    </w:p>
    <w:p>
      <w:pPr>
        <w:ind w:left="180" w:right="239"/>
        <w:spacing w:after="0" w:line="248" w:lineRule="auto"/>
        <w:rPr>
          <w:sz w:val="20"/>
          <w:szCs w:val="20"/>
          <w:color w:val="auto"/>
        </w:rPr>
      </w:pPr>
      <w:r>
        <w:rPr>
          <w:rFonts w:ascii="Arial" w:cs="Arial" w:eastAsia="Arial" w:hAnsi="Arial"/>
          <w:sz w:val="16"/>
          <w:szCs w:val="16"/>
          <w:color w:val="auto"/>
        </w:rPr>
        <w:t>Report on Form 10-Q of the Company for the period ended September 30, 2023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9"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4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2023</w:t>
      </w:r>
      <w:r>
        <w:rPr>
          <w:sz w:val="20"/>
          <w:szCs w:val="20"/>
          <w:color w:val="auto"/>
        </w:rPr>
        <w:tab/>
      </w:r>
      <w:r>
        <w:rPr>
          <w:rFonts w:ascii="Arial" w:cs="Arial" w:eastAsia="Arial" w:hAnsi="Arial"/>
          <w:sz w:val="17"/>
          <w:szCs w:val="17"/>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Cabell H. Lolmaugh</w:t>
      </w:r>
    </w:p>
    <w:p>
      <w:pPr>
        <w:ind w:left="4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1" w:name="page32"/>
    <w:bookmarkEnd w:id="31"/>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w:t>
      </w: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17" w:lineRule="exact"/>
        <w:rPr>
          <w:sz w:val="20"/>
          <w:szCs w:val="20"/>
          <w:color w:val="auto"/>
        </w:rPr>
      </w:pPr>
    </w:p>
    <w:p>
      <w:pPr>
        <w:ind w:left="180" w:right="639" w:firstLine="648"/>
        <w:spacing w:after="0" w:line="248" w:lineRule="auto"/>
        <w:rPr>
          <w:sz w:val="20"/>
          <w:szCs w:val="20"/>
          <w:color w:val="auto"/>
        </w:rPr>
      </w:pPr>
      <w:r>
        <w:rPr>
          <w:rFonts w:ascii="Arial" w:cs="Arial" w:eastAsia="Arial" w:hAnsi="Arial"/>
          <w:sz w:val="16"/>
          <w:szCs w:val="16"/>
          <w:color w:val="auto"/>
        </w:rPr>
        <w:t>Pursuant to 18 U.S.C. §1350 (as adopted pursuant to §906 of the Sarbanes-Oxley Act of 2002), I, Karla Lunan, the Chief Financial Officer of Tile Shop Holdings, Inc. (the “Company”), hereby certify that the Quarterly</w:t>
      </w:r>
    </w:p>
    <w:p>
      <w:pPr>
        <w:ind w:left="180" w:right="239"/>
        <w:spacing w:after="0" w:line="248" w:lineRule="auto"/>
        <w:rPr>
          <w:sz w:val="20"/>
          <w:szCs w:val="20"/>
          <w:color w:val="auto"/>
        </w:rPr>
      </w:pPr>
      <w:r>
        <w:rPr>
          <w:rFonts w:ascii="Arial" w:cs="Arial" w:eastAsia="Arial" w:hAnsi="Arial"/>
          <w:sz w:val="16"/>
          <w:szCs w:val="16"/>
          <w:color w:val="auto"/>
        </w:rPr>
        <w:t>Report on Form 10-Q of the Company for the period ended September 30, 2023 (“the Report”) fully complies with the requirements of section 13(a) or 15(d) of the Securities Exchange Act of 1934 and that information contained in the Report fairly presents, in all material respects, the financial condition and results of operations of the Company.</w:t>
      </w:r>
    </w:p>
    <w:p>
      <w:pPr>
        <w:spacing w:after="0" w:line="129" w:lineRule="exact"/>
        <w:rPr>
          <w:sz w:val="20"/>
          <w:szCs w:val="20"/>
          <w:color w:val="auto"/>
        </w:rPr>
      </w:pPr>
    </w:p>
    <w:p>
      <w:pPr>
        <w:ind w:left="180" w:right="199" w:firstLine="648"/>
        <w:spacing w:after="0" w:line="235"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 or its staff upon request.</w:t>
      </w:r>
    </w:p>
    <w:p>
      <w:pPr>
        <w:spacing w:after="0" w:line="148" w:lineRule="exact"/>
        <w:rPr>
          <w:sz w:val="20"/>
          <w:szCs w:val="20"/>
          <w:color w:val="auto"/>
        </w:rPr>
      </w:pPr>
    </w:p>
    <w:p>
      <w:pPr>
        <w:ind w:left="180"/>
        <w:spacing w:after="0"/>
        <w:tabs>
          <w:tab w:leader="none" w:pos="4480" w:val="left"/>
        </w:tabs>
        <w:rPr>
          <w:sz w:val="20"/>
          <w:szCs w:val="20"/>
          <w:color w:val="auto"/>
        </w:rPr>
      </w:pPr>
      <w:r>
        <w:rPr>
          <w:rFonts w:ascii="Arial" w:cs="Arial" w:eastAsia="Arial" w:hAnsi="Arial"/>
          <w:sz w:val="18"/>
          <w:szCs w:val="18"/>
          <w:color w:val="auto"/>
        </w:rPr>
        <w:t>Date: November 3, 2023</w:t>
      </w:r>
      <w:r>
        <w:rPr>
          <w:sz w:val="20"/>
          <w:szCs w:val="20"/>
          <w:color w:val="auto"/>
        </w:rPr>
        <w:tab/>
      </w:r>
      <w:r>
        <w:rPr>
          <w:rFonts w:ascii="Arial" w:cs="Arial" w:eastAsia="Arial" w:hAnsi="Arial"/>
          <w:sz w:val="16"/>
          <w:szCs w:val="16"/>
          <w:color w:val="auto"/>
        </w:rPr>
        <w:t>/s/ Karla Lunan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-1905</wp:posOffset>
            </wp:positionV>
            <wp:extent cx="27432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1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Karla Lunan,</w:t>
      </w:r>
    </w:p>
    <w:p>
      <w:pPr>
        <w:ind w:left="450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223520</wp:posOffset>
            </wp:positionV>
            <wp:extent cx="552894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528945" cy="514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B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 "/>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 "/>
      <w:numFmt w:val="bullet"/>
      <w:start w:val="1"/>
    </w:lvl>
  </w:abstractNum>
  <w:abstractNum w:abstractNumId="6">
    <w:nsid w:val="1190CDE7"/>
    <w:multiLevelType w:val="hybridMultilevel"/>
    <w:lvl w:ilvl="0">
      <w:lvlJc w:val="left"/>
      <w:lvlText w:val=" "/>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 "/>
      <w:numFmt w:val="bullet"/>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6"/>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40" Type="http://schemas.openxmlformats.org/officeDocument/2006/relationships/hyperlink" Target="http://www.sec.gov/Archives/edgar/data/1552800/000114420412037509/v316486_ex3-1.htm" TargetMode="External"/><Relationship Id="rId41" Type="http://schemas.openxmlformats.org/officeDocument/2006/relationships/hyperlink" Target="http://www.sec.gov/Archives/edgar/data/1552800/000110465921094416/tm2122262d1_ex3-2.htm" TargetMode="External"/><Relationship Id="rId42" Type="http://schemas.openxmlformats.org/officeDocument/2006/relationships/hyperlink" Target="http://www.sec.gov/Archives/edgar/data/1552800/000114420412037509/v316486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2023-11-03T16:01:09Z</dcterms:created>
  <dcterms:modified xsi:type="dcterms:W3CDTF">2023-11-03T16:01:09Z</dcterms:modified>
</cp:coreProperties>
</file>