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359-2_4seq1.xml.htm"/>
      <w:bookmarkStart w:id="1" w:name="kstm268359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KINDER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TILE SHOP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14000 CARLSON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PLYMOUTH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TILE SHOP HOLDINGS, INC.</w:t>
              </w:r>
            </w:hyperlink>
            <w:r>
              <w:rPr/>
              <w:t xml:space="preserve"> [ </w:t>
            </w:r>
            <w:r>
              <w:rPr>
                <w:rFonts w:ascii="Times;serif" w:hAnsi="Times;serif"/>
                <w:color w:val="0000FF"/>
                <w:sz w:val="24"/>
                <w:shd w:fill="FFFFFF" w:val="clear"/>
              </w:rPr>
              <w:t>TTSH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Chief Merchant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1,108</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86,384</w:t>
            </w:r>
            <w:r>
              <w:rPr>
                <w:rFonts w:ascii="Times;serif" w:hAnsi="Times;serif"/>
                <w:color w:val="008000"/>
                <w:position w:val="7"/>
                <w:sz w:val="16"/>
                <w:sz w:val="20"/>
                <w:shd w:fill="FFFFFF" w:val="clear"/>
              </w:rPr>
              <w:t>(2)(3)</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11/06/2027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has elected to satisfy his tax withholding obligation in connection with the vesting of a prior restricted stock grant by directing the Issuer to withhold shares otherwise issuable upon vesting of the previously reported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2,520 shares of restricted stock for which the risks of forfeiture will lapse on 3/4/27; (ii) 6,018 shares of restricted stock for which the risks of forfeiture will lapse in equal annual installments on each of 3/3/27 and 3/3/28;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(iii) the following shares of performance-based restricted stock, which are, in each case, subject to Mr. Kinder remaining in continuous employment with the Issuer through December 31 of the year preceding the applicable vesting date and the Issuer achieving its performance target for each respective year: (A) 6,049 shares for which the risks of forfeiture will lapse on the date the Issuer releases its annual financial statements for the 2026 fiscal year; and (B) 12,638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 in three substantially equal installments on each of 3/2/2027, 3/2/2028 and 3/2/2029, subject to continuous employment as of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B. Davis,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5217" TargetMode="External"/><Relationship Id="rId5" Type="http://schemas.openxmlformats.org/officeDocument/2006/relationships/hyperlink" Target="http://www.sec.gov/cgi-bin/browse-edgar?action=getcompany&amp;CIK=0001552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4582</Characters>
  <CharactersWithSpaces>5355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