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197485</wp:posOffset>
            </wp:positionV>
            <wp:extent cx="7136130"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24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99"/>
        <w:spacing w:after="0" w:line="228"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4" w:lineRule="exact"/>
        <w:rPr>
          <w:sz w:val="24"/>
          <w:szCs w:val="24"/>
          <w:color w:val="auto"/>
        </w:rPr>
      </w:pPr>
    </w:p>
    <w:p>
      <w:pPr>
        <w:ind w:left="260" w:hanging="255"/>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jc w:val="center"/>
        <w:ind w:right="-59"/>
        <w:spacing w:after="0" w:line="228" w:lineRule="auto"/>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jc w:val="center"/>
        <w:ind w:right="-99"/>
        <w:spacing w:after="0" w:line="206" w:lineRule="auto"/>
        <w:rPr>
          <w:sz w:val="20"/>
          <w:szCs w:val="20"/>
          <w:color w:val="auto"/>
        </w:rPr>
      </w:pPr>
      <w:r>
        <w:rPr>
          <w:rFonts w:ascii="Times New Roman" w:cs="Times New Roman" w:eastAsia="Times New Roman" w:hAnsi="Times New Roman"/>
          <w:sz w:val="18"/>
          <w:szCs w:val="18"/>
          <w:b w:val="1"/>
          <w:bCs w:val="1"/>
          <w:color w:val="auto"/>
        </w:rPr>
        <w:t>or</w:t>
      </w:r>
    </w:p>
    <w:p>
      <w:pPr>
        <w:jc w:val="right"/>
        <w:ind w:left="4400" w:right="4280" w:hanging="4395"/>
        <w:spacing w:after="0" w:line="272" w:lineRule="auto"/>
        <w:tabs>
          <w:tab w:leader="none" w:pos="253"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001-35629</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ind w:left="2460"/>
        <w:spacing w:after="0" w:line="232" w:lineRule="auto"/>
        <w:tabs>
          <w:tab w:leader="none" w:pos="80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45-5538095</w:t>
      </w:r>
    </w:p>
    <w:p>
      <w:pPr>
        <w:ind w:left="720"/>
        <w:spacing w:after="0"/>
        <w:tabs>
          <w:tab w:leader="none" w:pos="7140" w:val="left"/>
        </w:tabs>
        <w:rPr>
          <w:sz w:val="20"/>
          <w:szCs w:val="20"/>
          <w:color w:val="auto"/>
        </w:rPr>
      </w:pPr>
      <w:r>
        <w:rPr>
          <w:rFonts w:ascii="Times New Roman" w:cs="Times New Roman" w:eastAsia="Times New Roman" w:hAnsi="Times New Roman"/>
          <w:sz w:val="18"/>
          <w:szCs w:val="18"/>
          <w:color w:val="auto"/>
        </w:rPr>
        <w:t>(State or other jurisdiction of incorporation or organization)</w:t>
      </w:r>
      <w:r>
        <w:rPr>
          <w:sz w:val="20"/>
          <w:szCs w:val="20"/>
          <w:color w:val="auto"/>
        </w:rPr>
        <w:tab/>
      </w:r>
      <w:r>
        <w:rPr>
          <w:rFonts w:ascii="Times New Roman" w:cs="Times New Roman" w:eastAsia="Times New Roman" w:hAnsi="Times New Roman"/>
          <w:sz w:val="16"/>
          <w:szCs w:val="16"/>
          <w:color w:val="auto"/>
        </w:rPr>
        <w:t>(I.R.S. Employer Identification No.)</w:t>
      </w:r>
    </w:p>
    <w:p>
      <w:pPr>
        <w:spacing w:after="0" w:line="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14000 Carlson Parkway, Plymouth, Minnesota 55441</w:t>
      </w:r>
    </w:p>
    <w:p>
      <w:pPr>
        <w:ind w:left="3540"/>
        <w:spacing w:after="0" w:line="228" w:lineRule="auto"/>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ind w:left="5080"/>
        <w:spacing w:after="0" w:line="213" w:lineRule="auto"/>
        <w:rPr>
          <w:sz w:val="20"/>
          <w:szCs w:val="20"/>
          <w:color w:val="auto"/>
        </w:rPr>
      </w:pPr>
      <w:r>
        <w:rPr>
          <w:rFonts w:ascii="Times New Roman" w:cs="Times New Roman" w:eastAsia="Times New Roman" w:hAnsi="Times New Roman"/>
          <w:sz w:val="18"/>
          <w:szCs w:val="18"/>
          <w:b w:val="1"/>
          <w:bCs w:val="1"/>
          <w:color w:val="auto"/>
        </w:rPr>
        <w:t>(763) 852-2950</w:t>
      </w:r>
    </w:p>
    <w:p>
      <w:pPr>
        <w:ind w:left="3760"/>
        <w:spacing w:after="0" w:line="214" w:lineRule="auto"/>
        <w:rPr>
          <w:sz w:val="20"/>
          <w:szCs w:val="20"/>
          <w:color w:val="auto"/>
        </w:rPr>
      </w:pPr>
      <w:r>
        <w:rPr>
          <w:rFonts w:ascii="Times New Roman" w:cs="Times New Roman" w:eastAsia="Times New Roman" w:hAnsi="Times New Roman"/>
          <w:sz w:val="18"/>
          <w:szCs w:val="18"/>
          <w:color w:val="auto"/>
        </w:rPr>
        <w:t>(Registrant’s telephone number, including area code)</w:t>
      </w:r>
    </w:p>
    <w:p>
      <w:pPr>
        <w:ind w:left="36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40"/>
          </w:cols>
          <w:pgMar w:left="320" w:top="213" w:right="439" w:bottom="1440" w:gutter="0" w:footer="0" w:header="0"/>
        </w:sectPr>
      </w:pPr>
    </w:p>
    <w:p>
      <w:pPr>
        <w:spacing w:after="0" w:line="3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TTSH</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72" w:lineRule="exact"/>
        <w:rPr>
          <w:sz w:val="24"/>
          <w:szCs w:val="24"/>
          <w:color w:val="auto"/>
        </w:rPr>
      </w:pPr>
    </w:p>
    <w:p>
      <w:pPr>
        <w:sectPr>
          <w:pgSz w:w="11900" w:h="16838" w:orient="portrait"/>
          <w:cols w:equalWidth="0" w:num="3">
            <w:col w:w="4280" w:space="720"/>
            <w:col w:w="1840" w:space="720"/>
            <w:col w:w="3580"/>
          </w:cols>
          <w:pgMar w:left="320" w:top="213" w:right="4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jc w:val="center"/>
        <w:ind w:right="-59"/>
        <w:spacing w:after="0" w:line="224" w:lineRule="auto"/>
        <w:rPr>
          <w:sz w:val="20"/>
          <w:szCs w:val="20"/>
          <w:color w:val="auto"/>
        </w:rPr>
      </w:pPr>
      <w:r>
        <w:rPr>
          <w:rFonts w:ascii="Times New Roman" w:cs="Times New Roman" w:eastAsia="Times New Roman" w:hAnsi="Times New Roman"/>
          <w:sz w:val="18"/>
          <w:szCs w:val="18"/>
          <w:b w:val="1"/>
          <w:bCs w:val="1"/>
          <w:color w:val="auto"/>
        </w:rPr>
        <w:t>None</w:t>
      </w:r>
    </w:p>
    <w:p>
      <w:pPr>
        <w:spacing w:after="0" w:line="1" w:lineRule="exact"/>
        <w:rPr>
          <w:sz w:val="24"/>
          <w:szCs w:val="24"/>
          <w:color w:val="auto"/>
        </w:rPr>
      </w:pPr>
    </w:p>
    <w:p>
      <w:pPr>
        <w:ind w:right="2720"/>
        <w:spacing w:after="0" w:line="247"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0" w:lineRule="exact"/>
        <w:rPr>
          <w:sz w:val="24"/>
          <w:szCs w:val="24"/>
          <w:color w:val="auto"/>
        </w:rPr>
      </w:pPr>
    </w:p>
    <w:p>
      <w:pPr>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6" w:lineRule="exact"/>
        <w:rPr>
          <w:sz w:val="24"/>
          <w:szCs w:val="24"/>
          <w:color w:val="auto"/>
        </w:rPr>
      </w:pPr>
    </w:p>
    <w:p>
      <w:pPr>
        <w:ind w:right="420"/>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13" w:right="439" w:bottom="1440" w:gutter="0" w:footer="0" w:header="0"/>
          <w:type w:val="continuous"/>
        </w:sectPr>
      </w:pPr>
    </w:p>
    <w:p>
      <w:pPr>
        <w:spacing w:after="0" w:line="1" w:lineRule="exact"/>
        <w:rPr>
          <w:sz w:val="24"/>
          <w:szCs w:val="24"/>
          <w:color w:val="auto"/>
        </w:rPr>
      </w:pPr>
    </w:p>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33"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2"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4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96" w:lineRule="exact"/>
        <w:rPr>
          <w:sz w:val="24"/>
          <w:szCs w:val="24"/>
          <w:color w:val="auto"/>
        </w:rPr>
      </w:pPr>
    </w:p>
    <w:p>
      <w:pPr>
        <w:sectPr>
          <w:pgSz w:w="11900" w:h="16838" w:orient="portrait"/>
          <w:cols w:equalWidth="0" w:num="2">
            <w:col w:w="5440" w:space="720"/>
            <w:col w:w="4980"/>
          </w:cols>
          <w:pgMar w:left="320" w:top="213" w:right="439" w:bottom="1440" w:gutter="0" w:footer="0" w:header="0"/>
          <w:type w:val="continuous"/>
        </w:sectPr>
      </w:pPr>
    </w:p>
    <w:p>
      <w:pPr>
        <w:ind w:right="180"/>
        <w:spacing w:after="0" w:line="20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ind w:right="40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46" w:lineRule="exact"/>
        <w:rPr>
          <w:sz w:val="24"/>
          <w:szCs w:val="24"/>
          <w:color w:val="auto"/>
        </w:rPr>
      </w:pPr>
    </w:p>
    <w:p>
      <w:pPr>
        <w:ind w:right="500"/>
        <w:spacing w:after="0" w:line="20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0" w:lineRule="exact"/>
        <w:rPr>
          <w:sz w:val="24"/>
          <w:szCs w:val="24"/>
          <w:color w:val="auto"/>
        </w:rPr>
      </w:pPr>
    </w:p>
    <w:p>
      <w:pPr>
        <w:ind w:right="500"/>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9" w:lineRule="exact"/>
        <w:rPr>
          <w:sz w:val="24"/>
          <w:szCs w:val="24"/>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computed by reference to the price at which the common equity was last sold as of the last business day of the registrant’s most recently completed second fiscal quarter was approximately: $196,850,780.</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24, 2025, the registrant had 44,657,898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321945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21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Certain information required by Part III is incorporated by reference from the Company’s Definitive Proxy Statement for the Annual Meeting of Stockholders, or an amendment to this Form 10-K, which the Company intends to file with the SEC within 120 days after the fiscal year end covered by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13613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156210</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694055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4"/>
              </w:rPr>
              <w:t>Table of Contents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4"/>
        </w:trPr>
        <w:tc>
          <w:tcPr>
            <w:tcW w:w="1050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TILE SHOP HOLDINGS, INC. FORM 10-K</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60" w:type="dxa"/>
            <w:vAlign w:val="bottom"/>
            <w:gridSpan w:val="11"/>
          </w:tcPr>
          <w:p>
            <w:pPr>
              <w:ind w:left="400"/>
              <w:spacing w:after="0"/>
              <w:rPr>
                <w:sz w:val="20"/>
                <w:szCs w:val="20"/>
                <w:color w:val="auto"/>
              </w:rPr>
            </w:pPr>
            <w:r>
              <w:rPr>
                <w:rFonts w:ascii="Times New Roman" w:cs="Times New Roman" w:eastAsia="Times New Roman" w:hAnsi="Times New Roman"/>
                <w:sz w:val="18"/>
                <w:szCs w:val="18"/>
                <w:color w:val="auto"/>
              </w:rPr>
              <w:t>TABLE OF CONTENTS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40" w:type="dxa"/>
            <w:vAlign w:val="bottom"/>
            <w:gridSpan w:val="6"/>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PART I</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tcBorders>
              <w:left w:val="single" w:sz="8" w:color="CCEEFF"/>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00" w:type="dxa"/>
            <w:vAlign w:val="bottom"/>
            <w:gridSpan w:val="5"/>
          </w:tcPr>
          <w:p>
            <w:pPr>
              <w:spacing w:after="0" w:line="157" w:lineRule="exact"/>
              <w:rPr>
                <w:sz w:val="20"/>
                <w:szCs w:val="20"/>
                <w:color w:val="auto"/>
              </w:rPr>
            </w:pPr>
            <w:r>
              <w:rPr>
                <w:rFonts w:ascii="Times New Roman" w:cs="Times New Roman" w:eastAsia="Times New Roman" w:hAnsi="Times New Roman"/>
                <w:sz w:val="18"/>
                <w:szCs w:val="18"/>
                <w:color w:val="0000FF"/>
              </w:rPr>
              <w:t>ITEM 1</w:t>
            </w:r>
            <w:r>
              <w:rPr>
                <w:rFonts w:ascii="Times New Roman" w:cs="Times New Roman" w:eastAsia="Times New Roman" w:hAnsi="Times New Roman"/>
                <w:sz w:val="18"/>
                <w:szCs w:val="18"/>
                <w:color w:val="000000"/>
              </w:rPr>
              <w:t>.</w:t>
            </w:r>
          </w:p>
        </w:tc>
        <w:tc>
          <w:tcPr>
            <w:tcW w:w="9260" w:type="dxa"/>
            <w:vAlign w:val="bottom"/>
            <w:gridSpan w:val="22"/>
          </w:tcPr>
          <w:p>
            <w:pPr>
              <w:ind w:left="100"/>
              <w:spacing w:after="0" w:line="157" w:lineRule="exact"/>
              <w:rPr>
                <w:sz w:val="20"/>
                <w:szCs w:val="20"/>
                <w:color w:val="auto"/>
              </w:rPr>
            </w:pPr>
            <w:r>
              <w:rPr>
                <w:rFonts w:ascii="Times New Roman" w:cs="Times New Roman" w:eastAsia="Times New Roman" w:hAnsi="Times New Roman"/>
                <w:sz w:val="18"/>
                <w:szCs w:val="18"/>
                <w:color w:val="0000FF"/>
              </w:rPr>
              <w:t>BUSINESS</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4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ITEM 1A</w:t>
            </w:r>
            <w:r>
              <w:rPr>
                <w:rFonts w:ascii="Times New Roman" w:cs="Times New Roman" w:eastAsia="Times New Roman" w:hAnsi="Times New Roman"/>
                <w:sz w:val="18"/>
                <w:szCs w:val="18"/>
                <w:color w:val="000000"/>
              </w:rPr>
              <w:t>.</w:t>
            </w:r>
          </w:p>
        </w:tc>
        <w:tc>
          <w:tcPr>
            <w:tcW w:w="9260" w:type="dxa"/>
            <w:vAlign w:val="bottom"/>
            <w:gridSpan w:val="22"/>
            <w:shd w:val="clear" w:color="auto" w:fill="CCEEFF"/>
          </w:tcPr>
          <w:p>
            <w:pPr>
              <w:ind w:left="100"/>
              <w:spacing w:after="0" w:line="157" w:lineRule="exact"/>
              <w:rPr>
                <w:sz w:val="20"/>
                <w:szCs w:val="20"/>
                <w:color w:val="auto"/>
              </w:rPr>
            </w:pPr>
            <w:r>
              <w:rPr>
                <w:rFonts w:ascii="Times New Roman" w:cs="Times New Roman" w:eastAsia="Times New Roman" w:hAnsi="Times New Roman"/>
                <w:sz w:val="18"/>
                <w:szCs w:val="18"/>
                <w:color w:val="0000FF"/>
              </w:rPr>
              <w:t>RISK FACTORS</w:t>
            </w:r>
          </w:p>
        </w:tc>
        <w:tc>
          <w:tcPr>
            <w:tcW w:w="7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6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40" w:type="dxa"/>
            <w:vAlign w:val="bottom"/>
          </w:tcPr>
          <w:p>
            <w:pPr>
              <w:spacing w:after="0"/>
              <w:rPr>
                <w:sz w:val="13"/>
                <w:szCs w:val="13"/>
                <w:color w:val="auto"/>
              </w:rPr>
            </w:pPr>
          </w:p>
        </w:tc>
        <w:tc>
          <w:tcPr>
            <w:tcW w:w="1000" w:type="dxa"/>
            <w:vAlign w:val="bottom"/>
            <w:gridSpan w:val="5"/>
          </w:tcPr>
          <w:p>
            <w:pPr>
              <w:spacing w:after="0" w:line="157" w:lineRule="exact"/>
              <w:rPr>
                <w:sz w:val="20"/>
                <w:szCs w:val="20"/>
                <w:color w:val="auto"/>
              </w:rPr>
            </w:pPr>
            <w:r>
              <w:rPr>
                <w:rFonts w:ascii="Times New Roman" w:cs="Times New Roman" w:eastAsia="Times New Roman" w:hAnsi="Times New Roman"/>
                <w:sz w:val="18"/>
                <w:szCs w:val="18"/>
                <w:color w:val="0000FF"/>
              </w:rPr>
              <w:t>ITEM 1B</w:t>
            </w:r>
            <w:r>
              <w:rPr>
                <w:rFonts w:ascii="Times New Roman" w:cs="Times New Roman" w:eastAsia="Times New Roman" w:hAnsi="Times New Roman"/>
                <w:sz w:val="18"/>
                <w:szCs w:val="18"/>
                <w:color w:val="000000"/>
              </w:rPr>
              <w:t>.</w:t>
            </w:r>
          </w:p>
        </w:tc>
        <w:tc>
          <w:tcPr>
            <w:tcW w:w="9260" w:type="dxa"/>
            <w:vAlign w:val="bottom"/>
            <w:gridSpan w:val="22"/>
          </w:tcPr>
          <w:p>
            <w:pPr>
              <w:ind w:left="100"/>
              <w:spacing w:after="0" w:line="157"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4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ITEM 1C.</w:t>
            </w:r>
          </w:p>
        </w:tc>
        <w:tc>
          <w:tcPr>
            <w:tcW w:w="9260" w:type="dxa"/>
            <w:vAlign w:val="bottom"/>
            <w:gridSpan w:val="22"/>
            <w:shd w:val="clear" w:color="auto" w:fill="CCEEFF"/>
          </w:tcPr>
          <w:p>
            <w:pPr>
              <w:ind w:left="100"/>
              <w:spacing w:after="0" w:line="157" w:lineRule="exact"/>
              <w:rPr>
                <w:sz w:val="20"/>
                <w:szCs w:val="20"/>
                <w:color w:val="auto"/>
              </w:rPr>
            </w:pPr>
            <w:r>
              <w:rPr>
                <w:rFonts w:ascii="Times New Roman" w:cs="Times New Roman" w:eastAsia="Times New Roman" w:hAnsi="Times New Roman"/>
                <w:sz w:val="18"/>
                <w:szCs w:val="18"/>
                <w:color w:val="0000FF"/>
              </w:rPr>
              <w:t>CYBERSECURITY</w:t>
            </w:r>
          </w:p>
        </w:tc>
        <w:tc>
          <w:tcPr>
            <w:tcW w:w="7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CCEE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6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40" w:type="dxa"/>
            <w:vAlign w:val="bottom"/>
          </w:tcPr>
          <w:p>
            <w:pPr>
              <w:spacing w:after="0"/>
              <w:rPr>
                <w:sz w:val="13"/>
                <w:szCs w:val="13"/>
                <w:color w:val="auto"/>
              </w:rPr>
            </w:pPr>
          </w:p>
        </w:tc>
        <w:tc>
          <w:tcPr>
            <w:tcW w:w="740" w:type="dxa"/>
            <w:vAlign w:val="bottom"/>
            <w:gridSpan w:val="3"/>
          </w:tcPr>
          <w:p>
            <w:pPr>
              <w:spacing w:after="0" w:line="157" w:lineRule="exact"/>
              <w:rPr>
                <w:sz w:val="20"/>
                <w:szCs w:val="20"/>
                <w:color w:val="auto"/>
              </w:rPr>
            </w:pPr>
            <w:r>
              <w:rPr>
                <w:rFonts w:ascii="Times New Roman" w:cs="Times New Roman" w:eastAsia="Times New Roman" w:hAnsi="Times New Roman"/>
                <w:sz w:val="18"/>
                <w:szCs w:val="18"/>
                <w:color w:val="0000FF"/>
              </w:rPr>
              <w:t>ITEM 2</w:t>
            </w:r>
            <w:r>
              <w:rPr>
                <w:rFonts w:ascii="Times New Roman" w:cs="Times New Roman" w:eastAsia="Times New Roman" w:hAnsi="Times New Roman"/>
                <w:sz w:val="18"/>
                <w:szCs w:val="18"/>
                <w:color w:val="000000"/>
              </w:rPr>
              <w:t>.</w:t>
            </w:r>
          </w:p>
        </w:tc>
        <w:tc>
          <w:tcPr>
            <w:tcW w:w="260" w:type="dxa"/>
            <w:vAlign w:val="bottom"/>
            <w:gridSpan w:val="2"/>
          </w:tcPr>
          <w:p>
            <w:pPr>
              <w:spacing w:after="0"/>
              <w:rPr>
                <w:sz w:val="13"/>
                <w:szCs w:val="13"/>
                <w:color w:val="auto"/>
              </w:rPr>
            </w:pPr>
          </w:p>
        </w:tc>
        <w:tc>
          <w:tcPr>
            <w:tcW w:w="9260" w:type="dxa"/>
            <w:vAlign w:val="bottom"/>
            <w:gridSpan w:val="22"/>
          </w:tcPr>
          <w:p>
            <w:pPr>
              <w:ind w:left="100"/>
              <w:spacing w:after="0" w:line="157" w:lineRule="exact"/>
              <w:rPr>
                <w:sz w:val="20"/>
                <w:szCs w:val="20"/>
                <w:color w:val="auto"/>
              </w:rPr>
            </w:pPr>
            <w:r>
              <w:rPr>
                <w:rFonts w:ascii="Times New Roman" w:cs="Times New Roman" w:eastAsia="Times New Roman" w:hAnsi="Times New Roman"/>
                <w:sz w:val="18"/>
                <w:szCs w:val="18"/>
                <w:color w:val="0000FF"/>
              </w:rPr>
              <w:t>PROPERTIES</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4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ITEM 3</w:t>
            </w:r>
            <w:r>
              <w:rPr>
                <w:rFonts w:ascii="Times New Roman" w:cs="Times New Roman" w:eastAsia="Times New Roman" w:hAnsi="Times New Roman"/>
                <w:sz w:val="18"/>
                <w:szCs w:val="18"/>
                <w:color w:val="000000"/>
              </w:rPr>
              <w:t>.</w:t>
            </w:r>
          </w:p>
        </w:tc>
        <w:tc>
          <w:tcPr>
            <w:tcW w:w="9260" w:type="dxa"/>
            <w:vAlign w:val="bottom"/>
            <w:gridSpan w:val="22"/>
            <w:shd w:val="clear" w:color="auto" w:fill="CCEEFF"/>
          </w:tcPr>
          <w:p>
            <w:pPr>
              <w:ind w:left="100"/>
              <w:spacing w:after="0" w:line="157" w:lineRule="exact"/>
              <w:rPr>
                <w:sz w:val="20"/>
                <w:szCs w:val="20"/>
                <w:color w:val="auto"/>
              </w:rPr>
            </w:pPr>
            <w:r>
              <w:rPr>
                <w:rFonts w:ascii="Times New Roman" w:cs="Times New Roman" w:eastAsia="Times New Roman" w:hAnsi="Times New Roman"/>
                <w:sz w:val="18"/>
                <w:szCs w:val="18"/>
                <w:color w:val="0000FF"/>
              </w:rPr>
              <w:t>LEGAL PROCEEDINGS</w:t>
            </w:r>
          </w:p>
        </w:tc>
        <w:tc>
          <w:tcPr>
            <w:tcW w:w="7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60" w:type="dxa"/>
            <w:vAlign w:val="bottom"/>
            <w:tcBorders>
              <w:left w:val="single" w:sz="8" w:color="CCEEFF"/>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40" w:type="dxa"/>
            <w:vAlign w:val="bottom"/>
          </w:tcPr>
          <w:p>
            <w:pPr>
              <w:spacing w:after="0"/>
              <w:rPr>
                <w:sz w:val="14"/>
                <w:szCs w:val="14"/>
                <w:color w:val="auto"/>
              </w:rPr>
            </w:pPr>
          </w:p>
        </w:tc>
        <w:tc>
          <w:tcPr>
            <w:tcW w:w="1000" w:type="dxa"/>
            <w:vAlign w:val="bottom"/>
            <w:gridSpan w:val="5"/>
          </w:tcPr>
          <w:p>
            <w:pPr>
              <w:spacing w:after="0" w:line="157" w:lineRule="exact"/>
              <w:rPr>
                <w:sz w:val="20"/>
                <w:szCs w:val="20"/>
                <w:color w:val="auto"/>
              </w:rPr>
            </w:pPr>
            <w:r>
              <w:rPr>
                <w:rFonts w:ascii="Times New Roman" w:cs="Times New Roman" w:eastAsia="Times New Roman" w:hAnsi="Times New Roman"/>
                <w:sz w:val="18"/>
                <w:szCs w:val="18"/>
                <w:color w:val="0000FF"/>
              </w:rPr>
              <w:t>ITEM 4</w:t>
            </w:r>
            <w:r>
              <w:rPr>
                <w:rFonts w:ascii="Times New Roman" w:cs="Times New Roman" w:eastAsia="Times New Roman" w:hAnsi="Times New Roman"/>
                <w:sz w:val="18"/>
                <w:szCs w:val="18"/>
                <w:color w:val="000000"/>
              </w:rPr>
              <w:t>.</w:t>
            </w:r>
          </w:p>
        </w:tc>
        <w:tc>
          <w:tcPr>
            <w:tcW w:w="9260" w:type="dxa"/>
            <w:vAlign w:val="bottom"/>
            <w:gridSpan w:val="22"/>
          </w:tcPr>
          <w:p>
            <w:pPr>
              <w:ind w:left="100"/>
              <w:spacing w:after="0" w:line="157" w:lineRule="exact"/>
              <w:rPr>
                <w:sz w:val="20"/>
                <w:szCs w:val="20"/>
                <w:color w:val="auto"/>
              </w:rPr>
            </w:pPr>
            <w:r>
              <w:rPr>
                <w:rFonts w:ascii="Times New Roman" w:cs="Times New Roman" w:eastAsia="Times New Roman" w:hAnsi="Times New Roman"/>
                <w:sz w:val="18"/>
                <w:szCs w:val="18"/>
                <w:color w:val="0000FF"/>
              </w:rPr>
              <w:t>MINE SAFETY DISCLOSURES</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0" w:type="dxa"/>
            <w:vAlign w:val="bottom"/>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right w:val="single" w:sz="8" w:color="CCEE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left w:val="single" w:sz="8" w:color="CCEE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380" w:type="dxa"/>
            <w:vAlign w:val="bottom"/>
            <w:tcBorders>
              <w:top w:val="single" w:sz="8" w:color="0000FF"/>
            </w:tcBorders>
            <w:shd w:val="clear" w:color="auto" w:fill="CCEEFF"/>
          </w:tcPr>
          <w:p>
            <w:pPr>
              <w:spacing w:after="0"/>
              <w:rPr>
                <w:sz w:val="16"/>
                <w:szCs w:val="16"/>
                <w:color w:val="auto"/>
              </w:rPr>
            </w:pPr>
          </w:p>
        </w:tc>
        <w:tc>
          <w:tcPr>
            <w:tcW w:w="560" w:type="dxa"/>
            <w:vAlign w:val="bottom"/>
            <w:tcBorders>
              <w:top w:val="single" w:sz="8" w:color="0000FF"/>
              <w:left w:val="single" w:sz="8" w:color="CCEEFF"/>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4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PART II</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ITEM 5</w:t>
            </w:r>
            <w:r>
              <w:rPr>
                <w:rFonts w:ascii="Times New Roman" w:cs="Times New Roman" w:eastAsia="Times New Roman" w:hAnsi="Times New Roman"/>
                <w:sz w:val="18"/>
                <w:szCs w:val="18"/>
                <w:color w:val="000000"/>
              </w:rPr>
              <w:t>.</w:t>
            </w:r>
          </w:p>
        </w:tc>
        <w:tc>
          <w:tcPr>
            <w:tcW w:w="9260" w:type="dxa"/>
            <w:vAlign w:val="bottom"/>
            <w:gridSpan w:val="22"/>
            <w:shd w:val="clear" w:color="auto" w:fill="CCEEFF"/>
          </w:tcPr>
          <w:p>
            <w:pPr>
              <w:ind w:left="100"/>
              <w:spacing w:after="0" w:line="157" w:lineRule="exact"/>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w:t>
            </w:r>
          </w:p>
        </w:tc>
        <w:tc>
          <w:tcPr>
            <w:tcW w:w="7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left w:val="single" w:sz="8" w:color="CCEEFF"/>
            </w:tcBorders>
            <w:shd w:val="clear" w:color="auto" w:fill="CCEEFF"/>
          </w:tcPr>
          <w:p>
            <w:pPr>
              <w:spacing w:after="0"/>
              <w:rPr>
                <w:sz w:val="14"/>
                <w:szCs w:val="14"/>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60" w:type="dxa"/>
            <w:vAlign w:val="bottom"/>
            <w:tcBorders>
              <w:top w:val="single" w:sz="8" w:color="0000FF"/>
            </w:tcBorders>
            <w:gridSpan w:val="18"/>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0000FF"/>
              </w:rPr>
              <w:t>PURCHASES OF EQUITY SECURITIES</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28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tcBorders>
              <w:lef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560" w:type="dxa"/>
            <w:vAlign w:val="bottom"/>
            <w:tcBorders>
              <w:left w:val="single" w:sz="8" w:color="0000FF"/>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40" w:type="dxa"/>
            <w:vAlign w:val="bottom"/>
          </w:tcPr>
          <w:p>
            <w:pPr>
              <w:spacing w:after="0"/>
              <w:rPr>
                <w:sz w:val="13"/>
                <w:szCs w:val="13"/>
                <w:color w:val="auto"/>
              </w:rPr>
            </w:pPr>
          </w:p>
        </w:tc>
        <w:tc>
          <w:tcPr>
            <w:tcW w:w="1000" w:type="dxa"/>
            <w:vAlign w:val="bottom"/>
            <w:gridSpan w:val="5"/>
          </w:tcPr>
          <w:p>
            <w:pPr>
              <w:spacing w:after="0" w:line="157" w:lineRule="exact"/>
              <w:rPr>
                <w:sz w:val="20"/>
                <w:szCs w:val="20"/>
                <w:color w:val="auto"/>
              </w:rPr>
            </w:pPr>
            <w:r>
              <w:rPr>
                <w:rFonts w:ascii="Times New Roman" w:cs="Times New Roman" w:eastAsia="Times New Roman" w:hAnsi="Times New Roman"/>
                <w:sz w:val="18"/>
                <w:szCs w:val="18"/>
                <w:color w:val="0000FF"/>
              </w:rPr>
              <w:t>ITEM 6.</w:t>
            </w:r>
          </w:p>
        </w:tc>
        <w:tc>
          <w:tcPr>
            <w:tcW w:w="9260" w:type="dxa"/>
            <w:vAlign w:val="bottom"/>
            <w:gridSpan w:val="22"/>
          </w:tcPr>
          <w:p>
            <w:pPr>
              <w:ind w:left="100"/>
              <w:spacing w:after="0" w:line="157" w:lineRule="exact"/>
              <w:rPr>
                <w:sz w:val="20"/>
                <w:szCs w:val="20"/>
                <w:color w:val="auto"/>
              </w:rPr>
            </w:pPr>
            <w:r>
              <w:rPr>
                <w:rFonts w:ascii="Times New Roman" w:cs="Times New Roman" w:eastAsia="Times New Roman" w:hAnsi="Times New Roman"/>
                <w:sz w:val="18"/>
                <w:szCs w:val="18"/>
                <w:color w:val="0000FF"/>
              </w:rPr>
              <w:t>[RESERVED]</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4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ITEM 7</w:t>
            </w:r>
            <w:r>
              <w:rPr>
                <w:rFonts w:ascii="Times New Roman" w:cs="Times New Roman" w:eastAsia="Times New Roman" w:hAnsi="Times New Roman"/>
                <w:sz w:val="18"/>
                <w:szCs w:val="18"/>
                <w:color w:val="000000"/>
              </w:rPr>
              <w:t>.</w:t>
            </w:r>
          </w:p>
        </w:tc>
        <w:tc>
          <w:tcPr>
            <w:tcW w:w="9260" w:type="dxa"/>
            <w:vAlign w:val="bottom"/>
            <w:gridSpan w:val="22"/>
            <w:shd w:val="clear" w:color="auto" w:fill="CCEEFF"/>
          </w:tcPr>
          <w:p>
            <w:pPr>
              <w:ind w:left="100"/>
              <w:spacing w:after="0" w:line="157"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40" w:type="dxa"/>
            <w:vAlign w:val="bottom"/>
          </w:tcPr>
          <w:p>
            <w:pPr>
              <w:spacing w:after="0"/>
              <w:rPr>
                <w:sz w:val="13"/>
                <w:szCs w:val="13"/>
                <w:color w:val="auto"/>
              </w:rPr>
            </w:pPr>
          </w:p>
        </w:tc>
        <w:tc>
          <w:tcPr>
            <w:tcW w:w="740" w:type="dxa"/>
            <w:vAlign w:val="bottom"/>
            <w:gridSpan w:val="3"/>
          </w:tcPr>
          <w:p>
            <w:pPr>
              <w:spacing w:after="0" w:line="157" w:lineRule="exact"/>
              <w:rPr>
                <w:sz w:val="20"/>
                <w:szCs w:val="20"/>
                <w:color w:val="auto"/>
              </w:rPr>
            </w:pPr>
            <w:r>
              <w:rPr>
                <w:rFonts w:ascii="Times New Roman" w:cs="Times New Roman" w:eastAsia="Times New Roman" w:hAnsi="Times New Roman"/>
                <w:sz w:val="18"/>
                <w:szCs w:val="18"/>
                <w:color w:val="0000FF"/>
                <w:w w:val="93"/>
              </w:rPr>
              <w:t>ITEM 7A.</w:t>
            </w:r>
          </w:p>
        </w:tc>
        <w:tc>
          <w:tcPr>
            <w:tcW w:w="260" w:type="dxa"/>
            <w:vAlign w:val="bottom"/>
            <w:gridSpan w:val="2"/>
          </w:tcPr>
          <w:p>
            <w:pPr>
              <w:spacing w:after="0"/>
              <w:rPr>
                <w:sz w:val="13"/>
                <w:szCs w:val="13"/>
                <w:color w:val="auto"/>
              </w:rPr>
            </w:pPr>
          </w:p>
        </w:tc>
        <w:tc>
          <w:tcPr>
            <w:tcW w:w="9260" w:type="dxa"/>
            <w:vAlign w:val="bottom"/>
            <w:gridSpan w:val="22"/>
          </w:tcPr>
          <w:p>
            <w:pPr>
              <w:ind w:left="100"/>
              <w:spacing w:after="0" w:line="157"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40" w:type="dxa"/>
            <w:vAlign w:val="bottom"/>
            <w:shd w:val="clear" w:color="auto" w:fill="CCEEFF"/>
          </w:tcPr>
          <w:p>
            <w:pPr>
              <w:spacing w:after="0"/>
              <w:rPr>
                <w:sz w:val="13"/>
                <w:szCs w:val="13"/>
                <w:color w:val="auto"/>
              </w:rPr>
            </w:pPr>
          </w:p>
        </w:tc>
        <w:tc>
          <w:tcPr>
            <w:tcW w:w="740" w:type="dxa"/>
            <w:vAlign w:val="bottom"/>
            <w:tcBorders>
              <w:right w:val="single" w:sz="8" w:color="CCEEFF"/>
            </w:tcBorders>
            <w:gridSpan w:val="3"/>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ITEM 8</w:t>
            </w:r>
            <w:r>
              <w:rPr>
                <w:rFonts w:ascii="Times New Roman" w:cs="Times New Roman" w:eastAsia="Times New Roman" w:hAnsi="Times New Roman"/>
                <w:sz w:val="18"/>
                <w:szCs w:val="18"/>
                <w:color w:val="000000"/>
              </w:rPr>
              <w:t>.</w:t>
            </w:r>
          </w:p>
        </w:tc>
        <w:tc>
          <w:tcPr>
            <w:tcW w:w="260" w:type="dxa"/>
            <w:vAlign w:val="bottom"/>
            <w:gridSpan w:val="2"/>
            <w:shd w:val="clear" w:color="auto" w:fill="CCEEFF"/>
          </w:tcPr>
          <w:p>
            <w:pPr>
              <w:spacing w:after="0"/>
              <w:rPr>
                <w:sz w:val="13"/>
                <w:szCs w:val="13"/>
                <w:color w:val="auto"/>
              </w:rPr>
            </w:pPr>
          </w:p>
        </w:tc>
        <w:tc>
          <w:tcPr>
            <w:tcW w:w="9260" w:type="dxa"/>
            <w:vAlign w:val="bottom"/>
            <w:gridSpan w:val="22"/>
            <w:shd w:val="clear" w:color="auto" w:fill="CCEEFF"/>
          </w:tcPr>
          <w:p>
            <w:pPr>
              <w:ind w:left="100"/>
              <w:spacing w:after="0" w:line="157"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40" w:type="dxa"/>
            <w:vAlign w:val="bottom"/>
          </w:tcPr>
          <w:p>
            <w:pPr>
              <w:spacing w:after="0"/>
              <w:rPr>
                <w:sz w:val="13"/>
                <w:szCs w:val="13"/>
                <w:color w:val="auto"/>
              </w:rPr>
            </w:pPr>
          </w:p>
        </w:tc>
        <w:tc>
          <w:tcPr>
            <w:tcW w:w="1000" w:type="dxa"/>
            <w:vAlign w:val="bottom"/>
            <w:gridSpan w:val="5"/>
          </w:tcPr>
          <w:p>
            <w:pPr>
              <w:spacing w:after="0" w:line="157" w:lineRule="exact"/>
              <w:rPr>
                <w:sz w:val="20"/>
                <w:szCs w:val="20"/>
                <w:color w:val="auto"/>
              </w:rPr>
            </w:pPr>
            <w:r>
              <w:rPr>
                <w:rFonts w:ascii="Times New Roman" w:cs="Times New Roman" w:eastAsia="Times New Roman" w:hAnsi="Times New Roman"/>
                <w:sz w:val="18"/>
                <w:szCs w:val="18"/>
                <w:color w:val="0000FF"/>
              </w:rPr>
              <w:t>ITEM 9</w:t>
            </w:r>
            <w:r>
              <w:rPr>
                <w:rFonts w:ascii="Times New Roman" w:cs="Times New Roman" w:eastAsia="Times New Roman" w:hAnsi="Times New Roman"/>
                <w:sz w:val="18"/>
                <w:szCs w:val="18"/>
                <w:color w:val="000000"/>
              </w:rPr>
              <w:t>.</w:t>
            </w:r>
          </w:p>
        </w:tc>
        <w:tc>
          <w:tcPr>
            <w:tcW w:w="9260" w:type="dxa"/>
            <w:vAlign w:val="bottom"/>
            <w:gridSpan w:val="22"/>
          </w:tcPr>
          <w:p>
            <w:pPr>
              <w:ind w:left="100"/>
              <w:spacing w:after="0" w:line="157"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4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ITEM 9A</w:t>
            </w:r>
            <w:r>
              <w:rPr>
                <w:rFonts w:ascii="Times New Roman" w:cs="Times New Roman" w:eastAsia="Times New Roman" w:hAnsi="Times New Roman"/>
                <w:sz w:val="18"/>
                <w:szCs w:val="18"/>
                <w:color w:val="000000"/>
              </w:rPr>
              <w:t>.</w:t>
            </w:r>
          </w:p>
        </w:tc>
        <w:tc>
          <w:tcPr>
            <w:tcW w:w="9260" w:type="dxa"/>
            <w:vAlign w:val="bottom"/>
            <w:gridSpan w:val="22"/>
            <w:shd w:val="clear" w:color="auto" w:fill="CCEEFF"/>
          </w:tcPr>
          <w:p>
            <w:pPr>
              <w:ind w:left="100"/>
              <w:spacing w:after="0" w:line="157" w:lineRule="exact"/>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40" w:type="dxa"/>
            <w:vAlign w:val="bottom"/>
          </w:tcPr>
          <w:p>
            <w:pPr>
              <w:spacing w:after="0"/>
              <w:rPr>
                <w:sz w:val="13"/>
                <w:szCs w:val="13"/>
                <w:color w:val="auto"/>
              </w:rPr>
            </w:pPr>
          </w:p>
        </w:tc>
        <w:tc>
          <w:tcPr>
            <w:tcW w:w="1000" w:type="dxa"/>
            <w:vAlign w:val="bottom"/>
            <w:gridSpan w:val="5"/>
          </w:tcPr>
          <w:p>
            <w:pPr>
              <w:spacing w:after="0" w:line="157" w:lineRule="exact"/>
              <w:rPr>
                <w:sz w:val="20"/>
                <w:szCs w:val="20"/>
                <w:color w:val="auto"/>
              </w:rPr>
            </w:pPr>
            <w:r>
              <w:rPr>
                <w:rFonts w:ascii="Times New Roman" w:cs="Times New Roman" w:eastAsia="Times New Roman" w:hAnsi="Times New Roman"/>
                <w:sz w:val="18"/>
                <w:szCs w:val="18"/>
                <w:color w:val="0000FF"/>
              </w:rPr>
              <w:t>ITEM 9B</w:t>
            </w:r>
            <w:r>
              <w:rPr>
                <w:rFonts w:ascii="Times New Roman" w:cs="Times New Roman" w:eastAsia="Times New Roman" w:hAnsi="Times New Roman"/>
                <w:sz w:val="18"/>
                <w:szCs w:val="18"/>
                <w:color w:val="000000"/>
              </w:rPr>
              <w:t>.</w:t>
            </w:r>
          </w:p>
        </w:tc>
        <w:tc>
          <w:tcPr>
            <w:tcW w:w="9260" w:type="dxa"/>
            <w:vAlign w:val="bottom"/>
            <w:gridSpan w:val="22"/>
          </w:tcPr>
          <w:p>
            <w:pPr>
              <w:ind w:left="100"/>
              <w:spacing w:after="0" w:line="157" w:lineRule="exact"/>
              <w:rPr>
                <w:sz w:val="20"/>
                <w:szCs w:val="20"/>
                <w:color w:val="auto"/>
              </w:rPr>
            </w:pPr>
            <w:r>
              <w:rPr>
                <w:rFonts w:ascii="Times New Roman" w:cs="Times New Roman" w:eastAsia="Times New Roman" w:hAnsi="Times New Roman"/>
                <w:sz w:val="18"/>
                <w:szCs w:val="18"/>
                <w:color w:val="0000FF"/>
              </w:rPr>
              <w:t>OTHER INFORMATION</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40" w:type="dxa"/>
            <w:vAlign w:val="bottom"/>
            <w:shd w:val="clear" w:color="auto" w:fill="CCEEFF"/>
          </w:tcPr>
          <w:p>
            <w:pPr>
              <w:spacing w:after="0"/>
              <w:rPr>
                <w:sz w:val="14"/>
                <w:szCs w:val="14"/>
                <w:color w:val="auto"/>
              </w:rPr>
            </w:pPr>
          </w:p>
        </w:tc>
        <w:tc>
          <w:tcPr>
            <w:tcW w:w="1000" w:type="dxa"/>
            <w:vAlign w:val="bottom"/>
            <w:gridSpan w:val="5"/>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ITEM 9C.</w:t>
            </w:r>
          </w:p>
        </w:tc>
        <w:tc>
          <w:tcPr>
            <w:tcW w:w="9260" w:type="dxa"/>
            <w:vAlign w:val="bottom"/>
            <w:gridSpan w:val="22"/>
            <w:shd w:val="clear" w:color="auto" w:fill="CCEEFF"/>
          </w:tcPr>
          <w:p>
            <w:pPr>
              <w:ind w:left="100"/>
              <w:spacing w:after="0" w:line="157"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4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860" w:type="dxa"/>
            <w:vAlign w:val="bottom"/>
            <w:tcBorders>
              <w:top w:val="single" w:sz="8" w:color="0000FF"/>
            </w:tcBorders>
          </w:tcPr>
          <w:p>
            <w:pPr>
              <w:spacing w:after="0"/>
              <w:rPr>
                <w:sz w:val="16"/>
                <w:szCs w:val="16"/>
                <w:color w:val="auto"/>
              </w:rPr>
            </w:pPr>
          </w:p>
        </w:tc>
        <w:tc>
          <w:tcPr>
            <w:tcW w:w="4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1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40" w:type="dxa"/>
            <w:vAlign w:val="bottom"/>
            <w:gridSpan w:val="6"/>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PART III</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tcBorders>
              <w:left w:val="single" w:sz="8" w:color="CCEEFF"/>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1000" w:type="dxa"/>
            <w:vAlign w:val="bottom"/>
            <w:gridSpan w:val="5"/>
          </w:tcPr>
          <w:p>
            <w:pPr>
              <w:spacing w:after="0" w:line="157" w:lineRule="exact"/>
              <w:rPr>
                <w:sz w:val="20"/>
                <w:szCs w:val="20"/>
                <w:color w:val="auto"/>
              </w:rPr>
            </w:pPr>
            <w:r>
              <w:rPr>
                <w:rFonts w:ascii="Times New Roman" w:cs="Times New Roman" w:eastAsia="Times New Roman" w:hAnsi="Times New Roman"/>
                <w:sz w:val="18"/>
                <w:szCs w:val="18"/>
                <w:color w:val="0000FF"/>
              </w:rPr>
              <w:t>ITEM 10</w:t>
            </w:r>
            <w:r>
              <w:rPr>
                <w:rFonts w:ascii="Times New Roman" w:cs="Times New Roman" w:eastAsia="Times New Roman" w:hAnsi="Times New Roman"/>
                <w:sz w:val="18"/>
                <w:szCs w:val="18"/>
                <w:color w:val="000000"/>
              </w:rPr>
              <w:t>.</w:t>
            </w:r>
          </w:p>
        </w:tc>
        <w:tc>
          <w:tcPr>
            <w:tcW w:w="9260" w:type="dxa"/>
            <w:vAlign w:val="bottom"/>
            <w:gridSpan w:val="22"/>
          </w:tcPr>
          <w:p>
            <w:pPr>
              <w:ind w:left="100"/>
              <w:spacing w:after="0" w:line="157"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4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ITEM 11.</w:t>
            </w:r>
          </w:p>
        </w:tc>
        <w:tc>
          <w:tcPr>
            <w:tcW w:w="9260" w:type="dxa"/>
            <w:vAlign w:val="bottom"/>
            <w:gridSpan w:val="22"/>
            <w:shd w:val="clear" w:color="auto" w:fill="CCEEFF"/>
          </w:tcPr>
          <w:p>
            <w:pPr>
              <w:ind w:left="100"/>
              <w:spacing w:after="0" w:line="157" w:lineRule="exact"/>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40" w:type="dxa"/>
            <w:vAlign w:val="bottom"/>
          </w:tcPr>
          <w:p>
            <w:pPr>
              <w:spacing w:after="0"/>
              <w:rPr>
                <w:sz w:val="13"/>
                <w:szCs w:val="13"/>
                <w:color w:val="auto"/>
              </w:rPr>
            </w:pPr>
          </w:p>
        </w:tc>
        <w:tc>
          <w:tcPr>
            <w:tcW w:w="1000" w:type="dxa"/>
            <w:vAlign w:val="bottom"/>
            <w:gridSpan w:val="5"/>
          </w:tcPr>
          <w:p>
            <w:pPr>
              <w:spacing w:after="0" w:line="157" w:lineRule="exact"/>
              <w:rPr>
                <w:sz w:val="20"/>
                <w:szCs w:val="20"/>
                <w:color w:val="auto"/>
              </w:rPr>
            </w:pPr>
            <w:r>
              <w:rPr>
                <w:rFonts w:ascii="Times New Roman" w:cs="Times New Roman" w:eastAsia="Times New Roman" w:hAnsi="Times New Roman"/>
                <w:sz w:val="18"/>
                <w:szCs w:val="18"/>
                <w:color w:val="0000FF"/>
              </w:rPr>
              <w:t>ITEM 12</w:t>
            </w:r>
            <w:r>
              <w:rPr>
                <w:rFonts w:ascii="Times New Roman" w:cs="Times New Roman" w:eastAsia="Times New Roman" w:hAnsi="Times New Roman"/>
                <w:sz w:val="18"/>
                <w:szCs w:val="18"/>
                <w:color w:val="000000"/>
              </w:rPr>
              <w:t>.</w:t>
            </w:r>
          </w:p>
        </w:tc>
        <w:tc>
          <w:tcPr>
            <w:tcW w:w="9260" w:type="dxa"/>
            <w:vAlign w:val="bottom"/>
            <w:gridSpan w:val="22"/>
          </w:tcPr>
          <w:p>
            <w:pPr>
              <w:ind w:left="100"/>
              <w:spacing w:after="0" w:line="157" w:lineRule="exact"/>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0000FF"/>
              <w:bottom w:val="single" w:sz="8" w:color="0000FF"/>
            </w:tcBorders>
            <w:gridSpan w:val="2"/>
          </w:tcPr>
          <w:p>
            <w:pPr>
              <w:spacing w:after="0" w:line="164" w:lineRule="exact"/>
              <w:rPr>
                <w:sz w:val="20"/>
                <w:szCs w:val="20"/>
                <w:color w:val="auto"/>
              </w:rPr>
            </w:pPr>
            <w:r>
              <w:rPr>
                <w:rFonts w:ascii="Times New Roman" w:cs="Times New Roman" w:eastAsia="Times New Roman" w:hAnsi="Times New Roman"/>
                <w:sz w:val="18"/>
                <w:szCs w:val="18"/>
                <w:color w:val="0000FF"/>
                <w:w w:val="92"/>
              </w:rPr>
              <w:t>MATTERS</w:t>
            </w:r>
          </w:p>
        </w:tc>
        <w:tc>
          <w:tcPr>
            <w:tcW w:w="8340" w:type="dxa"/>
            <w:vAlign w:val="bottom"/>
            <w:tcBorders>
              <w:top w:val="single" w:sz="8" w:color="0000FF"/>
            </w:tcBorders>
            <w:gridSpan w:val="19"/>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40" w:type="dxa"/>
            <w:vAlign w:val="bottom"/>
            <w:shd w:val="clear" w:color="auto" w:fill="CCEEFF"/>
          </w:tcPr>
          <w:p>
            <w:pPr>
              <w:spacing w:after="0"/>
              <w:rPr>
                <w:sz w:val="14"/>
                <w:szCs w:val="14"/>
                <w:color w:val="auto"/>
              </w:rPr>
            </w:pPr>
          </w:p>
        </w:tc>
        <w:tc>
          <w:tcPr>
            <w:tcW w:w="1000" w:type="dxa"/>
            <w:vAlign w:val="bottom"/>
            <w:gridSpan w:val="5"/>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rPr>
              <w:t>ITEM 13</w:t>
            </w:r>
            <w:r>
              <w:rPr>
                <w:rFonts w:ascii="Times New Roman" w:cs="Times New Roman" w:eastAsia="Times New Roman" w:hAnsi="Times New Roman"/>
                <w:sz w:val="18"/>
                <w:szCs w:val="18"/>
                <w:color w:val="000000"/>
              </w:rPr>
              <w:t>.</w:t>
            </w:r>
          </w:p>
        </w:tc>
        <w:tc>
          <w:tcPr>
            <w:tcW w:w="9260" w:type="dxa"/>
            <w:vAlign w:val="bottom"/>
            <w:gridSpan w:val="22"/>
            <w:shd w:val="clear" w:color="auto" w:fill="CCEEFF"/>
          </w:tcPr>
          <w:p>
            <w:pPr>
              <w:ind w:left="100"/>
              <w:spacing w:after="0" w:line="168"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4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4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40" w:type="dxa"/>
            <w:vAlign w:val="bottom"/>
          </w:tcPr>
          <w:p>
            <w:pPr>
              <w:spacing w:after="0"/>
              <w:rPr>
                <w:sz w:val="14"/>
                <w:szCs w:val="14"/>
                <w:color w:val="auto"/>
              </w:rPr>
            </w:pPr>
          </w:p>
        </w:tc>
        <w:tc>
          <w:tcPr>
            <w:tcW w:w="1000" w:type="dxa"/>
            <w:vAlign w:val="bottom"/>
            <w:gridSpan w:val="5"/>
          </w:tcPr>
          <w:p>
            <w:pPr>
              <w:spacing w:after="0" w:line="157" w:lineRule="exact"/>
              <w:rPr>
                <w:sz w:val="20"/>
                <w:szCs w:val="20"/>
                <w:color w:val="auto"/>
              </w:rPr>
            </w:pPr>
            <w:r>
              <w:rPr>
                <w:rFonts w:ascii="Times New Roman" w:cs="Times New Roman" w:eastAsia="Times New Roman" w:hAnsi="Times New Roman"/>
                <w:sz w:val="18"/>
                <w:szCs w:val="18"/>
                <w:color w:val="0000FF"/>
              </w:rPr>
              <w:t>ITEM 14</w:t>
            </w:r>
            <w:r>
              <w:rPr>
                <w:rFonts w:ascii="Times New Roman" w:cs="Times New Roman" w:eastAsia="Times New Roman" w:hAnsi="Times New Roman"/>
                <w:sz w:val="18"/>
                <w:szCs w:val="18"/>
                <w:color w:val="000000"/>
              </w:rPr>
              <w:t>.</w:t>
            </w:r>
          </w:p>
        </w:tc>
        <w:tc>
          <w:tcPr>
            <w:tcW w:w="9260" w:type="dxa"/>
            <w:vAlign w:val="bottom"/>
            <w:gridSpan w:val="22"/>
          </w:tcPr>
          <w:p>
            <w:pPr>
              <w:ind w:left="100"/>
              <w:spacing w:after="0" w:line="157"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0" w:type="dxa"/>
            <w:vAlign w:val="bottom"/>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right w:val="single" w:sz="8" w:color="CCEE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left w:val="single" w:sz="8" w:color="CCEE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380" w:type="dxa"/>
            <w:vAlign w:val="bottom"/>
            <w:tcBorders>
              <w:top w:val="single" w:sz="8" w:color="0000FF"/>
            </w:tcBorders>
            <w:shd w:val="clear" w:color="auto" w:fill="CCEEFF"/>
          </w:tcPr>
          <w:p>
            <w:pPr>
              <w:spacing w:after="0"/>
              <w:rPr>
                <w:sz w:val="16"/>
                <w:szCs w:val="16"/>
                <w:color w:val="auto"/>
              </w:rPr>
            </w:pPr>
          </w:p>
        </w:tc>
        <w:tc>
          <w:tcPr>
            <w:tcW w:w="560" w:type="dxa"/>
            <w:vAlign w:val="bottom"/>
            <w:tcBorders>
              <w:top w:val="single" w:sz="8" w:color="0000FF"/>
              <w:left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260" w:type="dxa"/>
            <w:vAlign w:val="bottom"/>
            <w:tcBorders>
              <w:top w:val="single" w:sz="8" w:color="0000FF"/>
            </w:tcBorders>
            <w:shd w:val="clear" w:color="auto" w:fill="CCEEFF"/>
          </w:tcPr>
          <w:p>
            <w:pPr>
              <w:spacing w:after="0"/>
              <w:rPr>
                <w:sz w:val="16"/>
                <w:szCs w:val="16"/>
                <w:color w:val="auto"/>
              </w:rPr>
            </w:pPr>
          </w:p>
        </w:tc>
        <w:tc>
          <w:tcPr>
            <w:tcW w:w="860" w:type="dxa"/>
            <w:vAlign w:val="bottom"/>
            <w:tcBorders>
              <w:top w:val="single" w:sz="8" w:color="0000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4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PART IV</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w w:val="84"/>
              </w:rPr>
              <w:t>ITEM 15.</w:t>
            </w:r>
          </w:p>
        </w:tc>
        <w:tc>
          <w:tcPr>
            <w:tcW w:w="360" w:type="dxa"/>
            <w:vAlign w:val="bottom"/>
            <w:tcBorders>
              <w:left w:val="single" w:sz="8" w:color="CCEEFF"/>
            </w:tcBorders>
            <w:gridSpan w:val="3"/>
            <w:shd w:val="clear" w:color="auto" w:fill="CCEEFF"/>
          </w:tcPr>
          <w:p>
            <w:pPr>
              <w:spacing w:after="0"/>
              <w:rPr>
                <w:sz w:val="13"/>
                <w:szCs w:val="13"/>
                <w:color w:val="auto"/>
              </w:rPr>
            </w:pPr>
          </w:p>
        </w:tc>
        <w:tc>
          <w:tcPr>
            <w:tcW w:w="9260" w:type="dxa"/>
            <w:vAlign w:val="bottom"/>
            <w:gridSpan w:val="22"/>
            <w:shd w:val="clear" w:color="auto" w:fill="CCEEFF"/>
          </w:tcPr>
          <w:p>
            <w:pPr>
              <w:ind w:left="100"/>
              <w:spacing w:after="0" w:line="157"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4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40" w:type="dxa"/>
            <w:vAlign w:val="bottom"/>
            <w:shd w:val="clear" w:color="auto" w:fill="CCEE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6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40" w:type="dxa"/>
            <w:vAlign w:val="bottom"/>
          </w:tcPr>
          <w:p>
            <w:pPr>
              <w:spacing w:after="0"/>
              <w:rPr>
                <w:sz w:val="14"/>
                <w:szCs w:val="14"/>
                <w:color w:val="auto"/>
              </w:rPr>
            </w:pPr>
          </w:p>
        </w:tc>
        <w:tc>
          <w:tcPr>
            <w:tcW w:w="64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0000FF"/>
                <w:w w:val="84"/>
              </w:rPr>
              <w:t>ITEM 16.</w:t>
            </w:r>
          </w:p>
        </w:tc>
        <w:tc>
          <w:tcPr>
            <w:tcW w:w="360" w:type="dxa"/>
            <w:vAlign w:val="bottom"/>
            <w:gridSpan w:val="3"/>
          </w:tcPr>
          <w:p>
            <w:pPr>
              <w:spacing w:after="0"/>
              <w:rPr>
                <w:sz w:val="14"/>
                <w:szCs w:val="14"/>
                <w:color w:val="auto"/>
              </w:rPr>
            </w:pPr>
          </w:p>
        </w:tc>
        <w:tc>
          <w:tcPr>
            <w:tcW w:w="9260" w:type="dxa"/>
            <w:vAlign w:val="bottom"/>
            <w:gridSpan w:val="22"/>
          </w:tcPr>
          <w:p>
            <w:pPr>
              <w:ind w:left="100"/>
              <w:spacing w:after="0" w:line="157" w:lineRule="exact"/>
              <w:rPr>
                <w:sz w:val="20"/>
                <w:szCs w:val="20"/>
                <w:color w:val="auto"/>
              </w:rPr>
            </w:pPr>
            <w:r>
              <w:rPr>
                <w:rFonts w:ascii="Times New Roman" w:cs="Times New Roman" w:eastAsia="Times New Roman" w:hAnsi="Times New Roman"/>
                <w:sz w:val="18"/>
                <w:szCs w:val="18"/>
                <w:color w:val="0000FF"/>
              </w:rPr>
              <w:t>FORM 10-K SUMMARY</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0" w:type="dxa"/>
            <w:vAlign w:val="bottom"/>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10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right w:val="single" w:sz="8" w:color="CCEE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200" w:type="dxa"/>
            <w:vAlign w:val="bottom"/>
            <w:tcBorders>
              <w:top w:val="single" w:sz="8" w:color="0000FF"/>
              <w:left w:val="single" w:sz="8" w:color="CCEEFF"/>
            </w:tcBorders>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rPr>
                <w:sz w:val="16"/>
                <w:szCs w:val="16"/>
                <w:color w:val="auto"/>
              </w:rPr>
            </w:pPr>
          </w:p>
        </w:tc>
        <w:tc>
          <w:tcPr>
            <w:tcW w:w="380" w:type="dxa"/>
            <w:vAlign w:val="bottom"/>
            <w:tcBorders>
              <w:top w:val="single" w:sz="8" w:color="0000FF"/>
            </w:tcBorders>
            <w:shd w:val="clear" w:color="auto" w:fill="CCEEFF"/>
          </w:tcPr>
          <w:p>
            <w:pPr>
              <w:spacing w:after="0"/>
              <w:rPr>
                <w:sz w:val="16"/>
                <w:szCs w:val="16"/>
                <w:color w:val="auto"/>
              </w:rPr>
            </w:pPr>
          </w:p>
        </w:tc>
        <w:tc>
          <w:tcPr>
            <w:tcW w:w="560" w:type="dxa"/>
            <w:vAlign w:val="bottom"/>
            <w:tcBorders>
              <w:left w:val="single" w:sz="8" w:color="CCEEFF"/>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240" w:type="dxa"/>
            <w:vAlign w:val="bottom"/>
            <w:gridSpan w:val="6"/>
          </w:tcPr>
          <w:p>
            <w:pPr>
              <w:spacing w:after="0" w:line="157" w:lineRule="exact"/>
              <w:rPr>
                <w:sz w:val="20"/>
                <w:szCs w:val="20"/>
                <w:color w:val="auto"/>
              </w:rPr>
            </w:pPr>
            <w:r>
              <w:rPr>
                <w:rFonts w:ascii="Times New Roman" w:cs="Times New Roman" w:eastAsia="Times New Roman" w:hAnsi="Times New Roman"/>
                <w:sz w:val="18"/>
                <w:szCs w:val="18"/>
                <w:color w:val="0000FF"/>
              </w:rPr>
              <w:t>SIGNATURES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0" w:type="dxa"/>
            <w:vAlign w:val="bottom"/>
            <w:tcBorders>
              <w:top w:val="single" w:sz="8" w:color="0000FF"/>
            </w:tcBorders>
            <w:shd w:val="clear" w:color="auto" w:fill="CCEEFF"/>
          </w:tcPr>
          <w:p>
            <w:pPr>
              <w:spacing w:after="0"/>
              <w:rPr>
                <w:sz w:val="16"/>
                <w:szCs w:val="16"/>
                <w:color w:val="auto"/>
              </w:rPr>
            </w:pPr>
          </w:p>
        </w:tc>
        <w:tc>
          <w:tcPr>
            <w:tcW w:w="56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left w:val="single" w:sz="8" w:color="CCEEFF"/>
            </w:tcBorders>
            <w:shd w:val="clear" w:color="auto" w:fill="CCEEFF"/>
          </w:tcPr>
          <w:p>
            <w:pPr>
              <w:spacing w:after="0"/>
              <w:rPr>
                <w:sz w:val="16"/>
                <w:szCs w:val="16"/>
                <w:color w:val="auto"/>
              </w:rPr>
            </w:pPr>
          </w:p>
        </w:tc>
        <w:tc>
          <w:tcPr>
            <w:tcW w:w="100" w:type="dxa"/>
            <w:vAlign w:val="bottom"/>
            <w:tcBorders>
              <w:top w:val="single" w:sz="8" w:color="0000FF"/>
              <w:left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260" w:type="dxa"/>
            <w:vAlign w:val="bottom"/>
            <w:gridSpan w:val="2"/>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tcBorders>
              <w:left w:val="single" w:sz="8" w:color="CCEEFF"/>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05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POWER OF ATTORNEY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0"/>
        </w:trPr>
        <w:tc>
          <w:tcPr>
            <w:tcW w:w="24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The Tile Shop, LLC (“The Tile Shop”) was founded in 1985 and Tile Shop Holdings, Inc. (“Holdings,” and together with its wholly owned subsidiaries, including The Tile Shop, the “Company” or “we”) was incorporated in Delaware in June 2012. We are a specialty retailer of man-made and natural stone tiles, luxury vinyl tiles, setting and maintenance materials, and related accessories in the United States. Our assortment includes over 6,000 products from around the world. Natural stone products include marble, travertine, granite, quartz, sandstone, slate, and onyx tiles. Man-made products include ceramic, porcelain, glass, cement, wood look, metal and luxury vinyl tile. The majority of our tile products are sold under our proprietary Rush River and Fired Earth brand names. We purchase our tile products, accessories and tools directly from our global network of suppliers. We manufacture our own setting and maintenance materials, such as thinset, grout and sealer, under our Superior brand name, as well as work with other suppliers to manufacture private label products. As of December 31, 2024, we operated 142 stores in 31 states and the District of Columbia, with an average size of approximately 20,000 square feet.</w:t>
      </w:r>
    </w:p>
    <w:p>
      <w:pPr>
        <w:spacing w:after="0" w:line="144"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We believe that our long-term vendor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believe that we are a leading retailer of man-made and natural stone tiles, luxury vinyl tiles, setting and maintenance materials, and related accessories in the United States.</w:t>
      </w:r>
    </w:p>
    <w:p>
      <w:pPr>
        <w:spacing w:after="0" w:line="156" w:lineRule="exact"/>
        <w:rPr>
          <w:sz w:val="20"/>
          <w:szCs w:val="20"/>
          <w:color w:val="auto"/>
        </w:rPr>
      </w:pPr>
    </w:p>
    <w:p>
      <w:pPr>
        <w:jc w:val="both"/>
        <w:ind w:right="140"/>
        <w:spacing w:after="0" w:line="235" w:lineRule="auto"/>
        <w:rPr>
          <w:sz w:val="20"/>
          <w:szCs w:val="20"/>
          <w:color w:val="auto"/>
        </w:rPr>
      </w:pPr>
      <w:r>
        <w:rPr>
          <w:rFonts w:ascii="Times New Roman" w:cs="Times New Roman" w:eastAsia="Times New Roman" w:hAnsi="Times New Roman"/>
          <w:sz w:val="18"/>
          <w:szCs w:val="18"/>
          <w:color w:val="auto"/>
        </w:rPr>
        <w:t>In 2024, we reported net sales and income from operations of $347.1 million and $3.5 million, respectively. Our 2023 and 2022 net sales were $377.1 million and $394.7 million, respectively, and our 2023 and 2022 income from operations was $16.2 million and $22.6 million, respectively. As of December 31, 2024 and 2023, we had total assets of $319.6 million and $316.7 million,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factors differentiate us from our competitors.</w:t>
      </w:r>
    </w:p>
    <w:p>
      <w:pPr>
        <w:spacing w:after="0" w:line="172"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Broad Product Assortment at Attractive Prices – </w:t>
      </w:r>
      <w:r>
        <w:rPr>
          <w:rFonts w:ascii="Times New Roman" w:cs="Times New Roman" w:eastAsia="Times New Roman" w:hAnsi="Times New Roman"/>
          <w:sz w:val="18"/>
          <w:szCs w:val="18"/>
          <w:color w:val="auto"/>
        </w:rPr>
        <w:t>We offer over 6,000 natural stone, man-made and luxury vinyl tile products, setting and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accessories, and tools. We are able to maintain competitive prices by purchasing tile and accessories directly from producers and manufacturing our own setting and maintenance materials.</w:t>
      </w:r>
    </w:p>
    <w:p>
      <w:pPr>
        <w:spacing w:after="0" w:line="152"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Customer Service and Satisfaction – </w:t>
      </w:r>
      <w:r>
        <w:rPr>
          <w:rFonts w:ascii="Times New Roman" w:cs="Times New Roman" w:eastAsia="Times New Roman" w:hAnsi="Times New Roman"/>
          <w:sz w:val="18"/>
          <w:szCs w:val="18"/>
          <w:color w:val="auto"/>
        </w:rPr>
        <w:t>Our sales personnel are highly-trained and knowledgeable about the technical and design aspects of our products.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we provide one-on-one installation training as required to meet customer needs. We accept returns up to two months following the date of the sale, with no restocking fees.</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Inspiring Customer Experience – </w:t>
      </w:r>
      <w:r>
        <w:rPr>
          <w:rFonts w:ascii="Times New Roman" w:cs="Times New Roman" w:eastAsia="Times New Roman" w:hAnsi="Times New Roman"/>
          <w:sz w:val="18"/>
          <w:szCs w:val="18"/>
          <w:color w:val="auto"/>
        </w:rPr>
        <w:t>In each store, our products are brought to life by showcasing a broad array of the items we offer in up to 50 different vignettes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bathrooms, kitchens, fireplaces, foyers, and other distinct spaces. Our stores are spacious, well-lit, and organized by product type to simplify our customers’ shopping experience.</w:t>
      </w:r>
    </w:p>
    <w:p>
      <w:pPr>
        <w:spacing w:after="0" w:line="152" w:lineRule="exact"/>
        <w:rPr>
          <w:sz w:val="20"/>
          <w:szCs w:val="20"/>
          <w:color w:val="auto"/>
        </w:rPr>
      </w:pPr>
    </w:p>
    <w:p>
      <w:pPr>
        <w:ind w:right="560"/>
        <w:spacing w:after="0"/>
        <w:rPr>
          <w:sz w:val="20"/>
          <w:szCs w:val="20"/>
          <w:color w:val="auto"/>
        </w:rPr>
      </w:pPr>
      <w:r>
        <w:rPr>
          <w:rFonts w:ascii="Times New Roman" w:cs="Times New Roman" w:eastAsia="Times New Roman" w:hAnsi="Times New Roman"/>
          <w:sz w:val="18"/>
          <w:szCs w:val="18"/>
          <w:i w:val="1"/>
          <w:iCs w:val="1"/>
          <w:color w:val="auto"/>
        </w:rPr>
        <w:t xml:space="preserve">Global Sourcing Capabilities – </w:t>
      </w:r>
      <w:r>
        <w:rPr>
          <w:rFonts w:ascii="Times New Roman" w:cs="Times New Roman" w:eastAsia="Times New Roman" w:hAnsi="Times New Roman"/>
          <w:sz w:val="18"/>
          <w:szCs w:val="18"/>
          <w:color w:val="auto"/>
        </w:rPr>
        <w:t>We have long-standing relationships with our tile suppliers throughout the world and work with them to design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exclusively for us. We believe that these direct relationships differentiate us from our competitors.</w:t>
      </w:r>
    </w:p>
    <w:p>
      <w:pPr>
        <w:spacing w:after="0" w:line="15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Proprietary Branding – </w:t>
      </w:r>
      <w:r>
        <w:rPr>
          <w:rFonts w:ascii="Times New Roman" w:cs="Times New Roman" w:eastAsia="Times New Roman" w:hAnsi="Times New Roman"/>
          <w:sz w:val="18"/>
          <w:szCs w:val="18"/>
          <w:color w:val="auto"/>
        </w:rPr>
        <w:t>We sell the majority of our products under our proprietary brand names, which helps us to differentiate our products from those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competitors. We offer products across a range of price points and quality levels, which allows us to target discrete market segments and to appeal to diverse groups of customers.</w:t>
      </w:r>
    </w:p>
    <w:p>
      <w:pPr>
        <w:spacing w:after="0" w:line="152"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18"/>
          <w:szCs w:val="18"/>
          <w:i w:val="1"/>
          <w:iCs w:val="1"/>
          <w:color w:val="auto"/>
        </w:rPr>
        <w:t xml:space="preserve">Centralized Distribution System – </w:t>
      </w:r>
      <w:r>
        <w:rPr>
          <w:rFonts w:ascii="Times New Roman" w:cs="Times New Roman" w:eastAsia="Times New Roman" w:hAnsi="Times New Roman"/>
          <w:sz w:val="18"/>
          <w:szCs w:val="18"/>
          <w:color w:val="auto"/>
        </w:rPr>
        <w:t>We service our store locations from four distribution centers. Our distribution centers, located in Michigan, Oklahoma,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Virginia, and Wisconsin, are located to cost effectively service our existing stores.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Plan</w:t>
      </w:r>
    </w:p>
    <w:p>
      <w:pPr>
        <w:spacing w:after="0" w:line="176" w:lineRule="exact"/>
        <w:rPr>
          <w:sz w:val="20"/>
          <w:szCs w:val="20"/>
          <w:color w:val="auto"/>
        </w:rPr>
      </w:pPr>
    </w:p>
    <w:p>
      <w:pPr>
        <w:ind w:right="620"/>
        <w:spacing w:after="0" w:line="238" w:lineRule="auto"/>
        <w:rPr>
          <w:sz w:val="20"/>
          <w:szCs w:val="20"/>
          <w:color w:val="auto"/>
        </w:rPr>
      </w:pPr>
      <w:r>
        <w:rPr>
          <w:rFonts w:ascii="Times New Roman" w:cs="Times New Roman" w:eastAsia="Times New Roman" w:hAnsi="Times New Roman"/>
          <w:sz w:val="18"/>
          <w:szCs w:val="18"/>
          <w:color w:val="auto"/>
        </w:rPr>
        <w:t>We are committed to carrying an outstanding assortment, offering unsurpassed customer service, and showcasing excellence within our industry. These principles have always been core to our strategy and will continue to be as we move into 2025.</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2025 strategy include:</w:t>
      </w:r>
    </w:p>
    <w:p>
      <w:pPr>
        <w:spacing w:after="0" w:line="17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People First – </w:t>
      </w:r>
      <w:r>
        <w:rPr>
          <w:rFonts w:ascii="Times New Roman" w:cs="Times New Roman" w:eastAsia="Times New Roman" w:hAnsi="Times New Roman"/>
          <w:sz w:val="18"/>
          <w:szCs w:val="18"/>
          <w:color w:val="auto"/>
        </w:rPr>
        <w:t>We pride ourselves on offering the best service in our industry, and our employees are the key to our success. We are committed to continuing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training and development programs to enhance the skill sets of all employees. We are also continuing to take steps to improve engagement, communication and collaboration across our teams.</w:t>
      </w:r>
    </w:p>
    <w:p>
      <w:pPr>
        <w:spacing w:after="0" w:line="152" w:lineRule="exact"/>
        <w:rPr>
          <w:sz w:val="20"/>
          <w:szCs w:val="20"/>
          <w:color w:val="auto"/>
        </w:rPr>
      </w:pPr>
    </w:p>
    <w:p>
      <w:pPr>
        <w:ind w:right="160"/>
        <w:spacing w:after="0" w:line="300" w:lineRule="auto"/>
        <w:rPr>
          <w:sz w:val="20"/>
          <w:szCs w:val="20"/>
          <w:color w:val="auto"/>
        </w:rPr>
      </w:pPr>
      <w:r>
        <w:rPr>
          <w:rFonts w:ascii="Times New Roman" w:cs="Times New Roman" w:eastAsia="Times New Roman" w:hAnsi="Times New Roman"/>
          <w:sz w:val="16"/>
          <w:szCs w:val="16"/>
          <w:i w:val="1"/>
          <w:iCs w:val="1"/>
          <w:color w:val="auto"/>
        </w:rPr>
        <w:t xml:space="preserve">Focused Retail Execution – </w:t>
      </w:r>
      <w:r>
        <w:rPr>
          <w:rFonts w:ascii="Times New Roman" w:cs="Times New Roman" w:eastAsia="Times New Roman" w:hAnsi="Times New Roman"/>
          <w:sz w:val="16"/>
          <w:szCs w:val="16"/>
          <w:color w:val="auto"/>
        </w:rPr>
        <w:t>We believe profitable growth is tied to our ability to leverage best practices and technology to improve productivity in each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store locations. We have defined critical success measures, tactics to drive improvement in each area of focus, and reporting processes to monitor progress.</w:t>
      </w:r>
    </w:p>
    <w:p>
      <w:pPr>
        <w:spacing w:after="0" w:line="105" w:lineRule="exact"/>
        <w:rPr>
          <w:sz w:val="20"/>
          <w:szCs w:val="20"/>
          <w:color w:val="auto"/>
        </w:rPr>
      </w:pPr>
    </w:p>
    <w:p>
      <w:pPr>
        <w:ind w:right="280"/>
        <w:spacing w:after="0" w:line="231" w:lineRule="auto"/>
        <w:rPr>
          <w:sz w:val="20"/>
          <w:szCs w:val="20"/>
          <w:color w:val="auto"/>
        </w:rPr>
      </w:pPr>
      <w:r>
        <w:rPr>
          <w:rFonts w:ascii="Times New Roman" w:cs="Times New Roman" w:eastAsia="Times New Roman" w:hAnsi="Times New Roman"/>
          <w:sz w:val="18"/>
          <w:szCs w:val="18"/>
          <w:i w:val="1"/>
          <w:iCs w:val="1"/>
          <w:color w:val="auto"/>
        </w:rPr>
        <w:t xml:space="preserve">Supply Chain – </w:t>
      </w:r>
      <w:r>
        <w:rPr>
          <w:rFonts w:ascii="Times New Roman" w:cs="Times New Roman" w:eastAsia="Times New Roman" w:hAnsi="Times New Roman"/>
          <w:sz w:val="18"/>
          <w:szCs w:val="18"/>
          <w:color w:val="auto"/>
        </w:rPr>
        <w:t>We strive to increase efficiencies within our distribution channels and transparency of product availability throughout our distribution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store locations. This enhances our ability to provide the best service in our industry and deliver products our customers desire wherever they may need them.</w:t>
      </w:r>
    </w:p>
    <w:p>
      <w:pPr>
        <w:spacing w:after="0" w:line="152" w:lineRule="exact"/>
        <w:rPr>
          <w:sz w:val="20"/>
          <w:szCs w:val="20"/>
          <w:color w:val="auto"/>
        </w:rPr>
      </w:pPr>
    </w:p>
    <w:p>
      <w:pPr>
        <w:jc w:val="both"/>
        <w:ind w:right="160"/>
        <w:spacing w:after="0" w:line="236" w:lineRule="auto"/>
        <w:rPr>
          <w:sz w:val="20"/>
          <w:szCs w:val="20"/>
          <w:color w:val="auto"/>
        </w:rPr>
      </w:pPr>
      <w:r>
        <w:rPr>
          <w:rFonts w:ascii="Times New Roman" w:cs="Times New Roman" w:eastAsia="Times New Roman" w:hAnsi="Times New Roman"/>
          <w:sz w:val="18"/>
          <w:szCs w:val="18"/>
          <w:i w:val="1"/>
          <w:iCs w:val="1"/>
          <w:color w:val="auto"/>
        </w:rPr>
        <w:t>Assortment Management –</w:t>
      </w:r>
      <w:r>
        <w:rPr>
          <w:rFonts w:ascii="Times New Roman" w:cs="Times New Roman" w:eastAsia="Times New Roman" w:hAnsi="Times New Roman"/>
          <w:sz w:val="18"/>
          <w:szCs w:val="18"/>
          <w:color w:val="auto"/>
        </w:rPr>
        <w:t>We curate an industry leading assortment, which is a foundational aspect of our strategy. Our assortment includes good, better,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best options for our customers within each of the product categories we carry in our stores and online. We continue to focus on maintaining an assortment that differentiates our brand.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Model</w:t>
      </w:r>
    </w:p>
    <w:p>
      <w:pPr>
        <w:spacing w:after="0" w:line="17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We principally sell our products directly to homeowners and professionals. With regard to individual customers, we believe that, due to the average cost and relative infrequency of a tile purchase, many of our individual customers conduct extensive research using multiple channels before making a purchase decision. Our sales strategy emphasizes customer service by providing comprehensive and convenient educational tools on our website and in our stores for our customers to learn about our products and the tile installation process. Our website contains a broad range of information regarding our tile products, setting and maintenance materials, and accessories. Customers can order samples, view catalogs, or purchase products from our stores or online. Customers can choose to have their purchases delivered or picked up at one of our stores. We believe this strategy also positions us well with professional customers who are influenced by the preferences of individual homeowners.</w:t>
      </w:r>
    </w:p>
    <w:p>
      <w:pPr>
        <w:spacing w:after="0" w:line="153"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8"/>
          <w:szCs w:val="18"/>
          <w:color w:val="auto"/>
        </w:rPr>
        <w:t>Our stores are designed to emphasize our products in a visually appealing showroom format. Our average store is approximately 20,000 square feet, with a majority of the square footage devoted to the showroom. Several thousand square feet is used for warehouse space, which is used primarily to hold customer orders waiting to be picked up or delivered. Our stores are typically accessible from major roadways and have significant visibility to passing traffic. We can adapt to a range of existing buildings, whether free-standing or in shopping centers. All of our stores are leased.</w:t>
      </w:r>
    </w:p>
    <w:p>
      <w:pPr>
        <w:spacing w:after="0" w:line="15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A staffing model for a typical store consists of a manager, an assistant manager, sales associates, and a warehouse leader. Our store managers are responsible for store operations and for overseeing our customers’ shopping experience.</w:t>
      </w:r>
    </w:p>
    <w:p>
      <w:pPr>
        <w:spacing w:after="0" w:line="155"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Our website, TileShop.com, supplements our store experience and is designed for consumers to learn about our brand, our value propositions, and our product assortment, installation techniques and additional customer room gallery design inspiration. In recent years, we have expanded our online experience to include online shopping.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76"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8"/>
          <w:szCs w:val="18"/>
          <w:color w:val="auto"/>
        </w:rPr>
        <w:t>We utilize a variety of marketing strategies and programs to acquire and retain customers, including both consumers and trade professionals. Our advertising primarily consists of digital media, direct marketing, including email and postal mail, in store events, and mobile advertisements. We continually test and learn from new media and adjust our programs based on performance.</w:t>
      </w:r>
    </w:p>
    <w:p>
      <w:pPr>
        <w:spacing w:after="0" w:line="154"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8"/>
          <w:szCs w:val="18"/>
          <w:color w:val="auto"/>
        </w:rPr>
        <w:t>Our website, TileShop.com, supports desktop, tablet, and mobile devices and is designed for consumers, trade professionals and industry stakeholders to learn about our brand, our value propositions, and our product assortment and installation techniques, and to look up our store locations and account information. On social media, #TheTileShop provides current and prospective customers a high level of brand engagement and enables customers to share their finished projects in our inspiration gallery.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6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We offer an extensive and complete assortment of natural stone, man-made and luxury vinyl tile products, sourced directly from our suppliers. Natural stone products include marble, travertine, granite, quartz, sandstone, slate, and onyx tiles. Man-made products include ceramic, porcelain, glass, cement, wood look, metal and luxury vinyl tile. Our wide assortment of accessories, including trim pieces, mosaics, pencils, listellos, and other unique products, encourages our customers to make a fashion statement with their tile project and helps us to deliver a high level of customer satisfaction and drive repeat business. We also offer a broad range of setting and maintenance materials, such as thinset, grout, sealers, and accessories, including installation tools, shower and bath shelves,</w:t>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188595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3"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8"/>
          <w:szCs w:val="18"/>
          <w:color w:val="auto"/>
        </w:rPr>
        <w:t>drains, and similar products. We also offer customers delivery service through third-party freight providers. We sell most of our products under our proprietary brand names, including Superior Adhesives &amp; Chemicals, Superior Tools &amp; Supplies, Rush River, and Fired Earth. In total, we offer over 6,000 different tile products, setting and maintenance materials, and accessory products. The percentage of our net sales represented by each product category was as follows for the years ended December 31, 2024 and 2023:</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tcPr>
          <w:p>
            <w:pPr>
              <w:spacing w:after="0"/>
              <w:rPr>
                <w:sz w:val="17"/>
                <w:szCs w:val="17"/>
                <w:color w:val="auto"/>
              </w:rPr>
            </w:pPr>
          </w:p>
        </w:tc>
        <w:tc>
          <w:tcPr>
            <w:tcW w:w="3660" w:type="dxa"/>
            <w:vAlign w:val="bottom"/>
            <w:gridSpan w:val="3"/>
          </w:tcPr>
          <w:p>
            <w:pPr>
              <w:jc w:val="right"/>
              <w:ind w:right="792"/>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16"/>
        </w:trPr>
        <w:tc>
          <w:tcPr>
            <w:tcW w:w="75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2023</w:t>
            </w:r>
          </w:p>
        </w:tc>
      </w:tr>
      <w:tr>
        <w:trPr>
          <w:trHeight w:val="177"/>
        </w:trPr>
        <w:tc>
          <w:tcPr>
            <w:tcW w:w="75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Man-made tiles</w:t>
            </w:r>
          </w:p>
        </w:tc>
        <w:tc>
          <w:tcPr>
            <w:tcW w:w="1760" w:type="dxa"/>
            <w:vAlign w:val="bottom"/>
            <w:shd w:val="clear" w:color="auto" w:fill="CCEEFF"/>
          </w:tcPr>
          <w:p>
            <w:pPr>
              <w:jc w:val="right"/>
              <w:ind w:right="252"/>
              <w:spacing w:after="0" w:line="177" w:lineRule="exact"/>
              <w:rPr>
                <w:sz w:val="20"/>
                <w:szCs w:val="20"/>
                <w:color w:val="auto"/>
              </w:rPr>
            </w:pPr>
            <w:r>
              <w:rPr>
                <w:rFonts w:ascii="Times New Roman" w:cs="Times New Roman" w:eastAsia="Times New Roman" w:hAnsi="Times New Roman"/>
                <w:sz w:val="18"/>
                <w:szCs w:val="18"/>
                <w:color w:val="auto"/>
              </w:rPr>
              <w:t>54 %</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312"/>
              <w:spacing w:after="0" w:line="177" w:lineRule="exact"/>
              <w:rPr>
                <w:sz w:val="20"/>
                <w:szCs w:val="20"/>
                <w:color w:val="auto"/>
              </w:rPr>
            </w:pPr>
            <w:r>
              <w:rPr>
                <w:rFonts w:ascii="Times New Roman" w:cs="Times New Roman" w:eastAsia="Times New Roman" w:hAnsi="Times New Roman"/>
                <w:sz w:val="18"/>
                <w:szCs w:val="18"/>
                <w:color w:val="auto"/>
              </w:rPr>
              <w:t>54 %</w:t>
            </w:r>
          </w:p>
        </w:tc>
      </w:tr>
      <w:tr>
        <w:trPr>
          <w:trHeight w:val="184"/>
        </w:trPr>
        <w:tc>
          <w:tcPr>
            <w:tcW w:w="75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Natural stone tiles</w:t>
            </w:r>
          </w:p>
        </w:tc>
        <w:tc>
          <w:tcPr>
            <w:tcW w:w="1760" w:type="dxa"/>
            <w:vAlign w:val="bottom"/>
          </w:tcPr>
          <w:p>
            <w:pPr>
              <w:jc w:val="right"/>
              <w:ind w:right="452"/>
              <w:spacing w:after="0" w:line="184"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6"/>
                <w:szCs w:val="16"/>
                <w:color w:val="auto"/>
              </w:rPr>
            </w:pPr>
          </w:p>
        </w:tc>
        <w:tc>
          <w:tcPr>
            <w:tcW w:w="1740" w:type="dxa"/>
            <w:vAlign w:val="bottom"/>
          </w:tcPr>
          <w:p>
            <w:pPr>
              <w:jc w:val="right"/>
              <w:ind w:right="532"/>
              <w:spacing w:after="0" w:line="184" w:lineRule="exact"/>
              <w:rPr>
                <w:sz w:val="20"/>
                <w:szCs w:val="20"/>
                <w:color w:val="auto"/>
              </w:rPr>
            </w:pPr>
            <w:r>
              <w:rPr>
                <w:rFonts w:ascii="Times New Roman" w:cs="Times New Roman" w:eastAsia="Times New Roman" w:hAnsi="Times New Roman"/>
                <w:sz w:val="18"/>
                <w:szCs w:val="18"/>
                <w:color w:val="auto"/>
              </w:rPr>
              <w:t>21</w:t>
            </w:r>
          </w:p>
        </w:tc>
      </w:tr>
      <w:tr>
        <w:trPr>
          <w:trHeight w:val="184"/>
        </w:trPr>
        <w:tc>
          <w:tcPr>
            <w:tcW w:w="7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Setting and maintenance materials</w:t>
            </w:r>
          </w:p>
        </w:tc>
        <w:tc>
          <w:tcPr>
            <w:tcW w:w="1760" w:type="dxa"/>
            <w:vAlign w:val="bottom"/>
            <w:shd w:val="clear" w:color="auto" w:fill="CCEEFF"/>
          </w:tcPr>
          <w:p>
            <w:pPr>
              <w:jc w:val="right"/>
              <w:ind w:right="452"/>
              <w:spacing w:after="0" w:line="184" w:lineRule="exact"/>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532"/>
              <w:spacing w:after="0" w:line="184" w:lineRule="exact"/>
              <w:rPr>
                <w:sz w:val="20"/>
                <w:szCs w:val="20"/>
                <w:color w:val="auto"/>
              </w:rPr>
            </w:pPr>
            <w:r>
              <w:rPr>
                <w:rFonts w:ascii="Times New Roman" w:cs="Times New Roman" w:eastAsia="Times New Roman" w:hAnsi="Times New Roman"/>
                <w:sz w:val="18"/>
                <w:szCs w:val="18"/>
                <w:color w:val="auto"/>
              </w:rPr>
              <w:t>15</w:t>
            </w:r>
          </w:p>
        </w:tc>
      </w:tr>
      <w:tr>
        <w:trPr>
          <w:trHeight w:val="184"/>
        </w:trPr>
        <w:tc>
          <w:tcPr>
            <w:tcW w:w="75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Accessories</w:t>
            </w:r>
          </w:p>
        </w:tc>
        <w:tc>
          <w:tcPr>
            <w:tcW w:w="1760" w:type="dxa"/>
            <w:vAlign w:val="bottom"/>
          </w:tcPr>
          <w:p>
            <w:pPr>
              <w:jc w:val="right"/>
              <w:ind w:right="452"/>
              <w:spacing w:after="0" w:line="184" w:lineRule="exact"/>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6"/>
                <w:szCs w:val="16"/>
                <w:color w:val="auto"/>
              </w:rPr>
            </w:pPr>
          </w:p>
        </w:tc>
        <w:tc>
          <w:tcPr>
            <w:tcW w:w="1740" w:type="dxa"/>
            <w:vAlign w:val="bottom"/>
          </w:tcPr>
          <w:p>
            <w:pPr>
              <w:jc w:val="right"/>
              <w:ind w:right="532"/>
              <w:spacing w:after="0" w:line="184" w:lineRule="exact"/>
              <w:rPr>
                <w:sz w:val="20"/>
                <w:szCs w:val="20"/>
                <w:color w:val="auto"/>
              </w:rPr>
            </w:pPr>
            <w:r>
              <w:rPr>
                <w:rFonts w:ascii="Times New Roman" w:cs="Times New Roman" w:eastAsia="Times New Roman" w:hAnsi="Times New Roman"/>
                <w:sz w:val="18"/>
                <w:szCs w:val="18"/>
                <w:color w:val="auto"/>
              </w:rPr>
              <w:t>8</w:t>
            </w:r>
          </w:p>
        </w:tc>
      </w:tr>
      <w:tr>
        <w:trPr>
          <w:trHeight w:val="184"/>
        </w:trPr>
        <w:tc>
          <w:tcPr>
            <w:tcW w:w="7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Delivery service</w:t>
            </w:r>
          </w:p>
        </w:tc>
        <w:tc>
          <w:tcPr>
            <w:tcW w:w="1760" w:type="dxa"/>
            <w:vAlign w:val="bottom"/>
            <w:tcBorders>
              <w:bottom w:val="single" w:sz="8" w:color="auto"/>
            </w:tcBorders>
            <w:shd w:val="clear" w:color="auto" w:fill="CCEEFF"/>
          </w:tcPr>
          <w:p>
            <w:pPr>
              <w:jc w:val="right"/>
              <w:ind w:right="452"/>
              <w:spacing w:after="0" w:line="184"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532"/>
              <w:spacing w:after="0" w:line="184" w:lineRule="exact"/>
              <w:rPr>
                <w:sz w:val="20"/>
                <w:szCs w:val="20"/>
                <w:color w:val="auto"/>
              </w:rPr>
            </w:pPr>
            <w:r>
              <w:rPr>
                <w:rFonts w:ascii="Times New Roman" w:cs="Times New Roman" w:eastAsia="Times New Roman" w:hAnsi="Times New Roman"/>
                <w:sz w:val="18"/>
                <w:szCs w:val="18"/>
                <w:color w:val="auto"/>
              </w:rPr>
              <w:t>2</w:t>
            </w:r>
          </w:p>
        </w:tc>
      </w:tr>
      <w:tr>
        <w:trPr>
          <w:trHeight w:val="177"/>
        </w:trPr>
        <w:tc>
          <w:tcPr>
            <w:tcW w:w="7580" w:type="dxa"/>
            <w:vAlign w:val="bottom"/>
          </w:tcPr>
          <w:p>
            <w:pPr>
              <w:spacing w:after="0"/>
              <w:rPr>
                <w:sz w:val="15"/>
                <w:szCs w:val="15"/>
                <w:color w:val="auto"/>
              </w:rPr>
            </w:pPr>
          </w:p>
        </w:tc>
        <w:tc>
          <w:tcPr>
            <w:tcW w:w="1760" w:type="dxa"/>
            <w:vAlign w:val="bottom"/>
            <w:tcBorders>
              <w:bottom w:val="single" w:sz="8" w:color="auto"/>
            </w:tcBorders>
          </w:tcPr>
          <w:p>
            <w:pPr>
              <w:jc w:val="right"/>
              <w:ind w:right="252"/>
              <w:spacing w:after="0" w:line="177" w:lineRule="exact"/>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5"/>
                <w:szCs w:val="15"/>
                <w:color w:val="auto"/>
              </w:rPr>
            </w:pPr>
          </w:p>
        </w:tc>
        <w:tc>
          <w:tcPr>
            <w:tcW w:w="1740" w:type="dxa"/>
            <w:vAlign w:val="bottom"/>
            <w:tcBorders>
              <w:bottom w:val="single" w:sz="8" w:color="auto"/>
            </w:tcBorders>
          </w:tcPr>
          <w:p>
            <w:pPr>
              <w:jc w:val="right"/>
              <w:ind w:right="312"/>
              <w:spacing w:after="0" w:line="177" w:lineRule="exact"/>
              <w:rPr>
                <w:sz w:val="20"/>
                <w:szCs w:val="20"/>
                <w:color w:val="auto"/>
              </w:rPr>
            </w:pPr>
            <w:r>
              <w:rPr>
                <w:rFonts w:ascii="Times New Roman" w:cs="Times New Roman" w:eastAsia="Times New Roman" w:hAnsi="Times New Roman"/>
                <w:sz w:val="18"/>
                <w:szCs w:val="18"/>
                <w:color w:val="auto"/>
              </w:rPr>
              <w:t>100 %</w:t>
            </w:r>
          </w:p>
        </w:tc>
      </w:tr>
      <w:tr>
        <w:trPr>
          <w:trHeight w:val="20"/>
        </w:trPr>
        <w:tc>
          <w:tcPr>
            <w:tcW w:w="75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163"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We have long-standing relationships with our suppliers throughout the world and work with them to design and manufacture products exclusively for us. We believe that these direct relationships differentiate us from our competitors.</w:t>
      </w:r>
    </w:p>
    <w:p>
      <w:pPr>
        <w:spacing w:after="0" w:line="14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We currently purchase tile products from approximately 200 different suppliers. Our top ten tile suppliers accounted for 44% of our purchases in 2024. Our largest supplier accounted for approximately 11% of our total purchases in 2024. We believe that alternative and competitive suppliers are available for many of our products. The percentage of our total purchases from the following continents was as follows for the years ended December 31, 2024 and 2023:</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tcPr>
          <w:p>
            <w:pPr>
              <w:spacing w:after="0"/>
              <w:rPr>
                <w:sz w:val="17"/>
                <w:szCs w:val="17"/>
                <w:color w:val="auto"/>
              </w:rPr>
            </w:pPr>
          </w:p>
        </w:tc>
        <w:tc>
          <w:tcPr>
            <w:tcW w:w="3660" w:type="dxa"/>
            <w:vAlign w:val="bottom"/>
            <w:gridSpan w:val="3"/>
          </w:tcPr>
          <w:p>
            <w:pPr>
              <w:jc w:val="right"/>
              <w:ind w:right="792"/>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16"/>
        </w:trPr>
        <w:tc>
          <w:tcPr>
            <w:tcW w:w="75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2023</w:t>
            </w:r>
          </w:p>
        </w:tc>
      </w:tr>
      <w:tr>
        <w:trPr>
          <w:trHeight w:val="177"/>
        </w:trPr>
        <w:tc>
          <w:tcPr>
            <w:tcW w:w="75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North America</w:t>
            </w:r>
          </w:p>
        </w:tc>
        <w:tc>
          <w:tcPr>
            <w:tcW w:w="1760" w:type="dxa"/>
            <w:vAlign w:val="bottom"/>
            <w:shd w:val="clear" w:color="auto" w:fill="CCEEFF"/>
          </w:tcPr>
          <w:p>
            <w:pPr>
              <w:jc w:val="right"/>
              <w:ind w:right="252"/>
              <w:spacing w:after="0" w:line="177" w:lineRule="exact"/>
              <w:rPr>
                <w:sz w:val="20"/>
                <w:szCs w:val="20"/>
                <w:color w:val="auto"/>
              </w:rPr>
            </w:pPr>
            <w:r>
              <w:rPr>
                <w:rFonts w:ascii="Times New Roman" w:cs="Times New Roman" w:eastAsia="Times New Roman" w:hAnsi="Times New Roman"/>
                <w:sz w:val="18"/>
                <w:szCs w:val="18"/>
                <w:color w:val="auto"/>
              </w:rPr>
              <w:t>41 %</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312"/>
              <w:spacing w:after="0" w:line="177" w:lineRule="exact"/>
              <w:rPr>
                <w:sz w:val="20"/>
                <w:szCs w:val="20"/>
                <w:color w:val="auto"/>
              </w:rPr>
            </w:pPr>
            <w:r>
              <w:rPr>
                <w:rFonts w:ascii="Times New Roman" w:cs="Times New Roman" w:eastAsia="Times New Roman" w:hAnsi="Times New Roman"/>
                <w:sz w:val="18"/>
                <w:szCs w:val="18"/>
                <w:color w:val="auto"/>
              </w:rPr>
              <w:t>46 %</w:t>
            </w:r>
          </w:p>
        </w:tc>
      </w:tr>
      <w:tr>
        <w:trPr>
          <w:trHeight w:val="184"/>
        </w:trPr>
        <w:tc>
          <w:tcPr>
            <w:tcW w:w="75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Europe</w:t>
            </w:r>
          </w:p>
        </w:tc>
        <w:tc>
          <w:tcPr>
            <w:tcW w:w="1760" w:type="dxa"/>
            <w:vAlign w:val="bottom"/>
          </w:tcPr>
          <w:p>
            <w:pPr>
              <w:jc w:val="right"/>
              <w:ind w:right="452"/>
              <w:spacing w:after="0" w:line="184"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6"/>
                <w:szCs w:val="16"/>
                <w:color w:val="auto"/>
              </w:rPr>
            </w:pPr>
          </w:p>
        </w:tc>
        <w:tc>
          <w:tcPr>
            <w:tcW w:w="1740" w:type="dxa"/>
            <w:vAlign w:val="bottom"/>
          </w:tcPr>
          <w:p>
            <w:pPr>
              <w:jc w:val="right"/>
              <w:ind w:right="532"/>
              <w:spacing w:after="0" w:line="184" w:lineRule="exact"/>
              <w:rPr>
                <w:sz w:val="20"/>
                <w:szCs w:val="20"/>
                <w:color w:val="auto"/>
              </w:rPr>
            </w:pPr>
            <w:r>
              <w:rPr>
                <w:rFonts w:ascii="Times New Roman" w:cs="Times New Roman" w:eastAsia="Times New Roman" w:hAnsi="Times New Roman"/>
                <w:sz w:val="18"/>
                <w:szCs w:val="18"/>
                <w:color w:val="auto"/>
              </w:rPr>
              <w:t>29</w:t>
            </w:r>
          </w:p>
        </w:tc>
      </w:tr>
      <w:tr>
        <w:trPr>
          <w:trHeight w:val="184"/>
        </w:trPr>
        <w:tc>
          <w:tcPr>
            <w:tcW w:w="7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Asia</w:t>
            </w:r>
          </w:p>
        </w:tc>
        <w:tc>
          <w:tcPr>
            <w:tcW w:w="1760" w:type="dxa"/>
            <w:vAlign w:val="bottom"/>
            <w:shd w:val="clear" w:color="auto" w:fill="CCEEFF"/>
          </w:tcPr>
          <w:p>
            <w:pPr>
              <w:jc w:val="right"/>
              <w:ind w:right="452"/>
              <w:spacing w:after="0" w:line="184" w:lineRule="exact"/>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532"/>
              <w:spacing w:after="0" w:line="184" w:lineRule="exact"/>
              <w:rPr>
                <w:sz w:val="20"/>
                <w:szCs w:val="20"/>
                <w:color w:val="auto"/>
              </w:rPr>
            </w:pPr>
            <w:r>
              <w:rPr>
                <w:rFonts w:ascii="Times New Roman" w:cs="Times New Roman" w:eastAsia="Times New Roman" w:hAnsi="Times New Roman"/>
                <w:sz w:val="18"/>
                <w:szCs w:val="18"/>
                <w:color w:val="auto"/>
              </w:rPr>
              <w:t>17</w:t>
            </w:r>
          </w:p>
        </w:tc>
      </w:tr>
      <w:tr>
        <w:trPr>
          <w:trHeight w:val="184"/>
        </w:trPr>
        <w:tc>
          <w:tcPr>
            <w:tcW w:w="75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South America</w:t>
            </w:r>
          </w:p>
        </w:tc>
        <w:tc>
          <w:tcPr>
            <w:tcW w:w="1760" w:type="dxa"/>
            <w:vAlign w:val="bottom"/>
          </w:tcPr>
          <w:p>
            <w:pPr>
              <w:jc w:val="right"/>
              <w:ind w:right="452"/>
              <w:spacing w:after="0" w:line="184" w:lineRule="exact"/>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6"/>
                <w:szCs w:val="16"/>
                <w:color w:val="auto"/>
              </w:rPr>
            </w:pPr>
          </w:p>
        </w:tc>
        <w:tc>
          <w:tcPr>
            <w:tcW w:w="1740" w:type="dxa"/>
            <w:vAlign w:val="bottom"/>
          </w:tcPr>
          <w:p>
            <w:pPr>
              <w:jc w:val="right"/>
              <w:ind w:right="532"/>
              <w:spacing w:after="0" w:line="184" w:lineRule="exact"/>
              <w:rPr>
                <w:sz w:val="20"/>
                <w:szCs w:val="20"/>
                <w:color w:val="auto"/>
              </w:rPr>
            </w:pPr>
            <w:r>
              <w:rPr>
                <w:rFonts w:ascii="Times New Roman" w:cs="Times New Roman" w:eastAsia="Times New Roman" w:hAnsi="Times New Roman"/>
                <w:sz w:val="18"/>
                <w:szCs w:val="18"/>
                <w:color w:val="auto"/>
              </w:rPr>
              <w:t>7</w:t>
            </w:r>
          </w:p>
        </w:tc>
      </w:tr>
      <w:tr>
        <w:trPr>
          <w:trHeight w:val="184"/>
        </w:trPr>
        <w:tc>
          <w:tcPr>
            <w:tcW w:w="7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Africa</w:t>
            </w:r>
          </w:p>
        </w:tc>
        <w:tc>
          <w:tcPr>
            <w:tcW w:w="1760" w:type="dxa"/>
            <w:vAlign w:val="bottom"/>
            <w:tcBorders>
              <w:bottom w:val="single" w:sz="8" w:color="auto"/>
            </w:tcBorders>
            <w:shd w:val="clear" w:color="auto" w:fill="CCEEFF"/>
          </w:tcPr>
          <w:p>
            <w:pPr>
              <w:jc w:val="right"/>
              <w:ind w:right="452"/>
              <w:spacing w:after="0" w:line="184"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532"/>
              <w:spacing w:after="0" w:line="184" w:lineRule="exact"/>
              <w:rPr>
                <w:sz w:val="20"/>
                <w:szCs w:val="20"/>
                <w:color w:val="auto"/>
              </w:rPr>
            </w:pPr>
            <w:r>
              <w:rPr>
                <w:rFonts w:ascii="Times New Roman" w:cs="Times New Roman" w:eastAsia="Times New Roman" w:hAnsi="Times New Roman"/>
                <w:sz w:val="18"/>
                <w:szCs w:val="18"/>
                <w:color w:val="auto"/>
              </w:rPr>
              <w:t>1</w:t>
            </w:r>
          </w:p>
        </w:tc>
      </w:tr>
      <w:tr>
        <w:trPr>
          <w:trHeight w:val="177"/>
        </w:trPr>
        <w:tc>
          <w:tcPr>
            <w:tcW w:w="7580" w:type="dxa"/>
            <w:vAlign w:val="bottom"/>
          </w:tcPr>
          <w:p>
            <w:pPr>
              <w:spacing w:after="0"/>
              <w:rPr>
                <w:sz w:val="15"/>
                <w:szCs w:val="15"/>
                <w:color w:val="auto"/>
              </w:rPr>
            </w:pPr>
          </w:p>
        </w:tc>
        <w:tc>
          <w:tcPr>
            <w:tcW w:w="1760" w:type="dxa"/>
            <w:vAlign w:val="bottom"/>
            <w:tcBorders>
              <w:bottom w:val="single" w:sz="8" w:color="auto"/>
            </w:tcBorders>
          </w:tcPr>
          <w:p>
            <w:pPr>
              <w:jc w:val="right"/>
              <w:ind w:right="252"/>
              <w:spacing w:after="0" w:line="177" w:lineRule="exact"/>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5"/>
                <w:szCs w:val="15"/>
                <w:color w:val="auto"/>
              </w:rPr>
            </w:pPr>
          </w:p>
        </w:tc>
        <w:tc>
          <w:tcPr>
            <w:tcW w:w="1740" w:type="dxa"/>
            <w:vAlign w:val="bottom"/>
            <w:tcBorders>
              <w:bottom w:val="single" w:sz="8" w:color="auto"/>
            </w:tcBorders>
          </w:tcPr>
          <w:p>
            <w:pPr>
              <w:jc w:val="right"/>
              <w:ind w:right="312"/>
              <w:spacing w:after="0" w:line="177" w:lineRule="exact"/>
              <w:rPr>
                <w:sz w:val="20"/>
                <w:szCs w:val="20"/>
                <w:color w:val="auto"/>
              </w:rPr>
            </w:pPr>
            <w:r>
              <w:rPr>
                <w:rFonts w:ascii="Times New Roman" w:cs="Times New Roman" w:eastAsia="Times New Roman" w:hAnsi="Times New Roman"/>
                <w:sz w:val="18"/>
                <w:szCs w:val="18"/>
                <w:color w:val="auto"/>
              </w:rPr>
              <w:t>100 %</w:t>
            </w:r>
          </w:p>
        </w:tc>
      </w:tr>
      <w:tr>
        <w:trPr>
          <w:trHeight w:val="20"/>
        </w:trPr>
        <w:tc>
          <w:tcPr>
            <w:tcW w:w="75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Our inventory balance decreased by $7.4 million from $93.7 million to $86.3 million as of December 31, 2023 and December 31, 2024, respectively. The decrease in inventory is due to steps taken to reduce inventory quantities as well as a decrease in inventory costs stemming from a stabilization in ocean freight rates and steps taken to shift sourcing of certain products in our assortment to lower cost suppliers. The increase in the percentage of purchases from European and Asian suppliers is primarily due to the shift in sourcing to lower cost suppliers.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Order Fulfillment</w:t>
      </w:r>
    </w:p>
    <w:p>
      <w:pPr>
        <w:spacing w:after="0" w:line="176"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8"/>
          <w:szCs w:val="18"/>
          <w:color w:val="auto"/>
        </w:rPr>
        <w:t>We take possession of our products in the country of origin and arrange for transportation to our four distribution centers located in Michigan, Oklahoma, Virginia and Wisconsin. We also manufacture many of our setting and maintenance materials in Michigan, Oklahoma, Virginia, and Wisconsin. We maintain a large inventory of products in order to quickly fulfill customer orders.</w:t>
      </w:r>
    </w:p>
    <w:p>
      <w:pPr>
        <w:spacing w:after="0" w:line="154"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We fulfill customer orders primarily by shipping our products to our stores where customers can either pick them up or arrange for home delivery. We continue to evaluate logistics alternatives to best serve our store base and our customers.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6"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The retail tile market is highly-fragmented. We compete directly with regional and local specialty retailers of tile, factory-direct stores, a large number of privately-owned, single-site stores, and online-only competitors. In addition, we compete with large national home improvement centers that offer a wide range of home improvement products, including flooring. We also compete indirectly with companies that sell other types of floor coverings, including wood floors, carpet, and vinyl. The barriers of entry into the retail tile industry are relatively low and new or existing tile retailers could enter our markets and increase the competition that we face. Many of our competitors enjoy competitive advantages over us, such as greater name recognition, longer operating histories, more varied product offerings, and greater financial, technical, and other resources.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key competitive factors in the retail tile industry include:</w:t>
      </w:r>
    </w:p>
    <w:p>
      <w:pPr>
        <w:spacing w:after="0" w:line="174" w:lineRule="exact"/>
        <w:rPr>
          <w:sz w:val="20"/>
          <w:szCs w:val="20"/>
          <w:color w:val="auto"/>
        </w:rPr>
      </w:pPr>
    </w:p>
    <w:p>
      <w:pPr>
        <w:ind w:left="640" w:right="9100"/>
        <w:spacing w:after="0" w:line="246" w:lineRule="auto"/>
        <w:rPr>
          <w:sz w:val="20"/>
          <w:szCs w:val="20"/>
          <w:color w:val="auto"/>
        </w:rPr>
      </w:pPr>
      <w:r>
        <w:rPr>
          <w:rFonts w:ascii="Times New Roman" w:cs="Times New Roman" w:eastAsia="Times New Roman" w:hAnsi="Times New Roman"/>
          <w:sz w:val="16"/>
          <w:szCs w:val="16"/>
          <w:color w:val="auto"/>
        </w:rPr>
        <w:t>product assortment; product presentation; customer service; store location;</w:t>
      </w:r>
    </w:p>
    <w:p>
      <w:pPr>
        <w:spacing w:after="0" w:line="1" w:lineRule="exact"/>
        <w:rPr>
          <w:sz w:val="20"/>
          <w:szCs w:val="20"/>
          <w:color w:val="auto"/>
        </w:rPr>
      </w:pPr>
    </w:p>
    <w:p>
      <w:pPr>
        <w:ind w:left="640" w:right="8540"/>
        <w:spacing w:after="0" w:line="234" w:lineRule="auto"/>
        <w:rPr>
          <w:sz w:val="20"/>
          <w:szCs w:val="20"/>
          <w:color w:val="auto"/>
        </w:rPr>
      </w:pPr>
      <w:r>
        <w:rPr>
          <w:rFonts w:ascii="Times New Roman" w:cs="Times New Roman" w:eastAsia="Times New Roman" w:hAnsi="Times New Roman"/>
          <w:sz w:val="18"/>
          <w:szCs w:val="18"/>
          <w:color w:val="auto"/>
        </w:rPr>
        <w:t>availability of inventory; and price.</w:t>
      </w:r>
    </w:p>
    <w:p>
      <w:pPr>
        <w:spacing w:after="0" w:line="28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We believe that we compete favorably with respect to each of these factors by providing a highly diverse selection of products to our customers, at an attractive value, in appealing and convenient store locations, with exceptional customer service and on-site instructional opportunities. Further, while some larger factory-direct competitors manufacture their own products, many of our competitors do not maintain their own inventory and instead purchase their tile from domestic manufacturers or distributors when they receive an order from a customer. We also believe that we offer a broader range of products and stronger in-store customer support than these competitors.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6"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8"/>
          <w:szCs w:val="18"/>
          <w:color w:val="auto"/>
        </w:rPr>
        <w:t>We believe that our employees are our strongest competitive advantage and the high-quality service that they provide sets us apart from others in our industry. As of December 31, 2024, we had 1,291 employees, 1,075 of whom were full-time and none who were represented by a union. This includes 959 employees who work in our stores, 115 who work in corporate, store support, infrastructure or similar functions, and 217 who work in our distribution and manufacturing facilities.</w:t>
      </w:r>
    </w:p>
    <w:p>
      <w:pPr>
        <w:spacing w:after="0" w:line="156"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6"/>
          <w:szCs w:val="16"/>
          <w:color w:val="auto"/>
        </w:rPr>
        <w:t>The Company’s Board of Directors (the “Board” or “Board of Directors”), through its Compensation Committee, provides oversight of human capital matters and reviews the Company’s compensation and benefits programs, as well as management development and succession planning practices and strategies.</w:t>
      </w:r>
    </w:p>
    <w:p>
      <w:pPr>
        <w:spacing w:after="0" w:line="110"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Our principal human capital objectives are to attract, develop and retain people who are committed to our goal of providing the best service in our industry. To support these objectives, our human resources programs seek to:</w:t>
      </w:r>
    </w:p>
    <w:p>
      <w:pPr>
        <w:spacing w:after="0" w:line="155" w:lineRule="exact"/>
        <w:rPr>
          <w:sz w:val="20"/>
          <w:szCs w:val="20"/>
          <w:color w:val="auto"/>
        </w:rPr>
      </w:pPr>
    </w:p>
    <w:p>
      <w:pPr>
        <w:ind w:left="640" w:right="280"/>
        <w:spacing w:after="0" w:line="224" w:lineRule="auto"/>
        <w:rPr>
          <w:sz w:val="20"/>
          <w:szCs w:val="20"/>
          <w:color w:val="auto"/>
        </w:rPr>
      </w:pPr>
      <w:r>
        <w:rPr>
          <w:rFonts w:ascii="Times New Roman" w:cs="Times New Roman" w:eastAsia="Times New Roman" w:hAnsi="Times New Roman"/>
          <w:sz w:val="18"/>
          <w:szCs w:val="18"/>
          <w:color w:val="auto"/>
        </w:rPr>
        <w:t>Reward our employees through highly competitive total compensation and benefit programs designed to reward exceptional performance, promote teamwork and support our employees’ total wellbeing.</w:t>
      </w:r>
    </w:p>
    <w:p>
      <w:pPr>
        <w:spacing w:after="0" w:line="1" w:lineRule="exact"/>
        <w:rPr>
          <w:sz w:val="20"/>
          <w:szCs w:val="20"/>
          <w:color w:val="auto"/>
        </w:rPr>
      </w:pPr>
    </w:p>
    <w:p>
      <w:pPr>
        <w:ind w:left="640" w:right="160"/>
        <w:spacing w:after="0" w:line="227" w:lineRule="auto"/>
        <w:rPr>
          <w:sz w:val="20"/>
          <w:szCs w:val="20"/>
          <w:color w:val="auto"/>
        </w:rPr>
      </w:pPr>
      <w:r>
        <w:rPr>
          <w:rFonts w:ascii="Times New Roman" w:cs="Times New Roman" w:eastAsia="Times New Roman" w:hAnsi="Times New Roman"/>
          <w:sz w:val="18"/>
          <w:szCs w:val="18"/>
          <w:color w:val="auto"/>
        </w:rPr>
        <w:t>Provide development opportunities to enhance sales skills, product knowledge, exposure to the latest design trends, safety, teamwork and leadership. Enhance our culture through efforts aimed at promoting fairness and opportunity throughout the workplace.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Trademarks</w:t>
      </w:r>
    </w:p>
    <w:p>
      <w:pPr>
        <w:spacing w:after="0" w:line="163"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We have registered and unregistered trademarks for all of our brands, including 25 registered trademarks. We regard our intellectual property as having significant value, and our brands are an important factor in the marketing of our products. Accordingly, we have taken, and continue to take, appropriate steps to protect our intellectual property.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6" w:lineRule="exact"/>
        <w:rPr>
          <w:sz w:val="20"/>
          <w:szCs w:val="20"/>
          <w:color w:val="auto"/>
        </w:rPr>
      </w:pPr>
    </w:p>
    <w:p>
      <w:pPr>
        <w:jc w:val="both"/>
        <w:ind w:right="240"/>
        <w:spacing w:after="0" w:line="230" w:lineRule="auto"/>
        <w:rPr>
          <w:sz w:val="20"/>
          <w:szCs w:val="20"/>
          <w:color w:val="auto"/>
        </w:rPr>
      </w:pPr>
      <w:r>
        <w:rPr>
          <w:rFonts w:ascii="Times New Roman" w:cs="Times New Roman" w:eastAsia="Times New Roman" w:hAnsi="Times New Roman"/>
          <w:sz w:val="18"/>
          <w:szCs w:val="18"/>
          <w:color w:val="auto"/>
        </w:rPr>
        <w:t>We are subject to extensive and varied federal, state and local government regulation in the jurisdictions in which we operate, including laws and regulations relating to our relationships with our employees, public health and safety, zoning, and fire codes. We operate each of our stores, offices, and distribution and manufacturing facilities in accordance with standards and procedures designed to comply with applicable laws, codes, and regulations.</w:t>
      </w:r>
    </w:p>
    <w:p>
      <w:pPr>
        <w:spacing w:after="0" w:line="154"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Our operations and properties are also subject to federal, state and local laws and regulations relating to the use, storage, handling, generation, transportation, treatment, emission, release, discharge and disposal of hazardous materials, substances, and wastes and relating to the investigation and cleanup of contaminated properties, including off-site disposal locations. We do not incur significant costs complying with environmental laws and regulations. However, we could be subject to material costs, liabilities, or claims relating to environmental compliance in the future, especially in the event of changes in existing laws and regulations or in their interpretation.</w:t>
      </w:r>
    </w:p>
    <w:p>
      <w:pPr>
        <w:spacing w:after="0" w:line="156" w:lineRule="exact"/>
        <w:rPr>
          <w:sz w:val="20"/>
          <w:szCs w:val="20"/>
          <w:color w:val="auto"/>
        </w:rPr>
      </w:pPr>
    </w:p>
    <w:p>
      <w:pPr>
        <w:jc w:val="both"/>
        <w:ind w:right="240"/>
        <w:spacing w:after="0" w:line="226" w:lineRule="auto"/>
        <w:rPr>
          <w:sz w:val="20"/>
          <w:szCs w:val="20"/>
          <w:color w:val="auto"/>
        </w:rPr>
      </w:pPr>
      <w:r>
        <w:rPr>
          <w:rFonts w:ascii="Times New Roman" w:cs="Times New Roman" w:eastAsia="Times New Roman" w:hAnsi="Times New Roman"/>
          <w:sz w:val="18"/>
          <w:szCs w:val="18"/>
          <w:color w:val="auto"/>
        </w:rPr>
        <w:t>Products that we import into the United States are subject to laws and regulations imposed in conjunction with such importation, including those issued and enforced by U.S. Customs and Border Protection. We work closely with our suppliers to ensure compliance with the applicable laws and regulations in these areas.</w:t>
      </w: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Geographic Areas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majority of our revenues and profits are generated within the United States and all of our long-lived assets are located within the United States as well.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6"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(the “Exchange Act”). The Exchange Act requires us to file periodic reports, proxy statements and other information with the Securities and Exchange Commission (“SEC”). The SEC maintains a website that contains reports, proxy and information statements, and other information regarding issuers that file electronically with the SEC. These materials may be obtained electronically by accessing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u w:val="single" w:color="auto"/>
          <w:color w:val="auto"/>
        </w:rPr>
        <w:t>www.tileshop.com</w:t>
      </w:r>
      <w:r>
        <w:rPr>
          <w:rFonts w:ascii="Times New Roman" w:cs="Times New Roman" w:eastAsia="Times New Roman" w:hAnsi="Times New Roman"/>
          <w:sz w:val="18"/>
          <w:szCs w:val="18"/>
          <w:color w:val="auto"/>
        </w:rPr>
        <w:t>. Information contained on or accessible through our website is not a part of, and is not incorporated by reference into, this Form 10-K or any other report or document we file with the SEC. Any reference to our website is intended to be an inactive textual reference only. We make our annual reports on Form 10-K, quarterly reports on Form 10-Q, current reports on Form 8-K and amendments to those reports available on our website, free of charge, as soon as reasonably practicable after such reports have been filed with or furnished to the SEC. Our Code of Business Conduct and Ethics, as well as any waivers from and amendments to the Code of Business Conduct and Ethics, is also posted on our website.</w:t>
      </w:r>
    </w:p>
    <w:p>
      <w:pPr>
        <w:spacing w:after="0" w:line="156"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18"/>
          <w:szCs w:val="18"/>
          <w:color w:val="auto"/>
        </w:rPr>
        <w:t xml:space="preserve">We intend to use the investor relations section of our website, </w:t>
      </w:r>
      <w:r>
        <w:rPr>
          <w:rFonts w:ascii="Times New Roman" w:cs="Times New Roman" w:eastAsia="Times New Roman" w:hAnsi="Times New Roman"/>
          <w:sz w:val="18"/>
          <w:szCs w:val="18"/>
          <w:u w:val="single" w:color="auto"/>
          <w:color w:val="auto"/>
        </w:rPr>
        <w:t>investors.tileshop.com,</w:t>
      </w:r>
      <w:r>
        <w:rPr>
          <w:rFonts w:ascii="Times New Roman" w:cs="Times New Roman" w:eastAsia="Times New Roman" w:hAnsi="Times New Roman"/>
          <w:sz w:val="18"/>
          <w:szCs w:val="18"/>
          <w:color w:val="auto"/>
        </w:rPr>
        <w:t xml:space="preserve"> as a means of disclosing material non-public information and for complying with our disclosure obligations under SEC Regulation FD. Such disclosures will be included on our website under the heading News and Events. Accordingly, investors should monitor such portions of our website, in addition to following our press releases, SEC filings and public conference calls and webcasts.</w:t>
      </w:r>
    </w:p>
    <w:p>
      <w:pPr>
        <w:spacing w:after="0" w:line="156"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This report includes market data and certain other statistical information and estimates that are based on reports and other publications from industry analysts, market research firms, and other independent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us.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6"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The following are material factors known to us that could adversely affect our business, financial condition, or operating results, as well as adversely affect the value of an investment in our common stock. These risks could cause our actual results to differ materially from our historical experience and from results predicted by forward-looking statements. All forward-looking statements made by us are qualified by the risks described below. Disclosures of risks should not be interpreted to imply that the risks have not already materialized, and there may be additional risks that are not presently material or known. You should carefully consider each of the following risks and all other information set forth in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Growth Strategy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grow and remain profitable may be limited by direct or indirect competition in the highly-competitive retail tile industry.</w:t>
      </w:r>
    </w:p>
    <w:p>
      <w:pPr>
        <w:spacing w:after="0" w:line="17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The retail tile industry in the United States is highly competitive. Participants in the tile industry compete primarily based on product variety, customer service, store location, and price. There can be no assurance that we will be able to continue to compete favorably with our competitors in these areas. Our store competitors include large national home centers, regional and local specialty retailers of tile, factory-direct stores, privately-owned, single-site stores and online-only competitors. We also compete indirectly with companies that sell other types of floor coverings, including wood floors, carpet, and vinyl sheet. In the past, we have faced periods of heightened competition that materially affected our results of operations. Certain of our competitors have greater name recognition, longer operating histories, more varied product offerings, and substantially greater financial and other resources than us. Accordingly, we may face periods of intense competition in the future that could have a material adverse effect on our planned growth and future results of operations. Moreover, the barriers to entry into the retail tile industry are relatively low. New or existing retailers could enter our markets and increase the competition that we face. In addition, manufacturers and suppliers of tile and related products, including those whose products we currently sell, could enter the United States retail tile market and start directly competing with us. Further, the retail industry in general is subject to rapid technological change, which may increase the amount of capital we spend in the future as we work to sustain and grow our technological infrastructure and digital commerce capabilities in order to remain competitive.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3"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8"/>
          <w:szCs w:val="18"/>
          <w:color w:val="auto"/>
        </w:rPr>
        <w:t>Competition in existing and new markets may also prevent or delay our ability to gain relative market share. Any of the developments described above could have a material adverse effect on our planned growth and future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by us to successfully anticipate consumer trends may lead to loss of consumer acceptance of our products, resulting in reduced revenues.</w:t>
      </w:r>
    </w:p>
    <w:p>
      <w:pPr>
        <w:spacing w:after="0" w:line="178"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Our success depends on our ability to anticipate and respond to changing trends in the tile industry and consumer demands in a timely manner. If we fail to identify and respond to emerging trends, consumer acceptance of our merchandise and our image with current or potential customers may be harmed, which could reduce our revenue potential. Additionally, if we misjudge market trends, we may significantly overstock unpopular products and be forced to reduce the sales price of such products, which would have a negative impact on our gross profit and cash flow. Conversely, shortages of products that prove popular, or increases in our pricing as a result of general product shortages, supply chain disruptions and inflationary cost pressure, could cause customers to seek alternative sources of such products, as well as other products they may have purchased from us, which could also reduce our revenues.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online sales, our reputation and operating results may be harmed.</w:t>
      </w:r>
    </w:p>
    <w:p>
      <w:pPr>
        <w:spacing w:after="0" w:line="178" w:lineRule="exact"/>
        <w:rPr>
          <w:sz w:val="20"/>
          <w:szCs w:val="20"/>
          <w:color w:val="auto"/>
        </w:rPr>
      </w:pPr>
    </w:p>
    <w:p>
      <w:pPr>
        <w:ind w:right="240"/>
        <w:spacing w:after="0" w:line="227" w:lineRule="auto"/>
        <w:rPr>
          <w:sz w:val="20"/>
          <w:szCs w:val="20"/>
          <w:color w:val="auto"/>
        </w:rPr>
      </w:pPr>
      <w:r>
        <w:rPr>
          <w:rFonts w:ascii="Times New Roman" w:cs="Times New Roman" w:eastAsia="Times New Roman" w:hAnsi="Times New Roman"/>
          <w:sz w:val="18"/>
          <w:szCs w:val="18"/>
          <w:color w:val="auto"/>
        </w:rPr>
        <w:t>Consumers are increasingly embracing shopping online and through mobile commerce applications. Any failure on our part to provide an attractive, reliable and user-friendly digital platform that offers a wide assortment of merchandise and meets the changing expectations of online shoppers could place us at a competitive disadvantage, result in the loss of e-commerce and other sales, harm our reputation with consumers, and have a material adverse impact on the growth of our e-commerce business and on our business and results of operations. We are vulnerable to certain risks and uncertainties associated with our e-commerce operations, including changes in required technology interfaces, website downtime and other technical failures, costs and technical issues for upgrades of our website software, computer viruses, changes in applicable federal and state regulations, security breaches and consumer privacy concerns. If not managed, these risks could adversely impact our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expansion will be dependent upon, and limited by, the availability of adequate capital.</w:t>
      </w:r>
    </w:p>
    <w:p>
      <w:pPr>
        <w:spacing w:after="0" w:line="178"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Any future expansion strategy will require adequate capital for, among other purposes, opening new stores, distribution centers, and manufacturing facilities, as well as entering new markets. Such expenditures will include researching real estate and consumer markets, leases, inventory, property and equipment costs, integration of new stores and markets into company-wide systems and programs, and other costs associated with new stores and market entry expenses and growth. If cash generated internally is insufficient to fund capital requirements, we will require additional debt or equity financing. Adequate financing may not be available or, if available, may not be available on terms satisfactory to us. In addition, our credit facility may limit the amount of capital expenditures that we may make annually, depending on our ability to satisfy applicable financial and other covenants. If we fail to obtain sufficient additional capital in the future or we are unable to make capital expenditures under our credit facility, we could be forced to curtail our expansion strategies by reducing or delaying capital expenditures relating to new stores and new market entry. As a result, there can be no assurance that we will be able to fund our current plans for the opening of new stores or entry into new markets.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effectiveness of our marketing strategy.</w:t>
      </w:r>
    </w:p>
    <w:p>
      <w:pPr>
        <w:spacing w:after="0" w:line="178"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We believe that our growth was achieved in part through the effectiveness of our marketing strategy, which uses a variety of marketing channels, tactics and methods to reach a qualified audience. Our diversified strategy includes traditional media advertising in print and direct mail, digital media through online advertising, social media marketing, search engine optimization, email marketing, influencer marketing and content marketing, which involves creating and distributing brand content such as blogs and videos. If our marketing strategies fail to draw customers in the future, or if the cost of advertising or other marketing materials increases significantly, we could experience declines in our net sales and operating results. In addition, our limited use of discount and promotional offers could fail to attract customers, resulting in a decrease in store traffic.</w:t>
      </w:r>
    </w:p>
    <w:p>
      <w:pPr>
        <w:spacing w:after="0" w:line="158"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In recent years, there has been a substantial increase in the use of social media platforms by consumers. Negative commentary regarding us or the products we sell may be posted on social media platforms or other electronic means at any time and may be adverse to our reputation or business. Customers value readily available information and often act on such information without further investigation and without regard to its accuracy. Any harm to us or the products we sell may be immediate without allowing us an opportunity for redress or correction.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Financial Condition</w:t>
      </w:r>
    </w:p>
    <w:p>
      <w:pPr>
        <w:spacing w:after="0" w:line="15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Numerous economic factors, including inflation, our exposure to the U.S. housing industry, and an economic recession or downturn, or a downturn in the U.S. housing industry, could adversely affect us.</w:t>
      </w:r>
    </w:p>
    <w:p>
      <w:pPr>
        <w:spacing w:after="0" w:line="126"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Our results of operations are sensitive to changes in macroeconomic conditions that affect consumer spending, including discretionary spending, especially as a substantial portion of the products we offer are products that consumers may view as discretionary items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188595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3"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8"/>
          <w:szCs w:val="18"/>
          <w:color w:val="auto"/>
        </w:rPr>
        <w:t>rather than necessities. Difficult macroeconomic conditions also affect our customers’ ability to obtain consumer credit. In recent years, high inflation has negatively impacted consumer confidence and discretionary spending; in addition, the U.S. Federal Reserve raised interest rates several times in response to concerns about such inflation. Although the Federal Reserve began to reduce interest rates beginning in fall 2024, the inflationary outlook in the United States remains uncertain, and the Federal Reserve may not continue to implement such decreases or may raise interest rates again. The impact of inflation and high interest rates on various areas of our business, including labor, product costs and interest expenses, has negatively impacted our business, financial condition and results of operations, and while we have worked to mitigate such impacts, including increasing our prices, we may not be able to mitigate any future impacts of inflation or high interest rates. In addition, while inflation has recently slowed and further interest rate increases are currently not anticipated, economic uncertainty and the potential for an economic recession remains. We are unable to predict any future trends in the rate of inflation and interest rates, and if (and to the extent that) we are unable to recover higher costs in the event of future increases in inflation or interest rates, such increases could adversely affect our business, financial condition or results of operations.</w:t>
      </w:r>
    </w:p>
    <w:p>
      <w:pPr>
        <w:spacing w:after="0" w:line="153"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We believe that our tile sales are affected by the strength of the U.S. housing industry, and downturns in the U.S. housing industry could have a material adverse effect on our financial results, business, and prospects. The housing industry depends on a number of factors that are beyond our control, including interest rates, inflation, tax policy, trade policy, employment levels, consumer confidence, credit availability, real estate prices, home-price appreciation, existing home sales, demographic trends, weather conditions, natural disasters and general economic conditions. Any one or a combination of these factors could result in decreased demand for our products, reduce spending on homebuilding or remodeling of existing homes or cause purchases of new and existing homes to decline, which could adversely affect our business, financial condition, and operating results.</w:t>
      </w:r>
    </w:p>
    <w:p>
      <w:pPr>
        <w:spacing w:after="0" w:line="154"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Our comparable store sales fluctuate due to a variety of economic, operating, industry and environmental factors and may not be a fair indicator of our overall performance.</w:t>
      </w:r>
    </w:p>
    <w:p>
      <w:pPr>
        <w:spacing w:after="0" w:line="152"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18"/>
          <w:szCs w:val="18"/>
          <w:color w:val="auto"/>
        </w:rPr>
        <w:t>Our comparable store sales have experienced fluctuations, which can be expected to continue. Numerous factors affect our comparable store sales results, including, among others, the timing of new and relocated store openings, the relative proportion of new and relocated stores to mature stores, cannibalization resulting from the opening of new stores in existing markets, changes in advertising and other operating costs, the timing and level of markdowns, changes in our product mix, weather conditions, which may be exacerbated by the effects of climate change, retail trends, the retail sales environment, economic and geopolitical conditions, inflation, the impact of competition, and our ability to execute our business strategy. As a result, comparable store sales or operating results may fluctuate and may cause the price of our securities to fluctuate significantly. Therefore, we believe that period-to-period comparisons of our comparable store sales may not be a reliable indicator of our future overall operating performance.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customers are unable to obtain third-party financing at satisfactory rates, sales of our products could be materially adversely affected.</w:t>
      </w:r>
    </w:p>
    <w:p>
      <w:pPr>
        <w:spacing w:after="0" w:line="178"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Reduced access to credit may adversely affect the ability of consumers to purchase our products and may adversely impact our ability to offer customers credit card financing through third-party credit providers on terms similar to those offered currently, or at all. In addition, economic conditions, including decreases in access to credit, may result in financial difficulties, leading to restructuring, bankruptcies, liquidations and other unfavorable events for our customers, which may adversely impact our industry, business, and results of operations.</w:t>
      </w:r>
    </w:p>
    <w:p>
      <w:pPr>
        <w:spacing w:after="0" w:line="152" w:lineRule="exact"/>
        <w:rPr>
          <w:sz w:val="20"/>
          <w:szCs w:val="20"/>
          <w:color w:val="auto"/>
        </w:rPr>
      </w:pPr>
    </w:p>
    <w:p>
      <w:pPr>
        <w:ind w:right="42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The burden of incurring debt under our existing credit facility could adversely affect us and make us more vulnerable to adverse economic or industry conditions.</w:t>
      </w:r>
    </w:p>
    <w:p>
      <w:pPr>
        <w:spacing w:after="0" w:line="152"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6"/>
          <w:szCs w:val="16"/>
          <w:color w:val="auto"/>
        </w:rPr>
        <w:t>We entered into a revolving credit facility with JPMorgan Chase Bank, N.A. on September 30, 2022. As of December 31, 2024, we had no borrowings outstanding on our revolving line of credit and had $73.8 million available for future borrowings. The terms of our credit facility could limit our ability to obtain additional financing to fund our working capital, capital expenditures, debt service requirements, expansion strategy, or other needs, which could increase our vulnerability to, and reduce our flexibility in planning for, adverse changes in economic, industry, and competitive conditions.</w:t>
      </w:r>
    </w:p>
    <w:p>
      <w:pPr>
        <w:spacing w:after="0" w:line="137"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Our credit facility contains negative covenants that limit our ability to engage in specified types of transactions, including, among other things, our ability to dispose of assets, engage in acquisitions or mergers, make distributions on or repurchases of capital stock, incur additional debt, incur liens or make investments. A breach of any of these covenants could result in an event of default under our credit facility, which would allow the lender to declare all amounts outstanding to be immediately due and payable and terminate all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3"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commitments to extend further credit or seek amendments to our debt agreements that would provide for terms more favorable to our lenders, which we may have to accept under the circumstances.</w:t>
      </w:r>
    </w:p>
    <w:p>
      <w:pPr>
        <w:spacing w:after="0" w:line="15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renew or replace current store leases, or if we are unable to enter into leases for additional stores on favorable terms, or if one or more of our current leases is terminated prior to expiration of its stated term and we cannot find suitable alternate store locations, our growth and profitability could be negatively impacted.</w:t>
      </w:r>
    </w:p>
    <w:p>
      <w:pPr>
        <w:spacing w:after="0" w:line="153"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We currently lease all of our store locations. Many of our current leases provide us with the unilateral option to renew for several additional rental periods at specific rental rates. Our ability to renegotiate favorable terms on an expiring lease or to negotiate favorable terms for a suitable alternate location, and our ability to negotiate favorable lease terms for additional store locations, could depend on conditions in the real estate market, competition for desirable properties, our relationships with current and prospective landlords, or other factors that are not within our control. Any or all of these factors and conditions could negatively impact our growth and profitability.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changes in climate, geopolitical and other catastrophic events could adversely affect our operating results.</w:t>
      </w:r>
    </w:p>
    <w:p>
      <w:pPr>
        <w:spacing w:after="0" w:line="178"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The threat or occurrence of one or more natural disasters or other extreme weather events, the nature, frequency and severity of which may be negatively impacted by climate change, and the threat or outbreak of terrorism such as attacks on cargo ships in the Suez Canal, civil unrest, banking instability, tariffs and other trade barriers or restrictions, political instability, a public health crisis, or other adverse events could materially adversely affect our financial performance. Such events have in the past, and may in the future, disrupt supply chains, resulting in increased costs and shipping delays, increase costs of energy and raw materials, and result in damage to, or destruction or closure of, our stores, distribution centers and other properties or those of our suppliers, customers and other business partners, as well as injuries or loss of life. Such events can also adversely affect our work force and prevent employees and customers from reaching our stores and other properties, can modify consumer purchasing patterns and decrease disposable income, and can disrupt or disable portions of our supply chain and distribution network.</w:t>
      </w:r>
    </w:p>
    <w:p>
      <w:pPr>
        <w:spacing w:after="0" w:line="15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In addition to the foregoing, the impacts of climate change, including changes in weather patterns and the increased frequency, intensity and duration of extreme weather events (such as floods, droughts, wildfires and severe storms), could, among other things, adversely impact the ability to extract natural stones from quarries, which is a key resource for a number of our products, disrupt the operation of our supply chain and the productivity of manufacturers on which we rely, disrupt retail operations and foot traffic in consumer markets, damage or destroy our stores, and increase our product and transportation costs. In addition, the impacts of climate change on global water resources may result in water scarcity, which could in the future impact our ability, and the ability of our suppliers, particularly those involved in quarrying activities, to access sufficient quantities of water in certain locations and result in increased costs, as well as potentially causing supply chain delays, such as previously decreased traffic in the Panama Canal resulting from a drought causing low water levels.</w:t>
      </w:r>
    </w:p>
    <w:p>
      <w:pPr>
        <w:spacing w:after="0" w:line="127"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Although preventative measures may help to mitigate damage from these types of catastrophic events, we cannot provide any assurance that any measures we may take will be successful, and delays in recovery may be significant. In addition, the insurance we maintain may not be adequate to cover our losses resulting from any business interruption, including those resulting from a natural disaster or other severe weather event, and recurring extreme weather events or other adverse events could reduce the availability or increase the cost of insurance.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with no business operations of our own and depend on cash flow from The Tile Shop to meet our obligations.</w:t>
      </w:r>
    </w:p>
    <w:p>
      <w:pPr>
        <w:spacing w:after="0" w:line="178"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color w:val="auto"/>
        </w:rPr>
        <w:t>We are a holding company with no business operations of our own or material assets other than the equity of our subsidiaries. All of our operations are conducted by our subsidiaries, including The Tile Shop. As a holding company, we will require dividends and other payments from our subsidiaries to meet cash requirements. The terms of any future credit facility may restrict our subsidiaries from paying dividends and otherwise transferring cash or other assets to us, although our current facility does not restrict this action. If there is an insolvency, liquidation, or other reorganization of any of our subsidiaries, our stockholders likely will have no right to proceed against their assets. Creditors of those subsidiaries will be entitled to payment in full from the sale or other disposal of the assets of those subsidiaries before we, as an equity holder, would be entitled to receive any distribution from that sale or disposal. If The Tile Shop is unable to pay dividends or make other payments to us when needed, we will be unable to satisfy our obligations.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or inability to protect our intellectual property rights could diminish the value of our brand and weaken our competitive position.</w:t>
      </w:r>
    </w:p>
    <w:p>
      <w:pPr>
        <w:spacing w:after="0" w:line="178"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We attempt to protect our intellectual property rights through a combination of copyright, patent, trademark, trade secret, trade dress and unfair competition laws, as well as confidentiality procedures, and assignment and licensing arrangements. Our failure to obtain or maintain adequate protection of our intellectual property rights for any reason could have a material adverse effect on our business, results of operations and financial condition, and might prevent our brands from achieving or maintaining market acceptance. Further,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188595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3"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18"/>
          <w:szCs w:val="18"/>
          <w:color w:val="auto"/>
        </w:rPr>
        <w:t>we cannot assure you that competitors or other third parties will not infringe upon our intellectual property rights, or that we will have adequate resources to enforce our intellectual property rights.</w:t>
      </w:r>
    </w:p>
    <w:p>
      <w:pPr>
        <w:spacing w:after="0" w:line="151" w:lineRule="exact"/>
        <w:rPr>
          <w:sz w:val="20"/>
          <w:szCs w:val="20"/>
          <w:color w:val="auto"/>
        </w:rPr>
      </w:pPr>
    </w:p>
    <w:p>
      <w:pPr>
        <w:ind w:right="42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Focus by stakeholders on environmental, social and governance policies and practices could result in additional costs, and could adversely impact our reputation, consumer perception, employee retention, and willingness of third parties to do business with us.</w:t>
      </w:r>
    </w:p>
    <w:p>
      <w:pPr>
        <w:spacing w:after="0" w:line="152"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There has been increased focus from our stakeholders, including investors, consumers and employees, on our environmental, social and governance policies and practices, including corporate citizenship and sustainability. Additionally, public interest and legislative pressure related to public companies’ environmental, social and governance practices continues to grow. If our environmental, social and governance policies and practices fail to meet regulatory requirements or stakeholders’ evolving expectations and standards for responsible corporate citizenship in areas including environmental stewardship, support for local communities, human capital management, employee health and safety practices, corporate governance and transparency and employing sustainability strategies in our operations, our brand, reputation and employee retention may be negatively impacted, and customers and suppliers may be unwilling to do business with us. At the same time, there also exists anti-environmental, social and governance, including anti-diversity, equity and inclusion, sentiment among certain stakeholders and government institutions, and we may face scrutiny, reputational risk, lawsuits or market access restrictions from these parties. The effects of climate change and increased focus by stakeholders on sustainability matters could have short- and long-term impacts on our business, operations and reputation. Inconsistency of legislation and regulations among jurisdictions, including anti-environmental, social and governance policies or legislation, and any additional regulations may also affect the costs of compliance with such laws and regulations. Any assessment of the potential impact of future sustainability-related legislation, regulations or industry standards, as well as any international treaties and accords, is uncertain given the wide scope of potential regulatory change where we operate.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Labor and Supply Chain</w:t>
      </w:r>
    </w:p>
    <w:p>
      <w:pPr>
        <w:spacing w:after="0" w:line="15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fail to identify and maintain relationships with a sufficient number of suppliers, our ability to obtain products that meet our high quality standards at attractive prices could be adversely affected.</w:t>
      </w:r>
    </w:p>
    <w:p>
      <w:pPr>
        <w:spacing w:after="0" w:line="139"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8"/>
          <w:szCs w:val="18"/>
          <w:color w:val="auto"/>
        </w:rPr>
        <w:t>We purchase flooring and other products directly from suppliers located around the world. However, we do not have long-term contractual supply agreements with our suppliers that obligate them to supply us with products exclusively or at specified quantities or prices. As a result, our current suppliers may not continue selling products to us. In order to retain the competitive advantage that we believe results from these relationships, we need to continue to identify, develop and maintain relationships with qualified suppliers that can satisfy our high standards for quality and our requirements for flooring and other products in a timely and efficient manner at attractive prices. The need to develop new relationships will be particularly important as we seek to expand our operations and enhance our product offerings in the future. The loss of one or more of our existing suppliers or our inability to develop relationships with new suppliers could reduce our competitiveness, slow our plans for further expansion, and cause our net sales and operating results to be adversely affected. In addition, any failure to manage our inventory effectively could have a material and adverse effect on our business, financial condition and results of operations. Our sales could be adversely affected when we experience shortages of key items; further, any inability to meet our customers’ product needs could also adversely affect sales of other related products.</w:t>
      </w:r>
    </w:p>
    <w:p>
      <w:pPr>
        <w:spacing w:after="0" w:line="153"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8"/>
          <w:szCs w:val="18"/>
          <w:color w:val="auto"/>
        </w:rPr>
        <w:t>We source the products that we stock and sell from approximately 200 domestic and international suppliers. We source a large number of those products from foreign manufacturers, including 44% of our products from a group of ten suppliers located in Asia, Europe and the United States. Our largest supplier accounted for approximately 11% of our total purchases in 2024. We generally take title to these products sourced from foreign suppliers overseas and are responsible for arranging shipment to our distribution centers.</w:t>
      </w:r>
    </w:p>
    <w:p>
      <w:pPr>
        <w:spacing w:after="0" w:line="152" w:lineRule="exact"/>
        <w:rPr>
          <w:sz w:val="20"/>
          <w:szCs w:val="20"/>
          <w:color w:val="auto"/>
        </w:rPr>
      </w:pPr>
    </w:p>
    <w:p>
      <w:pPr>
        <w:ind w:right="58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Our reliance on foreign suppliers increases our risk of not obtaining adequate, timely and cost-effective products and other risks involved in foreign operations.</w:t>
      </w:r>
    </w:p>
    <w:p>
      <w:pPr>
        <w:spacing w:after="0" w:line="1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color w:val="auto"/>
        </w:rPr>
        <w:t>The risks associated with direct sourcing from overseas manufacturers may be higher than the risks associated with our traditional domestic suppliers. Foreign sourcing subjects us to a number of risks, including long lead times; work stoppages; shipping delays and interruptions; product quality issues; employee rights issues; other social concerns; public health crises; political instability; acts of terrorism or war; economic disruptions; the imposition of tariffs, including those imposed by the United States on goods imported from China, Canada, Mexico and Russia, duties, quotas, import and export controls and other trade restrictions, as well as the possibility of a global trade war; changes in governmental policies, including potential adverse changes in tax laws and regulations; uncertainty surrounding the enforcement of laws (if any) relating to the protection of intellectual property or data security; and other events. Additionally, reductions in the value of the U.S. dollar or revaluation of foreign currencies used, could ultimately increase the prices that we pay for our products.</w:t>
      </w:r>
    </w:p>
    <w:p>
      <w:pPr>
        <w:spacing w:after="0" w:line="143"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 addition, all of our products manufactured overseas and imported into the U.S. are subject to duties collected by the U.S. Customs and Border Protection. We may be subjected to additional duties, significant monetary penalties, the seizure and forfeiture of the products we are attempting to import or the loss of import privileges if we or our suppliers are found to be in violation of U.S. laws</w:t>
      </w: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188595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regulations applicable to the importation of our products. If duties were to be significantly increased, it could have a material adverse impact on us.</w:t>
      </w:r>
    </w:p>
    <w:p>
      <w:pPr>
        <w:spacing w:after="0" w:line="170"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Our ability to offer compelling products, particularly products made of unique stone, depends on the continued availability of sufficient suitable natural products.</w:t>
      </w:r>
    </w:p>
    <w:p>
      <w:pPr>
        <w:spacing w:after="0" w:line="15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Our business strategy depends on offering a wide assortment of compelling products to our customers. We sell, among other things, products made from various natural stones from quarries throughout the world. Our ability to obtain an adequate volume and quality of hard-to-find products depends on our suppliers’ ability to furnish those products, which, in turn, could be affected by many factors, including the exhaustion of stone quarries or the impact of water scarcity, natural disasters or other extreme weather events, which may be exacerbated by climate change, on the ability to access or efficiently extract resources from such quarries. If our suppliers cannot deliver sufficient products, and we cannot find replacement suppliers, our net sales and operating results may be adversely affected.</w:t>
      </w:r>
    </w:p>
    <w:p>
      <w:pPr>
        <w:spacing w:after="0" w:line="141"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provide timely delivery to our customers, and any disruption in our delivery capabilities or our related planning and control processes may adversely affect our operating results.</w:t>
      </w:r>
    </w:p>
    <w:p>
      <w:pPr>
        <w:spacing w:after="0" w:line="139"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Our success is due in part to our ability to deliver products quickly to our customers, which requires successful planning and distribution infrastructure, including ordering, transportation and receipt processing, and the ability of suppliers to meet distribution requirements. Our ability to maintain this success depends on the continued identification and implementation of improvements to our planning processes, distribution infrastructure, and supply chain. We also need to ensure that our distribution infrastructure and supply chain keep pace with our anticipated growth and increased number of stores. The cost of these enhanced processes could be significant, and any failure to maintain, grow, or improve them could adversely affect our operating results. Our business has been, and could continue to be, adversely affected as a result of delays in product shipments due to freight difficulties, strikes, or other difficulties at our suppliers’ principal transport providers, or otherwise, including as a result of ongoing supply chain disruptions and labor shortages.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few key employees, and if we lose the services of these employees, we may not be able to operate our business effectively.</w:t>
      </w:r>
    </w:p>
    <w:p>
      <w:pPr>
        <w:spacing w:after="0" w:line="178"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Our future success depends in part on our ability to attract and retain key executive, merchandising, marketing, and sales personnel who share our values and are able to operate effectively and consistently with our culture. Our inability to effectively integrate newly-hired officers or senior managers into our business processes, controls, systems and culture could have a material adverse effect on us. The loss or unavailability of any of our key employees could have a material adverse effect on us. In addition, ineffective succession planning could result in unexpected costs, reduced productivity and/or difficulties with respect to internal processes and controls. Our ability to successfully hire other experienced and qualified key employees cannot be assured and may be difficult because we face competition for these professionals from our competitors, our suppliers and other companies operating in our industry.</w:t>
      </w:r>
    </w:p>
    <w:p>
      <w:pPr>
        <w:spacing w:after="0" w:line="14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fail to hire, train, and retain qualified store managers, sales associates, and other employees, our enhanced customer service could be compromised and we could lose sales to our competitors.</w:t>
      </w:r>
    </w:p>
    <w:p>
      <w:pPr>
        <w:spacing w:after="0" w:line="12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color w:val="auto"/>
        </w:rPr>
        <w:t>A key element of our competitive strategy is to provide product expertise to our customers through our extensively trained, commissioned sales associates. We may be constrained in hiring and retaining sufficient qualified employees to support our strategy due to general labor shortages in our industry. In addition, a lack of qualified personnel or increased turnover rates within our employee base could lead to increased costs, such as increased overtime to meet demand and increased wage rates to attract and retain qualified employees. If we are unable to attract and retain qualified personnel and managers as needed in the future, including qualified sales personnel, our level of customer service may decline, which may decrease our revenues and profitability.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control labor costs is limited, which may negatively affect our business.</w:t>
      </w:r>
    </w:p>
    <w:p>
      <w:pPr>
        <w:spacing w:after="0" w:line="17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6"/>
          <w:szCs w:val="16"/>
          <w:color w:val="auto"/>
        </w:rPr>
        <w:t>Our ability to control labor costs is subject to numerous external factors, including prevailing wage rates, inflationary pressures, the impact of legislation or regulations governing healthcare benefits or labor relations, and health and other insurance costs. If our labor and/or benefit costs increase, we may not be able to hire or maintain qualified personnel to the extent necessary to execute our competitive strategy, which could adversely affect our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and self-insurance reserves may not cover future claims.</w:t>
      </w:r>
    </w:p>
    <w:p>
      <w:pPr>
        <w:spacing w:after="0" w:line="178"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We maintain various insurance policies for employee health and workers’ compensation. We are self-insured on certain health insurance plans and are responsible for losses up to a certain limit for these respective plans. We are also self-insured with regard to workers’ compensation coverage, in which case we are responsible for losses up to certain retention limits on both a per-claim and aggregate basis.</w:t>
      </w: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18"/>
          <w:szCs w:val="18"/>
          <w:color w:val="auto"/>
        </w:rPr>
        <w:t>For policies under which we are responsible for losses, we record a liability that represents our estimated cost of claims incurred and unpaid as of the balance sheet date. Our estimated liability is not discounted and is based on a number of assumptions and factors, including historical trends and economic conditions, and is closely monitored and adjusted when warranted by changing circumstances. Fluctuating healthcare costs, our growth rate and changes from our past experience with workers’ compensation claims could affect the accuracy of estimates based on historical experience. Should a greater amount of claims occur compared to what was estimated or employee health insurance costs increase beyond what was expected, our accrued liabilities might not be sufficient, and we may be required to record additional expense. Unanticipated changes may produce materially different amounts of expense than that reported under these programs, which could adversely impact our operating results.</w:t>
      </w:r>
    </w:p>
    <w:p>
      <w:pPr>
        <w:spacing w:after="0" w:line="153"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We also maintain third-party insurance coverage against various other liability risks and risks of property loss, including directors’ and officers’ liability insurance coverage. Potential liabilities associated with those risks or other events could exceed the coverage provided by such arrangements, resulting in significant uninsured liabilities, which could have a material and adverse effect on our business, financial condition and results of operations. In addition, claims brought against us have resulted in, and additional claims could further result in, increased directors’ and officers’ insurance premiums and a reduction in coverage, which could negatively affect us, including by increasing our insurance costs and impacting our ability to attract and retain qualified officers and directors.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laws or changes in existing or new laws and regulations or regulatory enforcement priorities could adversely affect our business.</w:t>
      </w:r>
    </w:p>
    <w:p>
      <w:pPr>
        <w:spacing w:after="0" w:line="178"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8"/>
          <w:szCs w:val="18"/>
          <w:color w:val="auto"/>
        </w:rPr>
        <w:t>We must comply with various laws and regulations at the local, regional, state, federal, and international levels. These laws and regulations change frequently, and such changes can impose significant costs and other burdens of compliance on our business and suppliers. Any changes in regulations, the imposition of additional regulations, or the enactment of any new legislation that affects employment/labor, trade, product safety, transportation/logistics, energy costs, health care, tax, environmental issues, including the impact of climate change, or compliance with applicable anti-bribery laws could have an adverse impact on our financial condition and results of operations. In addition, changes in enforcement priorities by governmental agencies charged with enforcing existing laws and regulations could increase our cost of doing business. The evolving and at times overlapping regulatory regimes to which the Company is subject may change at any time, including as a result of changes in the U.S. political environment. In addition, a number of legal and regulatory measures and social initiatives have been introduced in an effort to reduce greenhouse gas and other carbon emissions. Any such initiatives, restrictions and requirements could restrict, or require us to make changes to, our operating activities, which could increase our operating costs, require us to make capital improvements to our properties, increase our energy, supply and transportation costs or limit their availability, affect the availability and cost of our products, or otherwise adversely affect our results of operations, liquidity or capital resources, and these effects could be material to us.</w:t>
      </w:r>
    </w:p>
    <w:p>
      <w:pPr>
        <w:spacing w:after="0" w:line="158" w:lineRule="exact"/>
        <w:rPr>
          <w:sz w:val="20"/>
          <w:szCs w:val="20"/>
          <w:color w:val="auto"/>
        </w:rPr>
      </w:pPr>
    </w:p>
    <w:p>
      <w:pPr>
        <w:ind w:right="220"/>
        <w:spacing w:after="0" w:line="230" w:lineRule="auto"/>
        <w:rPr>
          <w:sz w:val="20"/>
          <w:szCs w:val="20"/>
          <w:color w:val="auto"/>
        </w:rPr>
      </w:pPr>
      <w:r>
        <w:rPr>
          <w:rFonts w:ascii="Times New Roman" w:cs="Times New Roman" w:eastAsia="Times New Roman" w:hAnsi="Times New Roman"/>
          <w:sz w:val="18"/>
          <w:szCs w:val="18"/>
          <w:color w:val="auto"/>
        </w:rPr>
        <w:t>We may also be subject to audits by various taxing authorities. Changes in tax laws in any of the multiple jurisdictions in which we operate, or adverse outcomes from tax audits that we may be subject to in any of the jurisdictions in which we operate, could result in an unfavorable change in our effective tax rate, which could have an adverse effect on our business and results of operations.</w:t>
      </w:r>
    </w:p>
    <w:p>
      <w:pPr>
        <w:spacing w:after="0" w:line="150"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Any failure to maintain effective internal control over financial reporting and disclosure controls and procedures could have a material adverse effect on our business.</w:t>
      </w:r>
    </w:p>
    <w:p>
      <w:pPr>
        <w:spacing w:after="0" w:line="12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We are required to maintain internal control over financial reporting and disclosure controls and procedures in order to provide reasonable assurance regarding the reliability of financial reporting and the preparation of our consolidated financial statements for external purposes in accordance with GAAP (as defined below). We, along with our independent registered public accounting firm, previously identified a material weakness in our internal control over financial reporting that pertained to our information technology general controls, which was remediated as of December 31, 2024. See further discussion regarding controls implemented to remediate our material weakness in Item 9A – Controls and Procedures included in this report.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Material weaknesses could adversely impact our ability to record, process and report financial information accurately, and to prepare financial statements within the time periods specified by the rules and forms of the SEC. While we have taken meaningful steps to enhance our disclosure controls and procedures and our internal control over financial reporting by strengthening our financial reporting and accounting functions, we cannot provide any assurance that we will continue to be able to maintain adequate controls over our financial processes and reporting or that we will not identify significant deficiencies and material weaknesses in our internal control over financial reporting in the future. Any failure of our internal controls could result in material misstatements in our consolidated financial statements, significant deficiencies, material weaknesses, costs, failure to timely meet our periodic reporting obligations and erosion of investor confidence. Such failure could also negatively affect the market price and trading liquidity of our common stock, subject us to</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civil and criminal investigations and penalties and could have a material adverse effect on our business, financial condition, results of operations or cash flow.</w:t>
      </w:r>
    </w:p>
    <w:p>
      <w:pPr>
        <w:spacing w:after="0" w:line="193" w:lineRule="exact"/>
        <w:rPr>
          <w:sz w:val="20"/>
          <w:szCs w:val="20"/>
          <w:color w:val="auto"/>
        </w:rPr>
      </w:pPr>
    </w:p>
    <w:p>
      <w:pPr>
        <w:ind w:right="50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If our suppliers do not use ethical business practices or comply with applicable laws and regulations, our reputation could be harmed due to negative publicity and we could be subject to legal risk.</w:t>
      </w:r>
    </w:p>
    <w:p>
      <w:pPr>
        <w:spacing w:after="0" w:line="15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color w:val="auto"/>
        </w:rPr>
        <w:t>We do not control the operations of our suppliers. Accordingly, we cannot guarantee that our suppliers will comply with applicable environmental, labor, anti-corruption and other laws and regulations or operate in a legal, ethical, and responsible manner. Violation of environmental, labor, anti-corruption or other laws by our suppliers or their failure to operate in a legal, ethical, or responsible manner could reduce demand for our products if, as a result of such violation or failure, we attract negative publicity. Further, such conduct could expose us to legal risks as a result of the purchase of products from non-compliant suppliers.</w:t>
      </w:r>
    </w:p>
    <w:p>
      <w:pPr>
        <w:spacing w:after="0" w:line="14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legal proceedings and, while we cannot predict the outcomes of such proceedings and other contingencies with certainty, some of these outcomes could adversely affect our business, financial condition and results of operations.</w:t>
      </w:r>
    </w:p>
    <w:p>
      <w:pPr>
        <w:spacing w:after="0" w:line="126"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We are involved in stockholder, consumer, employment, tort or other litigation from time to time. We cannot predict with certainty the outcomes of these legal proceedings. The outcome of some of these legal proceedings could require us to take, or refrain from taking, actions which could negatively affect our operations or could require us to pay substantial amounts of money, adversely affecting our financial condition and results of operations. Additionally, defending against lawsuits and proceedings may involve significant expense and diversion of management’s attention and resources.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Technology-Related Risks</w:t>
      </w:r>
    </w:p>
    <w:p>
      <w:pPr>
        <w:spacing w:after="0" w:line="172"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could be disrupted if we are unable to protect the integrity and security of our customer and other personal and/or confidential information.</w:t>
      </w:r>
    </w:p>
    <w:p>
      <w:pPr>
        <w:spacing w:after="0" w:line="12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Like all businesses, we face cybersecurity threats, as we are reliant upon information systems and the Internet to conduct our business activities. For example, in connection with payment card sales and other transactions, including bank cards, debit cards, credit cards and other merchant cards, we process and transmit confidential banking and payment card information. Additionally, as part of our normal business activities, we collect and store sensitive personal information related to our employees, customers, suppliers and other parties. Despite our security measures, our information technology and infrastructure, and that of third parties upon which we rely, may be vulnerable to criminal cyber-attacks or security incidents due to employee or service provider error, third-party action, including actions of foreign actors, which risk may be exacerbated by the current Russia-Ukraine and other geopolitical conflicts and U.S. and international response, insider attacks, phishing or denial-of-service attacks, the introduction of computer viruses and/or malicious or destructive code, ransomware or other malware, social engineering, malfeasance, other unauthorized physical or electronic access, or other vulnerabilities. Any such incidents could compromise our networks, or those of our vendors, or disrupt our or our vendors’ critical systems, and the information stored there, such as personally identifiable information or funds, could be accessed, publicly disclosed, lost, corrupted or stolen. Such incidents could also lead to widespread technology outages, interruptions or other failures of operational, communication or other systems globally and across companies and industries. Third parties may have the technology and know-how to breach the security of this information, and our security measures and those of our banks, merchant card processing and other technology suppliers may not effectively prohibit others from obtaining improper access to this information. The techniques used by criminals to obtain unauthorized access to sensitive data continue to evolve and become more sophisticated and often are not recognized until launched against a target; accordingly, we may be unable to anticipate these techniques or implement adequate preventative measures, and future cyber-attacks could go undetected and persist for an extended period of time. Furthermore, to the extent artificial intelligence capabilities continue to improve and are increasingly adopted, they may be used to identify vulnerabilities and craft increasingly sophisticated cybersecurity attacks, including the use of generative artificial intelligence to conduct more sophisticated social engineering attacks on the Company, suppliers or customers. In addition, vulnerabilities may be introduced from the use of artificial intelligence by us, our financial services providers and other vendors and third-party providers.</w:t>
      </w:r>
    </w:p>
    <w:p>
      <w:pPr>
        <w:spacing w:after="0" w:line="164"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Our vendors and others to whom we entrust confidential data, and on whom we rely to provide products and services, face similar threats and growing requirements. While we perform cybersecurity due diligence on our key vendors and service providers, our ability to monitor their cybersecurity is limited. We cannot ensure the cybersecurity measures they take will be sufficient to protect any information we share with them or prevent any disruption arising from a technology failure, cyber-attack or other information or security breach. We depend on such parties to implement adequate controls and safeguards to protect against and report cyber incidents. If such parties fail to deter, detect or report cyber incidents in a timely manner, we may suffer from financial and other harm, including to our information, operations, performance, employees and reputation.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incur costs in order to comply with cybersecurity or data privacy regulations or with requirements imposed by business partners. Data privacy</w:t>
      </w:r>
    </w:p>
    <w:p>
      <w:pPr>
        <w:jc w:val="both"/>
        <w:ind w:right="80"/>
        <w:spacing w:after="0" w:line="218" w:lineRule="auto"/>
        <w:rPr>
          <w:sz w:val="20"/>
          <w:szCs w:val="20"/>
          <w:color w:val="auto"/>
        </w:rPr>
      </w:pPr>
      <w:r>
        <w:rPr>
          <w:rFonts w:ascii="Times New Roman" w:cs="Times New Roman" w:eastAsia="Times New Roman" w:hAnsi="Times New Roman"/>
          <w:sz w:val="18"/>
          <w:szCs w:val="18"/>
          <w:color w:val="auto"/>
        </w:rPr>
        <w:t>and cybersecurity laws in the United States and internationally are constantly changing, and the implementation of these laws has become more complex. For instance, many states have enacted laws requiring companies to notify individuals of data security breaches involving their personal data, and the SEC requires disclosure of material cybersecurity incidents. These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188595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6"/>
          <w:szCs w:val="16"/>
          <w:color w:val="auto"/>
        </w:rPr>
        <w:t>mandatory disclosures regarding a security breach often lead to widespread negative publicity, which may cause our customers to lose confidence in the effectiveness of our data security measures. Any security breach, whether successful or not, would harm our reputation and could damage our competitive position and cause the loss of customers. In addition, any such breach, or any material failure on our part to comply with applicable laws, could subject us to litigation, government investigation or enforcement actions or other regulatory sanctions, regulatory penalties or fines, or costly response measures. Any such occurrence could have a material adverse effect on us. Furthermore, in order to comply with current or newly enacted laws, we may be subject to increased costs as a result of continually evaluating our policies and processes and adapting to new requirements that are or become applicable to us. In addition, the implementation of technology changes and upgrades to maintain current and integrate new systems incurs additional costs and may cause service interruptions or system conversion delays and may cause us to fail to comply with applicable laws, all of which could have a material adverse effect on our business.</w:t>
      </w:r>
    </w:p>
    <w:p>
      <w:pPr>
        <w:spacing w:after="0" w:line="132" w:lineRule="exact"/>
        <w:rPr>
          <w:sz w:val="20"/>
          <w:szCs w:val="20"/>
          <w:color w:val="auto"/>
        </w:rPr>
      </w:pPr>
    </w:p>
    <w:p>
      <w:pPr>
        <w:ind w:right="440"/>
        <w:spacing w:after="0" w:line="253" w:lineRule="auto"/>
        <w:rPr>
          <w:sz w:val="20"/>
          <w:szCs w:val="20"/>
          <w:color w:val="auto"/>
        </w:rPr>
      </w:pPr>
      <w:r>
        <w:rPr>
          <w:rFonts w:ascii="Times New Roman" w:cs="Times New Roman" w:eastAsia="Times New Roman" w:hAnsi="Times New Roman"/>
          <w:sz w:val="18"/>
          <w:szCs w:val="18"/>
          <w:color w:val="auto"/>
        </w:rPr>
        <w:t>While we carry cyber insurance, we cannot be certain that our coverage will be adequate for liabilities actually incurred, that insurance will continue to be available to us on economically reasonable terms, or at all, or that any insurer will not deny coverage as to any future claim.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management information systems experience disruptions, it could disrupt our business and reduce our net sales.</w:t>
      </w:r>
    </w:p>
    <w:p>
      <w:pPr>
        <w:spacing w:after="0" w:line="178"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We depend on our management information systems to integrate the activities of our stores, to process orders, to manage inventory, to purchase merchandise and to sell and ship goods on a timely basis. We may experience operational problems with our information systems, as well as loss of funds, intellectual property or other proprietary information, as a result of system failures, third-party service outages, viruses, computer “hackers” or other causes. We may incur significant expenses in order to repair any such operational problems and could suffer reputational damage. Any significant disruption or slowdown of our systems could cause information, including data related to customer orders, to be lost or delayed, which could result in delays in the delivery of products to our stores and customers or lost sales. Accordingly, if our network is disrupted, we may experience delayed communications within our operations and between our customers and ourselves. Any such occurrence could have a material adverse effect on 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selection and implementation of information technology initiatives may impact our operational efficiency and productivity.</w:t>
      </w:r>
    </w:p>
    <w:p>
      <w:pPr>
        <w:spacing w:after="0" w:line="178"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In order to better manage our business, we have invested in, and expect to continue to invest in, our information systems. In doing so, we must select the correct investments and implement them in an efficient manner. The costs, potential problems and interruptions associated with implementing technology initiatives could disrupt or reduce the efficiency of our operations. For instance, we may experience occasional system interruptions and delays, as a result of routine maintenance, periodic updates, implementation of new technology or other factors, that make our information systems unavailable or slow to respond, including the interaction of our information systems with those of third parties. Furthermore, these initiatives might not provide the anticipated benefits or provide them in a delayed or unexpectedly costly manner. Accordingly, issues relating to our selection and implementation of information technology initiatives may negatively impact our business and operating results.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maintain our listing on The Nasdaq Stock Market LLC (“Nasdaq”) and may incur additional costs as a result of our Nasdaq listing.</w:t>
      </w:r>
    </w:p>
    <w:p>
      <w:pPr>
        <w:spacing w:after="0" w:line="188"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8"/>
          <w:szCs w:val="18"/>
          <w:color w:val="auto"/>
        </w:rPr>
        <w:t>Our common stock currently trades on Nasdaq. We cannot provide any assurance that we will be able to continue to satisfy Nasdaq’s continued listing requirements and standards to which we are subject. A delisting of our common stock could negatively affect the price and liquidity of our common stock and could impair our ability to raise capital in the future. In addition, we incur costs as a result of compliance with Nasdaq’s rules and requirements, which could adversely affect our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decline and/or be volatile.</w:t>
      </w:r>
    </w:p>
    <w:p>
      <w:pPr>
        <w:spacing w:after="0" w:line="17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market price of our common stock has fluctuated significantly in the past and may continue to fluctuate in the future. Future fluctuations could be based on various factors in addition to those otherwise described in this report, including:</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operating performance and the performance of our competitors;</w:t>
      </w:r>
    </w:p>
    <w:p>
      <w:pPr>
        <w:ind w:left="640" w:right="3500"/>
        <w:spacing w:after="0"/>
        <w:rPr>
          <w:sz w:val="20"/>
          <w:szCs w:val="20"/>
          <w:color w:val="auto"/>
        </w:rPr>
      </w:pPr>
      <w:r>
        <w:rPr>
          <w:rFonts w:ascii="Times New Roman" w:cs="Times New Roman" w:eastAsia="Times New Roman" w:hAnsi="Times New Roman"/>
          <w:sz w:val="16"/>
          <w:szCs w:val="16"/>
          <w:color w:val="auto"/>
        </w:rPr>
        <w:t>the public’s reaction to our filings with the SEC, our press releases and other public announcements; the degree of trading liquidity in our common stock, including our ability to remain listed on Nasdaq;</w:t>
      </w:r>
    </w:p>
    <w:p>
      <w:pPr>
        <w:ind w:left="320"/>
        <w:spacing w:after="0" w:line="213" w:lineRule="auto"/>
        <w:rPr>
          <w:sz w:val="20"/>
          <w:szCs w:val="20"/>
          <w:color w:val="auto"/>
        </w:rPr>
      </w:pPr>
      <w:r>
        <w:rPr>
          <w:rFonts w:ascii="Times New Roman" w:cs="Times New Roman" w:eastAsia="Times New Roman" w:hAnsi="Times New Roman"/>
          <w:sz w:val="18"/>
          <w:szCs w:val="18"/>
          <w:color w:val="auto"/>
        </w:rPr>
        <w:t>changes in recommendations or earnings estimates by research analysts who follow us or other companies in our industry;</w:t>
      </w:r>
    </w:p>
    <w:p>
      <w:pPr>
        <w:ind w:left="640" w:right="740"/>
        <w:spacing w:after="0" w:line="213" w:lineRule="auto"/>
        <w:rPr>
          <w:sz w:val="20"/>
          <w:szCs w:val="20"/>
          <w:color w:val="auto"/>
        </w:rPr>
      </w:pPr>
      <w:r>
        <w:rPr>
          <w:rFonts w:ascii="Times New Roman" w:cs="Times New Roman" w:eastAsia="Times New Roman" w:hAnsi="Times New Roman"/>
          <w:sz w:val="18"/>
          <w:szCs w:val="18"/>
          <w:color w:val="auto"/>
        </w:rPr>
        <w:t>variations in general economic conditions, including the impact of inflation, decreases in consumer spending, geopolitical conditions and the possibility of an economic downturn or recession;</w:t>
      </w:r>
    </w:p>
    <w:p>
      <w:pPr>
        <w:ind w:left="640" w:right="2220"/>
        <w:spacing w:after="0" w:line="213" w:lineRule="auto"/>
        <w:rPr>
          <w:sz w:val="20"/>
          <w:szCs w:val="20"/>
          <w:color w:val="auto"/>
        </w:rPr>
      </w:pPr>
      <w:r>
        <w:rPr>
          <w:rFonts w:ascii="Times New Roman" w:cs="Times New Roman" w:eastAsia="Times New Roman" w:hAnsi="Times New Roman"/>
          <w:sz w:val="18"/>
          <w:szCs w:val="18"/>
          <w:color w:val="auto"/>
        </w:rPr>
        <w:t>actions of our current stockholders, including transactions in our common stock by our directors and executive officers; the arrival or departure of key personnel;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188595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developments affecting us, our industry or our competitors.</w:t>
      </w:r>
    </w:p>
    <w:p>
      <w:pPr>
        <w:spacing w:after="0" w:line="16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In addition, the stock market may experience significant price and volume fluctuations, which may be unrelated to the operating performance of particular companies but could cause declines in the market price of our common stock. The price of our common stock could fluctuate based upon factors that have little or nothing to do with our Company or its performance.</w:t>
      </w:r>
    </w:p>
    <w:p>
      <w:pPr>
        <w:spacing w:after="0" w:line="150"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pay quarterly dividends or have a stock repurchase program; as such, appreciation in the price of our common stock may be the only method to realize a return on your investment.</w:t>
      </w:r>
    </w:p>
    <w:p>
      <w:pPr>
        <w:spacing w:after="0" w:line="165"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We have, from time to time, paid special dividends and engaged in stock repurchases. Any future determination with respect to the payment of dividends or stock repurchases is at the discretion of our Board and is dependent upon our financial condition, results of operations, capital requirements, general business conditions, tax treatment of dividends and issuer stock repurchases in the United States, potential future contractual restrictions contained in credit agreements and other agreements and other factors deemed relevant by our Board of Directors. We can provide no assurance that we will pay any dividends to our stockholders in the future, or as to the amount of any such dividends, or that we will engage in additional stock repurchases. Our election not to pay a quarterly dividend or repurchase stock may negatively impact our reputation, our stock price, and investor confidence in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ownership may have the effect of delaying or preventing a change in control.</w:t>
      </w:r>
    </w:p>
    <w:p>
      <w:pPr>
        <w:spacing w:after="0" w:line="178"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Our directors and executive officers, together with their affiliates, beneficially hold approximately 36% of our outstanding shares of common stock. As a result, these stockholders, if acting together, have the ability to influence the outcome of corporate actions requiring stockholder approval. This concentration of ownership may have the effect of delaying or preventing a change in control and might adversely affect the market price of our securities.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and provisions of Delaware law could impair a takeover attempt.</w:t>
      </w:r>
    </w:p>
    <w:p>
      <w:pPr>
        <w:spacing w:after="0" w:line="17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Our certificate of incorporation and bylaws contain provisions that, alone or together, could have the effect of delaying or preventing hostile takeovers or changes in control or changes in our management without the consent of our Board of Directors. These provisions include, among other things, a classified Board of Directors; no cumulative voting in the election of directors; the exclusive right of our Board of Directors to fill a vacancy created by the expansion of the Board of Directors or the resignation, death, or removal of a director; the ability of our Board of Directors to issue shares of preferred stock, including determining the price, voting rights and other terms of such shares, without stockholder approval; requiring approval of certain transactions by the Independent Transaction Committee of the Board; a prohibition on stockholder action by written consent and providing that a special meeting of stockholders may be called only by the chairman of the Board of Directors, the Chief Executive Officer, or the Board of Directors; limiting the liability of, and providing indemnification to, our directors and officers; controlling the procedures for the conduct and scheduling of stockholder meetings; allowing the Board of Directors to postpone or reschedule special meetings of stockholders; providing that directors may be removed prior to the expiration of their terms by stockholders only for cause; and advance notice procedures for nominating director candidates or proposing matters to be acted upon at a stockholders’ meeting. In addition, we are subject to provisions of Delaware law that may impair takeover attempts, including Section 203 of the Delaware General Corporation Law, which generally provides that a corporation may not engage in any business combination with any interested stockholder during the three-year period following the time that such stockholder becomes an interested stockholder, unless certain approval requirements are met. 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25"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exclusive forum for certain types of lawsuits, which could increase costs to bring a claim, discourage claims or limit the ability of our stockholders to bring a claim in a judicial forum viewed by the stockholders as more favorable for disputes with us or our directors, officers or other employees.</w:t>
      </w:r>
    </w:p>
    <w:p>
      <w:pPr>
        <w:spacing w:after="0" w:line="153"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our certificate of incorporation or our bylaws, or (iv) any action asserting a claim governed by the internal affairs doctrine. The choice of forum provision may increase costs to bring a claim, discourage claims or limit a stockholder’s ability to bring a claim in a judicial forum that it finds favorable for disputes with us or our directors, officers or other employees, which may discourage such lawsuits against us or our directors, officers and other employees. Alternatively, if a court were to find this choice of forum provision to be inapplicable or unenforceable in an action, we may incur additional costs associated with resolving such action in other jurisdictions. The exclusive forum provision in our certificate of incorporation will not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preclude or contract the scope of exclusive federal or concurrent jurisdiction for actions brought under the federal securities laws including the Exchange Act or the Securities Act of 1933, as amended, or the respective rules and regulations promulgated thereunder.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63"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8"/>
          <w:szCs w:val="18"/>
          <w:color w:val="auto"/>
        </w:rPr>
        <w:t>Like all businesses, the Company faces cybersecurity threats, as the Company is reliant upon information systems and the Internet to conduct its business activities. For example, in connection with payment card sales and other transactions, including bank cards, debit cards, credit cards and other merchant cards, the Company processes and transmits confidential banking and payment card information. Additionally, as part of its normal business activities, the Company collects and stores sensitive personal information related to the Company’s employees, customers, suppliers and other parties. Businesses, including those in our industry, and third parties on which we rely are frequently confronted with a broad range of cybersecurity threats, from uncoordinated, individual attempts to gain unauthorized access to an organization’s information technology (“IT”) environment to sophisticated and targeted cyberattacks sponsored by foreign governments and criminal enterprises.</w:t>
      </w:r>
    </w:p>
    <w:p>
      <w:pPr>
        <w:spacing w:after="0" w:line="167"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8"/>
          <w:szCs w:val="18"/>
          <w:color w:val="auto"/>
        </w:rPr>
        <w:t>Although the Company employs measures to prevent, detect, address, and mitigate these threats, a cybersecurity incident could potentially result in the misappropriation, destruction, corruption, or unavailability of critical data, personally identifiable information, and other confidential or proprietary data (our own or that of third parties) and the disruption of business operations. Any such incidents could compromise the Company’s networks, or those of our vendors, or disrupt the Company’s or our vendors’ critical systems, and the information stored there, such as personally identifiable information or funds, could be accessed, publicly disclosed, lost, corrupted or stolen. Third parties may have the technology and know-how to breach the security of this information, and the Company’s security measures and those of the Company’s banks, merchant card processing and other technology suppliers may not effectively prohibit others from obtaining improper access to this information. The techniques used by criminals to obtain unauthorized access to sensitive data change frequently and often are not recognized until launched against a target; accordingly, the Company may be unable to anticipate these techniques or implement adequate preventative measures.</w:t>
      </w:r>
    </w:p>
    <w:p>
      <w:pPr>
        <w:spacing w:after="0" w:line="1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6"/>
          <w:szCs w:val="16"/>
          <w:color w:val="auto"/>
        </w:rPr>
        <w:t>The potential consequences of a material cybersecurity incident include remediation and restoration costs, reputational damage, and litigation with third parties, which in turn could adversely affect our competitiveness and results of operations. Accordingly, cybersecurity is an important part of the Company’s enterprise risk management program, and the Company seeks to address cybersecurity risks through a comprehensive, cross-functional approach.</w:t>
      </w:r>
    </w:p>
    <w:p>
      <w:pPr>
        <w:spacing w:after="0" w:line="159"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The Company’s cybersecurity policies, standards, processes, and practices for assessing, identifying, and managing material risks from cybersecurity threats and responding to cybersecurity incidents are integrated into the Company’s risk management program and are based on recognized frameworks established by the National Institute of Standards and Technology and other applicable industry standards. The Company has established controls and procedures, including an Incident Response Plan, that provide for the identification, analysis, notification, escalation, communication, and remediation of data security incidents at appropriate levels so that decisions regarding the public disclosure and reporting of such incidents can be made by management in a timely manner. The Company has also established a process to validate the aforementioned controls are in place and the results are being reviewed as a part of the overall company risk assessment. The Company’s Incident Response Plan (i) is designed to identify and detect information security threats through various mechanisms, such as through security controls and third-party disclosures, and (ii) sets forth a process to (a) analyze any such threats detected within the Company’s IT environment or within a third-party’s IT environment, (b) contain cybersecurity threats under various circumstances, and (c) better ensure the Company can recover from cybersecurity incidents to a normal state of business operations. The Company has established and maintains other incident response and recovery plans that address the Company’s response to a cybersecurity incident.</w:t>
      </w:r>
    </w:p>
    <w:p>
      <w:pPr>
        <w:spacing w:after="0" w:line="171"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18"/>
          <w:szCs w:val="18"/>
          <w:color w:val="auto"/>
        </w:rPr>
        <w:t>The Company has cybersecurity insurance (subject to specified retentions or deductibles) related to a cybersecurity incident that addresses costs, losses, and expenses related to cybersecurity investigations, crisis management, notification processes and credit monitoring services, public relations, and legal advice. However, damages, fines and claims arising from such incidents may not be covered or may exceed the amount of any insurance available or may not be insurable.</w:t>
      </w:r>
    </w:p>
    <w:p>
      <w:pPr>
        <w:spacing w:after="0" w:line="18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As part of its cybersecurity program, the Company deploys measures to deter, prevent, detect, respond to and mitigate cybersecurity threats, including firewalls, anti-malware, extended detection and response systems, identity and access controls, strong password controls, multi-factor authentication, software patching protocols, and physical security measures. The Company periodically assesses and tests the Company’s policies, standards, processes, and practices that are designed to address cybersecurity (including artificial intelligence-related) threats and incidents, including by assessing current threat intelligence, conducting tabletop exercises, vulnerability scanning, and performing external penetration testing. The Company has a process to report material results of such testing and assessments to the Board, and periodically adjusts the Company’s cybersecurity program based on these exercises. The Company engages third parties to oversee and conduct part of such testing, as well as perform external audits of security protocols and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3"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capabilities. The Company seeks to identify and oversee cybersecurity risks presented by third parties and their systems from a risk-based perspective by identifying critical vendors (defined based on capabilities provided and investments required) and reviewing software patching, upgrades and associated changes required to reduce risk. The Company also conducts cybersecurity training for employees, including mandatory training programs for system users. The Company’s training programs require employees to complete a knowledge check prior to completion of the program. Completion of the Company’s training programs is monitored by management.</w:t>
      </w:r>
    </w:p>
    <w:p>
      <w:pPr>
        <w:spacing w:after="0" w:line="182"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Many of the Company’s IT systems operate with a hosted architecture or by third-party service providers, and if these third-party IT environments fail to operate properly, our systems could stop functioning for a period of time, which could put our users at risk. Accordingly, we are dependent on the operations of IT service providers. Our vendor management process, which includes due diligence steps prior to selecting third party service providers, is an important part of our risk mitigation strategy. In particular, we require ISO and other security compliance for all critical vendors by contract. Additionally, the Company monitors risks from cybersecurity threats associated with the user of third-party service providers and will audit critical vendors for compliance, as appropriate. Notwithstanding, if there is a catastrophic event, such as a natural disaster or other adverse weather condition, terrorist attack, security breach, or other extraordinary event, the Company, and our service providers, may be unable to operate business as usual, or at all, for the duration of the event and/or a time thereafter.</w:t>
      </w:r>
    </w:p>
    <w:p>
      <w:pPr>
        <w:spacing w:after="0" w:line="183"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18"/>
          <w:szCs w:val="18"/>
          <w:color w:val="auto"/>
        </w:rPr>
        <w:t>Considering the pervasive and increasing threat from cyberattacks, the Board and the Audit Committee, with input from management, assess the Company’s cybersecurity threats and the measures implemented by the Company in an effort to mitigate and prevent cyberattacks. The Audit Committee consults with management regarding ongoing cybersecurity initiatives and requests management report to the Audit Committee or the full Board regularly on their assessment of the Company’s cybersecurity program and risks, including artificial intelligence. Both the Audit Committee and the full Board receive quarterly reports from the Chief Information Officer on cybersecurity risks and timely reports regarding any cybersecurity incident that meets established reporting thresholds, as well as ongoing updates regarding any such incident until it has been addressed. Our Board has risk management experience, including members with experience in overseeing teams responsible for data security and cybersecurity and assessing technology-related risks and development of risk mitigation strategies.</w:t>
      </w:r>
    </w:p>
    <w:p>
      <w:pPr>
        <w:spacing w:after="0" w:line="169"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8"/>
          <w:szCs w:val="18"/>
          <w:color w:val="auto"/>
        </w:rPr>
        <w:t>In addition, the Company’s information security/cybersecurity program is managed by the Director of Infrastructure and Security, who is responsible for leading enterprise-wide cybersecurity strategy, policy, standards, architecture, and processes. The Director of Infrastructure and Security and Chief Information Officer provide periodic reports to our Board and Audit Committee as well as our Chief Executive Officer and other members of our senior management as appropriate. We have also established cross-functional teams to collaborate and communicate on cybersecurity-related issues. The reports to management include updates on the Company’s cyber risks and threats, the status of projects to strengthen our information security systems, assessments of the information security program, and the emerging threat landscape. The Incident Response Team, which includes the Chief Information Officer, Director of Infrastructure and Security, Chief Financial Officer and key operational leaders, is regularly engaged to discuss cybersecurity risks and to review the Company’s preparations for any security events. The Incident Response Team will notify the Board of Directors of any critical events as defined in the Incident Response Plan. Additionally, the Chief Information Officer regularly engages the Board representative with cybersecurity experience to identify Board-level needs for education and communication.</w:t>
      </w:r>
    </w:p>
    <w:p>
      <w:pPr>
        <w:spacing w:after="0" w:line="17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8"/>
          <w:szCs w:val="18"/>
          <w:color w:val="auto"/>
        </w:rPr>
        <w:t>The Chief Information Officer holds an undergraduate degree in computer science and has served in various roles in information technology for over 30 years, including serving as a senior technology leader or Chief Information Officer of two public companies and two private equity-owned firms. The Chief Information Officer has prior experience supporting organizations that have experienced cybersecurity events and continue to learn more about the current trends and risks by partnering with third parties.</w:t>
      </w:r>
    </w:p>
    <w:p>
      <w:pPr>
        <w:spacing w:after="0" w:line="169"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While the Company faces a number of cybersecurity risks in connection with its business, as of the date of this report, the Company is not aware of any risks from cybersecurity threats that have materially affected or are reasonably likely to materially affect the Company, including its business strategy, results of operations, or financial condition. However, there can be no assurance that the Company, or its third-party service providers, will not experience a cybersecurity threat or incident in the future that could materially adversely affect the Company, including its business strategy, results of operations, or financial condition. For further discussion of the risks related to cybersecurity, see the risk factors discussed under Item 1A. “Risk Factors” in this report.</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6"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18"/>
          <w:szCs w:val="18"/>
          <w:color w:val="auto"/>
        </w:rPr>
        <w:t>As of December 31, 2024, we operated 142 stores located in 31 states and the District of Columbia with an average square footage of approximately 20,000 square feet. The table below sets forth the store locations (alphabetically by state) of our 142 stores in operation as of 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Stores</w:t>
            </w: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Stores</w:t>
            </w: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Stores</w:t>
            </w: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Stores</w:t>
            </w:r>
          </w:p>
        </w:tc>
      </w:tr>
      <w:tr>
        <w:trPr>
          <w:trHeight w:val="177"/>
        </w:trPr>
        <w:tc>
          <w:tcPr>
            <w:tcW w:w="166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Arizona</w:t>
            </w:r>
          </w:p>
        </w:tc>
        <w:tc>
          <w:tcPr>
            <w:tcW w:w="10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Illinois</w:t>
            </w:r>
          </w:p>
        </w:tc>
        <w:tc>
          <w:tcPr>
            <w:tcW w:w="12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Minnesota</w:t>
            </w:r>
          </w:p>
        </w:tc>
        <w:tc>
          <w:tcPr>
            <w:tcW w:w="12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Oklahoma</w:t>
            </w:r>
          </w:p>
        </w:tc>
        <w:tc>
          <w:tcPr>
            <w:tcW w:w="12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w:t>
            </w:r>
          </w:p>
        </w:tc>
      </w:tr>
      <w:tr>
        <w:trPr>
          <w:trHeight w:val="184"/>
        </w:trPr>
        <w:tc>
          <w:tcPr>
            <w:tcW w:w="16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Arkansas</w:t>
            </w:r>
          </w:p>
        </w:tc>
        <w:tc>
          <w:tcPr>
            <w:tcW w:w="10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Indiana</w:t>
            </w: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Missouri</w:t>
            </w: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Pennsylvania</w:t>
            </w: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w:t>
            </w:r>
          </w:p>
        </w:tc>
      </w:tr>
      <w:tr>
        <w:trPr>
          <w:trHeight w:val="184"/>
        </w:trPr>
        <w:tc>
          <w:tcPr>
            <w:tcW w:w="16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Colorado</w:t>
            </w:r>
          </w:p>
        </w:tc>
        <w:tc>
          <w:tcPr>
            <w:tcW w:w="10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w:t>
            </w:r>
          </w:p>
        </w:tc>
        <w:tc>
          <w:tcPr>
            <w:tcW w:w="160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Iowa</w:t>
            </w: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c>
          <w:tcPr>
            <w:tcW w:w="162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Nebraska</w:t>
            </w: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c>
          <w:tcPr>
            <w:tcW w:w="162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Rhode Island</w:t>
            </w: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r>
      <w:tr>
        <w:trPr>
          <w:trHeight w:val="184"/>
        </w:trPr>
        <w:tc>
          <w:tcPr>
            <w:tcW w:w="16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Connecticut</w:t>
            </w:r>
          </w:p>
        </w:tc>
        <w:tc>
          <w:tcPr>
            <w:tcW w:w="10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w:t>
            </w:r>
          </w:p>
        </w:tc>
        <w:tc>
          <w:tcPr>
            <w:tcW w:w="160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Kansas</w:t>
            </w: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c>
          <w:tcPr>
            <w:tcW w:w="16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New Jersey</w:t>
            </w: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w:t>
            </w:r>
          </w:p>
        </w:tc>
        <w:tc>
          <w:tcPr>
            <w:tcW w:w="16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South Carolina</w:t>
            </w: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w:t>
            </w:r>
          </w:p>
        </w:tc>
      </w:tr>
      <w:tr>
        <w:trPr>
          <w:trHeight w:val="184"/>
        </w:trPr>
        <w:tc>
          <w:tcPr>
            <w:tcW w:w="16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Delaware</w:t>
            </w:r>
          </w:p>
        </w:tc>
        <w:tc>
          <w:tcPr>
            <w:tcW w:w="10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Kentucky</w:t>
            </w: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w:t>
            </w:r>
          </w:p>
        </w:tc>
        <w:tc>
          <w:tcPr>
            <w:tcW w:w="162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New Mexico</w:t>
            </w: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c>
          <w:tcPr>
            <w:tcW w:w="162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Tennessee</w:t>
            </w: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w:t>
            </w:r>
          </w:p>
        </w:tc>
      </w:tr>
      <w:tr>
        <w:trPr>
          <w:trHeight w:val="184"/>
        </w:trPr>
        <w:tc>
          <w:tcPr>
            <w:tcW w:w="16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District of Columbia</w:t>
            </w:r>
          </w:p>
        </w:tc>
        <w:tc>
          <w:tcPr>
            <w:tcW w:w="10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Maryland</w:t>
            </w: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w:t>
            </w:r>
          </w:p>
        </w:tc>
        <w:tc>
          <w:tcPr>
            <w:tcW w:w="16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New York</w:t>
            </w: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w:t>
            </w:r>
          </w:p>
        </w:tc>
        <w:tc>
          <w:tcPr>
            <w:tcW w:w="16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Texas</w:t>
            </w: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17</w:t>
            </w:r>
          </w:p>
        </w:tc>
      </w:tr>
      <w:tr>
        <w:trPr>
          <w:trHeight w:val="184"/>
        </w:trPr>
        <w:tc>
          <w:tcPr>
            <w:tcW w:w="16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Florida</w:t>
            </w:r>
          </w:p>
        </w:tc>
        <w:tc>
          <w:tcPr>
            <w:tcW w:w="10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w:t>
            </w:r>
          </w:p>
        </w:tc>
        <w:tc>
          <w:tcPr>
            <w:tcW w:w="160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Massachusetts</w:t>
            </w: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North Carolina</w:t>
            </w: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w:t>
            </w:r>
          </w:p>
        </w:tc>
        <w:tc>
          <w:tcPr>
            <w:tcW w:w="162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Virginia</w:t>
            </w: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7</w:t>
            </w:r>
          </w:p>
        </w:tc>
      </w:tr>
      <w:tr>
        <w:trPr>
          <w:trHeight w:val="184"/>
        </w:trPr>
        <w:tc>
          <w:tcPr>
            <w:tcW w:w="16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Georgia</w:t>
            </w:r>
          </w:p>
        </w:tc>
        <w:tc>
          <w:tcPr>
            <w:tcW w:w="10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w:t>
            </w:r>
          </w:p>
        </w:tc>
        <w:tc>
          <w:tcPr>
            <w:tcW w:w="160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Michigan</w:t>
            </w: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w:t>
            </w:r>
          </w:p>
        </w:tc>
        <w:tc>
          <w:tcPr>
            <w:tcW w:w="16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Ohio</w:t>
            </w: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8</w:t>
            </w:r>
          </w:p>
        </w:tc>
        <w:tc>
          <w:tcPr>
            <w:tcW w:w="16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Wisconsin</w:t>
            </w: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w:t>
            </w:r>
          </w:p>
        </w:tc>
      </w:tr>
      <w:tr>
        <w:trPr>
          <w:trHeight w:val="177"/>
        </w:trPr>
        <w:tc>
          <w:tcPr>
            <w:tcW w:w="16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142</w:t>
            </w:r>
          </w:p>
        </w:tc>
      </w:tr>
    </w:tbl>
    <w:p>
      <w:pPr>
        <w:spacing w:after="0" w:line="16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We lease all of our stores. Our approximately 15,000 square foot headquarters in Plymouth, Minnesota is attached to our store. We own four regional facilities used for distribution of purchased product and manufacturing of setting and maintenance materials, located in Spring Valley, Wisconsin; Ottawa Lake, Michigan; Ridgeway, Virginia; and Durant, Oklahoma, which consist of 69,000, 271,000, 134,000, and 260,000 square feet, respectively. We lease an additional 100,000 square feet of warehouse space near our Ridgeway, Virginia distribution center.</w:t>
      </w:r>
    </w:p>
    <w:p>
      <w:pPr>
        <w:spacing w:after="0" w:line="14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In response to the challenges faced in our industry and continued pressure on our topline results, during 2024, we took steps to close our distribution center located in Dayton, New Jersey that is 163,000 square feet. We are actively working to sublease the distribution center space in Dayton, New Jersey. Our lease of the distribution space in Dayton, New Jersey expires in September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material property holdings are suitable for our current operations and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 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MARKET FOR THE REGISTRANT'S COMMON EQUITY, RELATED STOCKHOLDER MATTERS AND ISSUER PURCHASES</w:t>
      </w:r>
    </w:p>
    <w:p>
      <w:pPr>
        <w:spacing w:after="0"/>
        <w:rPr>
          <w:sz w:val="20"/>
          <w:szCs w:val="20"/>
          <w:color w:val="auto"/>
        </w:rPr>
      </w:pPr>
      <w:r>
        <w:rPr>
          <w:rFonts w:ascii="Times New Roman" w:cs="Times New Roman" w:eastAsia="Times New Roman" w:hAnsi="Times New Roman"/>
          <w:sz w:val="18"/>
          <w:szCs w:val="18"/>
          <w:b w:val="1"/>
          <w:bCs w:val="1"/>
          <w:color w:val="auto"/>
        </w:rPr>
        <w:t>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Nasdaq under the symbol “TTSH.”</w:t>
      </w:r>
    </w:p>
    <w:p>
      <w:pPr>
        <w:spacing w:after="0" w:line="174" w:lineRule="exact"/>
        <w:rPr>
          <w:sz w:val="20"/>
          <w:szCs w:val="20"/>
          <w:color w:val="auto"/>
        </w:rPr>
      </w:pPr>
    </w:p>
    <w:p>
      <w:pPr>
        <w:ind w:right="640"/>
        <w:spacing w:after="0" w:line="238" w:lineRule="auto"/>
        <w:rPr>
          <w:sz w:val="20"/>
          <w:szCs w:val="20"/>
          <w:color w:val="auto"/>
        </w:rPr>
      </w:pPr>
      <w:r>
        <w:rPr>
          <w:rFonts w:ascii="Times New Roman" w:cs="Times New Roman" w:eastAsia="Times New Roman" w:hAnsi="Times New Roman"/>
          <w:sz w:val="18"/>
          <w:szCs w:val="18"/>
          <w:color w:val="auto"/>
        </w:rPr>
        <w:t>As of February 24, 2025, we had approximately 247 holders of record of our common stock. This figure does not include the number of persons whose securities are held in nominee or “street” name accounts through brokers.</w:t>
      </w:r>
    </w:p>
    <w:p>
      <w:pPr>
        <w:spacing w:after="0" w:line="155"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As of February 24, 2025, we had 44,657,898 shares of common stock outstanding. The last reported sales price for our common stock on February 24, 2025, was $7.56.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6" w:lineRule="exact"/>
        <w:rPr>
          <w:sz w:val="20"/>
          <w:szCs w:val="20"/>
          <w:color w:val="auto"/>
        </w:rPr>
      </w:pPr>
    </w:p>
    <w:p>
      <w:pPr>
        <w:jc w:val="both"/>
        <w:ind w:right="80"/>
        <w:spacing w:after="0" w:line="229" w:lineRule="auto"/>
        <w:rPr>
          <w:sz w:val="20"/>
          <w:szCs w:val="20"/>
          <w:color w:val="auto"/>
        </w:rPr>
      </w:pPr>
      <w:r>
        <w:rPr>
          <w:rFonts w:ascii="Times New Roman" w:cs="Times New Roman" w:eastAsia="Times New Roman" w:hAnsi="Times New Roman"/>
          <w:sz w:val="18"/>
          <w:szCs w:val="18"/>
          <w:color w:val="auto"/>
        </w:rPr>
        <w:t>Any future determination with respect to the payment of dividends is at the discretion of our Board of Directors and is dependent upon our financial condition, results of operations, capital requirements, general business conditions, tax treatment of dividends in the United States, contractual restrictions contained in our credit agreement and other factors deemed relevant by our Board of Directors. We can provide no assurance that we will pay any dividends to our stockholders in the future, or as to the amount of any such dividends.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center"/>
              <w:ind w:right="180"/>
              <w:spacing w:after="0" w:line="206" w:lineRule="exact"/>
              <w:rPr>
                <w:sz w:val="20"/>
                <w:szCs w:val="20"/>
                <w:color w:val="auto"/>
              </w:rPr>
            </w:pPr>
            <w:r>
              <w:rPr>
                <w:rFonts w:ascii="Times New Roman" w:cs="Times New Roman" w:eastAsia="Times New Roman" w:hAnsi="Times New Roman"/>
                <w:sz w:val="18"/>
                <w:szCs w:val="18"/>
                <w:color w:val="auto"/>
                <w:w w:val="95"/>
              </w:rPr>
              <w:t>Total Number of</w:t>
            </w:r>
          </w:p>
        </w:tc>
        <w:tc>
          <w:tcPr>
            <w:tcW w:w="146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6"/>
              </w:rPr>
              <w:t>Maximum Number</w:t>
            </w: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color w:val="auto"/>
                <w:w w:val="97"/>
              </w:rPr>
              <w:t>Shares Purchased as</w:t>
            </w:r>
          </w:p>
        </w:tc>
        <w:tc>
          <w:tcPr>
            <w:tcW w:w="14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of Shares that May</w:t>
            </w:r>
          </w:p>
        </w:tc>
        <w:tc>
          <w:tcPr>
            <w:tcW w:w="0" w:type="dxa"/>
            <w:vAlign w:val="bottom"/>
          </w:tcPr>
          <w:p>
            <w:pPr>
              <w:spacing w:after="0"/>
              <w:rPr>
                <w:sz w:val="1"/>
                <w:szCs w:val="1"/>
                <w:color w:val="auto"/>
              </w:rPr>
            </w:pPr>
          </w:p>
        </w:tc>
      </w:tr>
      <w:tr>
        <w:trPr>
          <w:trHeight w:val="197"/>
        </w:trPr>
        <w:tc>
          <w:tcPr>
            <w:tcW w:w="4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Total Number of</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260" w:type="dxa"/>
            <w:vAlign w:val="bottom"/>
          </w:tcPr>
          <w:p>
            <w:pPr>
              <w:spacing w:after="0"/>
              <w:rPr>
                <w:sz w:val="17"/>
                <w:szCs w:val="17"/>
                <w:color w:val="auto"/>
              </w:rPr>
            </w:pPr>
          </w:p>
        </w:tc>
        <w:tc>
          <w:tcPr>
            <w:tcW w:w="1620" w:type="dxa"/>
            <w:vAlign w:val="bottom"/>
            <w:gridSpan w:val="2"/>
          </w:tcPr>
          <w:p>
            <w:pPr>
              <w:jc w:val="center"/>
              <w:ind w:right="200"/>
              <w:spacing w:after="0" w:line="197" w:lineRule="exact"/>
              <w:rPr>
                <w:sz w:val="20"/>
                <w:szCs w:val="20"/>
                <w:color w:val="auto"/>
              </w:rPr>
            </w:pPr>
            <w:r>
              <w:rPr>
                <w:rFonts w:ascii="Times New Roman" w:cs="Times New Roman" w:eastAsia="Times New Roman" w:hAnsi="Times New Roman"/>
                <w:sz w:val="18"/>
                <w:szCs w:val="18"/>
                <w:color w:val="auto"/>
                <w:w w:val="97"/>
              </w:rPr>
              <w:t>Part of Publicly</w:t>
            </w:r>
          </w:p>
        </w:tc>
        <w:tc>
          <w:tcPr>
            <w:tcW w:w="14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6"/>
              </w:rPr>
              <w:t>Yet be Purchased</w:t>
            </w: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color w:val="auto"/>
                <w:w w:val="97"/>
              </w:rPr>
              <w:t>Announced Plans or</w:t>
            </w:r>
          </w:p>
        </w:tc>
        <w:tc>
          <w:tcPr>
            <w:tcW w:w="14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Under the Plans or</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Shares Purchased</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per Share</w:t>
            </w:r>
          </w:p>
        </w:tc>
        <w:tc>
          <w:tcPr>
            <w:tcW w:w="2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Programs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Programs</w:t>
            </w:r>
          </w:p>
        </w:tc>
        <w:tc>
          <w:tcPr>
            <w:tcW w:w="0" w:type="dxa"/>
            <w:vAlign w:val="bottom"/>
          </w:tcPr>
          <w:p>
            <w:pPr>
              <w:spacing w:after="0"/>
              <w:rPr>
                <w:sz w:val="1"/>
                <w:szCs w:val="1"/>
                <w:color w:val="auto"/>
              </w:rPr>
            </w:pPr>
          </w:p>
        </w:tc>
      </w:tr>
      <w:tr>
        <w:trPr>
          <w:trHeight w:val="190"/>
        </w:trPr>
        <w:tc>
          <w:tcPr>
            <w:tcW w:w="472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October 1, 2024 - October 31, 2024</w:t>
            </w:r>
          </w:p>
        </w:tc>
        <w:tc>
          <w:tcPr>
            <w:tcW w:w="14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2,557</w:t>
            </w:r>
          </w:p>
        </w:tc>
        <w:tc>
          <w:tcPr>
            <w:tcW w:w="220" w:type="dxa"/>
            <w:vAlign w:val="bottom"/>
            <w:tcBorders>
              <w:top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5"/>
                <w:szCs w:val="15"/>
                <w:color w:val="auto"/>
                <w:w w:val="91"/>
              </w:rPr>
              <w:t>(1)</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6.68</w:t>
            </w:r>
          </w:p>
        </w:tc>
        <w:tc>
          <w:tcPr>
            <w:tcW w:w="260" w:type="dxa"/>
            <w:vAlign w:val="bottom"/>
            <w:tcBorders>
              <w:top w:val="single" w:sz="8" w:color="CCEEFF"/>
            </w:tcBorders>
            <w:shd w:val="clear" w:color="auto" w:fill="CCEEFF"/>
          </w:tcPr>
          <w:p>
            <w:pPr>
              <w:jc w:val="right"/>
              <w:ind w:right="7"/>
              <w:spacing w:after="0" w:line="170" w:lineRule="exact"/>
              <w:rPr>
                <w:sz w:val="20"/>
                <w:szCs w:val="20"/>
                <w:color w:val="auto"/>
              </w:rPr>
            </w:pPr>
            <w:r>
              <w:rPr>
                <w:rFonts w:ascii="Times New Roman" w:cs="Times New Roman" w:eastAsia="Times New Roman" w:hAnsi="Times New Roman"/>
                <w:sz w:val="15"/>
                <w:szCs w:val="15"/>
                <w:color w:val="auto"/>
                <w:w w:val="91"/>
              </w:rPr>
              <w:t>(1)</w:t>
            </w:r>
          </w:p>
        </w:tc>
        <w:tc>
          <w:tcPr>
            <w:tcW w:w="148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91"/>
              </w:rPr>
              <w:t>(2)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486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3,269</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6.71</w:t>
            </w:r>
          </w:p>
        </w:tc>
        <w:tc>
          <w:tcPr>
            <w:tcW w:w="26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4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320" w:right="140" w:hanging="315"/>
        <w:spacing w:after="0" w:line="191" w:lineRule="auto"/>
        <w:tabs>
          <w:tab w:leader="none" w:pos="320"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We withheld a total of 2,557 shares to satisfy tax withholding obligations due upon the vesting of restricted stock grants, as allowed by the 2012 Omnibus Award Plan (the “2012 Plan”). We did not pay cash to repurchase these shares, nor were these repurchases part of a publicly announced plan or program.</w:t>
      </w:r>
    </w:p>
    <w:p>
      <w:pPr>
        <w:spacing w:after="0" w:line="219" w:lineRule="exact"/>
        <w:rPr>
          <w:rFonts w:ascii="Times New Roman" w:cs="Times New Roman" w:eastAsia="Times New Roman" w:hAnsi="Times New Roman"/>
          <w:sz w:val="28"/>
          <w:szCs w:val="28"/>
          <w:color w:val="auto"/>
          <w:vertAlign w:val="superscript"/>
        </w:rPr>
      </w:pPr>
    </w:p>
    <w:p>
      <w:pPr>
        <w:ind w:left="320" w:right="300" w:hanging="315"/>
        <w:spacing w:after="0" w:line="195" w:lineRule="auto"/>
        <w:tabs>
          <w:tab w:leader="none" w:pos="32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withheld 712 shares to satisfy tax withholding obligations due upon the vesting of restricted stock grants, as allowed by the 2021 Omnibus Equity Compensation Plan (the “2021 Plan”). We did not pay cash to repurchase these shares, nor were these repurchases part of a publicly announced plan or program.</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6"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The graph and table below present our cumulative total stockholder returns relative to the performance of the S&amp;P SmallCap 600 and the Dow Jones U.S. Furnishings Index for the period commencing December 31, 2019 and ending December 31, 2024, the last trading day of fiscal year 2024. The comparison assumes $100 invested at the close of trading on December 31, 2019 in (i) our common stock, (ii) the stocks comprising the S&amp;P SmallCap 600, and (iii) the stocks comprising the Dow Jones U.S. Furnishings Index. All values assume that all dividends were reinvested on the date paid. The points on the graph represent fiscal year-end amounts based on the last trading day in each fiscal year. The stock price performance included in the line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120650</wp:posOffset>
            </wp:positionV>
            <wp:extent cx="5683885" cy="1727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83885" cy="172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Dow Jones</w:t>
            </w:r>
          </w:p>
        </w:tc>
      </w:tr>
      <w:tr>
        <w:trPr>
          <w:trHeight w:val="229"/>
        </w:trPr>
        <w:tc>
          <w:tcPr>
            <w:tcW w:w="5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Tile Shop Holdings, Inc.</w:t>
            </w:r>
          </w:p>
        </w:tc>
        <w:tc>
          <w:tcPr>
            <w:tcW w:w="14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S&amp;P SmallCap 600</w:t>
            </w:r>
          </w:p>
        </w:tc>
        <w:tc>
          <w:tcPr>
            <w:tcW w:w="120" w:type="dxa"/>
            <w:vAlign w:val="bottom"/>
          </w:tcPr>
          <w:p>
            <w:pPr>
              <w:spacing w:after="0"/>
              <w:rPr>
                <w:sz w:val="19"/>
                <w:szCs w:val="19"/>
                <w:color w:val="auto"/>
              </w:rPr>
            </w:pP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6"/>
              </w:rPr>
              <w:t>U‎.S. Furnishings Index</w:t>
            </w:r>
          </w:p>
        </w:tc>
      </w:tr>
      <w:tr>
        <w:trPr>
          <w:trHeight w:val="177"/>
        </w:trPr>
        <w:tc>
          <w:tcPr>
            <w:tcW w:w="54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December 31, 2019</w:t>
            </w:r>
          </w:p>
        </w:tc>
        <w:tc>
          <w:tcPr>
            <w:tcW w:w="1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100.00</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100.00</w:t>
            </w:r>
          </w:p>
        </w:tc>
      </w:tr>
      <w:tr>
        <w:trPr>
          <w:trHeight w:val="184"/>
        </w:trPr>
        <w:tc>
          <w:tcPr>
            <w:tcW w:w="54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December 31, 2020</w:t>
            </w:r>
          </w:p>
        </w:tc>
        <w:tc>
          <w:tcPr>
            <w:tcW w:w="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254.44</w:t>
            </w:r>
          </w:p>
        </w:tc>
        <w:tc>
          <w:tcPr>
            <w:tcW w:w="60" w:type="dxa"/>
            <w:vAlign w:val="bottom"/>
          </w:tcPr>
          <w:p>
            <w:pPr>
              <w:spacing w:after="0"/>
              <w:rPr>
                <w:sz w:val="16"/>
                <w:szCs w:val="16"/>
                <w:color w:val="auto"/>
              </w:rPr>
            </w:pPr>
          </w:p>
        </w:tc>
        <w:tc>
          <w:tcPr>
            <w:tcW w:w="1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109.57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101.77</w:t>
            </w:r>
          </w:p>
        </w:tc>
      </w:tr>
      <w:tr>
        <w:trPr>
          <w:trHeight w:val="184"/>
        </w:trPr>
        <w:tc>
          <w:tcPr>
            <w:tcW w:w="54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459.46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137.26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132.18</w:t>
            </w:r>
          </w:p>
        </w:tc>
      </w:tr>
      <w:tr>
        <w:trPr>
          <w:trHeight w:val="184"/>
        </w:trPr>
        <w:tc>
          <w:tcPr>
            <w:tcW w:w="54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282.25</w:t>
            </w:r>
          </w:p>
        </w:tc>
        <w:tc>
          <w:tcPr>
            <w:tcW w:w="60" w:type="dxa"/>
            <w:vAlign w:val="bottom"/>
          </w:tcPr>
          <w:p>
            <w:pPr>
              <w:spacing w:after="0"/>
              <w:rPr>
                <w:sz w:val="16"/>
                <w:szCs w:val="16"/>
                <w:color w:val="auto"/>
              </w:rPr>
            </w:pPr>
          </w:p>
        </w:tc>
        <w:tc>
          <w:tcPr>
            <w:tcW w:w="1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113.35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88.29</w:t>
            </w:r>
          </w:p>
        </w:tc>
      </w:tr>
      <w:tr>
        <w:trPr>
          <w:trHeight w:val="184"/>
        </w:trPr>
        <w:tc>
          <w:tcPr>
            <w:tcW w:w="54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474.28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129.09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100.30</w:t>
            </w:r>
          </w:p>
        </w:tc>
      </w:tr>
      <w:tr>
        <w:trPr>
          <w:trHeight w:val="228"/>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446.57</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573"/>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right"/>
              <w:ind w:right="1672"/>
              <w:spacing w:after="0"/>
              <w:rPr>
                <w:sz w:val="20"/>
                <w:szCs w:val="20"/>
                <w:color w:val="auto"/>
              </w:rPr>
            </w:pPr>
            <w:r>
              <w:rPr>
                <w:rFonts w:ascii="Times New Roman" w:cs="Times New Roman" w:eastAsia="Times New Roman" w:hAnsi="Times New Roman"/>
                <w:sz w:val="18"/>
                <w:szCs w:val="18"/>
                <w:color w:val="auto"/>
                <w:w w:val="88"/>
              </w:rPr>
              <w:t>19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09"/>
        </w:trPr>
        <w:tc>
          <w:tcPr>
            <w:tcW w:w="5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together with our consolidated financial statements and related notes included elsewhere in this report. Among other things, those historical consolidated financial statements include more detailed information regarding the basis of presentation for the financial data than is included in the following discussion. This report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report relate to, among other things, our business strengths, marketing strategies, competitive advantages and role in our industry and markets; an overall decline in the health of the economy, the tile industry, consumer confidence and spending, and the housing market, including as a result of high inflation or fluctuating interest rates, instability in the global banking system, geopolitical instability, or the possibility of an economic downturn or recession or other macroeconomic factors; the impact of ongoing supply chain disruptions and inflationary cost pressures, including increased materials, labor, energy, and transportation costs and decreased discretionary consumer spending; our ability to successfully implement and realize the anticipated benefits of our strategic plan; our ability to successfully anticipate consumer trends; any statements with respect to dividends or stock repurchases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financing due to market conditions resulting from geopolitical conditions and other economic factors; supply costs and expectations, including the continued availability of sufficient products from our suppliers, risks related to relying on foreign suppliers, and the potential impact of the Russia-Ukraine and other geopolitical conflicts on, among other things, product availability and pricing and timing and cost of deliveries; the potential impact of U.S. trade tensions, including increased tariffs; our expectations with respect to ongoing compliance with the terms of the credit facility, including fluctuating interest rates; our ability to provide timely delivery to our customers; the effect of regulations on us and our industry, and our suppliers’ compliance with such regulations, including any environmental or climate change-related requirements; the impact of corporate citizenship and environmental, social and governance matters; labor shortages and our expectations regarding the effects of employee recruiting, training, mentoring, and retention on our business; tax-related risks; the potential impact of cybersecurity breaches or disruptions to our management information systems or to third-party information technology systems upon which we rely; widespread outages, interruptions or other failures of operational, communication or other systems; our ability to successfully implement our information technology and other digital initiatives; our ability to effectively manage our online sales; costs and adequacy of insurance; the potential impact of natural disasters, which may worsen or increase due to the effects of climate change, and other catastrophic events; risks inherent in operating as a holding company; our ability to maintain effective internal control over financial reporting; the potential outcome of any legal proceedings; and risks related to ownership of our common stock.</w:t>
      </w:r>
    </w:p>
    <w:p>
      <w:pPr>
        <w:spacing w:after="0" w:line="200" w:lineRule="exact"/>
        <w:rPr>
          <w:sz w:val="20"/>
          <w:szCs w:val="20"/>
          <w:color w:val="auto"/>
        </w:rPr>
      </w:pPr>
    </w:p>
    <w:p>
      <w:pPr>
        <w:spacing w:after="0" w:line="34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i w:val="1"/>
          <w:iCs w:val="1"/>
          <w:color w:val="auto"/>
        </w:rPr>
        <w:t>These forward-looking statements are based on current expectations and assumptions that are subject to risks and uncertainties, many of which are difficult to predict and are outside of our control, that may cause our actual results, performance, or achievements to differ materially from any expected future results, performance, or achievements expressed or implied by such forward-looking statements. These risks and uncertainties include, but are not limited to:</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the level of demand for our products;</w:t>
      </w:r>
    </w:p>
    <w:p>
      <w:pPr>
        <w:ind w:left="640" w:right="4580"/>
        <w:spacing w:after="0" w:line="213" w:lineRule="auto"/>
        <w:rPr>
          <w:sz w:val="20"/>
          <w:szCs w:val="20"/>
          <w:color w:val="auto"/>
        </w:rPr>
      </w:pPr>
      <w:r>
        <w:rPr>
          <w:rFonts w:ascii="Times New Roman" w:cs="Times New Roman" w:eastAsia="Times New Roman" w:hAnsi="Times New Roman"/>
          <w:sz w:val="18"/>
          <w:szCs w:val="18"/>
          <w:i w:val="1"/>
          <w:iCs w:val="1"/>
          <w:color w:val="auto"/>
        </w:rPr>
        <w:t>our ability to grow and remain profitable in the highly competitive retail tile industry; our ability to access additional capital when and as needed;</w:t>
      </w:r>
    </w:p>
    <w:p>
      <w:pPr>
        <w:ind w:left="320"/>
        <w:spacing w:after="0" w:line="213" w:lineRule="auto"/>
        <w:rPr>
          <w:sz w:val="20"/>
          <w:szCs w:val="20"/>
          <w:color w:val="auto"/>
        </w:rPr>
      </w:pPr>
      <w:r>
        <w:rPr>
          <w:rFonts w:ascii="Times New Roman" w:cs="Times New Roman" w:eastAsia="Times New Roman" w:hAnsi="Times New Roman"/>
          <w:sz w:val="18"/>
          <w:szCs w:val="18"/>
          <w:i w:val="1"/>
          <w:iCs w:val="1"/>
          <w:color w:val="auto"/>
        </w:rPr>
        <w:t>our ability to attract and retain qualified personnel;</w:t>
      </w:r>
    </w:p>
    <w:p>
      <w:pPr>
        <w:ind w:left="640" w:right="2720"/>
        <w:spacing w:after="0" w:line="213" w:lineRule="auto"/>
        <w:rPr>
          <w:sz w:val="20"/>
          <w:szCs w:val="20"/>
          <w:color w:val="auto"/>
        </w:rPr>
      </w:pPr>
      <w:r>
        <w:rPr>
          <w:rFonts w:ascii="Times New Roman" w:cs="Times New Roman" w:eastAsia="Times New Roman" w:hAnsi="Times New Roman"/>
          <w:sz w:val="18"/>
          <w:szCs w:val="18"/>
          <w:i w:val="1"/>
          <w:iCs w:val="1"/>
          <w:color w:val="auto"/>
        </w:rPr>
        <w:t>changes in general economic, business and industry conditions, including any economic downturn or recession; our ability to introduce new products that satisfy market demand; and</w:t>
      </w:r>
    </w:p>
    <w:p>
      <w:pPr>
        <w:ind w:left="320"/>
        <w:spacing w:after="0"/>
        <w:rPr>
          <w:sz w:val="20"/>
          <w:szCs w:val="20"/>
          <w:color w:val="auto"/>
        </w:rPr>
      </w:pPr>
      <w:r>
        <w:rPr>
          <w:rFonts w:ascii="Times New Roman" w:cs="Times New Roman" w:eastAsia="Times New Roman" w:hAnsi="Times New Roman"/>
          <w:sz w:val="18"/>
          <w:szCs w:val="18"/>
          <w:i w:val="1"/>
          <w:iCs w:val="1"/>
          <w:color w:val="auto"/>
        </w:rPr>
        <w:t>legal, regulatory, and tax developments, including additional requirements imposed by changes in domestic and foreign laws and regulations.</w:t>
      </w:r>
    </w:p>
    <w:p>
      <w:pPr>
        <w:spacing w:after="0" w:line="152"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Such risks and uncertainties also include those set forth in Part I, Item 1A. “Risk Factors,” of this report. These statements are based on the beliefs and assumptions of our management based on information currently available to management. Our forward-looking statements speak only as of the time that they are made and do not necessarily reflect our outlook at any other point in time. Except as required by law, we undertake no obligation to update publicly any forward-looking statements, whether as a result of new information, future events, or for any other reason.</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Trends</w:t>
      </w:r>
    </w:p>
    <w:p>
      <w:pPr>
        <w:spacing w:after="0" w:line="163"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8"/>
          <w:szCs w:val="18"/>
          <w:color w:val="auto"/>
        </w:rPr>
        <w:t>We are a specialty retailer of man-made and natural stone tiles, luxury vinyl tiles, setting and maintenance materials, and related accessories in the United States. We offer a wide selection of products, attractive prices, and exceptional customer service in an extensive showroom setting. As of December 31, 2024, we operated 142 stores in 31 states and the District of Columbia, with an average size of approximately 20,000 square feet.</w:t>
      </w:r>
    </w:p>
    <w:p>
      <w:pPr>
        <w:spacing w:after="0" w:line="15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and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man-made and luxury vinyl tiles, setting and maintenance materials, and related accessories in the United States.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about our net sales, operating income and stores opened from 2022 to 2024.</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center"/>
              <w:ind w:left="652"/>
              <w:spacing w:after="0"/>
              <w:rPr>
                <w:sz w:val="20"/>
                <w:szCs w:val="20"/>
                <w:color w:val="auto"/>
              </w:rPr>
            </w:pPr>
            <w:r>
              <w:rPr>
                <w:rFonts w:ascii="Times New Roman" w:cs="Times New Roman" w:eastAsia="Times New Roman" w:hAnsi="Times New Roman"/>
                <w:sz w:val="18"/>
                <w:szCs w:val="18"/>
                <w:color w:val="auto"/>
                <w:w w:val="97"/>
              </w:rPr>
              <w:t>For the year ended December 31,</w:t>
            </w:r>
          </w:p>
        </w:tc>
        <w:tc>
          <w:tcPr>
            <w:tcW w:w="1040" w:type="dxa"/>
            <w:vAlign w:val="bottom"/>
            <w:tcBorders>
              <w:bottom w:val="single" w:sz="8" w:color="auto"/>
            </w:tcBorders>
          </w:tcPr>
          <w:p>
            <w:pPr>
              <w:spacing w:after="0"/>
              <w:rPr>
                <w:sz w:val="18"/>
                <w:szCs w:val="18"/>
                <w:color w:val="auto"/>
              </w:rPr>
            </w:pPr>
          </w:p>
        </w:tc>
      </w:tr>
      <w:tr>
        <w:trPr>
          <w:trHeight w:val="177"/>
        </w:trPr>
        <w:tc>
          <w:tcPr>
            <w:tcW w:w="6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2"/>
              <w:spacing w:after="0" w:line="177" w:lineRule="exact"/>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92"/>
              <w:spacing w:after="0" w:line="177" w:lineRule="exact"/>
              <w:rPr>
                <w:sz w:val="20"/>
                <w:szCs w:val="20"/>
                <w:color w:val="auto"/>
              </w:rPr>
            </w:pPr>
            <w:r>
              <w:rPr>
                <w:rFonts w:ascii="Times New Roman" w:cs="Times New Roman" w:eastAsia="Times New Roman" w:hAnsi="Times New Roman"/>
                <w:sz w:val="18"/>
                <w:szCs w:val="18"/>
                <w:color w:val="auto"/>
                <w:w w:val="99"/>
              </w:rPr>
              <w:t>2023</w:t>
            </w: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line="177" w:lineRule="exact"/>
              <w:rPr>
                <w:sz w:val="20"/>
                <w:szCs w:val="20"/>
                <w:color w:val="auto"/>
              </w:rPr>
            </w:pPr>
            <w:r>
              <w:rPr>
                <w:rFonts w:ascii="Times New Roman" w:cs="Times New Roman" w:eastAsia="Times New Roman" w:hAnsi="Times New Roman"/>
                <w:sz w:val="18"/>
                <w:szCs w:val="18"/>
                <w:color w:val="auto"/>
              </w:rPr>
              <w:t>2022</w:t>
            </w:r>
          </w:p>
        </w:tc>
      </w:tr>
      <w:tr>
        <w:trPr>
          <w:trHeight w:val="177"/>
        </w:trPr>
        <w:tc>
          <w:tcPr>
            <w:tcW w:w="6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60" w:type="dxa"/>
            <w:vAlign w:val="bottom"/>
            <w:gridSpan w:val="4"/>
          </w:tcPr>
          <w:p>
            <w:pPr>
              <w:jc w:val="center"/>
              <w:ind w:left="652"/>
              <w:spacing w:after="0" w:line="177" w:lineRule="exact"/>
              <w:rPr>
                <w:sz w:val="20"/>
                <w:szCs w:val="20"/>
                <w:color w:val="auto"/>
              </w:rPr>
            </w:pPr>
            <w:r>
              <w:rPr>
                <w:rFonts w:ascii="Times New Roman" w:cs="Times New Roman" w:eastAsia="Times New Roman" w:hAnsi="Times New Roman"/>
                <w:sz w:val="18"/>
                <w:szCs w:val="18"/>
                <w:color w:val="auto"/>
                <w:w w:val="97"/>
              </w:rPr>
              <w:t>(in thousands, except store data)</w:t>
            </w:r>
          </w:p>
        </w:tc>
        <w:tc>
          <w:tcPr>
            <w:tcW w:w="1040" w:type="dxa"/>
            <w:vAlign w:val="bottom"/>
          </w:tcPr>
          <w:p>
            <w:pPr>
              <w:spacing w:after="0"/>
              <w:rPr>
                <w:sz w:val="15"/>
                <w:szCs w:val="15"/>
                <w:color w:val="auto"/>
              </w:rPr>
            </w:pPr>
          </w:p>
        </w:tc>
      </w:tr>
      <w:tr>
        <w:trPr>
          <w:trHeight w:val="184"/>
        </w:trPr>
        <w:tc>
          <w:tcPr>
            <w:tcW w:w="65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347,071</w:t>
            </w:r>
          </w:p>
        </w:tc>
        <w:tc>
          <w:tcPr>
            <w:tcW w:w="460" w:type="dxa"/>
            <w:vAlign w:val="bottom"/>
            <w:shd w:val="clear" w:color="auto" w:fill="CCEEFF"/>
          </w:tcPr>
          <w:p>
            <w:pPr>
              <w:jc w:val="right"/>
              <w:ind w:right="15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377,146</w:t>
            </w:r>
          </w:p>
        </w:tc>
        <w:tc>
          <w:tcPr>
            <w:tcW w:w="540" w:type="dxa"/>
            <w:vAlign w:val="bottom"/>
            <w:shd w:val="clear" w:color="auto" w:fill="CCEEFF"/>
          </w:tcPr>
          <w:p>
            <w:pPr>
              <w:jc w:val="right"/>
              <w:ind w:right="23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394,702</w:t>
            </w:r>
          </w:p>
        </w:tc>
      </w:tr>
      <w:tr>
        <w:trPr>
          <w:trHeight w:val="184"/>
        </w:trPr>
        <w:tc>
          <w:tcPr>
            <w:tcW w:w="65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3,517</w:t>
            </w:r>
          </w:p>
        </w:tc>
        <w:tc>
          <w:tcPr>
            <w:tcW w:w="460" w:type="dxa"/>
            <w:vAlign w:val="bottom"/>
          </w:tcPr>
          <w:p>
            <w:pPr>
              <w:jc w:val="right"/>
              <w:ind w:right="15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16,158</w:t>
            </w:r>
          </w:p>
        </w:tc>
        <w:tc>
          <w:tcPr>
            <w:tcW w:w="540" w:type="dxa"/>
            <w:vAlign w:val="bottom"/>
          </w:tcPr>
          <w:p>
            <w:pPr>
              <w:jc w:val="right"/>
              <w:ind w:right="23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22,609</w:t>
            </w:r>
          </w:p>
        </w:tc>
      </w:tr>
      <w:tr>
        <w:trPr>
          <w:trHeight w:val="184"/>
        </w:trPr>
        <w:tc>
          <w:tcPr>
            <w:tcW w:w="65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27,107</w:t>
            </w:r>
          </w:p>
        </w:tc>
        <w:tc>
          <w:tcPr>
            <w:tcW w:w="460" w:type="dxa"/>
            <w:vAlign w:val="bottom"/>
            <w:shd w:val="clear" w:color="auto" w:fill="CCEEFF"/>
          </w:tcPr>
          <w:p>
            <w:pPr>
              <w:jc w:val="right"/>
              <w:ind w:right="15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62,060</w:t>
            </w:r>
          </w:p>
        </w:tc>
        <w:tc>
          <w:tcPr>
            <w:tcW w:w="540" w:type="dxa"/>
            <w:vAlign w:val="bottom"/>
            <w:shd w:val="clear" w:color="auto" w:fill="CCEEFF"/>
          </w:tcPr>
          <w:p>
            <w:pPr>
              <w:jc w:val="right"/>
              <w:ind w:right="23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2,715</w:t>
            </w: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New stores opened during period</w:t>
            </w:r>
          </w:p>
        </w:tc>
        <w:tc>
          <w:tcPr>
            <w:tcW w:w="3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0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color w:val="auto"/>
        </w:rPr>
        <w:t>We serve customers who seek to undertake a wide range of projects; however, many end customers choose to work with us when they choose to remodel their home. Historically, we have monitored existing home sales trends as a leading indicator of demand in our industry. The latest estimates of 2024 existing home sales levels made by the National Association of REALTORs suggest that housing turnover decreased by nearly 35% between 2021 and 2024. We believe the decrease in existing home sales resulted in softening demand for remodel projects and had an adverse impact on our business. For the year ended December 31, 2024, our comparable store sales decreased by 7.8% due to lower levels of traffic, partially offset by an increase in average ticket value.</w:t>
      </w:r>
    </w:p>
    <w:p>
      <w:pPr>
        <w:spacing w:after="0" w:line="13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Our operating results are heavily dependent upon the prices paid to acquire man-made and natural stone products from our suppliers around the world. Our gross margin rate improved by 130 basis points from 64.4% in 2023 to 65.7% in 2024 against the backdrop of an easing inflationary environment. Over the last two years, international freight rates have stabilized, and we have been able to identify alternative sources of supply for high quality products that we are able to offer at competitive price points while maintaining a strong margin profile. We have generally maintained our pricing, which helped contribute to the improvement in gross margin rates between 2023 and 2024.</w:t>
      </w:r>
    </w:p>
    <w:p>
      <w:pPr>
        <w:spacing w:after="0" w:line="156"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6"/>
          <w:szCs w:val="16"/>
          <w:color w:val="auto"/>
        </w:rPr>
        <w:t>Selling, general and administrative expenses decreased by $2.5 million or 1.1% to $224.4 million for the year ended December 31, 2024 as compared to the year ended December 31, 2023. The decrease was largely driven by a $3.5 million decrease in depreciation expenses, a $3.4 million decrease in variable compensation expenses and a $0.8 million decrease in marketing expenses that were partially offset by a $3.2 million increase in occupancy costs, a $0.9 million increase in IT expenses, a $0.6 million increase in transportation costs and a $0.5 million increase in audit and accounting expenses.</w:t>
      </w:r>
    </w:p>
    <w:p>
      <w:pPr>
        <w:spacing w:after="0" w:line="137"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In response to the challenges faced in our industry and continued pressure on our topline results, during 2024, we took steps to close our distribution center located in Dayton, New Jersey, reduce staffing levels at our corporate office and close our trading company office located in Beijing, China. We did not incur any material asset impairment or severance costs in connection with these actions. We are actively working to sublease the distribution center space in Dayton, New Jersey. Our lease of the distribution space in Dayton, New Jersey expires in September 2026. We anticipate the annualized benefit from these actions will reduce selling, general and expenses by $2.8 million to $4.1 million. Going into 2025, we do not currently plan to open any new stores and intend to close two unprofitable stores during the year.</w:t>
      </w:r>
    </w:p>
    <w:p>
      <w:pPr>
        <w:spacing w:after="0" w:line="158"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Cash balances increased by $12.4 million from $8.6 million on December 31, 2023 to $21.0 million on December 31, 2024. The increase in cash was primarily due to $27.1 million of operating cashflow partially offset by $14.5 million used to purchase property, plant and equipment during 2024. As of both December 31, 2023 and 2024, we had no borrowings outstanding on our revolving line of credit.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17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The following table sets forth selected historical financial information derived from (i) our audited financial statements included elsewhere in this report as of December 31, 2024 and 2023 and for the years ended December 31, 2024, 2023, and 2022 and (ii) our audited financial statements not included elsewhere in this report as of December 31, 2022, 2021, and 2020 and for the years ended December 31, 2021 and 2020. The following selected financial data should be read in conjunction with the remainder of this section and the financial statements and the related notes appearing elsewhere in this report..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8"/>
                <w:szCs w:val="18"/>
                <w:color w:val="auto"/>
                <w:w w:val="97"/>
              </w:rPr>
              <w:t>As of December 31, or for the year ended December 31,</w:t>
            </w: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2"/>
              <w:spacing w:after="0" w:line="177" w:lineRule="exact"/>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2"/>
              <w:spacing w:after="0" w:line="177" w:lineRule="exact"/>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2"/>
              <w:spacing w:after="0" w:line="177" w:lineRule="exact"/>
              <w:rPr>
                <w:sz w:val="20"/>
                <w:szCs w:val="20"/>
                <w:color w:val="auto"/>
              </w:rPr>
            </w:pPr>
            <w:r>
              <w:rPr>
                <w:rFonts w:ascii="Times New Roman" w:cs="Times New Roman" w:eastAsia="Times New Roman" w:hAnsi="Times New Roman"/>
                <w:sz w:val="18"/>
                <w:szCs w:val="18"/>
                <w:color w:val="auto"/>
                <w:w w:val="99"/>
              </w:rPr>
              <w:t>2022</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line="177" w:lineRule="exact"/>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2"/>
              <w:spacing w:after="0" w:line="177" w:lineRule="exact"/>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w w:val="97"/>
              </w:rPr>
              <w:t>(in thousands, except per share and store data)</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3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347,071</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377,146</w:t>
            </w:r>
          </w:p>
        </w:tc>
        <w:tc>
          <w:tcPr>
            <w:tcW w:w="3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58"/>
              <w:spacing w:after="0" w:line="184"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394,702</w:t>
            </w:r>
          </w:p>
        </w:tc>
        <w:tc>
          <w:tcPr>
            <w:tcW w:w="2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370,700</w:t>
            </w:r>
          </w:p>
        </w:tc>
        <w:tc>
          <w:tcPr>
            <w:tcW w:w="660" w:type="dxa"/>
            <w:vAlign w:val="bottom"/>
            <w:gridSpan w:val="2"/>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325,057</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00" w:type="dxa"/>
            <w:vAlign w:val="bottom"/>
            <w:tcBorders>
              <w:bottom w:val="single" w:sz="8" w:color="CCEEFF"/>
            </w:tcBorders>
          </w:tcPr>
          <w:p>
            <w:pPr>
              <w:spacing w:after="0" w:line="184" w:lineRule="exact"/>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119,197</w:t>
            </w:r>
          </w:p>
        </w:tc>
        <w:tc>
          <w:tcPr>
            <w:tcW w:w="4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134,085</w:t>
            </w:r>
          </w:p>
        </w:tc>
        <w:tc>
          <w:tcPr>
            <w:tcW w:w="3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135,765</w:t>
            </w:r>
          </w:p>
        </w:tc>
        <w:tc>
          <w:tcPr>
            <w:tcW w:w="2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117,570</w:t>
            </w:r>
          </w:p>
        </w:tc>
        <w:tc>
          <w:tcPr>
            <w:tcW w:w="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103,532</w:t>
            </w:r>
          </w:p>
        </w:tc>
        <w:tc>
          <w:tcPr>
            <w:tcW w:w="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227,874</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243,061</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258,937</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253,130</w:t>
            </w: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221,525</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900" w:type="dxa"/>
            <w:vAlign w:val="bottom"/>
          </w:tcPr>
          <w:p>
            <w:pPr>
              <w:spacing w:after="0" w:line="16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224,357</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226,903</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236,328</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232,520</w:t>
            </w:r>
          </w:p>
        </w:tc>
        <w:tc>
          <w:tcPr>
            <w:tcW w:w="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215,149</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3,517</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16,158</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22,609</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20,610</w:t>
            </w: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6,376</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(275)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00"/>
              <w:spacing w:after="0" w:line="184" w:lineRule="exact"/>
              <w:rPr>
                <w:sz w:val="20"/>
                <w:szCs w:val="20"/>
                <w:color w:val="auto"/>
              </w:rPr>
            </w:pPr>
            <w:r>
              <w:rPr>
                <w:rFonts w:ascii="Times New Roman" w:cs="Times New Roman" w:eastAsia="Times New Roman" w:hAnsi="Times New Roman"/>
                <w:sz w:val="18"/>
                <w:szCs w:val="18"/>
                <w:color w:val="auto"/>
              </w:rPr>
              <w:t>(2,164)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(1,579)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(656)</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300"/>
              <w:spacing w:after="0" w:line="184" w:lineRule="exact"/>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177"/>
        </w:trPr>
        <w:tc>
          <w:tcPr>
            <w:tcW w:w="3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3,242</w:t>
            </w: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13,994</w:t>
            </w: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21,030</w:t>
            </w: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19,954</w:t>
            </w:r>
          </w:p>
        </w:tc>
        <w:tc>
          <w:tcPr>
            <w:tcW w:w="4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4,502</w:t>
            </w:r>
          </w:p>
        </w:tc>
        <w:tc>
          <w:tcPr>
            <w:tcW w:w="3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(921)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00"/>
              <w:spacing w:after="0" w:line="184" w:lineRule="exact"/>
              <w:rPr>
                <w:sz w:val="20"/>
                <w:szCs w:val="20"/>
                <w:color w:val="auto"/>
              </w:rPr>
            </w:pPr>
            <w:r>
              <w:rPr>
                <w:rFonts w:ascii="Times New Roman" w:cs="Times New Roman" w:eastAsia="Times New Roman" w:hAnsi="Times New Roman"/>
                <w:sz w:val="18"/>
                <w:szCs w:val="18"/>
                <w:color w:val="auto"/>
              </w:rPr>
              <w:t>(3,923)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(5,327)</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(5,180)</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1,529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90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auto"/>
              <w:bottom w:val="single" w:sz="8" w:color="auto"/>
            </w:tcBorders>
            <w:shd w:val="clear" w:color="auto" w:fill="CCEEFF"/>
          </w:tcPr>
          <w:p>
            <w:pPr>
              <w:jc w:val="right"/>
              <w:ind w:right="3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2,321</w:t>
            </w: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10,071</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15,703</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14,774</w:t>
            </w: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6,031</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00" w:type="dxa"/>
            <w:vAlign w:val="bottom"/>
            <w:vMerge w:val="continue"/>
          </w:tcPr>
          <w:p>
            <w:pPr>
              <w:spacing w:after="0"/>
              <w:rPr>
                <w:sz w:val="14"/>
                <w:szCs w:val="14"/>
                <w:color w:val="auto"/>
              </w:rPr>
            </w:pPr>
          </w:p>
        </w:tc>
        <w:tc>
          <w:tcPr>
            <w:tcW w:w="220" w:type="dxa"/>
            <w:vAlign w:val="bottom"/>
          </w:tcPr>
          <w:p>
            <w:pPr>
              <w:jc w:val="right"/>
              <w:ind w:right="32"/>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0.05</w:t>
            </w:r>
          </w:p>
        </w:tc>
        <w:tc>
          <w:tcPr>
            <w:tcW w:w="440" w:type="dxa"/>
            <w:vAlign w:val="bottom"/>
          </w:tcPr>
          <w:p>
            <w:pPr>
              <w:spacing w:after="0"/>
              <w:rPr>
                <w:sz w:val="14"/>
                <w:szCs w:val="14"/>
                <w:color w:val="auto"/>
              </w:rPr>
            </w:pPr>
          </w:p>
        </w:tc>
        <w:tc>
          <w:tcPr>
            <w:tcW w:w="10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0.23</w:t>
            </w:r>
          </w:p>
        </w:tc>
        <w:tc>
          <w:tcPr>
            <w:tcW w:w="3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tcPr>
          <w:p>
            <w:pPr>
              <w:jc w:val="right"/>
              <w:ind w:right="58"/>
              <w:spacing w:after="0" w:line="164"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0.32</w:t>
            </w:r>
          </w:p>
        </w:tc>
        <w:tc>
          <w:tcPr>
            <w:tcW w:w="2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tcPr>
          <w:p>
            <w:pPr>
              <w:jc w:val="right"/>
              <w:ind w:right="32"/>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0.29</w:t>
            </w:r>
          </w:p>
        </w:tc>
        <w:tc>
          <w:tcPr>
            <w:tcW w:w="440" w:type="dxa"/>
            <w:vAlign w:val="bottom"/>
            <w:vMerge w:val="continue"/>
          </w:tcPr>
          <w:p>
            <w:pPr>
              <w:spacing w:after="0"/>
              <w:rPr>
                <w:sz w:val="14"/>
                <w:szCs w:val="14"/>
                <w:color w:val="auto"/>
              </w:rPr>
            </w:pPr>
          </w:p>
        </w:tc>
        <w:tc>
          <w:tcPr>
            <w:tcW w:w="220" w:type="dxa"/>
            <w:vAlign w:val="bottom"/>
          </w:tcPr>
          <w:p>
            <w:pPr>
              <w:jc w:val="right"/>
              <w:ind w:right="32"/>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0.12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Weighted average shares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(diluted)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9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20,957</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8,620</w:t>
            </w:r>
          </w:p>
        </w:tc>
        <w:tc>
          <w:tcPr>
            <w:tcW w:w="3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58"/>
              <w:spacing w:after="0" w:line="184"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5,948</w:t>
            </w:r>
          </w:p>
        </w:tc>
        <w:tc>
          <w:tcPr>
            <w:tcW w:w="2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9,358</w:t>
            </w:r>
          </w:p>
        </w:tc>
        <w:tc>
          <w:tcPr>
            <w:tcW w:w="660" w:type="dxa"/>
            <w:vAlign w:val="bottom"/>
            <w:gridSpan w:val="2"/>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9,617</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86,267</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93,679</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120,952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97,175</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74,296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319,603</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316,672</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345,822</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340,758</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342,690</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Lease obligations</w:t>
            </w: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142,580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139,962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131,219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138,451</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149,901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Total debt</w:t>
            </w:r>
            <w:r>
              <w:rPr>
                <w:rFonts w:ascii="Times New Roman" w:cs="Times New Roman" w:eastAsia="Times New Roman" w:hAnsi="Times New Roman"/>
                <w:sz w:val="28"/>
                <w:szCs w:val="28"/>
                <w:color w:val="auto"/>
                <w:vertAlign w:val="superscript"/>
              </w:rPr>
              <w:t>(1)</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45,400</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9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122,912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119,687</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108,769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122,224</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139,062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41,428</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35,813</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63,112</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29,369</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27,850</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Cash Flow Data</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9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Net cash provided by operating</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62,060</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39,691</w:t>
            </w:r>
          </w:p>
        </w:tc>
        <w:tc>
          <w:tcPr>
            <w:tcW w:w="66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9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(14,336)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(15,255)</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(14,027)</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(11,070)</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300"/>
              <w:spacing w:after="0" w:line="184" w:lineRule="exact"/>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166"/>
        </w:trPr>
        <w:tc>
          <w:tcPr>
            <w:tcW w:w="39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Net cash (used in) provided by</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(63,329)</w:t>
            </w:r>
          </w:p>
        </w:tc>
        <w:tc>
          <w:tcPr>
            <w:tcW w:w="0" w:type="dxa"/>
            <w:vAlign w:val="bottom"/>
          </w:tcPr>
          <w:p>
            <w:pPr>
              <w:spacing w:after="0"/>
              <w:rPr>
                <w:sz w:val="1"/>
                <w:szCs w:val="1"/>
                <w:color w:val="auto"/>
              </w:rPr>
            </w:pPr>
          </w:p>
        </w:tc>
      </w:tr>
      <w:tr>
        <w:trPr>
          <w:trHeight w:val="164"/>
        </w:trPr>
        <w:tc>
          <w:tcPr>
            <w:tcW w:w="3900" w:type="dxa"/>
            <w:vAlign w:val="bottom"/>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Other Selected Financial Data</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Dividends paid per share</w:t>
            </w:r>
          </w:p>
        </w:tc>
        <w:tc>
          <w:tcPr>
            <w:tcW w:w="220" w:type="dxa"/>
            <w:vAlign w:val="bottom"/>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58"/>
              <w:spacing w:after="0" w:line="184"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0.65</w:t>
            </w:r>
          </w:p>
        </w:tc>
        <w:tc>
          <w:tcPr>
            <w:tcW w:w="660" w:type="dxa"/>
            <w:vAlign w:val="bottom"/>
            <w:gridSpan w:val="2"/>
            <w:shd w:val="clear" w:color="auto" w:fill="CCEEFF"/>
          </w:tcPr>
          <w:p>
            <w:pPr>
              <w:jc w:val="right"/>
              <w:ind w:right="32"/>
              <w:spacing w:after="0" w:line="184"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8"/>
                <w:szCs w:val="28"/>
                <w:color w:val="auto"/>
                <w:vertAlign w:val="superscript"/>
              </w:rPr>
              <w:t>(2)</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50,255</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39,953</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Adjusted EBITDA margin</w:t>
            </w:r>
            <w:r>
              <w:rPr>
                <w:rFonts w:ascii="Times New Roman" w:cs="Times New Roman" w:eastAsia="Times New Roman" w:hAnsi="Times New Roman"/>
                <w:sz w:val="28"/>
                <w:szCs w:val="28"/>
                <w:color w:val="auto"/>
                <w:vertAlign w:val="superscript"/>
              </w:rPr>
              <w:t>(2)</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10.3 %</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12.6 %</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13.6 %</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50"/>
        </w:trPr>
        <w:tc>
          <w:tcPr>
            <w:tcW w:w="390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Gross margin rate</w:t>
            </w:r>
            <w:r>
              <w:rPr>
                <w:rFonts w:ascii="Times New Roman" w:cs="Times New Roman" w:eastAsia="Times New Roman" w:hAnsi="Times New Roman"/>
                <w:sz w:val="28"/>
                <w:szCs w:val="28"/>
                <w:color w:val="auto"/>
                <w:vertAlign w:val="superscript"/>
              </w:rPr>
              <w:t>(3)</w:t>
            </w:r>
          </w:p>
        </w:tc>
        <w:tc>
          <w:tcPr>
            <w:tcW w:w="220" w:type="dxa"/>
            <w:vAlign w:val="bottom"/>
          </w:tcPr>
          <w:p>
            <w:pPr>
              <w:spacing w:after="0"/>
              <w:rPr>
                <w:sz w:val="21"/>
                <w:szCs w:val="21"/>
                <w:color w:val="auto"/>
              </w:rPr>
            </w:pPr>
          </w:p>
        </w:tc>
        <w:tc>
          <w:tcPr>
            <w:tcW w:w="128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65.6 %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68.3 %</w:t>
            </w:r>
          </w:p>
        </w:tc>
        <w:tc>
          <w:tcPr>
            <w:tcW w:w="2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68.1 %</w:t>
            </w:r>
          </w:p>
        </w:tc>
        <w:tc>
          <w:tcPr>
            <w:tcW w:w="0" w:type="dxa"/>
            <w:vAlign w:val="bottom"/>
          </w:tcPr>
          <w:p>
            <w:pPr>
              <w:spacing w:after="0"/>
              <w:rPr>
                <w:sz w:val="1"/>
                <w:szCs w:val="1"/>
                <w:color w:val="auto"/>
              </w:rPr>
            </w:pPr>
          </w:p>
        </w:tc>
      </w:tr>
      <w:tr>
        <w:trPr>
          <w:trHeight w:val="250"/>
        </w:trPr>
        <w:tc>
          <w:tcPr>
            <w:tcW w:w="39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Operating income margin</w:t>
            </w:r>
            <w:r>
              <w:rPr>
                <w:rFonts w:ascii="Times New Roman" w:cs="Times New Roman" w:eastAsia="Times New Roman" w:hAnsi="Times New Roman"/>
                <w:sz w:val="28"/>
                <w:szCs w:val="28"/>
                <w:color w:val="auto"/>
                <w:vertAlign w:val="superscript"/>
              </w:rPr>
              <w:t>(4)</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5.7 %</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5.6 %</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50"/>
        </w:trPr>
        <w:tc>
          <w:tcPr>
            <w:tcW w:w="390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Comparable store sales (decline) growth</w:t>
            </w:r>
            <w:r>
              <w:rPr>
                <w:rFonts w:ascii="Times New Roman" w:cs="Times New Roman" w:eastAsia="Times New Roman" w:hAnsi="Times New Roman"/>
                <w:sz w:val="28"/>
                <w:szCs w:val="28"/>
                <w:color w:val="auto"/>
                <w:vertAlign w:val="superscript"/>
              </w:rPr>
              <w:t>(5)</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Stores open at end of period</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142</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142</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142</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143</w:t>
            </w: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142</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left="440" w:hanging="435"/>
        <w:spacing w:after="0"/>
        <w:tabs>
          <w:tab w:leader="none" w:pos="44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Total debt includes current maturities of long-term debt and long-term debt balances.</w:t>
      </w:r>
    </w:p>
    <w:p>
      <w:pPr>
        <w:spacing w:after="0" w:line="41" w:lineRule="exact"/>
        <w:rPr>
          <w:rFonts w:ascii="Times New Roman" w:cs="Times New Roman" w:eastAsia="Times New Roman" w:hAnsi="Times New Roman"/>
          <w:sz w:val="29"/>
          <w:szCs w:val="29"/>
          <w:color w:val="auto"/>
          <w:vertAlign w:val="superscript"/>
        </w:rPr>
      </w:pPr>
    </w:p>
    <w:p>
      <w:pPr>
        <w:ind w:left="440" w:right="240" w:hanging="435"/>
        <w:spacing w:after="0" w:line="194" w:lineRule="auto"/>
        <w:tabs>
          <w:tab w:leader="none" w:pos="44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For more information about Adjusted EBITDA and Adjusted EBITDA margin, see “Non-GAAP Measures” below.</w:t>
      </w:r>
    </w:p>
    <w:p>
      <w:pPr>
        <w:spacing w:after="0" w:line="1" w:lineRule="exact"/>
        <w:rPr>
          <w:rFonts w:ascii="Times New Roman" w:cs="Times New Roman" w:eastAsia="Times New Roman" w:hAnsi="Times New Roman"/>
          <w:sz w:val="29"/>
          <w:szCs w:val="29"/>
          <w:color w:val="auto"/>
          <w:vertAlign w:val="superscript"/>
        </w:rPr>
      </w:pPr>
    </w:p>
    <w:p>
      <w:pPr>
        <w:ind w:left="440" w:hanging="435"/>
        <w:spacing w:after="0" w:line="189" w:lineRule="auto"/>
        <w:tabs>
          <w:tab w:leader="none" w:pos="44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Gross margin rate is equal to gross profit divided by net sales.</w:t>
      </w:r>
    </w:p>
    <w:p>
      <w:pPr>
        <w:spacing w:after="0" w:line="41" w:lineRule="exact"/>
        <w:rPr>
          <w:rFonts w:ascii="Times New Roman" w:cs="Times New Roman" w:eastAsia="Times New Roman" w:hAnsi="Times New Roman"/>
          <w:sz w:val="29"/>
          <w:szCs w:val="29"/>
          <w:color w:val="auto"/>
          <w:vertAlign w:val="superscript"/>
        </w:rPr>
      </w:pPr>
    </w:p>
    <w:p>
      <w:pPr>
        <w:ind w:left="440" w:hanging="435"/>
        <w:spacing w:after="0" w:line="180" w:lineRule="auto"/>
        <w:tabs>
          <w:tab w:leader="none" w:pos="44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Operating income margin is equal to income from operations divided by net sales.</w:t>
      </w:r>
    </w:p>
    <w:p>
      <w:pPr>
        <w:spacing w:after="0" w:line="42" w:lineRule="exact"/>
        <w:rPr>
          <w:rFonts w:ascii="Times New Roman" w:cs="Times New Roman" w:eastAsia="Times New Roman" w:hAnsi="Times New Roman"/>
          <w:sz w:val="24"/>
          <w:szCs w:val="24"/>
          <w:color w:val="auto"/>
          <w:vertAlign w:val="superscript"/>
        </w:rPr>
      </w:pPr>
    </w:p>
    <w:p>
      <w:pPr>
        <w:ind w:left="440" w:right="40" w:hanging="435"/>
        <w:spacing w:after="0" w:line="205" w:lineRule="auto"/>
        <w:tabs>
          <w:tab w:leader="none" w:pos="44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Comparable store sales growth (decline)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(decline) amounts include total charges to customers less any actual returns. We include the change in the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Consolidated Statements of Income</w:t>
      </w:r>
    </w:p>
    <w:p>
      <w:pPr>
        <w:spacing w:after="0" w:line="172"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 Net sales represents total charges to customers, net of returns, and includes freight charged to customers. We recognize sales at the time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53"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18"/>
          <w:szCs w:val="18"/>
          <w:color w:val="auto"/>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spacing w:after="0" w:line="14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 Cost of sales consists primarily of material costs, freight, customs and duty fees, and storage and delivery of product to the customers,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physical inventory losses and costs associated with manufacturing of setting and maintenance materials.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 Gross profit is net sales less cost of sales. Gross margin rate is the percentage determined by dividing gross profit by net sales.</w:t>
      </w:r>
    </w:p>
    <w:p>
      <w:pPr>
        <w:spacing w:after="0" w:line="174"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 Selling, general and administrative expenses consist primarily of compensation costs, occupancy, utilities,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maintenance costs, advertising costs, shipping and transportation expenses to move inventory from our distribution centers to our stores, and depreciation and amortization.</w:t>
      </w:r>
    </w:p>
    <w:p>
      <w:pPr>
        <w:spacing w:after="0" w:line="152" w:lineRule="exact"/>
        <w:rPr>
          <w:sz w:val="20"/>
          <w:szCs w:val="20"/>
          <w:color w:val="auto"/>
        </w:rPr>
      </w:pPr>
    </w:p>
    <w:p>
      <w:pPr>
        <w:ind w:right="300"/>
        <w:spacing w:after="0" w:line="31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Pre-opening Costs </w:t>
      </w:r>
      <w:r>
        <w:rPr>
          <w:rFonts w:ascii="Times New Roman" w:cs="Times New Roman" w:eastAsia="Times New Roman" w:hAnsi="Times New Roman"/>
          <w:sz w:val="16"/>
          <w:szCs w:val="16"/>
          <w:color w:val="auto"/>
        </w:rPr>
        <w:t>– Our pre-opening costs are those typically associated with the opening of a new store and generally include rent expense, compensation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costs and promotional costs. We expense pre-opening costs as incurred and include these costs in selling, general and administrative expenses.</w:t>
      </w:r>
    </w:p>
    <w:p>
      <w:pPr>
        <w:spacing w:after="0" w:line="76" w:lineRule="exact"/>
        <w:rPr>
          <w:sz w:val="20"/>
          <w:szCs w:val="20"/>
          <w:color w:val="auto"/>
        </w:rPr>
      </w:pPr>
    </w:p>
    <w:p>
      <w:pPr>
        <w:ind w:left="5540" w:right="2140" w:hanging="553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We are subject to income tax in the United States as well as other tax jurisdictions in which we conduct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170815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84"/>
        </w:trPr>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8"/>
              </w:rPr>
              <w:t>Comparison of the Year Ended December 31, 2024 to the Year Ended December 31, 2023</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90"/>
        </w:trPr>
        <w:tc>
          <w:tcPr>
            <w:tcW w:w="1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172"/>
              <w:spacing w:after="0" w:line="290" w:lineRule="exact"/>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29"/>
                <w:szCs w:val="29"/>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152"/>
              <w:spacing w:after="0" w:line="290" w:lineRule="exact"/>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29"/>
                <w:szCs w:val="29"/>
                <w:color w:val="auto"/>
                <w:vertAlign w:val="superscript"/>
              </w:rPr>
              <w:t>(1)</w:t>
            </w:r>
          </w:p>
        </w:tc>
      </w:tr>
      <w:tr>
        <w:trPr>
          <w:trHeight w:val="177"/>
        </w:trPr>
        <w:tc>
          <w:tcPr>
            <w:tcW w:w="12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tcPr>
          <w:p>
            <w:pPr>
              <w:jc w:val="right"/>
              <w:spacing w:after="0" w:line="177" w:lineRule="exact"/>
              <w:rPr>
                <w:sz w:val="20"/>
                <w:szCs w:val="20"/>
                <w:color w:val="auto"/>
              </w:rPr>
            </w:pPr>
            <w:r>
              <w:rPr>
                <w:rFonts w:ascii="Times New Roman" w:cs="Times New Roman" w:eastAsia="Times New Roman" w:hAnsi="Times New Roman"/>
                <w:sz w:val="18"/>
                <w:szCs w:val="18"/>
                <w:color w:val="auto"/>
              </w:rPr>
              <w:t>($ in thousands)</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4"/>
        </w:trPr>
        <w:tc>
          <w:tcPr>
            <w:tcW w:w="41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sales</w:t>
            </w:r>
          </w:p>
        </w:tc>
        <w:tc>
          <w:tcPr>
            <w:tcW w:w="1360" w:type="dxa"/>
            <w:vAlign w:val="bottom"/>
            <w:gridSpan w:val="2"/>
            <w:shd w:val="clear" w:color="auto" w:fill="CCEEFF"/>
          </w:tcPr>
          <w:p>
            <w:pPr>
              <w:jc w:val="right"/>
              <w:ind w:right="138"/>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347,071</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EFF"/>
          </w:tcPr>
          <w:p>
            <w:pPr>
              <w:jc w:val="right"/>
              <w:ind w:right="72"/>
              <w:spacing w:after="0" w:line="184"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18"/>
              <w:spacing w:after="0" w:line="184"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377,146</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EFF"/>
          </w:tcPr>
          <w:p>
            <w:pPr>
              <w:jc w:val="right"/>
              <w:ind w:right="72"/>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184"/>
        </w:trPr>
        <w:tc>
          <w:tcPr>
            <w:tcW w:w="4180" w:type="dxa"/>
            <w:vAlign w:val="bottom"/>
            <w:tcBorders>
              <w:bottom w:val="single" w:sz="8" w:color="CCEEFF"/>
            </w:tcBorders>
            <w:gridSpan w:val="2"/>
          </w:tcPr>
          <w:p>
            <w:pPr>
              <w:spacing w:after="0" w:line="184" w:lineRule="exact"/>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119,197</w:t>
            </w:r>
          </w:p>
        </w:tc>
        <w:tc>
          <w:tcPr>
            <w:tcW w:w="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34.3</w:t>
            </w:r>
          </w:p>
        </w:tc>
        <w:tc>
          <w:tcPr>
            <w:tcW w:w="340" w:type="dxa"/>
            <w:vAlign w:val="bottom"/>
            <w:tcBorders>
              <w:bottom w:val="single" w:sz="8" w:color="auto"/>
            </w:tcBorders>
          </w:tcPr>
          <w:p>
            <w:pPr>
              <w:jc w:val="right"/>
              <w:ind w:right="7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134,085</w:t>
            </w: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35.6</w:t>
            </w:r>
          </w:p>
        </w:tc>
        <w:tc>
          <w:tcPr>
            <w:tcW w:w="340" w:type="dxa"/>
            <w:vAlign w:val="bottom"/>
            <w:tcBorders>
              <w:bottom w:val="single" w:sz="8" w:color="auto"/>
            </w:tcBorders>
          </w:tcPr>
          <w:p>
            <w:pPr>
              <w:jc w:val="right"/>
              <w:ind w:right="72"/>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177"/>
        </w:trPr>
        <w:tc>
          <w:tcPr>
            <w:tcW w:w="41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227,874</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65.7</w:t>
            </w:r>
          </w:p>
        </w:tc>
        <w:tc>
          <w:tcPr>
            <w:tcW w:w="340" w:type="dxa"/>
            <w:vAlign w:val="bottom"/>
            <w:shd w:val="clear" w:color="auto" w:fill="CCEEFF"/>
          </w:tcPr>
          <w:p>
            <w:pPr>
              <w:jc w:val="right"/>
              <w:ind w:right="72"/>
              <w:spacing w:after="0" w:line="177"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243,061</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64.4</w:t>
            </w:r>
          </w:p>
        </w:tc>
        <w:tc>
          <w:tcPr>
            <w:tcW w:w="340" w:type="dxa"/>
            <w:vAlign w:val="bottom"/>
            <w:shd w:val="clear" w:color="auto" w:fill="CCEEFF"/>
          </w:tcPr>
          <w:p>
            <w:pPr>
              <w:jc w:val="right"/>
              <w:ind w:right="72"/>
              <w:spacing w:after="0" w:line="177" w:lineRule="exact"/>
              <w:rPr>
                <w:sz w:val="20"/>
                <w:szCs w:val="20"/>
                <w:color w:val="auto"/>
              </w:rPr>
            </w:pPr>
            <w:r>
              <w:rPr>
                <w:rFonts w:ascii="Times New Roman" w:cs="Times New Roman" w:eastAsia="Times New Roman" w:hAnsi="Times New Roman"/>
                <w:sz w:val="18"/>
                <w:szCs w:val="18"/>
                <w:color w:val="auto"/>
              </w:rPr>
              <w:t>%</w:t>
            </w:r>
          </w:p>
        </w:tc>
      </w:tr>
      <w:tr>
        <w:trPr>
          <w:trHeight w:val="184"/>
        </w:trPr>
        <w:tc>
          <w:tcPr>
            <w:tcW w:w="4180" w:type="dxa"/>
            <w:vAlign w:val="bottom"/>
            <w:tcBorders>
              <w:bottom w:val="single" w:sz="8" w:color="CCEEFF"/>
            </w:tcBorders>
            <w:gridSpan w:val="2"/>
          </w:tcPr>
          <w:p>
            <w:pPr>
              <w:spacing w:after="0" w:line="184"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224,357</w:t>
            </w:r>
          </w:p>
        </w:tc>
        <w:tc>
          <w:tcPr>
            <w:tcW w:w="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64.6</w:t>
            </w:r>
          </w:p>
        </w:tc>
        <w:tc>
          <w:tcPr>
            <w:tcW w:w="340" w:type="dxa"/>
            <w:vAlign w:val="bottom"/>
            <w:tcBorders>
              <w:bottom w:val="single" w:sz="8" w:color="auto"/>
            </w:tcBorders>
          </w:tcPr>
          <w:p>
            <w:pPr>
              <w:jc w:val="right"/>
              <w:ind w:right="7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226,903</w:t>
            </w:r>
          </w:p>
        </w:tc>
        <w:tc>
          <w:tcPr>
            <w:tcW w:w="1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60.2</w:t>
            </w:r>
          </w:p>
        </w:tc>
        <w:tc>
          <w:tcPr>
            <w:tcW w:w="340" w:type="dxa"/>
            <w:vAlign w:val="bottom"/>
            <w:tcBorders>
              <w:bottom w:val="single" w:sz="8" w:color="auto"/>
            </w:tcBorders>
          </w:tcPr>
          <w:p>
            <w:pPr>
              <w:jc w:val="right"/>
              <w:ind w:right="72"/>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177"/>
        </w:trPr>
        <w:tc>
          <w:tcPr>
            <w:tcW w:w="41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from operations</w:t>
            </w: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3,517</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jc w:val="right"/>
              <w:ind w:right="72"/>
              <w:spacing w:after="0" w:line="177"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16,158</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4.3</w:t>
            </w:r>
          </w:p>
        </w:tc>
        <w:tc>
          <w:tcPr>
            <w:tcW w:w="340" w:type="dxa"/>
            <w:vAlign w:val="bottom"/>
            <w:shd w:val="clear" w:color="auto" w:fill="CCEEFF"/>
          </w:tcPr>
          <w:p>
            <w:pPr>
              <w:jc w:val="right"/>
              <w:ind w:right="72"/>
              <w:spacing w:after="0" w:line="177" w:lineRule="exact"/>
              <w:rPr>
                <w:sz w:val="20"/>
                <w:szCs w:val="20"/>
                <w:color w:val="auto"/>
              </w:rPr>
            </w:pPr>
            <w:r>
              <w:rPr>
                <w:rFonts w:ascii="Times New Roman" w:cs="Times New Roman" w:eastAsia="Times New Roman" w:hAnsi="Times New Roman"/>
                <w:sz w:val="18"/>
                <w:szCs w:val="18"/>
                <w:color w:val="auto"/>
              </w:rPr>
              <w:t>%</w:t>
            </w:r>
          </w:p>
        </w:tc>
      </w:tr>
      <w:tr>
        <w:trPr>
          <w:trHeight w:val="184"/>
        </w:trPr>
        <w:tc>
          <w:tcPr>
            <w:tcW w:w="41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Interest expense, net</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4" w:lineRule="exact"/>
              <w:rPr>
                <w:sz w:val="20"/>
                <w:szCs w:val="20"/>
                <w:color w:val="auto"/>
              </w:rPr>
            </w:pPr>
            <w:r>
              <w:rPr>
                <w:rFonts w:ascii="Times New Roman" w:cs="Times New Roman" w:eastAsia="Times New Roman" w:hAnsi="Times New Roman"/>
                <w:sz w:val="18"/>
                <w:szCs w:val="18"/>
                <w:color w:val="auto"/>
              </w:rPr>
              <w:t>(275)</w:t>
            </w:r>
          </w:p>
        </w:tc>
        <w:tc>
          <w:tcPr>
            <w:tcW w:w="1400" w:type="dxa"/>
            <w:vAlign w:val="bottom"/>
            <w:gridSpan w:val="2"/>
          </w:tcPr>
          <w:p>
            <w:pPr>
              <w:jc w:val="right"/>
              <w:ind w:right="72"/>
              <w:spacing w:after="0" w:line="184" w:lineRule="exact"/>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2"/>
          </w:tcPr>
          <w:p>
            <w:pPr>
              <w:jc w:val="right"/>
              <w:ind w:right="160"/>
              <w:spacing w:after="0" w:line="184" w:lineRule="exact"/>
              <w:rPr>
                <w:sz w:val="20"/>
                <w:szCs w:val="20"/>
                <w:color w:val="auto"/>
              </w:rPr>
            </w:pPr>
            <w:r>
              <w:rPr>
                <w:rFonts w:ascii="Times New Roman" w:cs="Times New Roman" w:eastAsia="Times New Roman" w:hAnsi="Times New Roman"/>
                <w:sz w:val="18"/>
                <w:szCs w:val="18"/>
                <w:color w:val="auto"/>
              </w:rPr>
              <w:t>(2,164)</w:t>
            </w:r>
          </w:p>
        </w:tc>
        <w:tc>
          <w:tcPr>
            <w:tcW w:w="1360" w:type="dxa"/>
            <w:vAlign w:val="bottom"/>
            <w:gridSpan w:val="2"/>
          </w:tcPr>
          <w:p>
            <w:pPr>
              <w:jc w:val="right"/>
              <w:ind w:right="72"/>
              <w:spacing w:after="0" w:line="184" w:lineRule="exact"/>
              <w:rPr>
                <w:sz w:val="20"/>
                <w:szCs w:val="20"/>
                <w:color w:val="auto"/>
              </w:rPr>
            </w:pPr>
            <w:r>
              <w:rPr>
                <w:rFonts w:ascii="Times New Roman" w:cs="Times New Roman" w:eastAsia="Times New Roman" w:hAnsi="Times New Roman"/>
                <w:sz w:val="18"/>
                <w:szCs w:val="18"/>
                <w:color w:val="auto"/>
              </w:rPr>
              <w:t>(0.6)%</w:t>
            </w:r>
          </w:p>
        </w:tc>
      </w:tr>
      <w:tr>
        <w:trPr>
          <w:trHeight w:val="177"/>
        </w:trPr>
        <w:tc>
          <w:tcPr>
            <w:tcW w:w="418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before income taxes</w:t>
            </w:r>
          </w:p>
        </w:tc>
        <w:tc>
          <w:tcPr>
            <w:tcW w:w="10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3,242</w:t>
            </w:r>
          </w:p>
        </w:tc>
        <w:tc>
          <w:tcPr>
            <w:tcW w:w="1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0.9</w:t>
            </w:r>
          </w:p>
        </w:tc>
        <w:tc>
          <w:tcPr>
            <w:tcW w:w="340" w:type="dxa"/>
            <w:vAlign w:val="bottom"/>
            <w:tcBorders>
              <w:top w:val="single" w:sz="8" w:color="auto"/>
            </w:tcBorders>
            <w:shd w:val="clear" w:color="auto" w:fill="CCEEFF"/>
          </w:tcPr>
          <w:p>
            <w:pPr>
              <w:jc w:val="right"/>
              <w:ind w:right="72"/>
              <w:spacing w:after="0" w:line="177"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13,994</w:t>
            </w: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3.7</w:t>
            </w:r>
          </w:p>
        </w:tc>
        <w:tc>
          <w:tcPr>
            <w:tcW w:w="340" w:type="dxa"/>
            <w:vAlign w:val="bottom"/>
            <w:tcBorders>
              <w:top w:val="single" w:sz="8" w:color="auto"/>
            </w:tcBorders>
            <w:shd w:val="clear" w:color="auto" w:fill="CCEEFF"/>
          </w:tcPr>
          <w:p>
            <w:pPr>
              <w:jc w:val="right"/>
              <w:ind w:right="72"/>
              <w:spacing w:after="0" w:line="177" w:lineRule="exact"/>
              <w:rPr>
                <w:sz w:val="20"/>
                <w:szCs w:val="20"/>
                <w:color w:val="auto"/>
              </w:rPr>
            </w:pPr>
            <w:r>
              <w:rPr>
                <w:rFonts w:ascii="Times New Roman" w:cs="Times New Roman" w:eastAsia="Times New Roman" w:hAnsi="Times New Roman"/>
                <w:sz w:val="18"/>
                <w:szCs w:val="18"/>
                <w:color w:val="auto"/>
              </w:rPr>
              <w:t>%</w:t>
            </w:r>
          </w:p>
        </w:tc>
      </w:tr>
      <w:tr>
        <w:trPr>
          <w:trHeight w:val="184"/>
        </w:trPr>
        <w:tc>
          <w:tcPr>
            <w:tcW w:w="41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Provision for income taxes</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4" w:lineRule="exact"/>
              <w:rPr>
                <w:sz w:val="20"/>
                <w:szCs w:val="20"/>
                <w:color w:val="auto"/>
              </w:rPr>
            </w:pPr>
            <w:r>
              <w:rPr>
                <w:rFonts w:ascii="Times New Roman" w:cs="Times New Roman" w:eastAsia="Times New Roman" w:hAnsi="Times New Roman"/>
                <w:sz w:val="18"/>
                <w:szCs w:val="18"/>
                <w:color w:val="auto"/>
              </w:rPr>
              <w:t>(921)</w:t>
            </w:r>
          </w:p>
        </w:tc>
        <w:tc>
          <w:tcPr>
            <w:tcW w:w="1400" w:type="dxa"/>
            <w:vAlign w:val="bottom"/>
            <w:gridSpan w:val="2"/>
          </w:tcPr>
          <w:p>
            <w:pPr>
              <w:jc w:val="right"/>
              <w:ind w:right="72"/>
              <w:spacing w:after="0" w:line="184" w:lineRule="exact"/>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2"/>
          </w:tcPr>
          <w:p>
            <w:pPr>
              <w:jc w:val="right"/>
              <w:ind w:right="160"/>
              <w:spacing w:after="0" w:line="184" w:lineRule="exact"/>
              <w:rPr>
                <w:sz w:val="20"/>
                <w:szCs w:val="20"/>
                <w:color w:val="auto"/>
              </w:rPr>
            </w:pPr>
            <w:r>
              <w:rPr>
                <w:rFonts w:ascii="Times New Roman" w:cs="Times New Roman" w:eastAsia="Times New Roman" w:hAnsi="Times New Roman"/>
                <w:sz w:val="18"/>
                <w:szCs w:val="18"/>
                <w:color w:val="auto"/>
              </w:rPr>
              <w:t>(3,923)</w:t>
            </w:r>
          </w:p>
        </w:tc>
        <w:tc>
          <w:tcPr>
            <w:tcW w:w="1360" w:type="dxa"/>
            <w:vAlign w:val="bottom"/>
            <w:gridSpan w:val="2"/>
          </w:tcPr>
          <w:p>
            <w:pPr>
              <w:jc w:val="right"/>
              <w:ind w:right="72"/>
              <w:spacing w:after="0" w:line="184" w:lineRule="exact"/>
              <w:rPr>
                <w:sz w:val="20"/>
                <w:szCs w:val="20"/>
                <w:color w:val="auto"/>
              </w:rPr>
            </w:pPr>
            <w:r>
              <w:rPr>
                <w:rFonts w:ascii="Times New Roman" w:cs="Times New Roman" w:eastAsia="Times New Roman" w:hAnsi="Times New Roman"/>
                <w:sz w:val="18"/>
                <w:szCs w:val="18"/>
                <w:color w:val="auto"/>
              </w:rPr>
              <w:t>(1.0)%</w:t>
            </w:r>
          </w:p>
        </w:tc>
      </w:tr>
      <w:tr>
        <w:trPr>
          <w:trHeight w:val="177"/>
        </w:trPr>
        <w:tc>
          <w:tcPr>
            <w:tcW w:w="4180" w:type="dxa"/>
            <w:vAlign w:val="bottom"/>
            <w:tcBorders>
              <w:top w:val="single" w:sz="8" w:color="CCEEFF"/>
              <w:bottom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3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2,321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gridSpan w:val="2"/>
            <w:shd w:val="clear" w:color="auto" w:fill="CCEEFF"/>
          </w:tcPr>
          <w:p>
            <w:pPr>
              <w:jc w:val="right"/>
              <w:ind w:right="72"/>
              <w:spacing w:after="0" w:line="177" w:lineRule="exact"/>
              <w:rPr>
                <w:sz w:val="20"/>
                <w:szCs w:val="20"/>
                <w:color w:val="auto"/>
              </w:rPr>
            </w:pPr>
            <w:r>
              <w:rPr>
                <w:rFonts w:ascii="Times New Roman" w:cs="Times New Roman" w:eastAsia="Times New Roman" w:hAnsi="Times New Roman"/>
                <w:sz w:val="18"/>
                <w:szCs w:val="18"/>
                <w:color w:val="auto"/>
              </w:rPr>
              <w:t>0.7 %</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31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10,071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gridSpan w:val="2"/>
            <w:shd w:val="clear" w:color="auto" w:fill="CCEEFF"/>
          </w:tcPr>
          <w:p>
            <w:pPr>
              <w:jc w:val="right"/>
              <w:ind w:right="72"/>
              <w:spacing w:after="0" w:line="177" w:lineRule="exact"/>
              <w:rPr>
                <w:sz w:val="20"/>
                <w:szCs w:val="20"/>
                <w:color w:val="auto"/>
              </w:rPr>
            </w:pPr>
            <w:r>
              <w:rPr>
                <w:rFonts w:ascii="Times New Roman" w:cs="Times New Roman" w:eastAsia="Times New Roman" w:hAnsi="Times New Roman"/>
                <w:sz w:val="18"/>
                <w:szCs w:val="18"/>
                <w:color w:val="auto"/>
              </w:rPr>
              <w:t>2.7 %</w:t>
            </w:r>
          </w:p>
        </w:tc>
      </w:tr>
      <w:tr>
        <w:trPr>
          <w:trHeight w:val="20"/>
        </w:trPr>
        <w:tc>
          <w:tcPr>
            <w:tcW w:w="1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9"/>
          <w:szCs w:val="29"/>
          <w:color w:val="auto"/>
          <w:vertAlign w:val="superscript"/>
        </w:rPr>
        <w:t>(1)</w:t>
      </w:r>
      <w:r>
        <w:rPr>
          <w:sz w:val="20"/>
          <w:szCs w:val="20"/>
          <w:color w:val="auto"/>
        </w:rPr>
        <w:tab/>
      </w:r>
      <w:r>
        <w:rPr>
          <w:rFonts w:ascii="Times New Roman" w:cs="Times New Roman" w:eastAsia="Times New Roman" w:hAnsi="Times New Roman"/>
          <w:sz w:val="16"/>
          <w:szCs w:val="16"/>
          <w:color w:val="auto"/>
        </w:rPr>
        <w:t>Amounts do not foot due to rounding.</w:t>
      </w:r>
    </w:p>
    <w:p>
      <w:pPr>
        <w:spacing w:after="0" w:line="7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 Net sales decreased $30.1 million, or 8.0%, in 2024 compared to 2023. Sales at comparable stores decreased by 7.8% during 2024. The decrease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sales was primarily due to a decrease in traffic that was partially offset by a modest improvement in average order value.</w:t>
      </w:r>
    </w:p>
    <w:p>
      <w:pPr>
        <w:spacing w:after="0" w:line="148"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 xml:space="preserve">Gross Profit </w:t>
      </w:r>
      <w:r>
        <w:rPr>
          <w:rFonts w:ascii="Times New Roman" w:cs="Times New Roman" w:eastAsia="Times New Roman" w:hAnsi="Times New Roman"/>
          <w:sz w:val="16"/>
          <w:szCs w:val="16"/>
          <w:color w:val="auto"/>
        </w:rPr>
        <w:t>– Gross profit decreased $15.2 million, or 6.2%, in 2024 compared to 2023. The gross margin rate was 65.7% and 64.4% for 2024 and 2023,</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respectively. The improvement in gross margin rate was due to lower international freight rates and steps taken to work with the Company’s suppliers to reduce prices on the items carried in the Company’s assortment that were partially offset by an increase in inventory write-offs associated with assortment transitions.</w:t>
      </w:r>
    </w:p>
    <w:p>
      <w:pPr>
        <w:spacing w:after="0" w:line="108"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 Selling, general and administrative expenses decreased $2.5 million, or 1.1%, in 2024 compared to 2023.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was largely driven by a $3.5 million decrease in depreciation expenses, a $3.4 million decrease in variable compensation expenses and a $0.8 million decrease in marketing expenses that were partially offset by a $3.2 million increase in occupancy costs, a $0.9 million increase in IT expenses, a $0.6 million increase in transportation costs and a $0.5 million increase in audit and accounting expenses.</w:t>
      </w:r>
    </w:p>
    <w:p>
      <w:pPr>
        <w:spacing w:after="0" w:line="139" w:lineRule="exact"/>
        <w:rPr>
          <w:sz w:val="20"/>
          <w:szCs w:val="20"/>
          <w:color w:val="auto"/>
        </w:rPr>
      </w:pPr>
    </w:p>
    <w:p>
      <w:pPr>
        <w:ind w:right="4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 Interest expense decreased $1.9 million in 2024 compared to 2023. The decrease in interest expense was primarily due to a decrease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average debt levels outstanding during 2024 when compared to 2023.</w:t>
      </w:r>
    </w:p>
    <w:p>
      <w:pPr>
        <w:spacing w:after="0" w:line="135" w:lineRule="exact"/>
        <w:rPr>
          <w:sz w:val="20"/>
          <w:szCs w:val="20"/>
          <w:color w:val="auto"/>
        </w:rPr>
      </w:pPr>
    </w:p>
    <w:p>
      <w:pPr>
        <w:ind w:right="460"/>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 The provision for income taxes decreased $3.0 million for 2024 compared to 2023 due to a decrease in pretax income.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tax rate was 28.4% in 2024 and 28.0% in 2023. The increase in the effective tax rate was largely due to a decrease in pretax income and a disproportionate impact of certain permanent items.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 Ended December 31, 2023 to the Year Ended December 31, 2022</w:t>
      </w:r>
    </w:p>
    <w:p>
      <w:pPr>
        <w:spacing w:after="0" w:line="176" w:lineRule="exact"/>
        <w:rPr>
          <w:sz w:val="20"/>
          <w:szCs w:val="20"/>
          <w:color w:val="auto"/>
        </w:rPr>
      </w:pPr>
    </w:p>
    <w:p>
      <w:pPr>
        <w:ind w:right="16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detailed discussion of the fiscal year 2023 performance compared to fiscal year 2022 is set forth in Part II, Item 7. “Management’s Discussion and Analysis </w:t>
      </w:r>
      <w:hyperlink r:id="rId42">
        <w:r>
          <w:rPr>
            <w:rFonts w:ascii="Times New Roman" w:cs="Times New Roman" w:eastAsia="Times New Roman" w:hAnsi="Times New Roman"/>
            <w:sz w:val="16"/>
            <w:szCs w:val="16"/>
            <w:color w:val="auto"/>
          </w:rPr>
          <w:t xml:space="preserve">of Financial Condition and Results of Operations – Comparison of the Year Ended December 31, 2023 to the Year Ended December 31, 2022,” in our </w:t>
        </w:r>
        <w:r>
          <w:rPr>
            <w:rFonts w:ascii="Times New Roman" w:cs="Times New Roman" w:eastAsia="Times New Roman" w:hAnsi="Times New Roman"/>
            <w:sz w:val="16"/>
            <w:szCs w:val="16"/>
            <w:u w:val="single" w:color="auto"/>
            <w:color w:val="0000FF"/>
          </w:rPr>
          <w:t>Annual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-16510</wp:posOffset>
            </wp:positionV>
            <wp:extent cx="4381500" cy="141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4381500" cy="141605"/>
                    </a:xfrm>
                    <a:prstGeom prst="rect">
                      <a:avLst/>
                    </a:prstGeom>
                    <a:noFill/>
                  </pic:spPr>
                </pic:pic>
              </a:graphicData>
            </a:graphic>
          </wp:anchor>
        </w:drawing>
      </w:r>
    </w:p>
    <w:p>
      <w:pPr>
        <w:ind w:right="40"/>
        <w:spacing w:after="0" w:line="422" w:lineRule="auto"/>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u w:val="single" w:color="auto"/>
            <w:color w:val="0000FF"/>
          </w:rPr>
          <w:t>Report on Form 10-K for the year ended December 31, 2023,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filed with the SEC on February 29, 2024, which discussion is incorporated herein by reference.</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b w:val="1"/>
          <w:bCs w:val="1"/>
          <w:color w:val="000000"/>
        </w:rPr>
        <w:t>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-354330</wp:posOffset>
            </wp:positionV>
            <wp:extent cx="27292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729230" cy="8255"/>
                    </a:xfrm>
                    <a:prstGeom prst="rect">
                      <a:avLst/>
                    </a:prstGeom>
                    <a:noFill/>
                  </pic:spPr>
                </pic:pic>
              </a:graphicData>
            </a:graphic>
          </wp:anchor>
        </w:drawing>
      </w:r>
    </w:p>
    <w:p>
      <w:pPr>
        <w:ind w:right="80"/>
        <w:spacing w:after="0" w:line="229" w:lineRule="auto"/>
        <w:rPr>
          <w:sz w:val="20"/>
          <w:szCs w:val="20"/>
          <w:color w:val="auto"/>
        </w:rPr>
      </w:pPr>
      <w:r>
        <w:rPr>
          <w:rFonts w:ascii="Times New Roman" w:cs="Times New Roman" w:eastAsia="Times New Roman" w:hAnsi="Times New Roman"/>
          <w:sz w:val="18"/>
          <w:szCs w:val="18"/>
          <w:color w:val="auto"/>
        </w:rPr>
        <w:t>We calculate Adjusted EBITDA by taking net income calculated in accordance with GAAP and adjusting for interest expense, income taxes, depreciation and amortization, and stock-based compensation expense. Adjusted EBITDA margin is equal to Adjusted EBITDA divided by net sales. We calculate pretax return on capital employed by taking income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spacing w:after="0" w:line="15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Adjusted EBITDA to net income for the years ended December 31, 2020 through December 31, 2024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512"/>
              <w:spacing w:after="0"/>
              <w:rPr>
                <w:sz w:val="20"/>
                <w:szCs w:val="20"/>
                <w:color w:val="auto"/>
              </w:rPr>
            </w:pPr>
            <w:r>
              <w:rPr>
                <w:rFonts w:ascii="Times New Roman" w:cs="Times New Roman" w:eastAsia="Times New Roman" w:hAnsi="Times New Roman"/>
                <w:sz w:val="18"/>
                <w:szCs w:val="18"/>
                <w:color w:val="auto"/>
                <w:w w:val="95"/>
              </w:rPr>
              <w:t>Years Ended December 31,</w:t>
            </w: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77"/>
        </w:trPr>
        <w:tc>
          <w:tcPr>
            <w:tcW w:w="4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2"/>
              <w:spacing w:after="0" w:line="177" w:lineRule="exact"/>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2"/>
              <w:spacing w:after="0" w:line="177" w:lineRule="exact"/>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72"/>
              <w:spacing w:after="0" w:line="177" w:lineRule="exact"/>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2"/>
              <w:spacing w:after="0" w:line="177" w:lineRule="exact"/>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2"/>
              <w:spacing w:after="0" w:line="177" w:lineRule="exact"/>
              <w:rPr>
                <w:sz w:val="20"/>
                <w:szCs w:val="20"/>
                <w:color w:val="auto"/>
              </w:rPr>
            </w:pPr>
            <w:r>
              <w:rPr>
                <w:rFonts w:ascii="Times New Roman" w:cs="Times New Roman" w:eastAsia="Times New Roman" w:hAnsi="Times New Roman"/>
                <w:sz w:val="18"/>
                <w:szCs w:val="18"/>
                <w:color w:val="auto"/>
              </w:rPr>
              <w:t>2020</w:t>
            </w:r>
          </w:p>
        </w:tc>
      </w:tr>
      <w:tr>
        <w:trPr>
          <w:trHeight w:val="177"/>
        </w:trPr>
        <w:tc>
          <w:tcPr>
            <w:tcW w:w="4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300"/>
              <w:spacing w:after="0" w:line="177" w:lineRule="exact"/>
              <w:rPr>
                <w:sz w:val="20"/>
                <w:szCs w:val="20"/>
                <w:color w:val="auto"/>
              </w:rPr>
            </w:pPr>
            <w:r>
              <w:rPr>
                <w:rFonts w:ascii="Times New Roman" w:cs="Times New Roman" w:eastAsia="Times New Roman" w:hAnsi="Times New Roman"/>
                <w:sz w:val="18"/>
                <w:szCs w:val="18"/>
                <w:color w:val="auto"/>
                <w:w w:val="97"/>
              </w:rPr>
              <w:t>(in thousands)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4"/>
        </w:trPr>
        <w:tc>
          <w:tcPr>
            <w:tcW w:w="43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2,321</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10,071</w:t>
            </w:r>
          </w:p>
        </w:tc>
        <w:tc>
          <w:tcPr>
            <w:tcW w:w="22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15,703</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14,774</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6,031</w:t>
            </w:r>
          </w:p>
        </w:tc>
      </w:tr>
      <w:tr>
        <w:trPr>
          <w:trHeight w:val="184"/>
        </w:trPr>
        <w:tc>
          <w:tcPr>
            <w:tcW w:w="43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6"/>
                <w:szCs w:val="16"/>
                <w:color w:val="auto"/>
              </w:rPr>
            </w:pPr>
          </w:p>
        </w:tc>
        <w:tc>
          <w:tcPr>
            <w:tcW w:w="10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2,164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1,579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656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1,874</w:t>
            </w:r>
          </w:p>
        </w:tc>
      </w:tr>
      <w:tr>
        <w:trPr>
          <w:trHeight w:val="184"/>
        </w:trPr>
        <w:tc>
          <w:tcPr>
            <w:tcW w:w="43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921</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3,923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5,327</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5,180</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(1,529)</w:t>
            </w:r>
          </w:p>
        </w:tc>
      </w:tr>
      <w:tr>
        <w:trPr>
          <w:trHeight w:val="184"/>
        </w:trPr>
        <w:tc>
          <w:tcPr>
            <w:tcW w:w="43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Pr>
          <w:p>
            <w:pPr>
              <w:spacing w:after="0"/>
              <w:rPr>
                <w:sz w:val="16"/>
                <w:szCs w:val="16"/>
                <w:color w:val="auto"/>
              </w:rPr>
            </w:pPr>
          </w:p>
        </w:tc>
        <w:tc>
          <w:tcPr>
            <w:tcW w:w="10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17,759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21,229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25,142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27,379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31,336</w:t>
            </w:r>
          </w:p>
        </w:tc>
      </w:tr>
      <w:tr>
        <w:trPr>
          <w:trHeight w:val="184"/>
        </w:trPr>
        <w:tc>
          <w:tcPr>
            <w:tcW w:w="43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Stock based compensation</w:t>
            </w: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1,338</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1,392</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1,832</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2,266</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2,241</w:t>
            </w:r>
          </w:p>
        </w:tc>
      </w:tr>
      <w:tr>
        <w:trPr>
          <w:trHeight w:val="177"/>
        </w:trPr>
        <w:tc>
          <w:tcPr>
            <w:tcW w:w="43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tcPr>
          <w:p>
            <w:pPr>
              <w:jc w:val="right"/>
              <w:ind w:right="9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22,614</w:t>
            </w:r>
          </w:p>
        </w:tc>
        <w:tc>
          <w:tcPr>
            <w:tcW w:w="140" w:type="dxa"/>
            <w:vAlign w:val="bottom"/>
          </w:tcPr>
          <w:p>
            <w:pPr>
              <w:spacing w:after="0"/>
              <w:rPr>
                <w:sz w:val="15"/>
                <w:szCs w:val="15"/>
                <w:color w:val="auto"/>
              </w:rPr>
            </w:pPr>
          </w:p>
        </w:tc>
        <w:tc>
          <w:tcPr>
            <w:tcW w:w="280" w:type="dxa"/>
            <w:vAlign w:val="bottom"/>
            <w:tcBorders>
              <w:bottom w:val="single" w:sz="8" w:color="auto"/>
            </w:tcBorders>
          </w:tcPr>
          <w:p>
            <w:pPr>
              <w:jc w:val="right"/>
              <w:ind w:right="11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38,779</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49,583</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3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50,255</w:t>
            </w:r>
          </w:p>
        </w:tc>
        <w:tc>
          <w:tcPr>
            <w:tcW w:w="140" w:type="dxa"/>
            <w:vAlign w:val="bottom"/>
          </w:tcPr>
          <w:p>
            <w:pPr>
              <w:spacing w:after="0"/>
              <w:rPr>
                <w:sz w:val="15"/>
                <w:szCs w:val="15"/>
                <w:color w:val="auto"/>
              </w:rPr>
            </w:pPr>
          </w:p>
        </w:tc>
        <w:tc>
          <w:tcPr>
            <w:tcW w:w="260" w:type="dxa"/>
            <w:vAlign w:val="bottom"/>
            <w:tcBorders>
              <w:bottom w:val="single" w:sz="8" w:color="auto"/>
            </w:tcBorders>
          </w:tcPr>
          <w:p>
            <w:pPr>
              <w:jc w:val="right"/>
              <w:ind w:right="7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39,953</w:t>
            </w:r>
          </w:p>
        </w:tc>
      </w:tr>
      <w:tr>
        <w:trPr>
          <w:trHeight w:val="20"/>
        </w:trPr>
        <w:tc>
          <w:tcPr>
            <w:tcW w:w="4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as a percentage of net sales for the years ended December 31, 2020 through December 31, 2024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8"/>
                <w:szCs w:val="18"/>
                <w:color w:val="auto"/>
                <w:w w:val="96"/>
              </w:rPr>
              <w:t>Years Ended December 31,</w:t>
            </w: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43"/>
        </w:trPr>
        <w:tc>
          <w:tcPr>
            <w:tcW w:w="4360" w:type="dxa"/>
            <w:vAlign w:val="bottom"/>
          </w:tcPr>
          <w:p>
            <w:pPr>
              <w:spacing w:after="0"/>
              <w:rPr>
                <w:sz w:val="21"/>
                <w:szCs w:val="21"/>
                <w:color w:val="auto"/>
              </w:rPr>
            </w:pPr>
          </w:p>
        </w:tc>
        <w:tc>
          <w:tcPr>
            <w:tcW w:w="1220" w:type="dxa"/>
            <w:vAlign w:val="bottom"/>
            <w:tcBorders>
              <w:bottom w:val="single" w:sz="8" w:color="auto"/>
            </w:tcBorders>
          </w:tcPr>
          <w:p>
            <w:pPr>
              <w:ind w:left="340"/>
              <w:spacing w:after="0" w:line="243" w:lineRule="exact"/>
              <w:rPr>
                <w:sz w:val="20"/>
                <w:szCs w:val="20"/>
                <w:color w:val="auto"/>
              </w:rPr>
            </w:pPr>
            <w:r>
              <w:rPr>
                <w:rFonts w:ascii="Times New Roman" w:cs="Times New Roman" w:eastAsia="Times New Roman" w:hAnsi="Times New Roman"/>
                <w:sz w:val="17"/>
                <w:szCs w:val="17"/>
                <w:color w:val="auto"/>
              </w:rPr>
              <w:t>2024</w:t>
            </w:r>
            <w:r>
              <w:rPr>
                <w:rFonts w:ascii="Times New Roman" w:cs="Times New Roman" w:eastAsia="Times New Roman" w:hAnsi="Times New Roman"/>
                <w:sz w:val="28"/>
                <w:szCs w:val="28"/>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2020</w:t>
            </w:r>
          </w:p>
        </w:tc>
      </w:tr>
      <w:tr>
        <w:trPr>
          <w:trHeight w:val="177"/>
        </w:trPr>
        <w:tc>
          <w:tcPr>
            <w:tcW w:w="4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center"/>
              <w:ind w:right="440"/>
              <w:spacing w:after="0" w:line="177" w:lineRule="exact"/>
              <w:rPr>
                <w:sz w:val="20"/>
                <w:szCs w:val="20"/>
                <w:color w:val="auto"/>
              </w:rPr>
            </w:pPr>
            <w:r>
              <w:rPr>
                <w:rFonts w:ascii="Times New Roman" w:cs="Times New Roman" w:eastAsia="Times New Roman" w:hAnsi="Times New Roman"/>
                <w:sz w:val="18"/>
                <w:szCs w:val="18"/>
                <w:color w:val="auto"/>
                <w:w w:val="95"/>
              </w:rPr>
              <w:t>% of net sales</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4"/>
        </w:trPr>
        <w:tc>
          <w:tcPr>
            <w:tcW w:w="43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0.7 %</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2.7 %</w:t>
            </w:r>
          </w:p>
        </w:tc>
        <w:tc>
          <w:tcPr>
            <w:tcW w:w="1620" w:type="dxa"/>
            <w:vAlign w:val="bottom"/>
            <w:gridSpan w:val="3"/>
            <w:shd w:val="clear" w:color="auto" w:fill="CCEEFF"/>
          </w:tcPr>
          <w:p>
            <w:pPr>
              <w:jc w:val="right"/>
              <w:ind w:right="192"/>
              <w:spacing w:after="0" w:line="184" w:lineRule="exact"/>
              <w:rPr>
                <w:sz w:val="20"/>
                <w:szCs w:val="20"/>
                <w:color w:val="auto"/>
              </w:rPr>
            </w:pPr>
            <w:r>
              <w:rPr>
                <w:rFonts w:ascii="Times New Roman" w:cs="Times New Roman" w:eastAsia="Times New Roman" w:hAnsi="Times New Roman"/>
                <w:sz w:val="18"/>
                <w:szCs w:val="18"/>
                <w:color w:val="auto"/>
              </w:rPr>
              <w:t>4.0 %</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92"/>
              <w:spacing w:after="0" w:line="184" w:lineRule="exact"/>
              <w:rPr>
                <w:sz w:val="20"/>
                <w:szCs w:val="20"/>
                <w:color w:val="auto"/>
              </w:rPr>
            </w:pPr>
            <w:r>
              <w:rPr>
                <w:rFonts w:ascii="Times New Roman" w:cs="Times New Roman" w:eastAsia="Times New Roman" w:hAnsi="Times New Roman"/>
                <w:sz w:val="18"/>
                <w:szCs w:val="18"/>
                <w:color w:val="auto"/>
              </w:rPr>
              <w:t>4.0 %</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92"/>
              <w:spacing w:after="0" w:line="184" w:lineRule="exact"/>
              <w:rPr>
                <w:sz w:val="20"/>
                <w:szCs w:val="20"/>
                <w:color w:val="auto"/>
              </w:rPr>
            </w:pPr>
            <w:r>
              <w:rPr>
                <w:rFonts w:ascii="Times New Roman" w:cs="Times New Roman" w:eastAsia="Times New Roman" w:hAnsi="Times New Roman"/>
                <w:sz w:val="18"/>
                <w:szCs w:val="18"/>
                <w:color w:val="auto"/>
              </w:rPr>
              <w:t>1.9 %</w:t>
            </w:r>
          </w:p>
        </w:tc>
      </w:tr>
      <w:tr>
        <w:trPr>
          <w:trHeight w:val="184"/>
        </w:trPr>
        <w:tc>
          <w:tcPr>
            <w:tcW w:w="43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Interest expense, net</w:t>
            </w:r>
          </w:p>
        </w:tc>
        <w:tc>
          <w:tcPr>
            <w:tcW w:w="122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6"/>
                <w:szCs w:val="16"/>
                <w:color w:val="auto"/>
              </w:rPr>
            </w:pPr>
          </w:p>
        </w:tc>
        <w:tc>
          <w:tcPr>
            <w:tcW w:w="1040" w:type="dxa"/>
            <w:vAlign w:val="bottom"/>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0.6</w:t>
            </w:r>
          </w:p>
        </w:tc>
        <w:tc>
          <w:tcPr>
            <w:tcW w:w="1620" w:type="dxa"/>
            <w:vAlign w:val="bottom"/>
            <w:gridSpan w:val="3"/>
          </w:tcPr>
          <w:p>
            <w:pPr>
              <w:jc w:val="right"/>
              <w:ind w:right="392"/>
              <w:spacing w:after="0" w:line="184" w:lineRule="exact"/>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412"/>
              <w:spacing w:after="0" w:line="184" w:lineRule="exact"/>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6"/>
                <w:szCs w:val="16"/>
                <w:color w:val="auto"/>
              </w:rPr>
            </w:pPr>
          </w:p>
        </w:tc>
        <w:tc>
          <w:tcPr>
            <w:tcW w:w="1260" w:type="dxa"/>
            <w:vAlign w:val="bottom"/>
          </w:tcPr>
          <w:p>
            <w:pPr>
              <w:jc w:val="right"/>
              <w:ind w:right="392"/>
              <w:spacing w:after="0" w:line="184" w:lineRule="exact"/>
              <w:rPr>
                <w:sz w:val="20"/>
                <w:szCs w:val="20"/>
                <w:color w:val="auto"/>
              </w:rPr>
            </w:pPr>
            <w:r>
              <w:rPr>
                <w:rFonts w:ascii="Times New Roman" w:cs="Times New Roman" w:eastAsia="Times New Roman" w:hAnsi="Times New Roman"/>
                <w:sz w:val="18"/>
                <w:szCs w:val="18"/>
                <w:color w:val="auto"/>
              </w:rPr>
              <w:t>0.6</w:t>
            </w:r>
          </w:p>
        </w:tc>
      </w:tr>
      <w:tr>
        <w:trPr>
          <w:trHeight w:val="184"/>
        </w:trPr>
        <w:tc>
          <w:tcPr>
            <w:tcW w:w="43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Provision (benefit) for income taxes</w:t>
            </w:r>
          </w:p>
        </w:tc>
        <w:tc>
          <w:tcPr>
            <w:tcW w:w="1220" w:type="dxa"/>
            <w:vAlign w:val="bottom"/>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1.0</w:t>
            </w:r>
          </w:p>
        </w:tc>
        <w:tc>
          <w:tcPr>
            <w:tcW w:w="1620" w:type="dxa"/>
            <w:vAlign w:val="bottom"/>
            <w:gridSpan w:val="3"/>
            <w:shd w:val="clear" w:color="auto" w:fill="CCEEFF"/>
          </w:tcPr>
          <w:p>
            <w:pPr>
              <w:jc w:val="right"/>
              <w:ind w:right="392"/>
              <w:spacing w:after="0" w:line="184" w:lineRule="exact"/>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2"/>
              <w:spacing w:after="0" w:line="184" w:lineRule="exact"/>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32"/>
              <w:spacing w:after="0" w:line="184" w:lineRule="exact"/>
              <w:rPr>
                <w:sz w:val="20"/>
                <w:szCs w:val="20"/>
                <w:color w:val="auto"/>
              </w:rPr>
            </w:pPr>
            <w:r>
              <w:rPr>
                <w:rFonts w:ascii="Times New Roman" w:cs="Times New Roman" w:eastAsia="Times New Roman" w:hAnsi="Times New Roman"/>
                <w:sz w:val="18"/>
                <w:szCs w:val="18"/>
                <w:color w:val="auto"/>
              </w:rPr>
              <w:t>(0.5)</w:t>
            </w:r>
          </w:p>
        </w:tc>
      </w:tr>
      <w:tr>
        <w:trPr>
          <w:trHeight w:val="184"/>
        </w:trPr>
        <w:tc>
          <w:tcPr>
            <w:tcW w:w="43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Depreciation &amp; amortization</w:t>
            </w:r>
          </w:p>
        </w:tc>
        <w:tc>
          <w:tcPr>
            <w:tcW w:w="122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6"/>
                <w:szCs w:val="16"/>
                <w:color w:val="auto"/>
              </w:rPr>
            </w:pPr>
          </w:p>
        </w:tc>
        <w:tc>
          <w:tcPr>
            <w:tcW w:w="1040" w:type="dxa"/>
            <w:vAlign w:val="bottom"/>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5.6</w:t>
            </w:r>
          </w:p>
        </w:tc>
        <w:tc>
          <w:tcPr>
            <w:tcW w:w="1620" w:type="dxa"/>
            <w:vAlign w:val="bottom"/>
            <w:gridSpan w:val="3"/>
          </w:tcPr>
          <w:p>
            <w:pPr>
              <w:jc w:val="right"/>
              <w:ind w:right="392"/>
              <w:spacing w:after="0" w:line="184" w:lineRule="exact"/>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412"/>
              <w:spacing w:after="0" w:line="184" w:lineRule="exact"/>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6"/>
                <w:szCs w:val="16"/>
                <w:color w:val="auto"/>
              </w:rPr>
            </w:pPr>
          </w:p>
        </w:tc>
        <w:tc>
          <w:tcPr>
            <w:tcW w:w="1260" w:type="dxa"/>
            <w:vAlign w:val="bottom"/>
          </w:tcPr>
          <w:p>
            <w:pPr>
              <w:jc w:val="right"/>
              <w:ind w:right="392"/>
              <w:spacing w:after="0" w:line="184" w:lineRule="exact"/>
              <w:rPr>
                <w:sz w:val="20"/>
                <w:szCs w:val="20"/>
                <w:color w:val="auto"/>
              </w:rPr>
            </w:pPr>
            <w:r>
              <w:rPr>
                <w:rFonts w:ascii="Times New Roman" w:cs="Times New Roman" w:eastAsia="Times New Roman" w:hAnsi="Times New Roman"/>
                <w:sz w:val="18"/>
                <w:szCs w:val="18"/>
                <w:color w:val="auto"/>
              </w:rPr>
              <w:t>9.6</w:t>
            </w:r>
          </w:p>
        </w:tc>
      </w:tr>
      <w:tr>
        <w:trPr>
          <w:trHeight w:val="184"/>
        </w:trPr>
        <w:tc>
          <w:tcPr>
            <w:tcW w:w="43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Stock based compensation</w:t>
            </w:r>
          </w:p>
        </w:tc>
        <w:tc>
          <w:tcPr>
            <w:tcW w:w="1220" w:type="dxa"/>
            <w:vAlign w:val="bottom"/>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0.4</w:t>
            </w:r>
          </w:p>
        </w:tc>
        <w:tc>
          <w:tcPr>
            <w:tcW w:w="1620" w:type="dxa"/>
            <w:vAlign w:val="bottom"/>
            <w:gridSpan w:val="3"/>
            <w:shd w:val="clear" w:color="auto" w:fill="CCEEFF"/>
          </w:tcPr>
          <w:p>
            <w:pPr>
              <w:jc w:val="right"/>
              <w:ind w:right="392"/>
              <w:spacing w:after="0" w:line="184" w:lineRule="exact"/>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12"/>
              <w:spacing w:after="0" w:line="184" w:lineRule="exact"/>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92"/>
              <w:spacing w:after="0" w:line="184" w:lineRule="exact"/>
              <w:rPr>
                <w:sz w:val="20"/>
                <w:szCs w:val="20"/>
                <w:color w:val="auto"/>
              </w:rPr>
            </w:pPr>
            <w:r>
              <w:rPr>
                <w:rFonts w:ascii="Times New Roman" w:cs="Times New Roman" w:eastAsia="Times New Roman" w:hAnsi="Times New Roman"/>
                <w:sz w:val="18"/>
                <w:szCs w:val="18"/>
                <w:color w:val="auto"/>
              </w:rPr>
              <w:t>0.7</w:t>
            </w:r>
          </w:p>
        </w:tc>
      </w:tr>
      <w:tr>
        <w:trPr>
          <w:trHeight w:val="177"/>
        </w:trPr>
        <w:tc>
          <w:tcPr>
            <w:tcW w:w="43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Adjusted EBITDA</w:t>
            </w:r>
          </w:p>
        </w:tc>
        <w:tc>
          <w:tcPr>
            <w:tcW w:w="1220" w:type="dxa"/>
            <w:vAlign w:val="bottom"/>
            <w:tcBorders>
              <w:top w:val="single" w:sz="8" w:color="auto"/>
              <w:bottom w:val="single" w:sz="8" w:color="auto"/>
            </w:tcBorders>
          </w:tcPr>
          <w:p>
            <w:pPr>
              <w:ind w:left="520"/>
              <w:spacing w:after="0" w:line="177" w:lineRule="exact"/>
              <w:rPr>
                <w:sz w:val="20"/>
                <w:szCs w:val="20"/>
                <w:color w:val="auto"/>
              </w:rPr>
            </w:pPr>
            <w:r>
              <w:rPr>
                <w:rFonts w:ascii="Times New Roman" w:cs="Times New Roman" w:eastAsia="Times New Roman" w:hAnsi="Times New Roman"/>
                <w:sz w:val="18"/>
                <w:szCs w:val="18"/>
                <w:color w:val="auto"/>
              </w:rPr>
              <w:t>6.5 %</w:t>
            </w:r>
          </w:p>
        </w:tc>
        <w:tc>
          <w:tcPr>
            <w:tcW w:w="16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10.3 %</w:t>
            </w:r>
          </w:p>
        </w:tc>
        <w:tc>
          <w:tcPr>
            <w:tcW w:w="200" w:type="dxa"/>
            <w:vAlign w:val="bottom"/>
            <w:tcBorders>
              <w:top w:val="single" w:sz="8" w:color="auto"/>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ind w:right="192"/>
              <w:spacing w:after="0" w:line="177" w:lineRule="exact"/>
              <w:rPr>
                <w:sz w:val="20"/>
                <w:szCs w:val="20"/>
                <w:color w:val="auto"/>
              </w:rPr>
            </w:pPr>
            <w:r>
              <w:rPr>
                <w:rFonts w:ascii="Times New Roman" w:cs="Times New Roman" w:eastAsia="Times New Roman" w:hAnsi="Times New Roman"/>
                <w:sz w:val="18"/>
                <w:szCs w:val="18"/>
                <w:color w:val="auto"/>
              </w:rPr>
              <w:t>12.6 %</w:t>
            </w:r>
          </w:p>
        </w:tc>
        <w:tc>
          <w:tcPr>
            <w:tcW w:w="16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192"/>
              <w:spacing w:after="0" w:line="177" w:lineRule="exact"/>
              <w:rPr>
                <w:sz w:val="20"/>
                <w:szCs w:val="20"/>
                <w:color w:val="auto"/>
              </w:rPr>
            </w:pPr>
            <w:r>
              <w:rPr>
                <w:rFonts w:ascii="Times New Roman" w:cs="Times New Roman" w:eastAsia="Times New Roman" w:hAnsi="Times New Roman"/>
                <w:sz w:val="18"/>
                <w:szCs w:val="18"/>
                <w:color w:val="auto"/>
              </w:rPr>
              <w:t>13.6 %</w:t>
            </w:r>
          </w:p>
        </w:tc>
        <w:tc>
          <w:tcPr>
            <w:tcW w:w="16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ind w:right="192"/>
              <w:spacing w:after="0" w:line="177" w:lineRule="exact"/>
              <w:rPr>
                <w:sz w:val="20"/>
                <w:szCs w:val="20"/>
                <w:color w:val="auto"/>
              </w:rPr>
            </w:pPr>
            <w:r>
              <w:rPr>
                <w:rFonts w:ascii="Times New Roman" w:cs="Times New Roman" w:eastAsia="Times New Roman" w:hAnsi="Times New Roman"/>
                <w:sz w:val="18"/>
                <w:szCs w:val="18"/>
                <w:color w:val="auto"/>
              </w:rPr>
              <w:t>12.3 %</w:t>
            </w:r>
          </w:p>
        </w:tc>
      </w:tr>
      <w:tr>
        <w:trPr>
          <w:trHeight w:val="20"/>
        </w:trPr>
        <w:tc>
          <w:tcPr>
            <w:tcW w:w="4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Amounts do not foot due to rounding.</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The calculation of pretax return on capital employed is as follows:</w:t>
            </w:r>
          </w:p>
        </w:tc>
        <w:tc>
          <w:tcPr>
            <w:tcW w:w="1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18"/>
              <w:spacing w:after="0"/>
              <w:rPr>
                <w:sz w:val="20"/>
                <w:szCs w:val="20"/>
                <w:color w:val="auto"/>
              </w:rPr>
            </w:pPr>
            <w:r>
              <w:rPr>
                <w:rFonts w:ascii="Times New Roman" w:cs="Times New Roman" w:eastAsia="Times New Roman" w:hAnsi="Times New Roman"/>
                <w:sz w:val="18"/>
                <w:szCs w:val="18"/>
                <w:color w:val="auto"/>
              </w:rPr>
              <w:t>December 31,</w:t>
            </w:r>
          </w:p>
        </w:tc>
        <w:tc>
          <w:tcPr>
            <w:tcW w:w="1480" w:type="dxa"/>
            <w:vAlign w:val="bottom"/>
            <w:tcBorders>
              <w:bottom w:val="single" w:sz="8" w:color="auto"/>
            </w:tcBorders>
          </w:tcPr>
          <w:p>
            <w:pPr>
              <w:spacing w:after="0"/>
              <w:rPr>
                <w:sz w:val="20"/>
                <w:szCs w:val="20"/>
                <w:color w:val="auto"/>
              </w:rPr>
            </w:pPr>
          </w:p>
        </w:tc>
      </w:tr>
      <w:tr>
        <w:trPr>
          <w:trHeight w:val="243"/>
        </w:trPr>
        <w:tc>
          <w:tcPr>
            <w:tcW w:w="576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17"/>
                <w:szCs w:val="17"/>
                <w:color w:val="auto"/>
              </w:rPr>
              <w:t>2024</w:t>
            </w:r>
            <w:r>
              <w:rPr>
                <w:rFonts w:ascii="Times New Roman" w:cs="Times New Roman" w:eastAsia="Times New Roman" w:hAnsi="Times New Roman"/>
                <w:sz w:val="28"/>
                <w:szCs w:val="28"/>
                <w:color w:val="auto"/>
                <w:vertAlign w:val="superscript"/>
              </w:rPr>
              <w:t>(1)</w:t>
            </w: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73"/>
              <w:spacing w:after="0" w:line="243" w:lineRule="exact"/>
              <w:rPr>
                <w:sz w:val="20"/>
                <w:szCs w:val="20"/>
                <w:color w:val="auto"/>
              </w:rPr>
            </w:pPr>
            <w:r>
              <w:rPr>
                <w:rFonts w:ascii="Times New Roman" w:cs="Times New Roman" w:eastAsia="Times New Roman" w:hAnsi="Times New Roman"/>
                <w:sz w:val="17"/>
                <w:szCs w:val="17"/>
                <w:color w:val="auto"/>
              </w:rPr>
              <w:t>2023</w:t>
            </w:r>
            <w:r>
              <w:rPr>
                <w:rFonts w:ascii="Times New Roman" w:cs="Times New Roman" w:eastAsia="Times New Roman" w:hAnsi="Times New Roman"/>
                <w:sz w:val="28"/>
                <w:szCs w:val="28"/>
                <w:color w:val="auto"/>
                <w:vertAlign w:val="superscript"/>
              </w:rPr>
              <w:t>(1)</w:t>
            </w:r>
          </w:p>
        </w:tc>
      </w:tr>
      <w:tr>
        <w:trPr>
          <w:trHeight w:val="177"/>
        </w:trPr>
        <w:tc>
          <w:tcPr>
            <w:tcW w:w="57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from operations</w:t>
            </w:r>
          </w:p>
        </w:tc>
        <w:tc>
          <w:tcPr>
            <w:tcW w:w="1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177"/>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3,517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9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16,158</w:t>
            </w:r>
          </w:p>
        </w:tc>
      </w:tr>
      <w:tr>
        <w:trPr>
          <w:trHeight w:val="184"/>
        </w:trPr>
        <w:tc>
          <w:tcPr>
            <w:tcW w:w="5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4"/>
        </w:trPr>
        <w:tc>
          <w:tcPr>
            <w:tcW w:w="57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322,131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324,880</w:t>
            </w:r>
          </w:p>
        </w:tc>
      </w:tr>
      <w:tr>
        <w:trPr>
          <w:trHeight w:val="184"/>
        </w:trPr>
        <w:tc>
          <w:tcPr>
            <w:tcW w:w="576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Less: Accounts payable</w:t>
            </w: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6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(22,842)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(24,885)</w:t>
            </w:r>
          </w:p>
        </w:tc>
      </w:tr>
      <w:tr>
        <w:trPr>
          <w:trHeight w:val="184"/>
        </w:trPr>
        <w:tc>
          <w:tcPr>
            <w:tcW w:w="576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Less: Income tax payable</w:t>
            </w:r>
          </w:p>
        </w:tc>
        <w:tc>
          <w:tcPr>
            <w:tcW w:w="1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(519)</w:t>
            </w:r>
          </w:p>
        </w:tc>
      </w:tr>
      <w:tr>
        <w:trPr>
          <w:trHeight w:val="184"/>
        </w:trPr>
        <w:tc>
          <w:tcPr>
            <w:tcW w:w="576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Less: Other accrued liabilities</w:t>
            </w: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6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(30,481)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(32,728)</w:t>
            </w:r>
          </w:p>
        </w:tc>
      </w:tr>
      <w:tr>
        <w:trPr>
          <w:trHeight w:val="184"/>
        </w:trPr>
        <w:tc>
          <w:tcPr>
            <w:tcW w:w="576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Less: Lease liability</w:t>
            </w:r>
          </w:p>
        </w:tc>
        <w:tc>
          <w:tcPr>
            <w:tcW w:w="1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(141,157)</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(131,840)</w:t>
            </w:r>
          </w:p>
        </w:tc>
      </w:tr>
      <w:tr>
        <w:trPr>
          <w:trHeight w:val="184"/>
        </w:trPr>
        <w:tc>
          <w:tcPr>
            <w:tcW w:w="576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Less: Other long-term liabilities</w:t>
            </w: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6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(4,716)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(4,585)</w:t>
            </w:r>
          </w:p>
        </w:tc>
      </w:tr>
      <w:tr>
        <w:trPr>
          <w:trHeight w:val="177"/>
        </w:trPr>
        <w:tc>
          <w:tcPr>
            <w:tcW w:w="576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Capital Employed</w:t>
            </w: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ind w:right="1177"/>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122,560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39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130,323</w:t>
            </w:r>
          </w:p>
        </w:tc>
      </w:tr>
      <w:tr>
        <w:trPr>
          <w:trHeight w:val="20"/>
        </w:trPr>
        <w:tc>
          <w:tcPr>
            <w:tcW w:w="5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3"/>
        </w:trPr>
        <w:tc>
          <w:tcPr>
            <w:tcW w:w="5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4"/>
        </w:trPr>
        <w:tc>
          <w:tcPr>
            <w:tcW w:w="57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Pretax Return on Capital Employed</w:t>
            </w:r>
          </w:p>
        </w:tc>
        <w:tc>
          <w:tcPr>
            <w:tcW w:w="1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12.4%</w:t>
            </w:r>
          </w:p>
        </w:tc>
      </w:tr>
    </w:tbl>
    <w:p>
      <w:pPr>
        <w:spacing w:after="0" w:line="231" w:lineRule="exact"/>
        <w:rPr>
          <w:sz w:val="20"/>
          <w:szCs w:val="20"/>
          <w:color w:val="auto"/>
        </w:rPr>
      </w:pPr>
    </w:p>
    <w:p>
      <w:pPr>
        <w:ind w:left="320" w:right="640" w:hanging="315"/>
        <w:spacing w:after="0" w:line="183" w:lineRule="auto"/>
        <w:tabs>
          <w:tab w:leader="none" w:pos="32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3"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8"/>
          <w:szCs w:val="18"/>
          <w:color w:val="auto"/>
        </w:rPr>
        <w:t>Our principal sources of liquidity include $21.0 million of cash and cash equivalents at December 31, 2024, cash provided by operating activities and borrowings available under our credit facility. We expect to use this liquidity for maintaining our existing stores, purchasing additional merchandise inventory, and general corporate purposes.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8"/>
          <w:szCs w:val="18"/>
          <w:color w:val="auto"/>
        </w:rPr>
        <w:t>On September 30, 2022, Holdings and its operating subsidiary, The Tile Shop, and certain subsidiaries of each entered into a Credit Agreement with JPMorgan Chase Bank, N.A. and the lenders party thereto, including Fifth Third Bank (the “Credit Agreement”). The Credit Agreement provides us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Rent Adjusted Leverage Ratio (as defined in the Credit Agreement).</w:t>
      </w:r>
    </w:p>
    <w:p>
      <w:pPr>
        <w:spacing w:after="0" w:line="153"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The Credit Agreement is secured by virtually all of our assets, including but not limited to, inventory, accounts receivable, equipment and general intangibles. The Credit Agreement contains customary events of default, conditions to borrowing and restrictive covenants, including restrictions on our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We were in compliance with the covenants as of December 31, 2024.</w:t>
      </w:r>
    </w:p>
    <w:p>
      <w:pPr>
        <w:spacing w:after="0" w:line="145"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18"/>
          <w:szCs w:val="18"/>
          <w:color w:val="auto"/>
        </w:rPr>
        <w:t>We had no borrowings outstanding on our line of credit as of December 31, 2024. We have standby letters of credit outstanding related to our workers’ compensation and medical insurance policies. As of December 31, 2024, standby letters of credit totaled $1.2 million, leaving $73.8 million available for borrowing on the revolving line of credit, which may be used for maintaining our existing stores, purchasing additional merchandise inventory, and general corporate purposes.</w:t>
      </w:r>
    </w:p>
    <w:p>
      <w:pPr>
        <w:spacing w:after="0" w:line="143"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18"/>
          <w:szCs w:val="18"/>
          <w:color w:val="auto"/>
        </w:rPr>
        <w:t>During 2025, we expect to use cash for maintaining our existing stores, purchasing additional merchandise inventory, and general corporate purposes. Additionally, as described further in Note 6 of the Notes to the Consolidated Financial Statements, as of December 31, 2024, our lease liability under operating leases totaled $142.6 million. Contractual lease payments range from $16.5 million to $40.0 million on an annual basis over the next five years. We are also obligated to fund certain self-insured employee benefits, including our medical and workers’ compensation plans. As of December 31, 2024, accrual balances related to our estimated workers’ compensation claims and medical claims totaled $1.4 million and $1.1 million, respectively. Additionally, we have contractual obligations related to software service arrangements with suppliers for fixed or minimum amounts. Future minimum payments at December 31, 2024 for purchase obligations were $8.7 million. Amounts due under these arrangements in 2025, 2026, 2027 and 2028 total $6.5 million, $1.0 million, $0.7 million, and $0.3 million, respectively.</w:t>
      </w:r>
    </w:p>
    <w:p>
      <w:pPr>
        <w:spacing w:after="0" w:line="156"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18"/>
          <w:szCs w:val="18"/>
          <w:color w:val="auto"/>
        </w:rPr>
        <w:t>We currently believe that our cash and cash equivalents, cash flows from operations and access to cash under our credit facility will be adequate to meet our ongoing operating requirements over the next twelve months and our long-term liquidity requirements.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capital expenditures during the years ended December 31, 2024, 2023 and 2022.</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6"/>
              </w:rPr>
              <w:t>Years Ended December 31,</w:t>
            </w:r>
          </w:p>
        </w:tc>
        <w:tc>
          <w:tcPr>
            <w:tcW w:w="760" w:type="dxa"/>
            <w:vAlign w:val="bottom"/>
            <w:tcBorders>
              <w:bottom w:val="single" w:sz="8" w:color="auto"/>
            </w:tcBorders>
          </w:tcPr>
          <w:p>
            <w:pPr>
              <w:spacing w:after="0"/>
              <w:rPr>
                <w:sz w:val="18"/>
                <w:szCs w:val="18"/>
                <w:color w:val="auto"/>
              </w:rPr>
            </w:pPr>
          </w:p>
        </w:tc>
      </w:tr>
      <w:tr>
        <w:trPr>
          <w:trHeight w:val="177"/>
        </w:trPr>
        <w:tc>
          <w:tcPr>
            <w:tcW w:w="7680" w:type="dxa"/>
            <w:vAlign w:val="bottom"/>
          </w:tcPr>
          <w:p>
            <w:pPr>
              <w:spacing w:after="0"/>
              <w:rPr>
                <w:sz w:val="15"/>
                <w:szCs w:val="15"/>
                <w:color w:val="auto"/>
              </w:rPr>
            </w:pPr>
          </w:p>
        </w:tc>
        <w:tc>
          <w:tcPr>
            <w:tcW w:w="7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2"/>
              <w:spacing w:after="0" w:line="177" w:lineRule="exact"/>
              <w:rPr>
                <w:sz w:val="20"/>
                <w:szCs w:val="20"/>
                <w:color w:val="auto"/>
              </w:rPr>
            </w:pPr>
            <w:r>
              <w:rPr>
                <w:rFonts w:ascii="Times New Roman" w:cs="Times New Roman" w:eastAsia="Times New Roman" w:hAnsi="Times New Roman"/>
                <w:sz w:val="18"/>
                <w:szCs w:val="18"/>
                <w:color w:val="auto"/>
              </w:rPr>
              <w:t>2022</w:t>
            </w:r>
          </w:p>
        </w:tc>
      </w:tr>
      <w:tr>
        <w:trPr>
          <w:trHeight w:val="177"/>
        </w:trPr>
        <w:tc>
          <w:tcPr>
            <w:tcW w:w="7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80"/>
              <w:spacing w:after="0" w:line="177" w:lineRule="exact"/>
              <w:rPr>
                <w:sz w:val="20"/>
                <w:szCs w:val="20"/>
                <w:color w:val="auto"/>
              </w:rPr>
            </w:pPr>
            <w:r>
              <w:rPr>
                <w:rFonts w:ascii="Times New Roman" w:cs="Times New Roman" w:eastAsia="Times New Roman" w:hAnsi="Times New Roman"/>
                <w:sz w:val="18"/>
                <w:szCs w:val="18"/>
                <w:color w:val="auto"/>
                <w:w w:val="98"/>
              </w:rPr>
              <w:t>(in millions)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4"/>
        </w:trPr>
        <w:tc>
          <w:tcPr>
            <w:tcW w:w="76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New store building, existing store remodels and store merchandising investments</w:t>
            </w:r>
          </w:p>
        </w:tc>
        <w:tc>
          <w:tcPr>
            <w:tcW w:w="72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7.6</w:t>
            </w:r>
          </w:p>
        </w:tc>
      </w:tr>
      <w:tr>
        <w:trPr>
          <w:trHeight w:val="184"/>
        </w:trPr>
        <w:tc>
          <w:tcPr>
            <w:tcW w:w="76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Information technology infrastructure</w:t>
            </w:r>
          </w:p>
        </w:tc>
        <w:tc>
          <w:tcPr>
            <w:tcW w:w="720" w:type="dxa"/>
            <w:vAlign w:val="bottom"/>
          </w:tcPr>
          <w:p>
            <w:pPr>
              <w:spacing w:after="0"/>
              <w:rPr>
                <w:sz w:val="16"/>
                <w:szCs w:val="16"/>
                <w:color w:val="auto"/>
              </w:rPr>
            </w:pPr>
          </w:p>
        </w:tc>
        <w:tc>
          <w:tcPr>
            <w:tcW w:w="3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2.8</w:t>
            </w:r>
          </w:p>
        </w:tc>
      </w:tr>
      <w:tr>
        <w:trPr>
          <w:trHeight w:val="184"/>
        </w:trPr>
        <w:tc>
          <w:tcPr>
            <w:tcW w:w="76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Distribution and manufacturing facilities</w:t>
            </w:r>
          </w:p>
        </w:tc>
        <w:tc>
          <w:tcPr>
            <w:tcW w:w="7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3.6</w:t>
            </w:r>
          </w:p>
        </w:tc>
      </w:tr>
      <w:tr>
        <w:trPr>
          <w:trHeight w:val="177"/>
        </w:trPr>
        <w:tc>
          <w:tcPr>
            <w:tcW w:w="7680" w:type="dxa"/>
            <w:vAlign w:val="bottom"/>
          </w:tcPr>
          <w:p>
            <w:pPr>
              <w:spacing w:after="0"/>
              <w:rPr>
                <w:sz w:val="15"/>
                <w:szCs w:val="15"/>
                <w:color w:val="auto"/>
              </w:rPr>
            </w:pPr>
          </w:p>
        </w:tc>
        <w:tc>
          <w:tcPr>
            <w:tcW w:w="720" w:type="dxa"/>
            <w:vAlign w:val="bottom"/>
            <w:tcBorders>
              <w:bottom w:val="single" w:sz="8" w:color="auto"/>
            </w:tcBorders>
          </w:tcPr>
          <w:p>
            <w:pPr>
              <w:jc w:val="right"/>
              <w:ind w:right="556"/>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14.5</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14.0</w:t>
            </w:r>
          </w:p>
        </w:tc>
      </w:tr>
      <w:tr>
        <w:trPr>
          <w:trHeight w:val="20"/>
        </w:trPr>
        <w:tc>
          <w:tcPr>
            <w:tcW w:w="7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Our capital expenditure plan includes store refresh and remodels, information technology upgrades or enhancements, and replacing equipment at our stores and distribution centers. Our capital requirements will vary based on the number of stores that we choose to renovate or degree of investment in new technology. Our decisions regarding opening, relocating, or renovating stores, and whether to engage in strategic acquisitions, will be based in part on macroeconomic factors and the general state of the U.S. economy, as well as the local economies in the markets in which our stores are located.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for the years ended December 31, 2024, 2023 and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center"/>
              <w:ind w:left="572"/>
              <w:spacing w:after="0"/>
              <w:rPr>
                <w:sz w:val="20"/>
                <w:szCs w:val="20"/>
                <w:color w:val="auto"/>
              </w:rPr>
            </w:pPr>
            <w:r>
              <w:rPr>
                <w:rFonts w:ascii="Times New Roman" w:cs="Times New Roman" w:eastAsia="Times New Roman" w:hAnsi="Times New Roman"/>
                <w:sz w:val="18"/>
                <w:szCs w:val="18"/>
                <w:color w:val="auto"/>
                <w:w w:val="97"/>
              </w:rPr>
              <w:t>For the year ended December 31,</w:t>
            </w:r>
          </w:p>
        </w:tc>
        <w:tc>
          <w:tcPr>
            <w:tcW w:w="960" w:type="dxa"/>
            <w:vAlign w:val="bottom"/>
            <w:tcBorders>
              <w:bottom w:val="single" w:sz="8" w:color="auto"/>
            </w:tcBorders>
          </w:tcPr>
          <w:p>
            <w:pPr>
              <w:spacing w:after="0"/>
              <w:rPr>
                <w:sz w:val="18"/>
                <w:szCs w:val="18"/>
                <w:color w:val="auto"/>
              </w:rPr>
            </w:pPr>
          </w:p>
        </w:tc>
      </w:tr>
      <w:tr>
        <w:trPr>
          <w:trHeight w:val="177"/>
        </w:trPr>
        <w:tc>
          <w:tcPr>
            <w:tcW w:w="5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line="177" w:lineRule="exact"/>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32"/>
              <w:spacing w:after="0" w:line="177" w:lineRule="exact"/>
              <w:rPr>
                <w:sz w:val="20"/>
                <w:szCs w:val="20"/>
                <w:color w:val="auto"/>
              </w:rPr>
            </w:pPr>
            <w:r>
              <w:rPr>
                <w:rFonts w:ascii="Times New Roman" w:cs="Times New Roman" w:eastAsia="Times New Roman" w:hAnsi="Times New Roman"/>
                <w:sz w:val="18"/>
                <w:szCs w:val="18"/>
                <w:color w:val="auto"/>
                <w:w w:val="99"/>
              </w:rPr>
              <w:t>2023</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2"/>
              <w:spacing w:after="0" w:line="177" w:lineRule="exact"/>
              <w:rPr>
                <w:sz w:val="20"/>
                <w:szCs w:val="20"/>
                <w:color w:val="auto"/>
              </w:rPr>
            </w:pPr>
            <w:r>
              <w:rPr>
                <w:rFonts w:ascii="Times New Roman" w:cs="Times New Roman" w:eastAsia="Times New Roman" w:hAnsi="Times New Roman"/>
                <w:sz w:val="18"/>
                <w:szCs w:val="18"/>
                <w:color w:val="auto"/>
              </w:rPr>
              <w:t>2022</w:t>
            </w:r>
          </w:p>
        </w:tc>
      </w:tr>
      <w:tr>
        <w:trPr>
          <w:trHeight w:val="177"/>
        </w:trPr>
        <w:tc>
          <w:tcPr>
            <w:tcW w:w="5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92"/>
              <w:spacing w:after="0" w:line="177" w:lineRule="exact"/>
              <w:rPr>
                <w:sz w:val="20"/>
                <w:szCs w:val="20"/>
                <w:color w:val="auto"/>
              </w:rPr>
            </w:pPr>
            <w:r>
              <w:rPr>
                <w:rFonts w:ascii="Times New Roman" w:cs="Times New Roman" w:eastAsia="Times New Roman" w:hAnsi="Times New Roman"/>
                <w:sz w:val="18"/>
                <w:szCs w:val="18"/>
                <w:color w:val="auto"/>
                <w:w w:val="97"/>
              </w:rPr>
              <w:t>(in thousands)</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51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40" w:type="dxa"/>
            <w:vAlign w:val="bottom"/>
            <w:gridSpan w:val="2"/>
            <w:shd w:val="clear" w:color="auto" w:fill="CCEEFF"/>
          </w:tcPr>
          <w:p>
            <w:pPr>
              <w:jc w:val="right"/>
              <w:ind w:right="20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2"/>
              <w:spacing w:after="0" w:line="184" w:lineRule="exact"/>
              <w:rPr>
                <w:sz w:val="20"/>
                <w:szCs w:val="20"/>
                <w:color w:val="auto"/>
              </w:rPr>
            </w:pPr>
            <w:r>
              <w:rPr>
                <w:rFonts w:ascii="Times New Roman" w:cs="Times New Roman" w:eastAsia="Times New Roman" w:hAnsi="Times New Roman"/>
                <w:sz w:val="18"/>
                <w:szCs w:val="18"/>
                <w:color w:val="auto"/>
              </w:rPr>
              <w:t>27,107</w:t>
            </w:r>
          </w:p>
        </w:tc>
        <w:tc>
          <w:tcPr>
            <w:tcW w:w="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2"/>
              <w:spacing w:after="0" w:line="184" w:lineRule="exact"/>
              <w:rPr>
                <w:sz w:val="20"/>
                <w:szCs w:val="20"/>
                <w:color w:val="auto"/>
              </w:rPr>
            </w:pPr>
            <w:r>
              <w:rPr>
                <w:rFonts w:ascii="Times New Roman" w:cs="Times New Roman" w:eastAsia="Times New Roman" w:hAnsi="Times New Roman"/>
                <w:sz w:val="18"/>
                <w:szCs w:val="18"/>
                <w:color w:val="auto"/>
              </w:rPr>
              <w:t>62,060</w:t>
            </w:r>
          </w:p>
        </w:tc>
        <w:tc>
          <w:tcPr>
            <w:tcW w:w="500" w:type="dxa"/>
            <w:vAlign w:val="bottom"/>
            <w:shd w:val="clear" w:color="auto" w:fill="CCEEFF"/>
          </w:tcPr>
          <w:p>
            <w:pPr>
              <w:jc w:val="right"/>
              <w:ind w:right="232"/>
              <w:spacing w:after="0" w:line="184"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2,715</w:t>
            </w:r>
          </w:p>
        </w:tc>
      </w:tr>
      <w:tr>
        <w:trPr>
          <w:trHeight w:val="184"/>
        </w:trPr>
        <w:tc>
          <w:tcPr>
            <w:tcW w:w="51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(14,336)</w:t>
            </w:r>
          </w:p>
        </w:tc>
        <w:tc>
          <w:tcPr>
            <w:tcW w:w="220" w:type="dxa"/>
            <w:vAlign w:val="bottom"/>
          </w:tcPr>
          <w:p>
            <w:pPr>
              <w:spacing w:after="0"/>
              <w:rPr>
                <w:sz w:val="16"/>
                <w:szCs w:val="16"/>
                <w:color w:val="auto"/>
              </w:rPr>
            </w:pPr>
          </w:p>
        </w:tc>
        <w:tc>
          <w:tcPr>
            <w:tcW w:w="13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(15,255)</w:t>
            </w:r>
          </w:p>
        </w:tc>
        <w:tc>
          <w:tcPr>
            <w:tcW w:w="500" w:type="dxa"/>
            <w:vAlign w:val="bottom"/>
          </w:tcPr>
          <w:p>
            <w:pPr>
              <w:spacing w:after="0"/>
              <w:rPr>
                <w:sz w:val="16"/>
                <w:szCs w:val="16"/>
                <w:color w:val="auto"/>
              </w:rPr>
            </w:pPr>
          </w:p>
        </w:tc>
        <w:tc>
          <w:tcPr>
            <w:tcW w:w="9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(14,027)</w:t>
            </w:r>
          </w:p>
        </w:tc>
      </w:tr>
      <w:tr>
        <w:trPr>
          <w:trHeight w:val="184"/>
        </w:trPr>
        <w:tc>
          <w:tcPr>
            <w:tcW w:w="51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(503)</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(45,928)</w:t>
            </w: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9,114</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 provide us with a significant source of liquidity. Net cash provided by operating activities was $27.1 million,</w:t>
      </w:r>
    </w:p>
    <w:p>
      <w:pPr>
        <w:ind w:right="120"/>
        <w:spacing w:after="0" w:line="234" w:lineRule="auto"/>
        <w:rPr>
          <w:sz w:val="20"/>
          <w:szCs w:val="20"/>
          <w:color w:val="auto"/>
        </w:rPr>
      </w:pPr>
      <w:r>
        <w:rPr>
          <w:rFonts w:ascii="Times New Roman" w:cs="Times New Roman" w:eastAsia="Times New Roman" w:hAnsi="Times New Roman"/>
          <w:sz w:val="18"/>
          <w:szCs w:val="18"/>
          <w:color w:val="auto"/>
        </w:rPr>
        <w:t>$62.1 million, and $2.7 million in 2024, 2023 and 2022, respectively. The decrease in operating cash flows in 2024 compared to 2023 was primarily due to the deceleration in the level of inventory reductions between 2023 and 2024 as well as a decrease in net income between 2023 and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5"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Net cash used in investing activities was $14.3 million, $15.3 million and $14.0 million in 2024, 2023 and 2022, respectively. The decrease in investing activities in 2024 was due to lower levels of capital expenditures during 2024 to invest in new stores, store remodels, store merchandising, distribution, internal fleet and information technology assets.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8"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Net cash (used in) provided by financing activities was $(0.5) million, $(45.9) million and $9.1 million in 2024, 2023 and 2022, respectively. Cash used in financing activities during 2024 included $0.5 million of employee taxes paid for shares withheld in connection with restricted share award vestings. Prior year financing activities include advances and payments on our line of credit of $45.4 million net payments during 2023, and $40.4 million net advances during 2022. As of December 31, 2024, we had no balance outstanding on our line of credit.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3"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our financial statements and related disclosures requires us to make estimates, assumptions, and judgments that affect the reported amount of assets, liabilities, revenues, costs and expenses, and related disclosures. We base our estimates and assumptions on historical experience and other factors that we believe to be reasonable under the circumstances, but all such estimates and assumptions are inherently uncertain and unpredictable. We evaluate our estimates and assumptions on an ongoing basis. Actual results may differ from those estimates and assumptions, and it is possible that other professionals, applying their own judgment to the same facts and circumstances, could develop and support alternative estimates and assumptions that would result in material changes to our operating results and financial condition. Our most critical accounting estimates are summarized below. For further information on our critical and other significant accounting policies, see the notes to the consolidated financial statements included in this report.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Recognition of Revenue</w:t>
      </w:r>
    </w:p>
    <w:p>
      <w:pPr>
        <w:spacing w:after="0" w:line="176"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Revenues are recognized when control of promised goods or services is transferred to our customers, in an amount that reflects the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in exchange for those goods or services.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w:t>
      </w:r>
    </w:p>
    <w:p>
      <w:pPr>
        <w:spacing w:after="0" w:line="153"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Judgement and uncertainties involved in the estimate: </w:t>
      </w:r>
      <w:r>
        <w:rPr>
          <w:rFonts w:ascii="Times New Roman" w:cs="Times New Roman" w:eastAsia="Times New Roman" w:hAnsi="Times New Roman"/>
          <w:sz w:val="18"/>
          <w:szCs w:val="18"/>
          <w:color w:val="auto"/>
        </w:rPr>
        <w:t>Net sales are reduced by an allowance for anticipated sales returns that we estimate based on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returns. Our process to establish a sales return reserve contains uncertainties because it requires management to make assumptions and to apply judgment to estimate future sales returns and exchanges. Merchandise exchanges are not considered merchandise returns and, therefore, are excluded when calculating the sales returns reserve.</w:t>
      </w:r>
    </w:p>
    <w:p>
      <w:pPr>
        <w:spacing w:after="0" w:line="153"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the assumptions: </w:t>
      </w:r>
      <w:r>
        <w:rPr>
          <w:rFonts w:ascii="Times New Roman" w:cs="Times New Roman" w:eastAsia="Times New Roman" w:hAnsi="Times New Roman"/>
          <w:sz w:val="18"/>
          <w:szCs w:val="18"/>
          <w:color w:val="auto"/>
        </w:rPr>
        <w:t>Actual return trends have not varied significantly from estimated amounts in prior periods. However,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nature of sales returns changes significantly, our sales could be adversely impacted. A 10% change in our sales returns reserves and related return assets at December 31, 2024 would have had a $0.2 million net impact on operating income during fiscal 2024.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 and Shrinkage</w:t>
      </w:r>
    </w:p>
    <w:p>
      <w:pPr>
        <w:spacing w:after="0" w:line="163"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Our inventory consists of purchased merchandise held for resale and manufactured items. Inventories are stated at the lower of cost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moving average cost method) or net realizable value. We capitalize the cost of inbound freight, duties, and receiving and handling costs to bring purchased materials into our distribution network. The labor and overhead costs incurred in connection with the production process are included in the value of manufactured finished goods.</w:t>
      </w:r>
    </w:p>
    <w:p>
      <w:pPr>
        <w:spacing w:after="0" w:line="13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Judgement and uncertainties involved in the estimate: </w:t>
      </w:r>
      <w:r>
        <w:rPr>
          <w:rFonts w:ascii="Times New Roman" w:cs="Times New Roman" w:eastAsia="Times New Roman" w:hAnsi="Times New Roman"/>
          <w:sz w:val="16"/>
          <w:szCs w:val="16"/>
          <w:color w:val="auto"/>
        </w:rPr>
        <w:t>We provide provisions for losses related to shrinkage and other amounts that are otherwise not expected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sell through and changes in actual shrinkage trends.</w:t>
      </w:r>
    </w:p>
    <w:p>
      <w:pPr>
        <w:spacing w:after="0" w:line="134"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the assumptions: </w:t>
      </w:r>
      <w:r>
        <w:rPr>
          <w:rFonts w:ascii="Times New Roman" w:cs="Times New Roman" w:eastAsia="Times New Roman" w:hAnsi="Times New Roman"/>
          <w:sz w:val="18"/>
          <w:szCs w:val="18"/>
          <w:color w:val="auto"/>
        </w:rPr>
        <w:t>We do not believe there is a reasonable likelihood that there will be a material change in the assumptions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to calculate our inventory provisions. However, if actual results are not consistent with our estimates and assumptions, we may be exposed to losses that could be material. A 10% change in our inventory valuation and shrinkage reserves at December 31, 2024 would have had a $0.1 million net impact on operating income during fiscal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6"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Description: </w:t>
      </w:r>
      <w:r>
        <w:rPr>
          <w:rFonts w:ascii="Times New Roman" w:cs="Times New Roman" w:eastAsia="Times New Roman" w:hAnsi="Times New Roman"/>
          <w:sz w:val="18"/>
          <w:szCs w:val="18"/>
          <w:color w:val="auto"/>
        </w:rPr>
        <w:t>Property, plant and equipment are carried at cost less accumulated depreciation, which is amortized over the useful life of the assets. Leasehold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are amortized over the shorter of their estimated useful lives or lease period (including expected renewal periods). Property, plant, equipment, and right of use assets are evaluated for impairment whenever events or changes in circumstances indicate that the carrying value may not be recoverable. The evaluation is performed at the lowest level of identifiable cash flows independent of other assets, which typically occurs at an individual store level. An impairment loss is recognized when estimated undiscounted future cash flows from the operations and/or disposition of the assets are less than the carrying amount.</w:t>
      </w:r>
    </w:p>
    <w:p>
      <w:pPr>
        <w:spacing w:after="0" w:line="153"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Judgement and uncertainties involved in the estimate: </w:t>
      </w:r>
      <w:r>
        <w:rPr>
          <w:rFonts w:ascii="Times New Roman" w:cs="Times New Roman" w:eastAsia="Times New Roman" w:hAnsi="Times New Roman"/>
          <w:sz w:val="18"/>
          <w:szCs w:val="18"/>
          <w:color w:val="auto"/>
        </w:rPr>
        <w:t>The significant assumption used in developing undiscounted cash flow analyses is the estimate of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Measurement of an impairment loss is based on the excess of the carrying amount of the asset group over its fair value. Fair value is measured using discounted cash flows or independent opinions of value, as appropriate.</w:t>
      </w:r>
    </w:p>
    <w:p>
      <w:pPr>
        <w:spacing w:after="0" w:line="139"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Effect if actual results differ from the assumptions: </w:t>
      </w:r>
      <w:r>
        <w:rPr>
          <w:rFonts w:ascii="Times New Roman" w:cs="Times New Roman" w:eastAsia="Times New Roman" w:hAnsi="Times New Roman"/>
          <w:sz w:val="18"/>
          <w:szCs w:val="18"/>
          <w:color w:val="auto"/>
        </w:rPr>
        <w:t>If actual results are not consistent with our estimates and assumptions used in determining future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asset fair values, we may be exposed to losses that could be material. During the fiscal years ended December 31, 2024, 2023 and 2022, the Company recorded asset impairment charges of $0.9 million, $1.0 million and $0.4 million, respectively, which were classified in selling, general and administrative expenses.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6"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refer to Note 1 of the Notes to the Consolidated Financial Statements included in this Annual Report on Form 10-K for further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exposed to market risks in the ordinary course of our business. These risks primarily include inflation, interest rate risk, and credit concentration risk.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Inflationary factors such as increases in the cost of our products and overhead costs may adversely affect our operating results. Our operating results are heavily dependent upon the prices paid to acquire man-made and natural stone products from our vendors around the world. Our cost of sales is subject to inflationary pressures and price fluctuations of the raw materials we use and other costs, including freight and labor costs. Higher rates of inflation may have an adverse effect on our ability to maintain historical levels of gross profit and selling, general and administrative expenses as a percentage of revenues if the selling prices of our products do not increase at a consistent rate with these increased costs. Historically, we have generally been able over time to offset, in whole or in part, the effects of inflation and price fluctuations through sales price increases and production efficiencies associated with technological enhancements and volume growth; however, we cannot reasonably estimate our ability to offset any increases in raw material prices or freight or labor costs or other inflationary pressures in the future. Such sustained inflationary pressures may have an adverse effect on our business, financial condition and results of operations if the selling prices of our products do not increase with these increased costs, or we cannot identify cost efficiencies.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6"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8"/>
          <w:szCs w:val="18"/>
          <w:color w:val="auto"/>
        </w:rPr>
        <w:t>We are exposed to interest rate risk through the investment of our cash and cash equivalents. Changes in interest rates affect the interest income that we earn in connection with these investments, and therefore impact our cash flows and results of operation. We are also exposed to interest rate risk in connection with borrowings under our credit facility. Borrowings pursuant to our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Rent Adjusted Leverage Ratio (as defined in the Credit Agreement). Based upon balances and interest rates as of December 31, 2024, holding other variables constant, a one percentage point increase in interest rates for the next 12-month period would not affect pre-tax earnings or cash flow as we had paid off our debt balance as of the end of the year.</w:t>
      </w:r>
    </w:p>
    <w:p>
      <w:pPr>
        <w:spacing w:after="0" w:line="143" w:lineRule="exact"/>
        <w:rPr>
          <w:sz w:val="20"/>
          <w:szCs w:val="20"/>
          <w:color w:val="auto"/>
        </w:rPr>
      </w:pPr>
    </w:p>
    <w:p>
      <w:pPr>
        <w:ind w:right="460"/>
        <w:spacing w:after="0" w:line="253" w:lineRule="auto"/>
        <w:rPr>
          <w:sz w:val="20"/>
          <w:szCs w:val="20"/>
          <w:color w:val="auto"/>
        </w:rPr>
      </w:pPr>
      <w:r>
        <w:rPr>
          <w:rFonts w:ascii="Times New Roman" w:cs="Times New Roman" w:eastAsia="Times New Roman" w:hAnsi="Times New Roman"/>
          <w:sz w:val="18"/>
          <w:szCs w:val="18"/>
          <w:color w:val="auto"/>
        </w:rPr>
        <w:t>We currently do not engage in any interest rate hedging activity. We do not, and do not intend to, engage in the practice of trading derivative securities for profit.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Concentration Risk</w:t>
      </w:r>
    </w:p>
    <w:p>
      <w:pPr>
        <w:spacing w:after="0" w:line="163" w:lineRule="exact"/>
        <w:rPr>
          <w:sz w:val="20"/>
          <w:szCs w:val="20"/>
          <w:color w:val="auto"/>
        </w:rPr>
      </w:pPr>
    </w:p>
    <w:p>
      <w:pPr>
        <w:ind w:right="660"/>
        <w:spacing w:after="0" w:line="314" w:lineRule="auto"/>
        <w:rPr>
          <w:sz w:val="20"/>
          <w:szCs w:val="20"/>
          <w:color w:val="auto"/>
        </w:rPr>
      </w:pPr>
      <w:r>
        <w:rPr>
          <w:rFonts w:ascii="Times New Roman" w:cs="Times New Roman" w:eastAsia="Times New Roman" w:hAnsi="Times New Roman"/>
          <w:sz w:val="16"/>
          <w:szCs w:val="16"/>
          <w:color w:val="auto"/>
        </w:rPr>
        <w:t>Financial instruments, which may subject us to concentration of credit risk, consist principally of cash deposits. We maintain cash balances at financial institutions with strong credit ratings. However, the amounts invested with financial institutions are generally in excess of FDIC insurance limits.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63" w:lineRule="exact"/>
        <w:rPr>
          <w:sz w:val="20"/>
          <w:szCs w:val="20"/>
          <w:color w:val="auto"/>
        </w:rPr>
      </w:pPr>
    </w:p>
    <w:p>
      <w:pPr>
        <w:ind w:right="460"/>
        <w:spacing w:after="0" w:line="314" w:lineRule="auto"/>
        <w:rPr>
          <w:sz w:val="20"/>
          <w:szCs w:val="20"/>
          <w:color w:val="auto"/>
        </w:rPr>
      </w:pPr>
      <w:r>
        <w:rPr>
          <w:rFonts w:ascii="Times New Roman" w:cs="Times New Roman" w:eastAsia="Times New Roman" w:hAnsi="Times New Roman"/>
          <w:sz w:val="16"/>
          <w:szCs w:val="16"/>
          <w:color w:val="auto"/>
        </w:rPr>
        <w:t>Our consolidated financial statements and the reports of our independent registered public accounting firm, as listed under Part IV, Item 15. “Exhibits and Financial Statement Schedules,” are included as a separate section of this report beginning on page 34 and are incorporated herein by reference.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78"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December 31, 2024 and have concluded that our disclosure controls and procedures were effective as of December 31,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8"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promulgated under the Exchange Act.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our financial statements for external purposes in accordance with GAAP. Internal control over financial reporting includes policies and procedures that: (i) pertain to the maintenance of records that, in reasonable detail, accurately and fairly reflect the transactions and dispositions of an issuer’s assets; (ii) provide reasonable assurance that transactions are recorded as necessary to permit preparation of financial statements in accordance with GAAP, and that an issuer’s receipts and expenditures are being made only in accordance with authorizations of its management and directors; and (iii) provide reasonable assurance regarding prevention or timely detection of unauthorized acquisition, use or disposition of an issuer’s assets that could have a material effect on the consolidated financial statements. A material weakness is a significant deficiency, or combination of significant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 Also, the application of any evaluation of effectiveness to future periods is subject to the risk that controls may become inadequate because of changes in conditions, or that compliance with the policies or procedures may deteriorate.</w:t>
      </w: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As required by Rule 13a-15(c) promulgated under the Exchange Act, our management, with the participation of our Chief Executive Officer and Chief Financial Officer, evaluated the effectiveness of our internal control over financial reporting as of December 31, 2024. Management’s assessment was based on criteria set forth by the Committee of Sponsoring Organizations of the Treadway Commission (COSO) in Internal Control - Integrated Framework (2013 Framework). Based on management’s assessment, management has concluded that our internal control over financial reporting was effective as of December 31, 2024.</w:t>
      </w:r>
    </w:p>
    <w:p>
      <w:pPr>
        <w:spacing w:after="0" w:line="156"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As previously disclosed, during the year ended December 31, 2023, we identified a material weakness due to the ineffective design of the Company’s information technology general controls (“ITGCs”), which stemmed from deficiencies in user access controls, which did not adequately restrict access to the Company’s financial reporting system, did not ensure appropriate segregation of duties, and did not prevent unauthorized individuals from having the ability to create, post and modify journal entries. The material weakness also resulted in the ineffectiveness of automated and manual business process controls throughout the Company’s financial reporting and business transaction cycles that are dependent upon the affected ITGCs.</w:t>
      </w:r>
    </w:p>
    <w:p>
      <w:pPr>
        <w:spacing w:after="0" w:line="156"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Since identifying the weakness associated with our ITGCs, we have evaluated, designed and implemented controls and procedures to address such weakness, which include:</w:t>
      </w:r>
    </w:p>
    <w:p>
      <w:pPr>
        <w:spacing w:after="0" w:line="129" w:lineRule="exact"/>
        <w:rPr>
          <w:sz w:val="20"/>
          <w:szCs w:val="20"/>
          <w:color w:val="auto"/>
        </w:rPr>
      </w:pPr>
    </w:p>
    <w:p>
      <w:pPr>
        <w:ind w:left="640"/>
        <w:spacing w:after="0" w:line="232" w:lineRule="auto"/>
        <w:rPr>
          <w:sz w:val="20"/>
          <w:szCs w:val="20"/>
          <w:color w:val="auto"/>
        </w:rPr>
      </w:pPr>
      <w:r>
        <w:rPr>
          <w:rFonts w:ascii="Times New Roman" w:cs="Times New Roman" w:eastAsia="Times New Roman" w:hAnsi="Times New Roman"/>
          <w:sz w:val="18"/>
          <w:szCs w:val="18"/>
          <w:color w:val="auto"/>
        </w:rPr>
        <w:t>Restricting access in our enterprise resource planning (“ERP”) system to process transactions that could trigger a manual journal entry initiated outside of the park and post process for users who are responsible for reviewing account reconciliations.</w:t>
      </w:r>
    </w:p>
    <w:p>
      <w:pPr>
        <w:ind w:left="640" w:right="80"/>
        <w:spacing w:after="0" w:line="218" w:lineRule="auto"/>
        <w:rPr>
          <w:sz w:val="20"/>
          <w:szCs w:val="20"/>
          <w:color w:val="auto"/>
        </w:rPr>
      </w:pPr>
      <w:r>
        <w:rPr>
          <w:rFonts w:ascii="Times New Roman" w:cs="Times New Roman" w:eastAsia="Times New Roman" w:hAnsi="Times New Roman"/>
          <w:sz w:val="18"/>
          <w:szCs w:val="18"/>
          <w:color w:val="auto"/>
        </w:rPr>
        <w:t>Implementing a new monitoring control to review the population of transactions processed in our ERP system that generate accounting entries that do not go through the park and post process and assessing the compensating controls designed to reduce the risk of misstatement arising from these transactions to an appropriate level.</w:t>
      </w:r>
    </w:p>
    <w:p>
      <w:pPr>
        <w:spacing w:after="0" w:line="1" w:lineRule="exact"/>
        <w:rPr>
          <w:sz w:val="20"/>
          <w:szCs w:val="20"/>
          <w:color w:val="auto"/>
        </w:rPr>
      </w:pPr>
    </w:p>
    <w:p>
      <w:pPr>
        <w:ind w:left="640" w:right="60"/>
        <w:spacing w:after="0" w:line="248" w:lineRule="auto"/>
        <w:rPr>
          <w:sz w:val="20"/>
          <w:szCs w:val="20"/>
          <w:color w:val="auto"/>
        </w:rPr>
      </w:pPr>
      <w:r>
        <w:rPr>
          <w:rFonts w:ascii="Times New Roman" w:cs="Times New Roman" w:eastAsia="Times New Roman" w:hAnsi="Times New Roman"/>
          <w:sz w:val="16"/>
          <w:szCs w:val="16"/>
          <w:color w:val="auto"/>
        </w:rPr>
        <w:t>Adjusting access profiles in the Company’s ERP system to eliminate the ability for a user to modify and subsequently approve a manual journal entry. Reviewing activity occurring during the quarter to identify and assess the appropriateness of any manual journal entries that had been modified and</w:t>
      </w:r>
    </w:p>
    <w:p>
      <w:pPr>
        <w:ind w:left="640"/>
        <w:spacing w:after="0" w:line="228" w:lineRule="auto"/>
        <w:rPr>
          <w:sz w:val="20"/>
          <w:szCs w:val="20"/>
          <w:color w:val="auto"/>
        </w:rPr>
      </w:pPr>
      <w:r>
        <w:rPr>
          <w:rFonts w:ascii="Times New Roman" w:cs="Times New Roman" w:eastAsia="Times New Roman" w:hAnsi="Times New Roman"/>
          <w:sz w:val="18"/>
          <w:szCs w:val="18"/>
          <w:color w:val="auto"/>
        </w:rPr>
        <w:t>approved by the same user.</w:t>
      </w:r>
    </w:p>
    <w:p>
      <w:pPr>
        <w:jc w:val="both"/>
        <w:ind w:left="640" w:right="820"/>
        <w:spacing w:after="0"/>
        <w:rPr>
          <w:sz w:val="20"/>
          <w:szCs w:val="20"/>
          <w:color w:val="auto"/>
        </w:rPr>
      </w:pPr>
      <w:r>
        <w:rPr>
          <w:rFonts w:ascii="Times New Roman" w:cs="Times New Roman" w:eastAsia="Times New Roman" w:hAnsi="Times New Roman"/>
          <w:sz w:val="16"/>
          <w:szCs w:val="16"/>
          <w:color w:val="auto"/>
        </w:rPr>
        <w:t>Updated our change management process to include updates to the ruleset applied to identify segregation of duty and sensitive access risks. Implementing a monitoring control to review user access that may cause segregation of duties and sensitive access risk and a review of the</w:t>
      </w:r>
    </w:p>
    <w:p>
      <w:pPr>
        <w:ind w:left="640"/>
        <w:spacing w:after="0"/>
        <w:rPr>
          <w:sz w:val="20"/>
          <w:szCs w:val="20"/>
          <w:color w:val="auto"/>
        </w:rPr>
      </w:pPr>
      <w:r>
        <w:rPr>
          <w:rFonts w:ascii="Times New Roman" w:cs="Times New Roman" w:eastAsia="Times New Roman" w:hAnsi="Times New Roman"/>
          <w:sz w:val="18"/>
          <w:szCs w:val="18"/>
          <w:color w:val="auto"/>
        </w:rPr>
        <w:t>compensating controls that exist within the control environment.</w:t>
      </w:r>
    </w:p>
    <w:p>
      <w:pPr>
        <w:spacing w:after="0" w:line="154"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Accordingly, management has concluded that the previously identified material weakness associated with our ITGCs was remediated during the year ended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RSM US LLP, our independent registered public accounting firm, has issued a report on our internal control over financial reporting as of December 31, 2024.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“Report of Independent Registered Public Accounting Firm – Opinion on the Internal Control over Financial Reporting” of this report.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8"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8"/>
          <w:szCs w:val="18"/>
          <w:color w:val="auto"/>
        </w:rPr>
        <w:t>Other than the changes discussed above, there were no changes in internal control over financial reporting (as defined by Rule 13a-15(f) under the Exchange Act) during the quarter ended December 31, 2024 that have materially affected, or are reasonably likely to materially affect, our internal control over financial reporting.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8"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intends that our disclosure controls and procedures and internal control over financial reporting are designed to provide reasonable assurance of achieving their objectives.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w:t>
      </w: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3"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18"/>
          <w:szCs w:val="18"/>
          <w:color w:val="auto"/>
        </w:rPr>
        <w:t>changes in conditions, or the degree of compliance with policies or procedures may deteriorate. Because of the inherent limitations in a cost effective control system, misstatements due to error or fraud may occur and not be detected.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7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During the quarter ended December 31, 2024, none of the Company’s directors or executive officers adopted, modified or terminated any contract, instruction or written plan for the purchase or sale of Company securities that was intended to satisfy the affirmative defense conditions of Rule 10b5-1(c) of the Exchange Act or any “non-Rule 10b5-1 trading arrangement” (as defined in Item 408(c) of Regulation S-K).</w:t>
      </w:r>
    </w:p>
    <w:p>
      <w:pPr>
        <w:spacing w:after="0" w:line="152" w:lineRule="exact"/>
        <w:rPr>
          <w:sz w:val="20"/>
          <w:szCs w:val="20"/>
          <w:color w:val="auto"/>
        </w:rPr>
      </w:pPr>
    </w:p>
    <w:p>
      <w:pPr>
        <w:ind w:right="3200"/>
        <w:spacing w:after="0" w:line="468"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188595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0"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6"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8"/>
          <w:szCs w:val="18"/>
          <w:color w:val="auto"/>
        </w:rPr>
        <w:t>Certain information required by Part III is incorporated by reference from our definitive Proxy Statement for the Annual Meeting of Stockholders, which is currently scheduled to be held on June 3, 2025 (the “Proxy Statement”), or an amendment to this Form 10-K, which we intend to file with the SEC within 120 days after the fiscal year end covered by this report. Except for those portions specifically incorporated in this Form 10-K by reference to the Proxy Statement, no other portions of the Proxy Statement are deemed to be filed as part of this Form 10-K.</w:t>
      </w:r>
    </w:p>
    <w:p>
      <w:pPr>
        <w:spacing w:after="0" w:line="154" w:lineRule="exact"/>
        <w:rPr>
          <w:sz w:val="20"/>
          <w:szCs w:val="20"/>
          <w:color w:val="auto"/>
        </w:rPr>
      </w:pPr>
    </w:p>
    <w:p>
      <w:pPr>
        <w:ind w:right="4480"/>
        <w:spacing w:after="0" w:line="489" w:lineRule="auto"/>
        <w:rPr>
          <w:sz w:val="20"/>
          <w:szCs w:val="20"/>
          <w:color w:val="auto"/>
        </w:rPr>
      </w:pPr>
      <w:r>
        <w:rPr>
          <w:rFonts w:ascii="Times New Roman" w:cs="Times New Roman" w:eastAsia="Times New Roman" w:hAnsi="Times New Roman"/>
          <w:sz w:val="16"/>
          <w:szCs w:val="16"/>
          <w:b w:val="1"/>
          <w:bCs w:val="1"/>
          <w:color w:val="auto"/>
        </w:rPr>
        <w:t xml:space="preserve">ITEM 10. DIRECTORS, EXECUTIVE OFFICERS AND CORPORATE GOVERNANCE </w:t>
      </w:r>
      <w:r>
        <w:rPr>
          <w:rFonts w:ascii="Times New Roman" w:cs="Times New Roman" w:eastAsia="Times New Roman" w:hAnsi="Times New Roman"/>
          <w:sz w:val="16"/>
          <w:szCs w:val="16"/>
          <w:color w:val="auto"/>
        </w:rPr>
        <w:t>The following sections of the Proxy Statement are incorporated herein by reference:</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Proposal 1 – Election of Directors</w:t>
      </w:r>
    </w:p>
    <w:p>
      <w:pPr>
        <w:spacing w:after="0" w:line="10" w:lineRule="exact"/>
        <w:rPr>
          <w:sz w:val="20"/>
          <w:szCs w:val="20"/>
          <w:color w:val="auto"/>
        </w:rPr>
      </w:pPr>
    </w:p>
    <w:p>
      <w:pPr>
        <w:ind w:left="320"/>
        <w:spacing w:after="0" w:line="213" w:lineRule="auto"/>
        <w:rPr>
          <w:sz w:val="20"/>
          <w:szCs w:val="20"/>
          <w:color w:val="auto"/>
        </w:rPr>
      </w:pPr>
      <w:r>
        <w:rPr>
          <w:rFonts w:ascii="Times New Roman" w:cs="Times New Roman" w:eastAsia="Times New Roman" w:hAnsi="Times New Roman"/>
          <w:sz w:val="18"/>
          <w:szCs w:val="18"/>
          <w:color w:val="auto"/>
        </w:rPr>
        <w:t>Information about our Executive Officers</w:t>
      </w:r>
    </w:p>
    <w:p>
      <w:pPr>
        <w:ind w:left="640" w:right="7280"/>
        <w:spacing w:after="0" w:line="288" w:lineRule="auto"/>
        <w:rPr>
          <w:sz w:val="20"/>
          <w:szCs w:val="20"/>
          <w:color w:val="auto"/>
        </w:rPr>
      </w:pPr>
      <w:r>
        <w:rPr>
          <w:rFonts w:ascii="Times New Roman" w:cs="Times New Roman" w:eastAsia="Times New Roman" w:hAnsi="Times New Roman"/>
          <w:sz w:val="16"/>
          <w:szCs w:val="16"/>
          <w:color w:val="auto"/>
        </w:rPr>
        <w:t>Certain Relationships and Related Transactions Delinquent Section 16(a) Reports</w:t>
      </w:r>
    </w:p>
    <w:p>
      <w:pPr>
        <w:spacing w:after="0" w:line="104"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officers, directors and employees. The Code of Business Conduct and Ethics is available on the “Investor Relations” section of our website, at http://investors.tileshop.com, under the “Corporate Governance—Governance Documents” heading. We intend to satisfy the disclosure requirement under Item 5.05 of Form 8-K regarding an amendment to, or waiver from, a provision of our Code of Ethics and Business Conduct by posting such information on our website at the web address and location specified above within four business days following the date of the amendment or waiver.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sections of the Proxy Statement are incorporated herein by reference:</w:t>
      </w:r>
    </w:p>
    <w:p>
      <w:pPr>
        <w:spacing w:after="0" w:line="161" w:lineRule="exact"/>
        <w:rPr>
          <w:sz w:val="20"/>
          <w:szCs w:val="20"/>
          <w:color w:val="auto"/>
        </w:rPr>
      </w:pPr>
    </w:p>
    <w:p>
      <w:pPr>
        <w:ind w:left="640" w:right="8840"/>
        <w:spacing w:after="0" w:line="260" w:lineRule="auto"/>
        <w:rPr>
          <w:sz w:val="20"/>
          <w:szCs w:val="20"/>
          <w:color w:val="auto"/>
        </w:rPr>
      </w:pPr>
      <w:r>
        <w:rPr>
          <w:rFonts w:ascii="Times New Roman" w:cs="Times New Roman" w:eastAsia="Times New Roman" w:hAnsi="Times New Roman"/>
          <w:sz w:val="16"/>
          <w:szCs w:val="16"/>
          <w:color w:val="auto"/>
        </w:rPr>
        <w:t>Executive Compensation Director Compensation Pay Ratio</w:t>
      </w:r>
    </w:p>
    <w:p>
      <w:pPr>
        <w:ind w:left="320"/>
        <w:spacing w:after="0" w:line="213" w:lineRule="auto"/>
        <w:rPr>
          <w:sz w:val="20"/>
          <w:szCs w:val="20"/>
          <w:color w:val="auto"/>
        </w:rPr>
      </w:pPr>
      <w:r>
        <w:rPr>
          <w:rFonts w:ascii="Times New Roman" w:cs="Times New Roman" w:eastAsia="Times New Roman" w:hAnsi="Times New Roman"/>
          <w:sz w:val="18"/>
          <w:szCs w:val="18"/>
          <w:color w:val="auto"/>
        </w:rPr>
        <w:t>Proposal 1 – Election of Directors – Committees of the Board of Directors – Compensation Committee Interlocks and Insider Participation</w:t>
      </w:r>
    </w:p>
    <w:p>
      <w:pPr>
        <w:ind w:left="320"/>
        <w:spacing w:after="0"/>
        <w:rPr>
          <w:sz w:val="20"/>
          <w:szCs w:val="20"/>
          <w:color w:val="auto"/>
        </w:rPr>
      </w:pPr>
      <w:r>
        <w:rPr>
          <w:rFonts w:ascii="Times New Roman" w:cs="Times New Roman" w:eastAsia="Times New Roman" w:hAnsi="Times New Roman"/>
          <w:sz w:val="18"/>
          <w:szCs w:val="18"/>
          <w:color w:val="auto"/>
        </w:rPr>
        <w:t>Proposal 1 – Election of Directors – Information Regarding the Board of Directors and Corporate Governance – Oversight of Risk Management</w:t>
      </w:r>
    </w:p>
    <w:p>
      <w:pPr>
        <w:spacing w:after="0" w:line="152" w:lineRule="exact"/>
        <w:rPr>
          <w:sz w:val="20"/>
          <w:szCs w:val="20"/>
          <w:color w:val="auto"/>
        </w:rPr>
      </w:pPr>
    </w:p>
    <w:p>
      <w:pPr>
        <w:ind w:right="8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 of the Proxy Statement is incorporated herein by reference:</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p>
      <w:pPr>
        <w:spacing w:after="0" w:line="159" w:lineRule="exact"/>
        <w:rPr>
          <w:sz w:val="20"/>
          <w:szCs w:val="20"/>
          <w:color w:val="auto"/>
        </w:rPr>
      </w:pPr>
    </w:p>
    <w:p>
      <w:pPr>
        <w:ind w:right="3600" w:firstLine="3605"/>
        <w:spacing w:after="0" w:line="545" w:lineRule="auto"/>
        <w:rPr>
          <w:sz w:val="20"/>
          <w:szCs w:val="20"/>
          <w:color w:val="auto"/>
        </w:rPr>
      </w:pPr>
      <w:r>
        <w:rPr>
          <w:rFonts w:ascii="Times New Roman" w:cs="Times New Roman" w:eastAsia="Times New Roman" w:hAnsi="Times New Roman"/>
          <w:sz w:val="16"/>
          <w:szCs w:val="16"/>
          <w:b w:val="1"/>
          <w:bCs w:val="1"/>
          <w:color w:val="auto"/>
        </w:rPr>
        <w:t xml:space="preserve">EQUITY COMPENSATION PLAN INFORMATION </w:t>
      </w:r>
      <w:r>
        <w:rPr>
          <w:rFonts w:ascii="Times New Roman" w:cs="Times New Roman" w:eastAsia="Times New Roman" w:hAnsi="Times New Roman"/>
          <w:sz w:val="16"/>
          <w:szCs w:val="16"/>
          <w:color w:val="auto"/>
        </w:rPr>
        <w:t>The following table presents our equity compensation plan information as of December 31, 2024:</w:t>
      </w:r>
    </w:p>
    <w:tbl>
      <w:tblPr>
        <w:tblLayout w:type="fixed"/>
        <w:tblInd w:w="0" w:type="dxa"/>
        <w:tblCellMar>
          <w:top w:w="0" w:type="dxa"/>
          <w:left w:w="0" w:type="dxa"/>
          <w:bottom w:w="0" w:type="dxa"/>
          <w:right w:w="0" w:type="dxa"/>
        </w:tblCellMar>
      </w:tblPr>
      <w:tr>
        <w:trPr>
          <w:trHeight w:val="159"/>
        </w:trPr>
        <w:tc>
          <w:tcPr>
            <w:tcW w:w="5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2"/>
          </w:tcPr>
          <w:p>
            <w:pPr>
              <w:jc w:val="center"/>
              <w:ind w:right="107"/>
              <w:spacing w:after="0" w:line="15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560" w:type="dxa"/>
            <w:vAlign w:val="bottom"/>
          </w:tcPr>
          <w:p>
            <w:pPr>
              <w:spacing w:after="0"/>
              <w:rPr>
                <w:sz w:val="13"/>
                <w:szCs w:val="13"/>
                <w:color w:val="auto"/>
              </w:rPr>
            </w:pPr>
          </w:p>
        </w:tc>
        <w:tc>
          <w:tcPr>
            <w:tcW w:w="1040" w:type="dxa"/>
            <w:vAlign w:val="bottom"/>
            <w:gridSpan w:val="3"/>
          </w:tcPr>
          <w:p>
            <w:pPr>
              <w:jc w:val="center"/>
              <w:ind w:right="680"/>
              <w:spacing w:after="0" w:line="159"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jc w:val="center"/>
              <w:ind w:right="1447"/>
              <w:spacing w:after="0" w:line="159"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58"/>
        </w:trPr>
        <w:tc>
          <w:tcPr>
            <w:tcW w:w="5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2"/>
          </w:tcPr>
          <w:p>
            <w:pPr>
              <w:jc w:val="center"/>
              <w:ind w:right="107"/>
              <w:spacing w:after="0" w:line="158" w:lineRule="exact"/>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1600" w:type="dxa"/>
            <w:vAlign w:val="bottom"/>
            <w:gridSpan w:val="4"/>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600" w:type="dxa"/>
            <w:vAlign w:val="bottom"/>
          </w:tcPr>
          <w:p>
            <w:pPr>
              <w:spacing w:after="0"/>
              <w:rPr>
                <w:sz w:val="13"/>
                <w:szCs w:val="13"/>
                <w:color w:val="auto"/>
              </w:rPr>
            </w:pPr>
          </w:p>
        </w:tc>
        <w:tc>
          <w:tcPr>
            <w:tcW w:w="2340" w:type="dxa"/>
            <w:vAlign w:val="bottom"/>
            <w:gridSpan w:val="4"/>
          </w:tcPr>
          <w:p>
            <w:pPr>
              <w:jc w:val="center"/>
              <w:ind w:right="787"/>
              <w:spacing w:after="0" w:line="158" w:lineRule="exact"/>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0" w:type="dxa"/>
            <w:vAlign w:val="bottom"/>
          </w:tcPr>
          <w:p>
            <w:pPr>
              <w:spacing w:after="0"/>
              <w:rPr>
                <w:sz w:val="1"/>
                <w:szCs w:val="1"/>
                <w:color w:val="auto"/>
              </w:rPr>
            </w:pPr>
          </w:p>
        </w:tc>
      </w:tr>
      <w:tr>
        <w:trPr>
          <w:trHeight w:val="145"/>
        </w:trPr>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2"/>
          </w:tcPr>
          <w:p>
            <w:pPr>
              <w:jc w:val="center"/>
              <w:ind w:right="107"/>
              <w:spacing w:after="0" w:line="145"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740" w:type="dxa"/>
            <w:vAlign w:val="bottom"/>
            <w:gridSpan w:val="2"/>
          </w:tcPr>
          <w:p>
            <w:pPr>
              <w:ind w:left="2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8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600" w:type="dxa"/>
            <w:vAlign w:val="bottom"/>
          </w:tcPr>
          <w:p>
            <w:pPr>
              <w:spacing w:after="0"/>
              <w:rPr>
                <w:sz w:val="12"/>
                <w:szCs w:val="12"/>
                <w:color w:val="auto"/>
              </w:rPr>
            </w:pPr>
          </w:p>
        </w:tc>
        <w:tc>
          <w:tcPr>
            <w:tcW w:w="66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680" w:type="dxa"/>
            <w:vAlign w:val="bottom"/>
            <w:gridSpan w:val="2"/>
          </w:tcPr>
          <w:p>
            <w:pPr>
              <w:jc w:val="right"/>
              <w:ind w:right="827"/>
              <w:spacing w:after="0" w:line="145"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58"/>
        </w:trPr>
        <w:tc>
          <w:tcPr>
            <w:tcW w:w="5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2"/>
          </w:tcPr>
          <w:p>
            <w:pPr>
              <w:jc w:val="center"/>
              <w:ind w:right="127"/>
              <w:spacing w:after="0" w:line="158" w:lineRule="exact"/>
              <w:rPr>
                <w:sz w:val="20"/>
                <w:szCs w:val="20"/>
                <w:color w:val="auto"/>
              </w:rPr>
            </w:pPr>
            <w:r>
              <w:rPr>
                <w:rFonts w:ascii="Times New Roman" w:cs="Times New Roman" w:eastAsia="Times New Roman" w:hAnsi="Times New Roman"/>
                <w:sz w:val="14"/>
                <w:szCs w:val="14"/>
                <w:b w:val="1"/>
                <w:bCs w:val="1"/>
                <w:color w:val="auto"/>
                <w:w w:val="98"/>
              </w:rPr>
              <w:t>exercise of</w:t>
            </w:r>
          </w:p>
        </w:tc>
        <w:tc>
          <w:tcPr>
            <w:tcW w:w="1600" w:type="dxa"/>
            <w:vAlign w:val="bottom"/>
            <w:gridSpan w:val="4"/>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00" w:type="dxa"/>
            <w:vAlign w:val="bottom"/>
          </w:tcPr>
          <w:p>
            <w:pPr>
              <w:spacing w:after="0"/>
              <w:rPr>
                <w:sz w:val="13"/>
                <w:szCs w:val="13"/>
                <w:color w:val="auto"/>
              </w:rPr>
            </w:pPr>
          </w:p>
        </w:tc>
        <w:tc>
          <w:tcPr>
            <w:tcW w:w="48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w w:val="96"/>
              </w:rPr>
              <w:t>future‎</w:t>
            </w:r>
          </w:p>
        </w:tc>
        <w:tc>
          <w:tcPr>
            <w:tcW w:w="1860" w:type="dxa"/>
            <w:vAlign w:val="bottom"/>
            <w:gridSpan w:val="3"/>
          </w:tcPr>
          <w:p>
            <w:pPr>
              <w:jc w:val="center"/>
              <w:ind w:right="847"/>
              <w:spacing w:after="0" w:line="158"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5"/>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20" w:type="dxa"/>
            <w:vAlign w:val="bottom"/>
            <w:gridSpan w:val="2"/>
          </w:tcPr>
          <w:p>
            <w:pPr>
              <w:jc w:val="center"/>
              <w:ind w:right="127"/>
              <w:spacing w:after="0" w:line="14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5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gridSpan w:val="3"/>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warrants and</w:t>
            </w:r>
          </w:p>
        </w:tc>
        <w:tc>
          <w:tcPr>
            <w:tcW w:w="60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2340" w:type="dxa"/>
            <w:vAlign w:val="bottom"/>
            <w:gridSpan w:val="4"/>
          </w:tcPr>
          <w:p>
            <w:pPr>
              <w:jc w:val="center"/>
              <w:ind w:right="387"/>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 plans (excluding</w:t>
            </w:r>
          </w:p>
        </w:tc>
        <w:tc>
          <w:tcPr>
            <w:tcW w:w="0" w:type="dxa"/>
            <w:vAlign w:val="bottom"/>
          </w:tcPr>
          <w:p>
            <w:pPr>
              <w:spacing w:after="0"/>
              <w:rPr>
                <w:sz w:val="1"/>
                <w:szCs w:val="1"/>
                <w:color w:val="auto"/>
              </w:rPr>
            </w:pPr>
          </w:p>
        </w:tc>
      </w:tr>
      <w:tr>
        <w:trPr>
          <w:trHeight w:val="182"/>
        </w:trPr>
        <w:tc>
          <w:tcPr>
            <w:tcW w:w="5080" w:type="dxa"/>
            <w:vAlign w:val="bottom"/>
            <w:gridSpan w:val="2"/>
            <w:vMerge w:val="continue"/>
          </w:tcPr>
          <w:p>
            <w:pPr>
              <w:spacing w:after="0"/>
              <w:rPr>
                <w:sz w:val="15"/>
                <w:szCs w:val="15"/>
                <w:color w:val="auto"/>
              </w:rPr>
            </w:pPr>
          </w:p>
        </w:tc>
        <w:tc>
          <w:tcPr>
            <w:tcW w:w="1620" w:type="dxa"/>
            <w:vAlign w:val="bottom"/>
            <w:gridSpan w:val="2"/>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6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rights ($)</w:t>
            </w:r>
          </w:p>
        </w:tc>
        <w:tc>
          <w:tcPr>
            <w:tcW w:w="2940" w:type="dxa"/>
            <w:vAlign w:val="bottom"/>
            <w:gridSpan w:val="5"/>
          </w:tcPr>
          <w:p>
            <w:pPr>
              <w:jc w:val="center"/>
              <w:ind w:right="167"/>
              <w:spacing w:after="0"/>
              <w:rPr>
                <w:sz w:val="20"/>
                <w:szCs w:val="20"/>
                <w:color w:val="auto"/>
              </w:rPr>
            </w:pPr>
            <w:r>
              <w:rPr>
                <w:rFonts w:ascii="Times New Roman" w:cs="Times New Roman" w:eastAsia="Times New Roman" w:hAnsi="Times New Roman"/>
                <w:sz w:val="14"/>
                <w:szCs w:val="14"/>
                <w:b w:val="1"/>
                <w:bCs w:val="1"/>
                <w:color w:val="auto"/>
                <w:w w:val="99"/>
              </w:rPr>
              <w:t>securities reflected in column (a))</w:t>
            </w:r>
          </w:p>
        </w:tc>
        <w:tc>
          <w:tcPr>
            <w:tcW w:w="0" w:type="dxa"/>
            <w:vAlign w:val="bottom"/>
          </w:tcPr>
          <w:p>
            <w:pPr>
              <w:spacing w:after="0"/>
              <w:rPr>
                <w:sz w:val="1"/>
                <w:szCs w:val="1"/>
                <w:color w:val="auto"/>
              </w:rPr>
            </w:pPr>
          </w:p>
        </w:tc>
      </w:tr>
      <w:tr>
        <w:trPr>
          <w:trHeight w:val="190"/>
        </w:trPr>
        <w:tc>
          <w:tcPr>
            <w:tcW w:w="5060" w:type="dxa"/>
            <w:vAlign w:val="bottom"/>
            <w:tcBorders>
              <w:top w:val="single" w:sz="8" w:color="auto"/>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295,367</w:t>
            </w:r>
          </w:p>
        </w:tc>
        <w:tc>
          <w:tcPr>
            <w:tcW w:w="160" w:type="dxa"/>
            <w:vAlign w:val="bottom"/>
            <w:tcBorders>
              <w:top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5"/>
                <w:szCs w:val="15"/>
                <w:color w:val="auto"/>
                <w:w w:val="79"/>
              </w:rPr>
              <w:t>(1)</w:t>
            </w: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7.07</w:t>
            </w: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2,755,854</w:t>
            </w:r>
          </w:p>
        </w:tc>
        <w:tc>
          <w:tcPr>
            <w:tcW w:w="240" w:type="dxa"/>
            <w:vAlign w:val="bottom"/>
            <w:tcBorders>
              <w:top w:val="single" w:sz="8" w:color="CCEEFF"/>
            </w:tcBorders>
            <w:shd w:val="clear" w:color="auto" w:fill="CCEEFF"/>
          </w:tcPr>
          <w:p>
            <w:pPr>
              <w:jc w:val="right"/>
              <w:ind w:right="7"/>
              <w:spacing w:after="0" w:line="170" w:lineRule="exact"/>
              <w:rPr>
                <w:sz w:val="20"/>
                <w:szCs w:val="20"/>
                <w:color w:val="auto"/>
              </w:rPr>
            </w:pPr>
            <w:r>
              <w:rPr>
                <w:rFonts w:ascii="Times New Roman" w:cs="Times New Roman" w:eastAsia="Times New Roman" w:hAnsi="Times New Roman"/>
                <w:sz w:val="15"/>
                <w:szCs w:val="15"/>
                <w:color w:val="auto"/>
                <w:w w:val="79"/>
              </w:rPr>
              <w:t>(2)</w:t>
            </w:r>
          </w:p>
        </w:tc>
        <w:tc>
          <w:tcPr>
            <w:tcW w:w="0" w:type="dxa"/>
            <w:vAlign w:val="bottom"/>
          </w:tcPr>
          <w:p>
            <w:pPr>
              <w:spacing w:after="0"/>
              <w:rPr>
                <w:sz w:val="1"/>
                <w:szCs w:val="1"/>
                <w:color w:val="auto"/>
              </w:rPr>
            </w:pPr>
          </w:p>
        </w:tc>
      </w:tr>
      <w:tr>
        <w:trPr>
          <w:trHeight w:val="184"/>
        </w:trPr>
        <w:tc>
          <w:tcPr>
            <w:tcW w:w="5080" w:type="dxa"/>
            <w:vAlign w:val="bottom"/>
            <w:tcBorders>
              <w:bottom w:val="single" w:sz="8" w:color="CCEEFF"/>
            </w:tcBorders>
            <w:gridSpan w:val="2"/>
          </w:tcPr>
          <w:p>
            <w:pPr>
              <w:spacing w:after="0" w:line="184" w:lineRule="exact"/>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46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0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w:t>
            </w:r>
          </w:p>
        </w:tc>
        <w:tc>
          <w:tcPr>
            <w:tcW w:w="14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295,367</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7.07</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2,755,854</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40" w:right="280" w:hanging="635"/>
        <w:spacing w:after="0" w:line="23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to be issued upon exercise of outstanding options to purchase common stock granted pursuant to the 2012 Plan and 2021 Plan as of December 31, 2024.</w:t>
      </w:r>
    </w:p>
    <w:p>
      <w:pPr>
        <w:ind w:left="640" w:hanging="63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available for future issuance are under the 2021 Plan.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5" w:lineRule="exact"/>
        <w:rPr>
          <w:sz w:val="20"/>
          <w:szCs w:val="20"/>
          <w:color w:val="auto"/>
        </w:rPr>
      </w:pPr>
    </w:p>
    <w:p>
      <w:pPr>
        <w:ind w:right="194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13. CERTAIN RELATIONSHIPS AND RELATED TRANSACTIONS, AND DIRECTOR INDEPENDENCE </w:t>
      </w:r>
      <w:r>
        <w:rPr>
          <w:rFonts w:ascii="Times New Roman" w:cs="Times New Roman" w:eastAsia="Times New Roman" w:hAnsi="Times New Roman"/>
          <w:sz w:val="18"/>
          <w:szCs w:val="18"/>
          <w:color w:val="auto"/>
        </w:rPr>
        <w:t>The following sections of the Proxy Statement are incorporated herein by reference:</w:t>
      </w:r>
    </w:p>
    <w:p>
      <w:pPr>
        <w:ind w:left="640"/>
        <w:spacing w:after="0" w:line="232" w:lineRule="auto"/>
        <w:rPr>
          <w:sz w:val="20"/>
          <w:szCs w:val="20"/>
          <w:color w:val="auto"/>
        </w:rPr>
      </w:pPr>
      <w:r>
        <w:rPr>
          <w:rFonts w:ascii="Times New Roman" w:cs="Times New Roman" w:eastAsia="Times New Roman" w:hAnsi="Times New Roman"/>
          <w:sz w:val="18"/>
          <w:szCs w:val="18"/>
          <w:color w:val="auto"/>
        </w:rPr>
        <w:t>Proposal 1 – Election of Directors – Information Regarding the Board of Directors and Corporate Governance – Independence of the Board of Directors</w:t>
      </w:r>
    </w:p>
    <w:p>
      <w:pPr>
        <w:ind w:left="320"/>
        <w:spacing w:after="0"/>
        <w:rPr>
          <w:sz w:val="20"/>
          <w:szCs w:val="20"/>
          <w:color w:val="auto"/>
        </w:rPr>
      </w:pPr>
      <w:r>
        <w:rPr>
          <w:rFonts w:ascii="Times New Roman" w:cs="Times New Roman" w:eastAsia="Times New Roman" w:hAnsi="Times New Roman"/>
          <w:sz w:val="18"/>
          <w:szCs w:val="18"/>
          <w:color w:val="auto"/>
        </w:rPr>
        <w:t>Certain Relationships and Related Transactions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 of the Proxy Statement is incorporated herein by reference:</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Proposal 2 –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20"/>
          </w:cols>
          <w:pgMar w:left="320" w:top="110" w:right="9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61" w:lineRule="exact"/>
        <w:rPr>
          <w:sz w:val="20"/>
          <w:szCs w:val="20"/>
          <w:color w:val="auto"/>
        </w:rPr>
      </w:pPr>
    </w:p>
    <w:p>
      <w:pPr>
        <w:ind w:right="8460" w:firstLine="5"/>
        <w:spacing w:after="0" w:line="443" w:lineRule="auto"/>
        <w:tabs>
          <w:tab w:leader="none" w:pos="29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filed as part of report 1. Financial Statements</w:t>
      </w: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the Company and its subsidiaries are filed as part of this Form 10-K:</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1"/>
        </w:trPr>
        <w:tc>
          <w:tcPr>
            <w:tcW w:w="20" w:type="dxa"/>
            <w:vAlign w:val="bottom"/>
            <w:shd w:val="clear" w:color="auto" w:fill="CCEEFF"/>
          </w:tcPr>
          <w:p>
            <w:pPr>
              <w:spacing w:after="0"/>
              <w:rPr>
                <w:sz w:val="13"/>
                <w:szCs w:val="13"/>
                <w:color w:val="auto"/>
              </w:rPr>
            </w:pPr>
          </w:p>
        </w:tc>
        <w:tc>
          <w:tcPr>
            <w:tcW w:w="560" w:type="dxa"/>
            <w:vAlign w:val="bottom"/>
            <w:gridSpan w:val="4"/>
            <w:shd w:val="clear" w:color="auto" w:fill="CCEEFF"/>
          </w:tcPr>
          <w:p>
            <w:pPr>
              <w:spacing w:after="0" w:line="151" w:lineRule="exact"/>
              <w:rPr>
                <w:sz w:val="20"/>
                <w:szCs w:val="20"/>
                <w:color w:val="auto"/>
              </w:rPr>
            </w:pPr>
            <w:r>
              <w:rPr>
                <w:rFonts w:ascii="Times New Roman" w:cs="Times New Roman" w:eastAsia="Times New Roman" w:hAnsi="Times New Roman"/>
                <w:sz w:val="16"/>
                <w:szCs w:val="16"/>
                <w:color w:val="0000FF"/>
              </w:rPr>
              <w:t>(i)</w:t>
            </w:r>
          </w:p>
        </w:tc>
        <w:tc>
          <w:tcPr>
            <w:tcW w:w="9900" w:type="dxa"/>
            <w:vAlign w:val="bottom"/>
            <w:gridSpan w:val="9"/>
            <w:shd w:val="clear" w:color="auto" w:fill="CCEEFF"/>
          </w:tcPr>
          <w:p>
            <w:pPr>
              <w:spacing w:after="0" w:line="151" w:lineRule="exact"/>
              <w:rPr>
                <w:sz w:val="20"/>
                <w:szCs w:val="20"/>
                <w:color w:val="auto"/>
              </w:rPr>
            </w:pPr>
            <w:r>
              <w:rPr>
                <w:rFonts w:ascii="Times New Roman" w:cs="Times New Roman" w:eastAsia="Times New Roman" w:hAnsi="Times New Roman"/>
                <w:sz w:val="16"/>
                <w:szCs w:val="16"/>
                <w:color w:val="0000FF"/>
              </w:rPr>
              <w:t xml:space="preserve">Reports of Independent Registered Public Accounting Firm </w:t>
            </w:r>
            <w:r>
              <w:rPr>
                <w:rFonts w:ascii="Times New Roman" w:cs="Times New Roman" w:eastAsia="Times New Roman" w:hAnsi="Times New Roman"/>
                <w:sz w:val="16"/>
                <w:szCs w:val="16"/>
                <w:color w:val="000000"/>
              </w:rPr>
              <w:t>(PCAOB ID: 49)</w:t>
            </w:r>
          </w:p>
        </w:tc>
        <w:tc>
          <w:tcPr>
            <w:tcW w:w="76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6"/>
                <w:szCs w:val="16"/>
                <w:color w:val="auto"/>
              </w:rPr>
              <w:t>35</w:t>
            </w:r>
          </w:p>
        </w:tc>
      </w:tr>
      <w:tr>
        <w:trPr>
          <w:trHeight w:val="26"/>
        </w:trPr>
        <w:tc>
          <w:tcPr>
            <w:tcW w:w="2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6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r>
        <w:trPr>
          <w:trHeight w:val="158"/>
        </w:trPr>
        <w:tc>
          <w:tcPr>
            <w:tcW w:w="20" w:type="dxa"/>
            <w:vAlign w:val="bottom"/>
          </w:tcPr>
          <w:p>
            <w:pPr>
              <w:spacing w:after="0"/>
              <w:rPr>
                <w:sz w:val="13"/>
                <w:szCs w:val="13"/>
                <w:color w:val="auto"/>
              </w:rPr>
            </w:pPr>
          </w:p>
        </w:tc>
        <w:tc>
          <w:tcPr>
            <w:tcW w:w="2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0000FF"/>
                <w:w w:val="81"/>
              </w:rPr>
              <w:t>(ii)</w:t>
            </w:r>
          </w:p>
        </w:tc>
        <w:tc>
          <w:tcPr>
            <w:tcW w:w="340" w:type="dxa"/>
            <w:vAlign w:val="bottom"/>
            <w:gridSpan w:val="3"/>
          </w:tcPr>
          <w:p>
            <w:pPr>
              <w:spacing w:after="0"/>
              <w:rPr>
                <w:sz w:val="13"/>
                <w:szCs w:val="13"/>
                <w:color w:val="auto"/>
              </w:rPr>
            </w:pPr>
          </w:p>
        </w:tc>
        <w:tc>
          <w:tcPr>
            <w:tcW w:w="9900" w:type="dxa"/>
            <w:vAlign w:val="bottom"/>
            <w:gridSpan w:val="9"/>
          </w:tcPr>
          <w:p>
            <w:pPr>
              <w:spacing w:after="0" w:line="157" w:lineRule="exact"/>
              <w:rPr>
                <w:sz w:val="20"/>
                <w:szCs w:val="20"/>
                <w:color w:val="auto"/>
              </w:rPr>
            </w:pPr>
            <w:r>
              <w:rPr>
                <w:rFonts w:ascii="Times New Roman" w:cs="Times New Roman" w:eastAsia="Times New Roman" w:hAnsi="Times New Roman"/>
                <w:sz w:val="18"/>
                <w:szCs w:val="18"/>
                <w:color w:val="0000FF"/>
              </w:rPr>
              <w:t xml:space="preserve">Report of Former Independent Registered Public Accounting Firm </w:t>
            </w:r>
            <w:r>
              <w:rPr>
                <w:rFonts w:ascii="Times New Roman" w:cs="Times New Roman" w:eastAsia="Times New Roman" w:hAnsi="Times New Roman"/>
                <w:sz w:val="18"/>
                <w:szCs w:val="18"/>
                <w:color w:val="000000"/>
              </w:rPr>
              <w:t>(PCAOB ID: 42)</w:t>
            </w:r>
          </w:p>
        </w:tc>
        <w:tc>
          <w:tcPr>
            <w:tcW w:w="7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38</w:t>
            </w:r>
          </w:p>
        </w:tc>
      </w:tr>
      <w:tr>
        <w:trPr>
          <w:trHeight w:val="26"/>
        </w:trPr>
        <w:tc>
          <w:tcPr>
            <w:tcW w:w="2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58"/>
        </w:trPr>
        <w:tc>
          <w:tcPr>
            <w:tcW w:w="20" w:type="dxa"/>
            <w:vAlign w:val="bottom"/>
            <w:shd w:val="clear" w:color="auto" w:fill="CCEEFF"/>
          </w:tcPr>
          <w:p>
            <w:pPr>
              <w:spacing w:after="0"/>
              <w:rPr>
                <w:sz w:val="13"/>
                <w:szCs w:val="13"/>
                <w:color w:val="auto"/>
              </w:rPr>
            </w:pPr>
          </w:p>
        </w:tc>
        <w:tc>
          <w:tcPr>
            <w:tcW w:w="56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(iii)</w:t>
            </w:r>
          </w:p>
        </w:tc>
        <w:tc>
          <w:tcPr>
            <w:tcW w:w="9900" w:type="dxa"/>
            <w:vAlign w:val="bottom"/>
            <w:gridSpan w:val="9"/>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7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39</w:t>
            </w:r>
          </w:p>
        </w:tc>
      </w:tr>
      <w:tr>
        <w:trPr>
          <w:trHeight w:val="26"/>
        </w:trPr>
        <w:tc>
          <w:tcPr>
            <w:tcW w:w="2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6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r>
        <w:trPr>
          <w:trHeight w:val="158"/>
        </w:trPr>
        <w:tc>
          <w:tcPr>
            <w:tcW w:w="20" w:type="dxa"/>
            <w:vAlign w:val="bottom"/>
          </w:tcPr>
          <w:p>
            <w:pPr>
              <w:spacing w:after="0"/>
              <w:rPr>
                <w:sz w:val="13"/>
                <w:szCs w:val="13"/>
                <w:color w:val="auto"/>
              </w:rPr>
            </w:pPr>
          </w:p>
        </w:tc>
        <w:tc>
          <w:tcPr>
            <w:tcW w:w="2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0000FF"/>
                <w:w w:val="77"/>
              </w:rPr>
              <w:t>(iv)</w:t>
            </w:r>
          </w:p>
        </w:tc>
        <w:tc>
          <w:tcPr>
            <w:tcW w:w="340" w:type="dxa"/>
            <w:vAlign w:val="bottom"/>
            <w:gridSpan w:val="3"/>
          </w:tcPr>
          <w:p>
            <w:pPr>
              <w:spacing w:after="0"/>
              <w:rPr>
                <w:sz w:val="13"/>
                <w:szCs w:val="13"/>
                <w:color w:val="auto"/>
              </w:rPr>
            </w:pPr>
          </w:p>
        </w:tc>
        <w:tc>
          <w:tcPr>
            <w:tcW w:w="9900" w:type="dxa"/>
            <w:vAlign w:val="bottom"/>
            <w:gridSpan w:val="9"/>
          </w:tcPr>
          <w:p>
            <w:pPr>
              <w:spacing w:after="0" w:line="157" w:lineRule="exact"/>
              <w:rPr>
                <w:sz w:val="20"/>
                <w:szCs w:val="20"/>
                <w:color w:val="auto"/>
              </w:rPr>
            </w:pPr>
            <w:r>
              <w:rPr>
                <w:rFonts w:ascii="Times New Roman" w:cs="Times New Roman" w:eastAsia="Times New Roman" w:hAnsi="Times New Roman"/>
                <w:sz w:val="18"/>
                <w:szCs w:val="18"/>
                <w:color w:val="0000FF"/>
              </w:rPr>
              <w:t>Consolidated Statements of Income for the years ended December 31, 2024, 2023, and 2022</w:t>
            </w:r>
          </w:p>
        </w:tc>
        <w:tc>
          <w:tcPr>
            <w:tcW w:w="7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40</w:t>
            </w:r>
          </w:p>
        </w:tc>
      </w:tr>
      <w:tr>
        <w:trPr>
          <w:trHeight w:val="26"/>
        </w:trPr>
        <w:tc>
          <w:tcPr>
            <w:tcW w:w="20" w:type="dxa"/>
            <w:vAlign w:val="bottom"/>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58"/>
        </w:trPr>
        <w:tc>
          <w:tcPr>
            <w:tcW w:w="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w w:val="85"/>
              </w:rPr>
              <w:t>(v)</w:t>
            </w:r>
          </w:p>
        </w:tc>
        <w:tc>
          <w:tcPr>
            <w:tcW w:w="340" w:type="dxa"/>
            <w:vAlign w:val="bottom"/>
            <w:tcBorders>
              <w:left w:val="single" w:sz="8" w:color="CCEEFF"/>
            </w:tcBorders>
            <w:gridSpan w:val="3"/>
            <w:shd w:val="clear" w:color="auto" w:fill="CCEEFF"/>
          </w:tcPr>
          <w:p>
            <w:pPr>
              <w:spacing w:after="0"/>
              <w:rPr>
                <w:sz w:val="13"/>
                <w:szCs w:val="13"/>
                <w:color w:val="auto"/>
              </w:rPr>
            </w:pPr>
          </w:p>
        </w:tc>
        <w:tc>
          <w:tcPr>
            <w:tcW w:w="9900" w:type="dxa"/>
            <w:vAlign w:val="bottom"/>
            <w:gridSpan w:val="9"/>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2024, 2023, and 2022</w:t>
            </w:r>
          </w:p>
        </w:tc>
        <w:tc>
          <w:tcPr>
            <w:tcW w:w="7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41</w:t>
            </w:r>
          </w:p>
        </w:tc>
      </w:tr>
      <w:tr>
        <w:trPr>
          <w:trHeight w:val="26"/>
        </w:trPr>
        <w:tc>
          <w:tcPr>
            <w:tcW w:w="20" w:type="dxa"/>
            <w:vAlign w:val="bottom"/>
            <w:shd w:val="clear" w:color="auto" w:fill="CCEE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6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r>
        <w:trPr>
          <w:trHeight w:val="164"/>
        </w:trPr>
        <w:tc>
          <w:tcPr>
            <w:tcW w:w="20" w:type="dxa"/>
            <w:vAlign w:val="bottom"/>
          </w:tcPr>
          <w:p>
            <w:pPr>
              <w:spacing w:after="0"/>
              <w:rPr>
                <w:sz w:val="14"/>
                <w:szCs w:val="14"/>
                <w:color w:val="auto"/>
              </w:rPr>
            </w:pPr>
          </w:p>
        </w:tc>
        <w:tc>
          <w:tcPr>
            <w:tcW w:w="220" w:type="dxa"/>
            <w:vAlign w:val="bottom"/>
            <w:tcBorders>
              <w:bottom w:val="single" w:sz="8" w:color="0000FF"/>
            </w:tcBorders>
          </w:tcPr>
          <w:p>
            <w:pPr>
              <w:spacing w:after="0" w:line="158" w:lineRule="exact"/>
              <w:rPr>
                <w:sz w:val="20"/>
                <w:szCs w:val="20"/>
                <w:color w:val="auto"/>
              </w:rPr>
            </w:pPr>
            <w:r>
              <w:rPr>
                <w:rFonts w:ascii="Times New Roman" w:cs="Times New Roman" w:eastAsia="Times New Roman" w:hAnsi="Times New Roman"/>
                <w:sz w:val="16"/>
                <w:szCs w:val="16"/>
                <w:color w:val="0000FF"/>
                <w:w w:val="77"/>
              </w:rPr>
              <w:t>(vi)</w:t>
            </w:r>
          </w:p>
        </w:tc>
        <w:tc>
          <w:tcPr>
            <w:tcW w:w="340" w:type="dxa"/>
            <w:vAlign w:val="bottom"/>
            <w:gridSpan w:val="3"/>
          </w:tcPr>
          <w:p>
            <w:pPr>
              <w:spacing w:after="0"/>
              <w:rPr>
                <w:sz w:val="14"/>
                <w:szCs w:val="14"/>
                <w:color w:val="auto"/>
              </w:rPr>
            </w:pPr>
          </w:p>
        </w:tc>
        <w:tc>
          <w:tcPr>
            <w:tcW w:w="7420" w:type="dxa"/>
            <w:vAlign w:val="bottom"/>
            <w:tcBorders>
              <w:bottom w:val="single" w:sz="8" w:color="0000FF"/>
            </w:tcBorders>
            <w:gridSpan w:val="7"/>
          </w:tcPr>
          <w:p>
            <w:pPr>
              <w:spacing w:after="0" w:line="157" w:lineRule="exact"/>
              <w:rPr>
                <w:sz w:val="20"/>
                <w:szCs w:val="20"/>
                <w:color w:val="auto"/>
              </w:rPr>
            </w:pPr>
            <w:r>
              <w:rPr>
                <w:rFonts w:ascii="Times New Roman" w:cs="Times New Roman" w:eastAsia="Times New Roman" w:hAnsi="Times New Roman"/>
                <w:sz w:val="18"/>
                <w:szCs w:val="18"/>
                <w:color w:val="0000FF"/>
                <w:w w:val="96"/>
              </w:rPr>
              <w:t>Consolidated Statements of Stockholders’ Equity for the years ended December 31, 2024, 2023, and 2022</w:t>
            </w:r>
          </w:p>
        </w:tc>
        <w:tc>
          <w:tcPr>
            <w:tcW w:w="2480" w:type="dxa"/>
            <w:vAlign w:val="bottom"/>
            <w:gridSpan w:val="2"/>
          </w:tcPr>
          <w:p>
            <w:pPr>
              <w:spacing w:after="0"/>
              <w:rPr>
                <w:sz w:val="14"/>
                <w:szCs w:val="14"/>
                <w:color w:val="auto"/>
              </w:rPr>
            </w:pPr>
          </w:p>
        </w:tc>
        <w:tc>
          <w:tcPr>
            <w:tcW w:w="7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42</w:t>
            </w:r>
          </w:p>
        </w:tc>
      </w:tr>
      <w:tr>
        <w:trPr>
          <w:trHeight w:val="164"/>
        </w:trPr>
        <w:tc>
          <w:tcPr>
            <w:tcW w:w="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0000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w w:val="90"/>
              </w:rPr>
              <w:t>(vii)</w:t>
            </w:r>
          </w:p>
        </w:tc>
        <w:tc>
          <w:tcPr>
            <w:tcW w:w="260" w:type="dxa"/>
            <w:vAlign w:val="bottom"/>
            <w:tcBorders>
              <w:bottom w:val="single" w:sz="8" w:color="CCEEFF"/>
            </w:tcBorders>
            <w:gridSpan w:val="2"/>
            <w:shd w:val="clear" w:color="auto" w:fill="CCEEFF"/>
          </w:tcPr>
          <w:p>
            <w:pPr>
              <w:spacing w:after="0"/>
              <w:rPr>
                <w:sz w:val="14"/>
                <w:szCs w:val="14"/>
                <w:color w:val="auto"/>
              </w:rPr>
            </w:pPr>
          </w:p>
        </w:tc>
        <w:tc>
          <w:tcPr>
            <w:tcW w:w="6760" w:type="dxa"/>
            <w:vAlign w:val="bottom"/>
            <w:tcBorders>
              <w:bottom w:val="single" w:sz="8" w:color="0000FF"/>
            </w:tcBorders>
            <w:gridSpan w:val="6"/>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w w:val="96"/>
              </w:rPr>
              <w:t>Consolidated Statements of Cash Flows for the years ended December 31, 2024, 2023, and 2022</w:t>
            </w:r>
          </w:p>
        </w:tc>
        <w:tc>
          <w:tcPr>
            <w:tcW w:w="3140" w:type="dxa"/>
            <w:vAlign w:val="bottom"/>
            <w:tcBorders>
              <w:bottom w:val="single" w:sz="8" w:color="CCEEFF"/>
            </w:tcBorders>
            <w:gridSpan w:val="3"/>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43</w:t>
            </w:r>
          </w:p>
        </w:tc>
      </w:tr>
      <w:tr>
        <w:trPr>
          <w:trHeight w:val="158"/>
        </w:trPr>
        <w:tc>
          <w:tcPr>
            <w:tcW w:w="20" w:type="dxa"/>
            <w:vAlign w:val="bottom"/>
          </w:tcPr>
          <w:p>
            <w:pPr>
              <w:spacing w:after="0"/>
              <w:rPr>
                <w:sz w:val="13"/>
                <w:szCs w:val="13"/>
                <w:color w:val="auto"/>
              </w:rPr>
            </w:pPr>
          </w:p>
        </w:tc>
        <w:tc>
          <w:tcPr>
            <w:tcW w:w="400" w:type="dxa"/>
            <w:vAlign w:val="bottom"/>
            <w:tcBorders>
              <w:bottom w:val="single" w:sz="8" w:color="0000FF"/>
            </w:tcBorders>
            <w:gridSpan w:val="3"/>
          </w:tcPr>
          <w:p>
            <w:pPr>
              <w:spacing w:after="0" w:line="157" w:lineRule="exact"/>
              <w:rPr>
                <w:sz w:val="20"/>
                <w:szCs w:val="20"/>
                <w:color w:val="auto"/>
              </w:rPr>
            </w:pPr>
            <w:r>
              <w:rPr>
                <w:rFonts w:ascii="Times New Roman" w:cs="Times New Roman" w:eastAsia="Times New Roman" w:hAnsi="Times New Roman"/>
                <w:sz w:val="18"/>
                <w:szCs w:val="18"/>
                <w:color w:val="0000FF"/>
              </w:rPr>
              <w:t>(viii)</w:t>
            </w:r>
          </w:p>
        </w:tc>
        <w:tc>
          <w:tcPr>
            <w:tcW w:w="160" w:type="dxa"/>
            <w:vAlign w:val="bottom"/>
          </w:tcPr>
          <w:p>
            <w:pPr>
              <w:spacing w:after="0"/>
              <w:rPr>
                <w:sz w:val="13"/>
                <w:szCs w:val="13"/>
                <w:color w:val="auto"/>
              </w:rPr>
            </w:pPr>
          </w:p>
        </w:tc>
        <w:tc>
          <w:tcPr>
            <w:tcW w:w="3060" w:type="dxa"/>
            <w:vAlign w:val="bottom"/>
            <w:tcBorders>
              <w:bottom w:val="single" w:sz="8" w:color="0000FF"/>
            </w:tcBorders>
          </w:tcPr>
          <w:p>
            <w:pPr>
              <w:spacing w:after="0" w:line="157" w:lineRule="exact"/>
              <w:rPr>
                <w:sz w:val="20"/>
                <w:szCs w:val="20"/>
                <w:color w:val="auto"/>
              </w:rPr>
            </w:pPr>
            <w:r>
              <w:rPr>
                <w:rFonts w:ascii="Times New Roman" w:cs="Times New Roman" w:eastAsia="Times New Roman" w:hAnsi="Times New Roman"/>
                <w:sz w:val="18"/>
                <w:szCs w:val="18"/>
                <w:color w:val="0000FF"/>
                <w:w w:val="96"/>
              </w:rPr>
              <w:t>Notes to Consolidated Financial Statements</w:t>
            </w:r>
          </w:p>
        </w:tc>
        <w:tc>
          <w:tcPr>
            <w:tcW w:w="6840" w:type="dxa"/>
            <w:vAlign w:val="bottom"/>
            <w:gridSpan w:val="8"/>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44</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76"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8"/>
          <w:szCs w:val="18"/>
          <w:color w:val="auto"/>
        </w:rPr>
        <w:t>The information required to be disclosed within Schedule II – Valuation and Qualifying Accounts is provided within the Consolidated Financial Statements of the Company filed as part of this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immediately preceding the signature page of this Form 10-K, which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Tile Shop Holdings, Inc. and Subsidiaries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ind w:right="20"/>
        <w:spacing w:after="0" w:line="22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Tile Shop Holdings, Inc. and subsidiaries (the Company) as of December 31, 2024 and 2023, related consolidated statements of income, comprehensive income, stockholders’ equity and cash flows, for the years then ended and the related notes to the financial statements (collectively,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40"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and our report dated February 27, 2025, expressed an unqualified opinion on the effectiveness of the Company's internal control over financial reporting.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discussed in Notes 1 and 11 to the financial statements, the Company adopted Accounting Standards Update (ASU) 2023-07, </w:t>
      </w:r>
      <w:r>
        <w:rPr>
          <w:rFonts w:ascii="Times New Roman" w:cs="Times New Roman" w:eastAsia="Times New Roman" w:hAnsi="Times New Roman"/>
          <w:sz w:val="18"/>
          <w:szCs w:val="18"/>
          <w:i w:val="1"/>
          <w:iCs w:val="1"/>
          <w:color w:val="auto"/>
        </w:rPr>
        <w:t>Segment Reporting (Topic</w:t>
      </w:r>
    </w:p>
    <w:p>
      <w:pPr>
        <w:spacing w:after="0" w:line="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i w:val="1"/>
          <w:iCs w:val="1"/>
          <w:color w:val="auto"/>
        </w:rPr>
        <w:t>280): Improvements to Reportable Segment Disclosures</w:t>
      </w:r>
      <w:r>
        <w:rPr>
          <w:rFonts w:ascii="Times New Roman" w:cs="Times New Roman" w:eastAsia="Times New Roman" w:hAnsi="Times New Roman"/>
          <w:sz w:val="16"/>
          <w:szCs w:val="16"/>
          <w:color w:val="auto"/>
        </w:rPr>
        <w:t>, which requires incremental disclosures for all periods in which income statements are presented.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also have audited the incremental disclosures in Note 11 related to the 2022 financial statements. In our opinion, such disclosures are appropriate and have been properly applied. We were not engaged to audit, review or apply any procedures to the 2022 financial statements of the Company other than with respect to the incremental disclosures and, accordingly, we do not express an opinion or any other form of assurance on the 2022 financial statements taken as a whole.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ind w:right="140"/>
        <w:spacing w:after="0" w:line="264"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35"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Store Asset Impairment Assessment</w:t>
      </w:r>
    </w:p>
    <w:p>
      <w:pPr>
        <w:ind w:right="20"/>
        <w:spacing w:after="0" w:line="219" w:lineRule="auto"/>
        <w:rPr>
          <w:sz w:val="20"/>
          <w:szCs w:val="20"/>
          <w:color w:val="auto"/>
        </w:rPr>
      </w:pPr>
      <w:r>
        <w:rPr>
          <w:rFonts w:ascii="Times New Roman" w:cs="Times New Roman" w:eastAsia="Times New Roman" w:hAnsi="Times New Roman"/>
          <w:sz w:val="18"/>
          <w:szCs w:val="18"/>
          <w:color w:val="auto"/>
        </w:rPr>
        <w:t>As discussed in Notes 1, 3 and 6 to the consolidated financial statements, the Company reviews long-lived assets for impairment whenever events or changes in circumstances indicate that the carrying amount of these assets may not be recoverable. The Company evaluates potential impairment indicators at the individual retail store level, which is the lowest level at which cash flows can be identified. When events and circumstances indicate that store assets may be impaired, the Company compares the undiscounted future cash flows estimated to be generated by the retail store, which includes estimates of future store revenue growth rates, to the store’s asset group carrying amount. If the estimated undiscounted future cash flows are less than the carrying value of the store’s asset group, the Company performs an analysis to estimate the fair value of the store’s asset group. An impairment may be recorded when the fair value of the store’s asset group is less than its carrying value. The Company’s long-lived assets consisted of consolidated property,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188595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ind w:right="240"/>
        <w:spacing w:after="0" w:line="234" w:lineRule="auto"/>
        <w:rPr>
          <w:sz w:val="20"/>
          <w:szCs w:val="20"/>
          <w:color w:val="auto"/>
        </w:rPr>
      </w:pPr>
      <w:r>
        <w:rPr>
          <w:rFonts w:ascii="Times New Roman" w:cs="Times New Roman" w:eastAsia="Times New Roman" w:hAnsi="Times New Roman"/>
          <w:sz w:val="18"/>
          <w:szCs w:val="18"/>
          <w:color w:val="auto"/>
        </w:rPr>
        <w:t>plant and equipment, net of $59.7 million and consolidated operating lease right of use assets of $132.9 million as of December 31, 2024. For the year ended December 31, 2024, the Company recorded an impairment charge of $0.9 million.</w:t>
      </w:r>
    </w:p>
    <w:p>
      <w:pPr>
        <w:spacing w:after="0" w:line="155"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We identified management’s estimates of future store revenue growth rates included in the undiscounted future cash flows to be generated by the retail stores with impairment indicators as a critical audit matter due to the high degree of subjectivity used by management in developing the estimates. Auditing management’s estimates of future store revenue growth rates, which can be affected by expectations about future consumer spending behaviors, housing market trends and other economic conditions, involved a high degree of auditor judgment and an increase in the nature and extent of audit effort due to the impact the estimates could have on management’s conclusion.</w:t>
      </w:r>
    </w:p>
    <w:p>
      <w:pPr>
        <w:spacing w:after="0" w:line="156"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18"/>
          <w:szCs w:val="18"/>
          <w:color w:val="auto"/>
        </w:rPr>
        <w:t>Our audit procedures related to management’s estimates of future store revenue growth rates used in the impairment analyses included the following, among others:</w:t>
      </w:r>
    </w:p>
    <w:p>
      <w:pPr>
        <w:spacing w:after="0" w:line="155" w:lineRule="exact"/>
        <w:rPr>
          <w:sz w:val="20"/>
          <w:szCs w:val="20"/>
          <w:color w:val="auto"/>
        </w:rPr>
      </w:pPr>
    </w:p>
    <w:p>
      <w:pPr>
        <w:ind w:left="640"/>
        <w:spacing w:after="0" w:line="235" w:lineRule="auto"/>
        <w:rPr>
          <w:sz w:val="20"/>
          <w:szCs w:val="20"/>
          <w:color w:val="auto"/>
        </w:rPr>
      </w:pPr>
      <w:r>
        <w:rPr>
          <w:rFonts w:ascii="Times New Roman" w:cs="Times New Roman" w:eastAsia="Times New Roman" w:hAnsi="Times New Roman"/>
          <w:sz w:val="18"/>
          <w:szCs w:val="18"/>
          <w:color w:val="auto"/>
        </w:rPr>
        <w:t>We obtained an understanding of the relevant controls related to management’s development of undiscounted cash flow forecasts to be used in the impairment analyses and tested such controls for design and operating effectiveness, including controls over management’s development and review of the significant assumptions used in estimating future store revenue growth rates.</w:t>
      </w:r>
    </w:p>
    <w:p>
      <w:pPr>
        <w:spacing w:after="0" w:line="154" w:lineRule="exact"/>
        <w:rPr>
          <w:sz w:val="20"/>
          <w:szCs w:val="20"/>
          <w:color w:val="auto"/>
        </w:rPr>
      </w:pPr>
    </w:p>
    <w:p>
      <w:pPr>
        <w:ind w:left="640" w:right="320"/>
        <w:spacing w:after="0" w:line="238" w:lineRule="auto"/>
        <w:rPr>
          <w:sz w:val="20"/>
          <w:szCs w:val="20"/>
          <w:color w:val="auto"/>
        </w:rPr>
      </w:pPr>
      <w:r>
        <w:rPr>
          <w:rFonts w:ascii="Times New Roman" w:cs="Times New Roman" w:eastAsia="Times New Roman" w:hAnsi="Times New Roman"/>
          <w:sz w:val="18"/>
          <w:szCs w:val="18"/>
          <w:color w:val="auto"/>
        </w:rPr>
        <w:t>We tested the Company’s estimates of future store revenue growth rates by comparing them to historical results and current industry and economic trends.</w:t>
      </w:r>
    </w:p>
    <w:p>
      <w:pPr>
        <w:spacing w:after="0" w:line="154" w:lineRule="exact"/>
        <w:rPr>
          <w:sz w:val="20"/>
          <w:szCs w:val="20"/>
          <w:color w:val="auto"/>
        </w:rPr>
      </w:pPr>
    </w:p>
    <w:p>
      <w:pPr>
        <w:ind w:left="640" w:right="260"/>
        <w:spacing w:after="0" w:line="238" w:lineRule="auto"/>
        <w:rPr>
          <w:sz w:val="20"/>
          <w:szCs w:val="20"/>
          <w:color w:val="auto"/>
        </w:rPr>
      </w:pPr>
      <w:r>
        <w:rPr>
          <w:rFonts w:ascii="Times New Roman" w:cs="Times New Roman" w:eastAsia="Times New Roman" w:hAnsi="Times New Roman"/>
          <w:sz w:val="18"/>
          <w:szCs w:val="18"/>
          <w:color w:val="auto"/>
        </w:rPr>
        <w:t>We tested the mathematical accuracy of the Company’s cash flow models and tested the underlying data used by management for completeness and accuracy by agreeing it to source data.</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Tile Shop Holdings, Inc. and Subsidiaries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ind w:right="40"/>
        <w:spacing w:after="0" w:line="256" w:lineRule="auto"/>
        <w:rPr>
          <w:sz w:val="20"/>
          <w:szCs w:val="20"/>
          <w:color w:val="auto"/>
        </w:rPr>
      </w:pPr>
      <w:r>
        <w:rPr>
          <w:rFonts w:ascii="Times New Roman" w:cs="Times New Roman" w:eastAsia="Times New Roman" w:hAnsi="Times New Roman"/>
          <w:sz w:val="16"/>
          <w:szCs w:val="16"/>
          <w:color w:val="auto"/>
        </w:rPr>
        <w:t xml:space="preserve">We have audited Tile Shop Holdings, Inc. And Subsidiaries’ (the Company) internal control over financial reporting as of December 31, 2024,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issued by the Committee of Sponsoring Organizations of the Treadway Commission in 2013.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issued by the Committee of Sponsoring Organizations of the Treadway Commission in 2013.</w:t>
      </w:r>
    </w:p>
    <w:p>
      <w:pPr>
        <w:spacing w:after="0" w:line="141" w:lineRule="exact"/>
        <w:rPr>
          <w:sz w:val="20"/>
          <w:szCs w:val="20"/>
          <w:color w:val="auto"/>
        </w:rPr>
      </w:pPr>
    </w:p>
    <w:p>
      <w:pPr>
        <w:ind w:right="560"/>
        <w:spacing w:after="0" w:line="23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years ended December 31, 2024 and 2023 of the Company and our report dated February 27, 2025 expressed an unqualified opinion.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ind w:right="60"/>
        <w:spacing w:after="0" w:line="225"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40"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0"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0"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rPr>
          <w:sz w:val="20"/>
          <w:szCs w:val="20"/>
          <w:color w:val="auto"/>
        </w:rPr>
      </w:pPr>
      <w:r>
        <w:rPr>
          <w:rFonts w:ascii="Times New Roman" w:cs="Times New Roman" w:eastAsia="Times New Roman" w:hAnsi="Times New Roman"/>
          <w:sz w:val="18"/>
          <w:szCs w:val="18"/>
          <w:color w:val="auto"/>
        </w:rPr>
        <w:t>Tile Shop Holdings, Inc. and Subsidiaries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97"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Tile Shop Holdings, Inc. and Subsidiaries (the Company) as of December 31, 2022, the related consolidated statements of income, comprehensive income, stockholders’ equity and cash flows for the year ended December 31, 2022, and the related notes (collectively referred to as the “consolidated financial statements”). In our opinion, the consolidated financial statements present fairly, in all material respects, the financial position of the Company at December 31, 2022, and the results of its operations and its cash flows for the year ended December 31, 2022, in conformity with U.S. generally accepted accounting principles.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4"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2013 to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rPr>
          <w:sz w:val="20"/>
          <w:szCs w:val="20"/>
          <w:color w:val="auto"/>
        </w:rPr>
      </w:pPr>
      <w:r>
        <w:rPr>
          <w:rFonts w:ascii="Times New Roman" w:cs="Times New Roman" w:eastAsia="Times New Roman" w:hAnsi="Times New Roman"/>
          <w:sz w:val="18"/>
          <w:szCs w:val="18"/>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3"/>
        </w:trPr>
        <w:tc>
          <w:tcPr>
            <w:tcW w:w="1240" w:type="dxa"/>
            <w:vAlign w:val="bottom"/>
            <w:tcBorders>
              <w:top w:val="single" w:sz="8" w:color="0000FF"/>
            </w:tcBorders>
          </w:tcPr>
          <w:p>
            <w:pPr>
              <w:spacing w:after="0"/>
              <w:rPr>
                <w:sz w:val="24"/>
                <w:szCs w:val="24"/>
                <w:color w:val="auto"/>
              </w:rPr>
            </w:pPr>
          </w:p>
        </w:tc>
        <w:tc>
          <w:tcPr>
            <w:tcW w:w="6740" w:type="dxa"/>
            <w:vAlign w:val="bottom"/>
          </w:tcPr>
          <w:p>
            <w:pPr>
              <w:jc w:val="center"/>
              <w:ind w:left="1932"/>
              <w:spacing w:after="0"/>
              <w:rPr>
                <w:sz w:val="20"/>
                <w:szCs w:val="20"/>
                <w:color w:val="auto"/>
              </w:rPr>
            </w:pPr>
            <w:r>
              <w:rPr>
                <w:rFonts w:ascii="Times New Roman" w:cs="Times New Roman" w:eastAsia="Times New Roman" w:hAnsi="Times New Roman"/>
                <w:sz w:val="18"/>
                <w:szCs w:val="18"/>
                <w:b w:val="1"/>
                <w:bCs w:val="1"/>
                <w:color w:val="auto"/>
                <w:w w:val="96"/>
              </w:rPr>
              <w:t>Tile Shop Holdings, Inc. and Subsidiaries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6740" w:type="dxa"/>
            <w:vAlign w:val="bottom"/>
          </w:tcPr>
          <w:p>
            <w:pPr>
              <w:jc w:val="center"/>
              <w:ind w:left="1932"/>
              <w:spacing w:after="0" w:line="184" w:lineRule="exact"/>
              <w:rPr>
                <w:sz w:val="20"/>
                <w:szCs w:val="20"/>
                <w:color w:val="auto"/>
              </w:rPr>
            </w:pPr>
            <w:r>
              <w:rPr>
                <w:rFonts w:ascii="Times New Roman" w:cs="Times New Roman" w:eastAsia="Times New Roman" w:hAnsi="Times New Roman"/>
                <w:sz w:val="18"/>
                <w:szCs w:val="18"/>
                <w:color w:val="auto"/>
                <w:w w:val="97"/>
              </w:rPr>
              <w:t>Consolidated Balance Sheets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6740" w:type="dxa"/>
            <w:vAlign w:val="bottom"/>
          </w:tcPr>
          <w:p>
            <w:pPr>
              <w:jc w:val="center"/>
              <w:ind w:left="1952"/>
              <w:spacing w:after="0" w:line="184" w:lineRule="exact"/>
              <w:rPr>
                <w:sz w:val="20"/>
                <w:szCs w:val="20"/>
                <w:color w:val="auto"/>
              </w:rPr>
            </w:pPr>
            <w:r>
              <w:rPr>
                <w:rFonts w:ascii="Times New Roman" w:cs="Times New Roman" w:eastAsia="Times New Roman" w:hAnsi="Times New Roman"/>
                <w:sz w:val="18"/>
                <w:szCs w:val="18"/>
                <w:color w:val="auto"/>
                <w:w w:val="97"/>
              </w:rPr>
              <w:t>As of December 31, 2024 and 2023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740" w:type="dxa"/>
            <w:vAlign w:val="bottom"/>
          </w:tcPr>
          <w:p>
            <w:pPr>
              <w:jc w:val="center"/>
              <w:ind w:left="1932"/>
              <w:spacing w:after="0"/>
              <w:rPr>
                <w:sz w:val="20"/>
                <w:szCs w:val="20"/>
                <w:color w:val="auto"/>
              </w:rPr>
            </w:pPr>
            <w:r>
              <w:rPr>
                <w:rFonts w:ascii="Times New Roman" w:cs="Times New Roman" w:eastAsia="Times New Roman" w:hAnsi="Times New Roman"/>
                <w:sz w:val="18"/>
                <w:szCs w:val="18"/>
                <w:color w:val="auto"/>
                <w:w w:val="97"/>
              </w:rPr>
              <w:t>(dollars in thousands, except per share data)</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12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24"/>
                <w:szCs w:val="24"/>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16"/>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46"/>
        </w:trPr>
        <w:tc>
          <w:tcPr>
            <w:tcW w:w="79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798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20,957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8,620</w:t>
            </w:r>
          </w:p>
        </w:tc>
        <w:tc>
          <w:tcPr>
            <w:tcW w:w="0" w:type="dxa"/>
            <w:vAlign w:val="bottom"/>
          </w:tcPr>
          <w:p>
            <w:pPr>
              <w:spacing w:after="0"/>
              <w:rPr>
                <w:sz w:val="1"/>
                <w:szCs w:val="1"/>
                <w:color w:val="auto"/>
              </w:rPr>
            </w:pPr>
          </w:p>
        </w:tc>
      </w:tr>
      <w:tr>
        <w:trPr>
          <w:trHeight w:val="184"/>
        </w:trPr>
        <w:tc>
          <w:tcPr>
            <w:tcW w:w="798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Receivables, net</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3,085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184"/>
        </w:trPr>
        <w:tc>
          <w:tcPr>
            <w:tcW w:w="798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86,267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93,679</w:t>
            </w:r>
          </w:p>
        </w:tc>
        <w:tc>
          <w:tcPr>
            <w:tcW w:w="0" w:type="dxa"/>
            <w:vAlign w:val="bottom"/>
          </w:tcPr>
          <w:p>
            <w:pPr>
              <w:spacing w:after="0"/>
              <w:rPr>
                <w:sz w:val="1"/>
                <w:szCs w:val="1"/>
                <w:color w:val="auto"/>
              </w:rPr>
            </w:pPr>
          </w:p>
        </w:tc>
      </w:tr>
      <w:tr>
        <w:trPr>
          <w:trHeight w:val="184"/>
        </w:trPr>
        <w:tc>
          <w:tcPr>
            <w:tcW w:w="798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Income tax receivable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84"/>
        </w:trPr>
        <w:tc>
          <w:tcPr>
            <w:tcW w:w="79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Other current assets, net</w:t>
            </w:r>
          </w:p>
        </w:tc>
        <w:tc>
          <w:tcPr>
            <w:tcW w:w="3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8,663</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9,248</w:t>
            </w:r>
          </w:p>
        </w:tc>
        <w:tc>
          <w:tcPr>
            <w:tcW w:w="0" w:type="dxa"/>
            <w:vAlign w:val="bottom"/>
          </w:tcPr>
          <w:p>
            <w:pPr>
              <w:spacing w:after="0"/>
              <w:rPr>
                <w:sz w:val="1"/>
                <w:szCs w:val="1"/>
                <w:color w:val="auto"/>
              </w:rPr>
            </w:pPr>
          </w:p>
        </w:tc>
      </w:tr>
      <w:tr>
        <w:trPr>
          <w:trHeight w:val="177"/>
        </w:trPr>
        <w:tc>
          <w:tcPr>
            <w:tcW w:w="79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119,822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114,558</w:t>
            </w:r>
          </w:p>
        </w:tc>
        <w:tc>
          <w:tcPr>
            <w:tcW w:w="0" w:type="dxa"/>
            <w:vAlign w:val="bottom"/>
          </w:tcPr>
          <w:p>
            <w:pPr>
              <w:spacing w:after="0"/>
              <w:rPr>
                <w:sz w:val="1"/>
                <w:szCs w:val="1"/>
                <w:color w:val="auto"/>
              </w:rPr>
            </w:pPr>
          </w:p>
        </w:tc>
      </w:tr>
      <w:tr>
        <w:trPr>
          <w:trHeight w:val="184"/>
        </w:trPr>
        <w:tc>
          <w:tcPr>
            <w:tcW w:w="79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59,733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64,317</w:t>
            </w:r>
          </w:p>
        </w:tc>
        <w:tc>
          <w:tcPr>
            <w:tcW w:w="0" w:type="dxa"/>
            <w:vAlign w:val="bottom"/>
          </w:tcPr>
          <w:p>
            <w:pPr>
              <w:spacing w:after="0"/>
              <w:rPr>
                <w:sz w:val="1"/>
                <w:szCs w:val="1"/>
                <w:color w:val="auto"/>
              </w:rPr>
            </w:pPr>
          </w:p>
        </w:tc>
      </w:tr>
      <w:tr>
        <w:trPr>
          <w:trHeight w:val="184"/>
        </w:trPr>
        <w:tc>
          <w:tcPr>
            <w:tcW w:w="79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Right of use asset</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132,861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129,092</w:t>
            </w:r>
          </w:p>
        </w:tc>
        <w:tc>
          <w:tcPr>
            <w:tcW w:w="0" w:type="dxa"/>
            <w:vAlign w:val="bottom"/>
          </w:tcPr>
          <w:p>
            <w:pPr>
              <w:spacing w:after="0"/>
              <w:rPr>
                <w:sz w:val="1"/>
                <w:szCs w:val="1"/>
                <w:color w:val="auto"/>
              </w:rPr>
            </w:pPr>
          </w:p>
        </w:tc>
      </w:tr>
      <w:tr>
        <w:trPr>
          <w:trHeight w:val="184"/>
        </w:trPr>
        <w:tc>
          <w:tcPr>
            <w:tcW w:w="79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4,890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5,256</w:t>
            </w:r>
          </w:p>
        </w:tc>
        <w:tc>
          <w:tcPr>
            <w:tcW w:w="0" w:type="dxa"/>
            <w:vAlign w:val="bottom"/>
          </w:tcPr>
          <w:p>
            <w:pPr>
              <w:spacing w:after="0"/>
              <w:rPr>
                <w:sz w:val="1"/>
                <w:szCs w:val="1"/>
                <w:color w:val="auto"/>
              </w:rPr>
            </w:pPr>
          </w:p>
        </w:tc>
      </w:tr>
      <w:tr>
        <w:trPr>
          <w:trHeight w:val="184"/>
        </w:trPr>
        <w:tc>
          <w:tcPr>
            <w:tcW w:w="7980" w:type="dxa"/>
            <w:vAlign w:val="bottom"/>
            <w:tcBorders>
              <w:bottom w:val="single" w:sz="8" w:color="CCEEFF"/>
            </w:tcBorders>
            <w:gridSpan w:val="2"/>
          </w:tcPr>
          <w:p>
            <w:pPr>
              <w:spacing w:after="0" w:line="184" w:lineRule="exact"/>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2,297</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177"/>
        </w:trPr>
        <w:tc>
          <w:tcPr>
            <w:tcW w:w="7980" w:type="dxa"/>
            <w:vAlign w:val="bottom"/>
            <w:tcBorders>
              <w:bottom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319,603</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316,672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4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9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9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98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23,808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23,345</w:t>
            </w:r>
          </w:p>
        </w:tc>
        <w:tc>
          <w:tcPr>
            <w:tcW w:w="0" w:type="dxa"/>
            <w:vAlign w:val="bottom"/>
          </w:tcPr>
          <w:p>
            <w:pPr>
              <w:spacing w:after="0"/>
              <w:rPr>
                <w:sz w:val="1"/>
                <w:szCs w:val="1"/>
                <w:color w:val="auto"/>
              </w:rPr>
            </w:pPr>
          </w:p>
        </w:tc>
      </w:tr>
      <w:tr>
        <w:trPr>
          <w:trHeight w:val="184"/>
        </w:trPr>
        <w:tc>
          <w:tcPr>
            <w:tcW w:w="798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Income tax payable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184"/>
        </w:trPr>
        <w:tc>
          <w:tcPr>
            <w:tcW w:w="798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Current portion of lease liability</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28,880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27,265</w:t>
            </w:r>
          </w:p>
        </w:tc>
        <w:tc>
          <w:tcPr>
            <w:tcW w:w="0" w:type="dxa"/>
            <w:vAlign w:val="bottom"/>
          </w:tcPr>
          <w:p>
            <w:pPr>
              <w:spacing w:after="0"/>
              <w:rPr>
                <w:sz w:val="1"/>
                <w:szCs w:val="1"/>
                <w:color w:val="auto"/>
              </w:rPr>
            </w:pPr>
          </w:p>
        </w:tc>
      </w:tr>
      <w:tr>
        <w:trPr>
          <w:trHeight w:val="184"/>
        </w:trPr>
        <w:tc>
          <w:tcPr>
            <w:tcW w:w="7980" w:type="dxa"/>
            <w:vAlign w:val="bottom"/>
            <w:tcBorders>
              <w:bottom w:val="single" w:sz="8" w:color="CCEEFF"/>
            </w:tcBorders>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Other accrued liabilities</w:t>
            </w: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25,644</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177"/>
        </w:trPr>
        <w:tc>
          <w:tcPr>
            <w:tcW w:w="79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78,394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78,745</w:t>
            </w:r>
          </w:p>
        </w:tc>
        <w:tc>
          <w:tcPr>
            <w:tcW w:w="0" w:type="dxa"/>
            <w:vAlign w:val="bottom"/>
          </w:tcPr>
          <w:p>
            <w:pPr>
              <w:spacing w:after="0"/>
              <w:rPr>
                <w:sz w:val="1"/>
                <w:szCs w:val="1"/>
                <w:color w:val="auto"/>
              </w:rPr>
            </w:pPr>
          </w:p>
        </w:tc>
      </w:tr>
      <w:tr>
        <w:trPr>
          <w:trHeight w:val="184"/>
        </w:trPr>
        <w:tc>
          <w:tcPr>
            <w:tcW w:w="79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Long-term debt, net</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9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Long-term lease liability, net</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113,700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112,697</w:t>
            </w:r>
          </w:p>
        </w:tc>
        <w:tc>
          <w:tcPr>
            <w:tcW w:w="0" w:type="dxa"/>
            <w:vAlign w:val="bottom"/>
          </w:tcPr>
          <w:p>
            <w:pPr>
              <w:spacing w:after="0"/>
              <w:rPr>
                <w:sz w:val="1"/>
                <w:szCs w:val="1"/>
                <w:color w:val="auto"/>
              </w:rPr>
            </w:pPr>
          </w:p>
        </w:tc>
      </w:tr>
      <w:tr>
        <w:trPr>
          <w:trHeight w:val="184"/>
        </w:trPr>
        <w:tc>
          <w:tcPr>
            <w:tcW w:w="7980" w:type="dxa"/>
            <w:vAlign w:val="bottom"/>
            <w:tcBorders>
              <w:bottom w:val="single" w:sz="8" w:color="CCEEFF"/>
            </w:tcBorders>
            <w:gridSpan w:val="2"/>
          </w:tcPr>
          <w:p>
            <w:pPr>
              <w:spacing w:after="0" w:line="184" w:lineRule="exact"/>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4,597</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5,543</w:t>
            </w:r>
          </w:p>
        </w:tc>
        <w:tc>
          <w:tcPr>
            <w:tcW w:w="0" w:type="dxa"/>
            <w:vAlign w:val="bottom"/>
          </w:tcPr>
          <w:p>
            <w:pPr>
              <w:spacing w:after="0"/>
              <w:rPr>
                <w:sz w:val="1"/>
                <w:szCs w:val="1"/>
                <w:color w:val="auto"/>
              </w:rPr>
            </w:pPr>
          </w:p>
        </w:tc>
      </w:tr>
      <w:tr>
        <w:trPr>
          <w:trHeight w:val="177"/>
        </w:trPr>
        <w:tc>
          <w:tcPr>
            <w:tcW w:w="79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196,691</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196,985</w:t>
            </w:r>
          </w:p>
        </w:tc>
        <w:tc>
          <w:tcPr>
            <w:tcW w:w="0" w:type="dxa"/>
            <w:vAlign w:val="bottom"/>
          </w:tcPr>
          <w:p>
            <w:pPr>
              <w:spacing w:after="0"/>
              <w:rPr>
                <w:sz w:val="1"/>
                <w:szCs w:val="1"/>
                <w:color w:val="auto"/>
              </w:rPr>
            </w:pPr>
          </w:p>
        </w:tc>
      </w:tr>
      <w:tr>
        <w:trPr>
          <w:trHeight w:val="177"/>
        </w:trPr>
        <w:tc>
          <w:tcPr>
            <w:tcW w:w="124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9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980" w:type="dxa"/>
            <w:vAlign w:val="bottom"/>
            <w:gridSpan w:val="2"/>
          </w:tcPr>
          <w:p>
            <w:pPr>
              <w:spacing w:after="0" w:line="152" w:lineRule="exact"/>
              <w:rPr>
                <w:sz w:val="20"/>
                <w:szCs w:val="20"/>
                <w:color w:val="auto"/>
              </w:rPr>
            </w:pPr>
            <w:r>
              <w:rPr>
                <w:rFonts w:ascii="Times New Roman" w:cs="Times New Roman" w:eastAsia="Times New Roman" w:hAnsi="Times New Roman"/>
                <w:sz w:val="16"/>
                <w:szCs w:val="16"/>
                <w:color w:val="auto"/>
              </w:rPr>
              <w:t>Common stock, par value: $0.0001; authorized: 100,000,000 shares; issued and outstanding: 44,657,898 and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44,510,779 shares, respectively</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4"/>
        </w:trPr>
        <w:tc>
          <w:tcPr>
            <w:tcW w:w="79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Preferred stock, par value: $0.0001; authorized: 10,000,000 shares; issued and outstanding: 0 shares</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9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129,696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128,861</w:t>
            </w:r>
          </w:p>
        </w:tc>
        <w:tc>
          <w:tcPr>
            <w:tcW w:w="0" w:type="dxa"/>
            <w:vAlign w:val="bottom"/>
          </w:tcPr>
          <w:p>
            <w:pPr>
              <w:spacing w:after="0"/>
              <w:rPr>
                <w:sz w:val="1"/>
                <w:szCs w:val="1"/>
                <w:color w:val="auto"/>
              </w:rPr>
            </w:pPr>
          </w:p>
        </w:tc>
      </w:tr>
      <w:tr>
        <w:trPr>
          <w:trHeight w:val="184"/>
        </w:trPr>
        <w:tc>
          <w:tcPr>
            <w:tcW w:w="79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(6,788)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(9,109)</w:t>
            </w:r>
          </w:p>
        </w:tc>
        <w:tc>
          <w:tcPr>
            <w:tcW w:w="0" w:type="dxa"/>
            <w:vAlign w:val="bottom"/>
          </w:tcPr>
          <w:p>
            <w:pPr>
              <w:spacing w:after="0"/>
              <w:rPr>
                <w:sz w:val="1"/>
                <w:szCs w:val="1"/>
                <w:color w:val="auto"/>
              </w:rPr>
            </w:pPr>
          </w:p>
        </w:tc>
      </w:tr>
      <w:tr>
        <w:trPr>
          <w:trHeight w:val="184"/>
        </w:trPr>
        <w:tc>
          <w:tcPr>
            <w:tcW w:w="7980" w:type="dxa"/>
            <w:vAlign w:val="bottom"/>
            <w:tcBorders>
              <w:bottom w:val="single" w:sz="8" w:color="CCEEFF"/>
            </w:tcBorders>
            <w:gridSpan w:val="2"/>
          </w:tcPr>
          <w:p>
            <w:pPr>
              <w:spacing w:after="0" w:line="184"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77"/>
        </w:trPr>
        <w:tc>
          <w:tcPr>
            <w:tcW w:w="79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122,912</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119,687</w:t>
            </w:r>
          </w:p>
        </w:tc>
        <w:tc>
          <w:tcPr>
            <w:tcW w:w="0" w:type="dxa"/>
            <w:vAlign w:val="bottom"/>
          </w:tcPr>
          <w:p>
            <w:pPr>
              <w:spacing w:after="0"/>
              <w:rPr>
                <w:sz w:val="1"/>
                <w:szCs w:val="1"/>
                <w:color w:val="auto"/>
              </w:rPr>
            </w:pPr>
          </w:p>
        </w:tc>
      </w:tr>
      <w:tr>
        <w:trPr>
          <w:trHeight w:val="177"/>
        </w:trPr>
        <w:tc>
          <w:tcPr>
            <w:tcW w:w="79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319,603</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316,672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56"/>
        </w:trPr>
        <w:tc>
          <w:tcPr>
            <w:tcW w:w="1240" w:type="dxa"/>
            <w:vAlign w:val="bottom"/>
            <w:tcBorders>
              <w:top w:val="single" w:sz="8" w:color="0000FF"/>
            </w:tcBorders>
          </w:tcPr>
          <w:p>
            <w:pPr>
              <w:spacing w:after="0"/>
              <w:rPr>
                <w:sz w:val="24"/>
                <w:szCs w:val="24"/>
                <w:color w:val="auto"/>
              </w:rPr>
            </w:pPr>
          </w:p>
        </w:tc>
        <w:tc>
          <w:tcPr>
            <w:tcW w:w="2160" w:type="dxa"/>
            <w:vAlign w:val="bottom"/>
          </w:tcPr>
          <w:p>
            <w:pPr>
              <w:spacing w:after="0"/>
              <w:rPr>
                <w:sz w:val="24"/>
                <w:szCs w:val="24"/>
                <w:color w:val="auto"/>
              </w:rPr>
            </w:pPr>
          </w:p>
        </w:tc>
        <w:tc>
          <w:tcPr>
            <w:tcW w:w="4300" w:type="dxa"/>
            <w:vAlign w:val="bottom"/>
            <w:gridSpan w:val="6"/>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6"/>
              </w:rPr>
              <w:t>Tile Shop Holdings, Inc. and Subsidiaries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7"/>
        </w:trPr>
        <w:tc>
          <w:tcPr>
            <w:tcW w:w="1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540" w:type="dxa"/>
            <w:vAlign w:val="bottom"/>
            <w:gridSpan w:val="4"/>
          </w:tcPr>
          <w:p>
            <w:pPr>
              <w:jc w:val="center"/>
              <w:ind w:left="832"/>
              <w:spacing w:after="0" w:line="197" w:lineRule="exact"/>
              <w:rPr>
                <w:sz w:val="20"/>
                <w:szCs w:val="20"/>
                <w:color w:val="auto"/>
              </w:rPr>
            </w:pPr>
            <w:r>
              <w:rPr>
                <w:rFonts w:ascii="Times New Roman" w:cs="Times New Roman" w:eastAsia="Times New Roman" w:hAnsi="Times New Roman"/>
                <w:sz w:val="18"/>
                <w:szCs w:val="18"/>
                <w:color w:val="auto"/>
                <w:w w:val="97"/>
              </w:rPr>
              <w:t>Consolidated Statements of Income</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84"/>
        </w:trPr>
        <w:tc>
          <w:tcPr>
            <w:tcW w:w="12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300" w:type="dxa"/>
            <w:vAlign w:val="bottom"/>
            <w:gridSpan w:val="6"/>
          </w:tcPr>
          <w:p>
            <w:pPr>
              <w:jc w:val="center"/>
              <w:ind w:left="52"/>
              <w:spacing w:after="0" w:line="184" w:lineRule="exact"/>
              <w:rPr>
                <w:sz w:val="20"/>
                <w:szCs w:val="20"/>
                <w:color w:val="auto"/>
              </w:rPr>
            </w:pPr>
            <w:r>
              <w:rPr>
                <w:rFonts w:ascii="Times New Roman" w:cs="Times New Roman" w:eastAsia="Times New Roman" w:hAnsi="Times New Roman"/>
                <w:sz w:val="18"/>
                <w:szCs w:val="18"/>
                <w:color w:val="auto"/>
                <w:w w:val="97"/>
              </w:rPr>
              <w:t>For the years ended December 31, 2024, 2023 and 2022</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28"/>
        </w:trPr>
        <w:tc>
          <w:tcPr>
            <w:tcW w:w="1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300" w:type="dxa"/>
            <w:vAlign w:val="bottom"/>
            <w:gridSpan w:val="6"/>
          </w:tcPr>
          <w:p>
            <w:pPr>
              <w:jc w:val="center"/>
              <w:ind w:left="52"/>
              <w:spacing w:after="0"/>
              <w:rPr>
                <w:sz w:val="20"/>
                <w:szCs w:val="20"/>
                <w:color w:val="auto"/>
              </w:rPr>
            </w:pPr>
            <w:r>
              <w:rPr>
                <w:rFonts w:ascii="Times New Roman" w:cs="Times New Roman" w:eastAsia="Times New Roman" w:hAnsi="Times New Roman"/>
                <w:sz w:val="18"/>
                <w:szCs w:val="18"/>
                <w:color w:val="auto"/>
                <w:w w:val="97"/>
              </w:rPr>
              <w:t>(dollars in thousands, except per share data)</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4"/>
        </w:trPr>
        <w:tc>
          <w:tcPr>
            <w:tcW w:w="124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rPr>
              <w:t>2022</w:t>
            </w:r>
          </w:p>
        </w:tc>
      </w:tr>
      <w:tr>
        <w:trPr>
          <w:trHeight w:val="177"/>
        </w:trPr>
        <w:tc>
          <w:tcPr>
            <w:tcW w:w="340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sales</w:t>
            </w:r>
          </w:p>
        </w:tc>
        <w:tc>
          <w:tcPr>
            <w:tcW w:w="13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7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347,071</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3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377,146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9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394,702</w:t>
            </w:r>
          </w:p>
        </w:tc>
      </w:tr>
      <w:tr>
        <w:trPr>
          <w:trHeight w:val="184"/>
        </w:trPr>
        <w:tc>
          <w:tcPr>
            <w:tcW w:w="3400" w:type="dxa"/>
            <w:vAlign w:val="bottom"/>
            <w:tcBorders>
              <w:bottom w:val="single" w:sz="8" w:color="CCEEFF"/>
            </w:tcBorders>
            <w:gridSpan w:val="2"/>
          </w:tcPr>
          <w:p>
            <w:pPr>
              <w:spacing w:after="0" w:line="184" w:lineRule="exact"/>
              <w:rPr>
                <w:sz w:val="20"/>
                <w:szCs w:val="20"/>
                <w:color w:val="auto"/>
              </w:rPr>
            </w:pPr>
            <w:r>
              <w:rPr>
                <w:rFonts w:ascii="Times New Roman" w:cs="Times New Roman" w:eastAsia="Times New Roman" w:hAnsi="Times New Roman"/>
                <w:sz w:val="18"/>
                <w:szCs w:val="18"/>
                <w:color w:val="auto"/>
              </w:rPr>
              <w:t>Cost of sales</w:t>
            </w:r>
          </w:p>
        </w:tc>
        <w:tc>
          <w:tcPr>
            <w:tcW w:w="13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119,197</w:t>
            </w: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134,085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135,765</w:t>
            </w:r>
          </w:p>
        </w:tc>
      </w:tr>
      <w:tr>
        <w:trPr>
          <w:trHeight w:val="177"/>
        </w:trPr>
        <w:tc>
          <w:tcPr>
            <w:tcW w:w="340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227,874</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243,061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258,937</w:t>
            </w:r>
          </w:p>
        </w:tc>
      </w:tr>
      <w:tr>
        <w:trPr>
          <w:trHeight w:val="184"/>
        </w:trPr>
        <w:tc>
          <w:tcPr>
            <w:tcW w:w="3400" w:type="dxa"/>
            <w:vAlign w:val="bottom"/>
            <w:tcBorders>
              <w:bottom w:val="single" w:sz="8" w:color="CCEEFF"/>
            </w:tcBorders>
            <w:gridSpan w:val="2"/>
          </w:tcPr>
          <w:p>
            <w:pPr>
              <w:spacing w:after="0" w:line="184"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224,357</w:t>
            </w: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226,903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236,328</w:t>
            </w:r>
          </w:p>
        </w:tc>
      </w:tr>
      <w:tr>
        <w:trPr>
          <w:trHeight w:val="177"/>
        </w:trPr>
        <w:tc>
          <w:tcPr>
            <w:tcW w:w="340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from operations</w:t>
            </w:r>
          </w:p>
        </w:tc>
        <w:tc>
          <w:tcPr>
            <w:tcW w:w="1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3,517</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16,158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22,609</w:t>
            </w:r>
          </w:p>
        </w:tc>
      </w:tr>
      <w:tr>
        <w:trPr>
          <w:trHeight w:val="184"/>
        </w:trPr>
        <w:tc>
          <w:tcPr>
            <w:tcW w:w="34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Interest expense, net</w:t>
            </w: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20" w:type="dxa"/>
            <w:vAlign w:val="bottom"/>
            <w:gridSpan w:val="2"/>
          </w:tcPr>
          <w:p>
            <w:pPr>
              <w:jc w:val="right"/>
              <w:ind w:right="180"/>
              <w:spacing w:after="0" w:line="184" w:lineRule="exact"/>
              <w:rPr>
                <w:sz w:val="20"/>
                <w:szCs w:val="20"/>
                <w:color w:val="auto"/>
              </w:rPr>
            </w:pPr>
            <w:r>
              <w:rPr>
                <w:rFonts w:ascii="Times New Roman" w:cs="Times New Roman" w:eastAsia="Times New Roman" w:hAnsi="Times New Roman"/>
                <w:sz w:val="18"/>
                <w:szCs w:val="18"/>
                <w:color w:val="auto"/>
              </w:rPr>
              <w:t>(275)</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(2,164)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(1,579)</w:t>
            </w:r>
          </w:p>
        </w:tc>
      </w:tr>
      <w:tr>
        <w:trPr>
          <w:trHeight w:val="177"/>
        </w:trPr>
        <w:tc>
          <w:tcPr>
            <w:tcW w:w="340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before income taxes</w:t>
            </w:r>
          </w:p>
        </w:tc>
        <w:tc>
          <w:tcPr>
            <w:tcW w:w="13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3,242</w:t>
            </w: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13,994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21,030</w:t>
            </w:r>
          </w:p>
        </w:tc>
      </w:tr>
      <w:tr>
        <w:trPr>
          <w:trHeight w:val="184"/>
        </w:trPr>
        <w:tc>
          <w:tcPr>
            <w:tcW w:w="34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Provision for income taxes</w:t>
            </w: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20" w:type="dxa"/>
            <w:vAlign w:val="bottom"/>
            <w:gridSpan w:val="2"/>
          </w:tcPr>
          <w:p>
            <w:pPr>
              <w:jc w:val="right"/>
              <w:ind w:right="180"/>
              <w:spacing w:after="0" w:line="184" w:lineRule="exact"/>
              <w:rPr>
                <w:sz w:val="20"/>
                <w:szCs w:val="20"/>
                <w:color w:val="auto"/>
              </w:rPr>
            </w:pPr>
            <w:r>
              <w:rPr>
                <w:rFonts w:ascii="Times New Roman" w:cs="Times New Roman" w:eastAsia="Times New Roman" w:hAnsi="Times New Roman"/>
                <w:sz w:val="18"/>
                <w:szCs w:val="18"/>
                <w:color w:val="auto"/>
              </w:rPr>
              <w:t>(921)</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(3,923)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(5,327)</w:t>
            </w:r>
          </w:p>
        </w:tc>
      </w:tr>
      <w:tr>
        <w:trPr>
          <w:trHeight w:val="177"/>
        </w:trPr>
        <w:tc>
          <w:tcPr>
            <w:tcW w:w="3400" w:type="dxa"/>
            <w:vAlign w:val="bottom"/>
            <w:tcBorders>
              <w:top w:val="single" w:sz="8" w:color="CCEEFF"/>
              <w:bottom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7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2,321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3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10,071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9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15,703</w:t>
            </w:r>
          </w:p>
        </w:tc>
      </w:tr>
      <w:tr>
        <w:trPr>
          <w:trHeight w:val="20"/>
        </w:trPr>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63"/>
        </w:trPr>
        <w:tc>
          <w:tcPr>
            <w:tcW w:w="1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4"/>
        </w:trPr>
        <w:tc>
          <w:tcPr>
            <w:tcW w:w="340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Income per common share:</w:t>
            </w:r>
          </w:p>
        </w:tc>
        <w:tc>
          <w:tcPr>
            <w:tcW w:w="1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4"/>
        </w:trPr>
        <w:tc>
          <w:tcPr>
            <w:tcW w:w="34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Basic</w:t>
            </w:r>
          </w:p>
        </w:tc>
        <w:tc>
          <w:tcPr>
            <w:tcW w:w="1820" w:type="dxa"/>
            <w:vAlign w:val="bottom"/>
            <w:gridSpan w:val="2"/>
          </w:tcPr>
          <w:p>
            <w:pPr>
              <w:jc w:val="right"/>
              <w:ind w:right="27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16"/>
                <w:szCs w:val="16"/>
                <w:color w:val="auto"/>
              </w:rPr>
            </w:pPr>
          </w:p>
        </w:tc>
        <w:tc>
          <w:tcPr>
            <w:tcW w:w="760" w:type="dxa"/>
            <w:vAlign w:val="bottom"/>
            <w:gridSpan w:val="2"/>
          </w:tcPr>
          <w:p>
            <w:pPr>
              <w:jc w:val="right"/>
              <w:ind w:right="538"/>
              <w:spacing w:after="0" w:line="184"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6"/>
                <w:szCs w:val="16"/>
                <w:color w:val="auto"/>
              </w:rPr>
            </w:pPr>
          </w:p>
        </w:tc>
        <w:tc>
          <w:tcPr>
            <w:tcW w:w="580" w:type="dxa"/>
            <w:vAlign w:val="bottom"/>
            <w:gridSpan w:val="2"/>
          </w:tcPr>
          <w:p>
            <w:pPr>
              <w:jc w:val="right"/>
              <w:ind w:right="298"/>
              <w:spacing w:after="0" w:line="184"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0.32</w:t>
            </w:r>
          </w:p>
        </w:tc>
      </w:tr>
      <w:tr>
        <w:trPr>
          <w:trHeight w:val="184"/>
        </w:trPr>
        <w:tc>
          <w:tcPr>
            <w:tcW w:w="34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Diluted</w:t>
            </w:r>
          </w:p>
        </w:tc>
        <w:tc>
          <w:tcPr>
            <w:tcW w:w="1820" w:type="dxa"/>
            <w:vAlign w:val="bottom"/>
            <w:gridSpan w:val="2"/>
            <w:shd w:val="clear" w:color="auto" w:fill="CCEEFF"/>
          </w:tcPr>
          <w:p>
            <w:pPr>
              <w:jc w:val="right"/>
              <w:ind w:right="27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538"/>
              <w:spacing w:after="0" w:line="184"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98"/>
              <w:spacing w:after="0" w:line="184"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0.32</w:t>
            </w:r>
          </w:p>
        </w:tc>
      </w:tr>
      <w:tr>
        <w:trPr>
          <w:trHeight w:val="184"/>
        </w:trPr>
        <w:tc>
          <w:tcPr>
            <w:tcW w:w="12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4"/>
        </w:trPr>
        <w:tc>
          <w:tcPr>
            <w:tcW w:w="340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4"/>
        </w:trPr>
        <w:tc>
          <w:tcPr>
            <w:tcW w:w="34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Basic</w:t>
            </w: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43,714,567</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43,424,089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48,855,701</w:t>
            </w:r>
          </w:p>
        </w:tc>
      </w:tr>
      <w:tr>
        <w:trPr>
          <w:trHeight w:val="184"/>
        </w:trPr>
        <w:tc>
          <w:tcPr>
            <w:tcW w:w="34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Diluted</w:t>
            </w:r>
          </w:p>
        </w:tc>
        <w:tc>
          <w:tcPr>
            <w:tcW w:w="1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43,851,653</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43,620,790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49,247,047</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53"/>
        </w:trPr>
        <w:tc>
          <w:tcPr>
            <w:tcW w:w="1240" w:type="dxa"/>
            <w:vAlign w:val="bottom"/>
            <w:tcBorders>
              <w:top w:val="single" w:sz="8" w:color="0000FF"/>
            </w:tcBorders>
          </w:tcPr>
          <w:p>
            <w:pPr>
              <w:spacing w:after="0"/>
              <w:rPr>
                <w:sz w:val="24"/>
                <w:szCs w:val="24"/>
                <w:color w:val="auto"/>
              </w:rPr>
            </w:pPr>
          </w:p>
        </w:tc>
        <w:tc>
          <w:tcPr>
            <w:tcW w:w="1840" w:type="dxa"/>
            <w:vAlign w:val="bottom"/>
          </w:tcPr>
          <w:p>
            <w:pPr>
              <w:spacing w:after="0"/>
              <w:rPr>
                <w:sz w:val="24"/>
                <w:szCs w:val="24"/>
                <w:color w:val="auto"/>
              </w:rPr>
            </w:pPr>
          </w:p>
        </w:tc>
        <w:tc>
          <w:tcPr>
            <w:tcW w:w="4640" w:type="dxa"/>
            <w:vAlign w:val="bottom"/>
            <w:gridSpan w:val="2"/>
          </w:tcPr>
          <w:p>
            <w:pPr>
              <w:jc w:val="center"/>
              <w:ind w:left="352"/>
              <w:spacing w:after="0"/>
              <w:rPr>
                <w:sz w:val="20"/>
                <w:szCs w:val="20"/>
                <w:color w:val="auto"/>
              </w:rPr>
            </w:pPr>
            <w:r>
              <w:rPr>
                <w:rFonts w:ascii="Times New Roman" w:cs="Times New Roman" w:eastAsia="Times New Roman" w:hAnsi="Times New Roman"/>
                <w:sz w:val="18"/>
                <w:szCs w:val="18"/>
                <w:b w:val="1"/>
                <w:bCs w:val="1"/>
                <w:color w:val="auto"/>
                <w:w w:val="96"/>
              </w:rPr>
              <w:t>Tile Shop Holdings, Inc. and Subsidiaries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4"/>
        </w:trPr>
        <w:tc>
          <w:tcPr>
            <w:tcW w:w="1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40" w:type="dxa"/>
            <w:vAlign w:val="bottom"/>
            <w:gridSpan w:val="2"/>
          </w:tcPr>
          <w:p>
            <w:pPr>
              <w:jc w:val="center"/>
              <w:ind w:left="312"/>
              <w:spacing w:after="0" w:line="184" w:lineRule="exact"/>
              <w:rPr>
                <w:sz w:val="20"/>
                <w:szCs w:val="20"/>
                <w:color w:val="auto"/>
              </w:rPr>
            </w:pPr>
            <w:r>
              <w:rPr>
                <w:rFonts w:ascii="Times New Roman" w:cs="Times New Roman" w:eastAsia="Times New Roman" w:hAnsi="Times New Roman"/>
                <w:sz w:val="18"/>
                <w:szCs w:val="18"/>
                <w:color w:val="auto"/>
                <w:w w:val="97"/>
              </w:rPr>
              <w:t>Consolidated Statements of Comprehensive Income</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4"/>
        </w:trPr>
        <w:tc>
          <w:tcPr>
            <w:tcW w:w="1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40" w:type="dxa"/>
            <w:vAlign w:val="bottom"/>
            <w:gridSpan w:val="2"/>
          </w:tcPr>
          <w:p>
            <w:pPr>
              <w:jc w:val="center"/>
              <w:ind w:left="352"/>
              <w:spacing w:after="0" w:line="184" w:lineRule="exact"/>
              <w:rPr>
                <w:sz w:val="20"/>
                <w:szCs w:val="20"/>
                <w:color w:val="auto"/>
              </w:rPr>
            </w:pPr>
            <w:r>
              <w:rPr>
                <w:rFonts w:ascii="Times New Roman" w:cs="Times New Roman" w:eastAsia="Times New Roman" w:hAnsi="Times New Roman"/>
                <w:sz w:val="18"/>
                <w:szCs w:val="18"/>
                <w:color w:val="auto"/>
                <w:w w:val="97"/>
              </w:rPr>
              <w:t>For the years ended December 31, 2024, 2023 and 2022</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1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640" w:type="dxa"/>
            <w:vAlign w:val="bottom"/>
            <w:gridSpan w:val="2"/>
          </w:tcPr>
          <w:p>
            <w:pPr>
              <w:jc w:val="center"/>
              <w:ind w:left="352"/>
              <w:spacing w:after="0"/>
              <w:rPr>
                <w:sz w:val="20"/>
                <w:szCs w:val="20"/>
                <w:color w:val="auto"/>
              </w:rPr>
            </w:pPr>
            <w:r>
              <w:rPr>
                <w:rFonts w:ascii="Times New Roman" w:cs="Times New Roman" w:eastAsia="Times New Roman" w:hAnsi="Times New Roman"/>
                <w:sz w:val="18"/>
                <w:szCs w:val="18"/>
                <w:color w:val="auto"/>
                <w:w w:val="97"/>
              </w:rPr>
              <w:t>(dollars in thousands)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47"/>
        </w:trPr>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r>
      <w:tr>
        <w:trPr>
          <w:trHeight w:val="177"/>
        </w:trPr>
        <w:tc>
          <w:tcPr>
            <w:tcW w:w="308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w:t>
            </w:r>
          </w:p>
        </w:tc>
        <w:tc>
          <w:tcPr>
            <w:tcW w:w="37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1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98"/>
              </w:rPr>
              <w:t>2,321</w:t>
            </w: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3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10,071</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15,703</w:t>
            </w:r>
          </w:p>
        </w:tc>
      </w:tr>
      <w:tr>
        <w:trPr>
          <w:trHeight w:val="184"/>
        </w:trPr>
        <w:tc>
          <w:tcPr>
            <w:tcW w:w="3080" w:type="dxa"/>
            <w:vAlign w:val="bottom"/>
            <w:tcBorders>
              <w:bottom w:val="single" w:sz="8" w:color="CCEEFF"/>
            </w:tcBorders>
            <w:gridSpan w:val="2"/>
          </w:tcPr>
          <w:p>
            <w:pPr>
              <w:spacing w:after="0" w:line="184" w:lineRule="exact"/>
              <w:rPr>
                <w:sz w:val="20"/>
                <w:szCs w:val="20"/>
                <w:color w:val="auto"/>
              </w:rPr>
            </w:pPr>
            <w:r>
              <w:rPr>
                <w:rFonts w:ascii="Times New Roman" w:cs="Times New Roman" w:eastAsia="Times New Roman" w:hAnsi="Times New Roman"/>
                <w:sz w:val="18"/>
                <w:szCs w:val="18"/>
                <w:color w:val="auto"/>
              </w:rPr>
              <w:t>Currency translation adjustment</w:t>
            </w:r>
          </w:p>
        </w:tc>
        <w:tc>
          <w:tcPr>
            <w:tcW w:w="3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(64)</w:t>
            </w:r>
          </w:p>
        </w:tc>
      </w:tr>
      <w:tr>
        <w:trPr>
          <w:trHeight w:val="177"/>
        </w:trPr>
        <w:tc>
          <w:tcPr>
            <w:tcW w:w="30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374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(64)</w:t>
            </w:r>
          </w:p>
        </w:tc>
      </w:tr>
      <w:tr>
        <w:trPr>
          <w:trHeight w:val="177"/>
        </w:trPr>
        <w:tc>
          <w:tcPr>
            <w:tcW w:w="30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Comprehensive income</w:t>
            </w:r>
          </w:p>
        </w:tc>
        <w:tc>
          <w:tcPr>
            <w:tcW w:w="3740" w:type="dxa"/>
            <w:vAlign w:val="bottom"/>
          </w:tcPr>
          <w:p>
            <w:pPr>
              <w:spacing w:after="0"/>
              <w:rPr>
                <w:sz w:val="15"/>
                <w:szCs w:val="15"/>
                <w:color w:val="auto"/>
              </w:rPr>
            </w:pPr>
          </w:p>
        </w:tc>
        <w:tc>
          <w:tcPr>
            <w:tcW w:w="900" w:type="dxa"/>
            <w:vAlign w:val="bottom"/>
            <w:tcBorders>
              <w:bottom w:val="single" w:sz="8" w:color="auto"/>
            </w:tcBorders>
          </w:tcPr>
          <w:p>
            <w:pPr>
              <w:jc w:val="right"/>
              <w:ind w:right="71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w w:val="98"/>
              </w:rPr>
              <w:t>2,390</w:t>
            </w:r>
          </w:p>
        </w:tc>
        <w:tc>
          <w:tcPr>
            <w:tcW w:w="180" w:type="dxa"/>
            <w:vAlign w:val="bottom"/>
          </w:tcPr>
          <w:p>
            <w:pPr>
              <w:spacing w:after="0"/>
              <w:rPr>
                <w:sz w:val="15"/>
                <w:szCs w:val="15"/>
                <w:color w:val="auto"/>
              </w:rPr>
            </w:pPr>
          </w:p>
        </w:tc>
        <w:tc>
          <w:tcPr>
            <w:tcW w:w="300" w:type="dxa"/>
            <w:vAlign w:val="bottom"/>
            <w:tcBorders>
              <w:bottom w:val="single" w:sz="8" w:color="auto"/>
            </w:tcBorders>
          </w:tcPr>
          <w:p>
            <w:pPr>
              <w:jc w:val="right"/>
              <w:ind w:right="13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10,054</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15,639</w:t>
            </w:r>
          </w:p>
        </w:tc>
      </w:tr>
      <w:tr>
        <w:trPr>
          <w:trHeight w:val="20"/>
        </w:trPr>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3900"/>
        <w:spacing w:after="0" w:line="227" w:lineRule="auto"/>
        <w:rPr>
          <w:sz w:val="20"/>
          <w:szCs w:val="20"/>
          <w:color w:val="auto"/>
        </w:rPr>
      </w:pPr>
      <w:r>
        <w:rPr>
          <w:rFonts w:ascii="Times New Roman" w:cs="Times New Roman" w:eastAsia="Times New Roman" w:hAnsi="Times New Roman"/>
          <w:sz w:val="18"/>
          <w:szCs w:val="18"/>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0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Common stock</w:t>
      </w:r>
    </w:p>
    <w:tbl>
      <w:tblPr>
        <w:tblLayout w:type="fixed"/>
        <w:tblInd w:w="0" w:type="dxa"/>
        <w:tblCellMar>
          <w:top w:w="0" w:type="dxa"/>
          <w:left w:w="0" w:type="dxa"/>
          <w:bottom w:w="0" w:type="dxa"/>
          <w:right w:w="0" w:type="dxa"/>
        </w:tblCellMar>
      </w:tblPr>
      <w:tr>
        <w:trPr>
          <w:trHeight w:val="124"/>
        </w:trPr>
        <w:tc>
          <w:tcPr>
            <w:tcW w:w="4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color w:val="auto"/>
              </w:rPr>
              <w:t>Additional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tcPr>
          <w:p>
            <w:pPr>
              <w:jc w:val="center"/>
              <w:ind w:right="240"/>
              <w:spacing w:after="0" w:line="124" w:lineRule="exact"/>
              <w:rPr>
                <w:sz w:val="20"/>
                <w:szCs w:val="20"/>
                <w:color w:val="auto"/>
              </w:rPr>
            </w:pPr>
            <w:r>
              <w:rPr>
                <w:rFonts w:ascii="Times New Roman" w:cs="Times New Roman" w:eastAsia="Times New Roman" w:hAnsi="Times New Roman"/>
                <w:sz w:val="14"/>
                <w:szCs w:val="14"/>
                <w:color w:val="auto"/>
              </w:rPr>
              <w:t>Accumulated other</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5"/>
        </w:trPr>
        <w:tc>
          <w:tcPr>
            <w:tcW w:w="4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w w:val="99"/>
              </w:rPr>
              <w:t>Accumulated</w:t>
            </w:r>
          </w:p>
        </w:tc>
        <w:tc>
          <w:tcPr>
            <w:tcW w:w="120" w:type="dxa"/>
            <w:vAlign w:val="bottom"/>
          </w:tcPr>
          <w:p>
            <w:pPr>
              <w:spacing w:after="0"/>
              <w:rPr>
                <w:sz w:val="12"/>
                <w:szCs w:val="12"/>
                <w:color w:val="auto"/>
              </w:rPr>
            </w:pPr>
          </w:p>
        </w:tc>
        <w:tc>
          <w:tcPr>
            <w:tcW w:w="1400" w:type="dxa"/>
            <w:vAlign w:val="bottom"/>
            <w:gridSpan w:val="3"/>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comprehensive‎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0"/>
        </w:trPr>
        <w:tc>
          <w:tcPr>
            <w:tcW w:w="4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capital‎</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5"/>
                <w:szCs w:val="15"/>
                <w:color w:val="auto"/>
              </w:rPr>
            </w:pP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w:t>
            </w:r>
          </w:p>
        </w:tc>
        <w:tc>
          <w:tcPr>
            <w:tcW w:w="220" w:type="dxa"/>
            <w:vAlign w:val="bottom"/>
          </w:tcPr>
          <w:p>
            <w:pPr>
              <w:spacing w:after="0"/>
              <w:rPr>
                <w:sz w:val="15"/>
                <w:szCs w:val="15"/>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Total</w:t>
            </w:r>
          </w:p>
        </w:tc>
      </w:tr>
      <w:tr>
        <w:trPr>
          <w:trHeight w:val="177"/>
        </w:trPr>
        <w:tc>
          <w:tcPr>
            <w:tcW w:w="444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1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51,963,377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126,920</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(4,713)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122,224</w:t>
            </w:r>
          </w:p>
        </w:tc>
      </w:tr>
      <w:tr>
        <w:trPr>
          <w:trHeight w:val="184"/>
        </w:trPr>
        <w:tc>
          <w:tcPr>
            <w:tcW w:w="44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610,480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184"/>
        </w:trPr>
        <w:tc>
          <w:tcPr>
            <w:tcW w:w="44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Cancellation of restricted shares</w:t>
            </w:r>
          </w:p>
        </w:tc>
        <w:tc>
          <w:tcPr>
            <w:tcW w:w="1200" w:type="dxa"/>
            <w:vAlign w:val="bottom"/>
            <w:gridSpan w:val="2"/>
            <w:shd w:val="clear" w:color="auto" w:fill="CCEEFF"/>
          </w:tcPr>
          <w:p>
            <w:pPr>
              <w:jc w:val="right"/>
              <w:ind w:right="100"/>
              <w:spacing w:after="0" w:line="184" w:lineRule="exact"/>
              <w:rPr>
                <w:sz w:val="20"/>
                <w:szCs w:val="20"/>
                <w:color w:val="auto"/>
              </w:rPr>
            </w:pPr>
            <w:r>
              <w:rPr>
                <w:rFonts w:ascii="Times New Roman" w:cs="Times New Roman" w:eastAsia="Times New Roman" w:hAnsi="Times New Roman"/>
                <w:sz w:val="18"/>
                <w:szCs w:val="18"/>
                <w:color w:val="auto"/>
              </w:rPr>
              <w:t>(264,513)</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184"/>
        </w:trPr>
        <w:tc>
          <w:tcPr>
            <w:tcW w:w="44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Stock based compensation</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1,832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1,832</w:t>
            </w:r>
          </w:p>
        </w:tc>
      </w:tr>
      <w:tr>
        <w:trPr>
          <w:trHeight w:val="166"/>
        </w:trPr>
        <w:tc>
          <w:tcPr>
            <w:tcW w:w="44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Tax withholdings related to net share settlements of stock</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compensation awards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(126,673)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184"/>
        </w:trPr>
        <w:tc>
          <w:tcPr>
            <w:tcW w:w="44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Repurchases of common stock</w:t>
            </w:r>
          </w:p>
        </w:tc>
        <w:tc>
          <w:tcPr>
            <w:tcW w:w="1200" w:type="dxa"/>
            <w:vAlign w:val="bottom"/>
            <w:gridSpan w:val="2"/>
          </w:tcPr>
          <w:p>
            <w:pPr>
              <w:jc w:val="right"/>
              <w:ind w:right="100"/>
              <w:spacing w:after="0" w:line="184" w:lineRule="exact"/>
              <w:rPr>
                <w:sz w:val="20"/>
                <w:szCs w:val="20"/>
                <w:color w:val="auto"/>
              </w:rPr>
            </w:pPr>
            <w:r>
              <w:rPr>
                <w:rFonts w:ascii="Times New Roman" w:cs="Times New Roman" w:eastAsia="Times New Roman" w:hAnsi="Times New Roman"/>
                <w:sz w:val="18"/>
                <w:szCs w:val="18"/>
                <w:color w:val="auto"/>
              </w:rPr>
              <w:t>(7,805,226)</w:t>
            </w:r>
          </w:p>
        </w:tc>
        <w:tc>
          <w:tcPr>
            <w:tcW w:w="120" w:type="dxa"/>
            <w:vAlign w:val="bottom"/>
          </w:tcPr>
          <w:p>
            <w:pPr>
              <w:spacing w:after="0"/>
              <w:rPr>
                <w:sz w:val="16"/>
                <w:szCs w:val="16"/>
                <w:color w:val="auto"/>
              </w:rPr>
            </w:pPr>
          </w:p>
        </w:tc>
        <w:tc>
          <w:tcPr>
            <w:tcW w:w="680" w:type="dxa"/>
            <w:vAlign w:val="bottom"/>
            <w:gridSpan w:val="2"/>
          </w:tcPr>
          <w:p>
            <w:pPr>
              <w:jc w:val="right"/>
              <w:ind w:right="40"/>
              <w:spacing w:after="0" w:line="184"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00"/>
              <w:spacing w:after="0" w:line="184" w:lineRule="exact"/>
              <w:rPr>
                <w:sz w:val="20"/>
                <w:szCs w:val="20"/>
                <w:color w:val="auto"/>
              </w:rPr>
            </w:pPr>
            <w:r>
              <w:rPr>
                <w:rFonts w:ascii="Times New Roman" w:cs="Times New Roman" w:eastAsia="Times New Roman" w:hAnsi="Times New Roman"/>
                <w:sz w:val="18"/>
                <w:szCs w:val="18"/>
                <w:color w:val="auto"/>
              </w:rPr>
              <w:t>(30,170)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(30,171)</w:t>
            </w:r>
          </w:p>
        </w:tc>
      </w:tr>
      <w:tr>
        <w:trPr>
          <w:trHeight w:val="184"/>
        </w:trPr>
        <w:tc>
          <w:tcPr>
            <w:tcW w:w="44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(64)</w:t>
            </w:r>
          </w:p>
        </w:tc>
      </w:tr>
      <w:tr>
        <w:trPr>
          <w:trHeight w:val="184"/>
        </w:trPr>
        <w:tc>
          <w:tcPr>
            <w:tcW w:w="4440" w:type="dxa"/>
            <w:vAlign w:val="bottom"/>
            <w:tcBorders>
              <w:bottom w:val="single" w:sz="8" w:color="CCEEFF"/>
            </w:tcBorders>
            <w:gridSpan w:val="2"/>
          </w:tcPr>
          <w:p>
            <w:pPr>
              <w:spacing w:after="0" w:line="184" w:lineRule="exact"/>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15,703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15,703</w:t>
            </w:r>
          </w:p>
        </w:tc>
      </w:tr>
      <w:tr>
        <w:trPr>
          <w:trHeight w:val="177"/>
        </w:trPr>
        <w:tc>
          <w:tcPr>
            <w:tcW w:w="44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44,377,445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127,997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(19,180)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108,769</w:t>
            </w:r>
          </w:p>
        </w:tc>
      </w:tr>
      <w:tr>
        <w:trPr>
          <w:trHeight w:val="184"/>
        </w:trPr>
        <w:tc>
          <w:tcPr>
            <w:tcW w:w="44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611,154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184"/>
        </w:trPr>
        <w:tc>
          <w:tcPr>
            <w:tcW w:w="44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options</w:t>
            </w:r>
          </w:p>
        </w:tc>
        <w:tc>
          <w:tcPr>
            <w:tcW w:w="11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1,790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w:t>
            </w:r>
          </w:p>
        </w:tc>
      </w:tr>
      <w:tr>
        <w:trPr>
          <w:trHeight w:val="184"/>
        </w:trPr>
        <w:tc>
          <w:tcPr>
            <w:tcW w:w="44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Cancellation of restricted shares</w:t>
            </w:r>
          </w:p>
        </w:tc>
        <w:tc>
          <w:tcPr>
            <w:tcW w:w="1200" w:type="dxa"/>
            <w:vAlign w:val="bottom"/>
            <w:gridSpan w:val="2"/>
          </w:tcPr>
          <w:p>
            <w:pPr>
              <w:jc w:val="right"/>
              <w:ind w:right="100"/>
              <w:spacing w:after="0" w:line="184" w:lineRule="exact"/>
              <w:rPr>
                <w:sz w:val="20"/>
                <w:szCs w:val="20"/>
                <w:color w:val="auto"/>
              </w:rPr>
            </w:pPr>
            <w:r>
              <w:rPr>
                <w:rFonts w:ascii="Times New Roman" w:cs="Times New Roman" w:eastAsia="Times New Roman" w:hAnsi="Times New Roman"/>
                <w:sz w:val="18"/>
                <w:szCs w:val="18"/>
                <w:color w:val="auto"/>
              </w:rPr>
              <w:t>(372,645)</w:t>
            </w:r>
          </w:p>
        </w:tc>
        <w:tc>
          <w:tcPr>
            <w:tcW w:w="120" w:type="dxa"/>
            <w:vAlign w:val="bottom"/>
          </w:tcPr>
          <w:p>
            <w:pPr>
              <w:spacing w:after="0"/>
              <w:rPr>
                <w:sz w:val="16"/>
                <w:szCs w:val="16"/>
                <w:color w:val="auto"/>
              </w:rPr>
            </w:pPr>
          </w:p>
        </w:tc>
        <w:tc>
          <w:tcPr>
            <w:tcW w:w="6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184"/>
        </w:trPr>
        <w:tc>
          <w:tcPr>
            <w:tcW w:w="44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Stock based compensation</w:t>
            </w:r>
          </w:p>
        </w:tc>
        <w:tc>
          <w:tcPr>
            <w:tcW w:w="11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1,392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1,392</w:t>
            </w:r>
          </w:p>
        </w:tc>
      </w:tr>
      <w:tr>
        <w:trPr>
          <w:trHeight w:val="166"/>
        </w:trPr>
        <w:tc>
          <w:tcPr>
            <w:tcW w:w="4440" w:type="dxa"/>
            <w:vAlign w:val="bottom"/>
            <w:gridSpan w:val="2"/>
          </w:tcPr>
          <w:p>
            <w:pPr>
              <w:spacing w:after="0" w:line="166" w:lineRule="exact"/>
              <w:rPr>
                <w:sz w:val="20"/>
                <w:szCs w:val="20"/>
                <w:color w:val="auto"/>
              </w:rPr>
            </w:pPr>
            <w:r>
              <w:rPr>
                <w:rFonts w:ascii="Times New Roman" w:cs="Times New Roman" w:eastAsia="Times New Roman" w:hAnsi="Times New Roman"/>
                <w:sz w:val="18"/>
                <w:szCs w:val="18"/>
                <w:color w:val="auto"/>
              </w:rPr>
              <w:t>Tax withholdings related to net share settlements of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compensation awards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(106,965)</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184"/>
        </w:trPr>
        <w:tc>
          <w:tcPr>
            <w:tcW w:w="44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(17)</w:t>
            </w:r>
          </w:p>
        </w:tc>
      </w:tr>
      <w:tr>
        <w:trPr>
          <w:trHeight w:val="184"/>
        </w:trPr>
        <w:tc>
          <w:tcPr>
            <w:tcW w:w="4440" w:type="dxa"/>
            <w:vAlign w:val="bottom"/>
            <w:tcBorders>
              <w:bottom w:val="single" w:sz="8" w:color="CCEEFF"/>
            </w:tcBorders>
            <w:gridSpan w:val="2"/>
          </w:tcPr>
          <w:p>
            <w:pPr>
              <w:spacing w:after="0" w:line="184" w:lineRule="exact"/>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10,071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10,071</w:t>
            </w:r>
          </w:p>
        </w:tc>
      </w:tr>
      <w:tr>
        <w:trPr>
          <w:trHeight w:val="177"/>
        </w:trPr>
        <w:tc>
          <w:tcPr>
            <w:tcW w:w="44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44,510,779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128,861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(9,109)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119,687</w:t>
            </w:r>
          </w:p>
        </w:tc>
      </w:tr>
      <w:tr>
        <w:trPr>
          <w:trHeight w:val="184"/>
        </w:trPr>
        <w:tc>
          <w:tcPr>
            <w:tcW w:w="44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497,893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184"/>
        </w:trPr>
        <w:tc>
          <w:tcPr>
            <w:tcW w:w="44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Cancellation of restricted shares</w:t>
            </w:r>
          </w:p>
        </w:tc>
        <w:tc>
          <w:tcPr>
            <w:tcW w:w="1200" w:type="dxa"/>
            <w:vAlign w:val="bottom"/>
            <w:gridSpan w:val="2"/>
            <w:shd w:val="clear" w:color="auto" w:fill="CCEEFF"/>
          </w:tcPr>
          <w:p>
            <w:pPr>
              <w:jc w:val="right"/>
              <w:ind w:right="100"/>
              <w:spacing w:after="0" w:line="184" w:lineRule="exact"/>
              <w:rPr>
                <w:sz w:val="20"/>
                <w:szCs w:val="20"/>
                <w:color w:val="auto"/>
              </w:rPr>
            </w:pPr>
            <w:r>
              <w:rPr>
                <w:rFonts w:ascii="Times New Roman" w:cs="Times New Roman" w:eastAsia="Times New Roman" w:hAnsi="Times New Roman"/>
                <w:sz w:val="18"/>
                <w:szCs w:val="18"/>
                <w:color w:val="auto"/>
              </w:rPr>
              <w:t>(275,689)</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184"/>
        </w:trPr>
        <w:tc>
          <w:tcPr>
            <w:tcW w:w="44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Stock based compensation</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1,338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1,338</w:t>
            </w:r>
          </w:p>
        </w:tc>
      </w:tr>
      <w:tr>
        <w:trPr>
          <w:trHeight w:val="166"/>
        </w:trPr>
        <w:tc>
          <w:tcPr>
            <w:tcW w:w="444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8"/>
                <w:szCs w:val="18"/>
                <w:color w:val="auto"/>
              </w:rPr>
              <w:t>Tax withholdings related to net share settlements of stock</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compensation awards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(75,085)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184"/>
        </w:trPr>
        <w:tc>
          <w:tcPr>
            <w:tcW w:w="44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1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69</w:t>
            </w:r>
          </w:p>
        </w:tc>
      </w:tr>
      <w:tr>
        <w:trPr>
          <w:trHeight w:val="184"/>
        </w:trPr>
        <w:tc>
          <w:tcPr>
            <w:tcW w:w="44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2,321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2,321</w:t>
            </w:r>
          </w:p>
        </w:tc>
      </w:tr>
      <w:tr>
        <w:trPr>
          <w:trHeight w:val="177"/>
        </w:trPr>
        <w:tc>
          <w:tcPr>
            <w:tcW w:w="444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44,657,898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129,696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(6,788)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5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122,912</w:t>
            </w:r>
          </w:p>
        </w:tc>
      </w:tr>
      <w:tr>
        <w:trPr>
          <w:trHeight w:val="20"/>
        </w:trPr>
        <w:tc>
          <w:tcPr>
            <w:tcW w:w="4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3"/>
        </w:trPr>
        <w:tc>
          <w:tcPr>
            <w:tcW w:w="1240" w:type="dxa"/>
            <w:vAlign w:val="bottom"/>
            <w:tcBorders>
              <w:top w:val="single" w:sz="8" w:color="0000FF"/>
            </w:tcBorders>
          </w:tcPr>
          <w:p>
            <w:pPr>
              <w:spacing w:after="0"/>
              <w:rPr>
                <w:sz w:val="24"/>
                <w:szCs w:val="24"/>
                <w:color w:val="auto"/>
              </w:rPr>
            </w:pPr>
          </w:p>
        </w:tc>
        <w:tc>
          <w:tcPr>
            <w:tcW w:w="6300" w:type="dxa"/>
            <w:vAlign w:val="bottom"/>
          </w:tcPr>
          <w:p>
            <w:pPr>
              <w:jc w:val="center"/>
              <w:ind w:left="2372"/>
              <w:spacing w:after="0"/>
              <w:rPr>
                <w:sz w:val="20"/>
                <w:szCs w:val="20"/>
                <w:color w:val="auto"/>
              </w:rPr>
            </w:pPr>
            <w:r>
              <w:rPr>
                <w:rFonts w:ascii="Times New Roman" w:cs="Times New Roman" w:eastAsia="Times New Roman" w:hAnsi="Times New Roman"/>
                <w:sz w:val="18"/>
                <w:szCs w:val="18"/>
                <w:b w:val="1"/>
                <w:bCs w:val="1"/>
                <w:color w:val="auto"/>
                <w:w w:val="96"/>
              </w:rPr>
              <w:t>Tile Shop Holdings, Inc. and Subsidiaries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6300" w:type="dxa"/>
            <w:vAlign w:val="bottom"/>
          </w:tcPr>
          <w:p>
            <w:pPr>
              <w:jc w:val="center"/>
              <w:ind w:left="2372"/>
              <w:spacing w:after="0" w:line="184" w:lineRule="exact"/>
              <w:rPr>
                <w:sz w:val="20"/>
                <w:szCs w:val="20"/>
                <w:color w:val="auto"/>
              </w:rPr>
            </w:pPr>
            <w:r>
              <w:rPr>
                <w:rFonts w:ascii="Times New Roman" w:cs="Times New Roman" w:eastAsia="Times New Roman" w:hAnsi="Times New Roman"/>
                <w:sz w:val="18"/>
                <w:szCs w:val="18"/>
                <w:color w:val="auto"/>
                <w:w w:val="97"/>
              </w:rPr>
              <w:t>Consolidated Statements of Cash Flows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6540" w:type="dxa"/>
            <w:vAlign w:val="bottom"/>
            <w:gridSpan w:val="2"/>
          </w:tcPr>
          <w:p>
            <w:pPr>
              <w:jc w:val="center"/>
              <w:ind w:left="2132"/>
              <w:spacing w:after="0" w:line="184" w:lineRule="exact"/>
              <w:rPr>
                <w:sz w:val="20"/>
                <w:szCs w:val="20"/>
                <w:color w:val="auto"/>
              </w:rPr>
            </w:pPr>
            <w:r>
              <w:rPr>
                <w:rFonts w:ascii="Times New Roman" w:cs="Times New Roman" w:eastAsia="Times New Roman" w:hAnsi="Times New Roman"/>
                <w:sz w:val="18"/>
                <w:szCs w:val="18"/>
                <w:color w:val="auto"/>
                <w:w w:val="97"/>
              </w:rPr>
              <w:t>For the years ended December 31, 2024, 2023 and 2022</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300" w:type="dxa"/>
            <w:vAlign w:val="bottom"/>
          </w:tcPr>
          <w:p>
            <w:pPr>
              <w:jc w:val="center"/>
              <w:ind w:left="2372"/>
              <w:spacing w:after="0"/>
              <w:rPr>
                <w:sz w:val="20"/>
                <w:szCs w:val="20"/>
                <w:color w:val="auto"/>
              </w:rPr>
            </w:pPr>
            <w:r>
              <w:rPr>
                <w:rFonts w:ascii="Times New Roman" w:cs="Times New Roman" w:eastAsia="Times New Roman" w:hAnsi="Times New Roman"/>
                <w:sz w:val="18"/>
                <w:szCs w:val="18"/>
                <w:color w:val="auto"/>
                <w:w w:val="97"/>
              </w:rPr>
              <w:t>(dollars in thousands)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4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gridSpan w:val="4"/>
          </w:tcPr>
          <w:p>
            <w:pPr>
              <w:spacing w:after="0" w:line="206" w:lineRule="exact"/>
              <w:rPr>
                <w:sz w:val="20"/>
                <w:szCs w:val="20"/>
                <w:color w:val="auto"/>
              </w:rPr>
            </w:pPr>
            <w:r>
              <w:rPr>
                <w:rFonts w:ascii="Times New Roman" w:cs="Times New Roman" w:eastAsia="Times New Roman" w:hAnsi="Times New Roman"/>
                <w:sz w:val="18"/>
                <w:szCs w:val="18"/>
                <w:color w:val="auto"/>
                <w:w w:val="99"/>
              </w:rPr>
              <w:t>For the years ended,</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77"/>
        </w:trPr>
        <w:tc>
          <w:tcPr>
            <w:tcW w:w="75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2,321</w:t>
            </w:r>
          </w:p>
        </w:tc>
        <w:tc>
          <w:tcPr>
            <w:tcW w:w="420" w:type="dxa"/>
            <w:vAlign w:val="bottom"/>
            <w:gridSpan w:val="2"/>
            <w:shd w:val="clear" w:color="auto" w:fill="CCEEFF"/>
          </w:tcPr>
          <w:p>
            <w:pPr>
              <w:jc w:val="right"/>
              <w:ind w:right="52"/>
              <w:spacing w:after="0" w:line="184"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10,071</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15,703</w:t>
            </w:r>
          </w:p>
        </w:tc>
        <w:tc>
          <w:tcPr>
            <w:tcW w:w="0" w:type="dxa"/>
            <w:vAlign w:val="bottom"/>
          </w:tcPr>
          <w:p>
            <w:pPr>
              <w:spacing w:after="0"/>
              <w:rPr>
                <w:sz w:val="1"/>
                <w:szCs w:val="1"/>
                <w:color w:val="auto"/>
              </w:rPr>
            </w:pPr>
          </w:p>
        </w:tc>
      </w:tr>
      <w:tr>
        <w:trPr>
          <w:trHeight w:val="184"/>
        </w:trPr>
        <w:tc>
          <w:tcPr>
            <w:tcW w:w="75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17,759</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21,229</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25,142</w:t>
            </w:r>
          </w:p>
        </w:tc>
        <w:tc>
          <w:tcPr>
            <w:tcW w:w="0" w:type="dxa"/>
            <w:vAlign w:val="bottom"/>
          </w:tcPr>
          <w:p>
            <w:pPr>
              <w:spacing w:after="0"/>
              <w:rPr>
                <w:sz w:val="1"/>
                <w:szCs w:val="1"/>
                <w:color w:val="auto"/>
              </w:rPr>
            </w:pPr>
          </w:p>
        </w:tc>
      </w:tr>
      <w:tr>
        <w:trPr>
          <w:trHeight w:val="184"/>
        </w:trPr>
        <w:tc>
          <w:tcPr>
            <w:tcW w:w="7540" w:type="dxa"/>
            <w:vAlign w:val="bottom"/>
            <w:gridSpan w:val="2"/>
          </w:tcPr>
          <w:p>
            <w:pPr>
              <w:ind w:left="220"/>
              <w:spacing w:after="0" w:line="184" w:lineRule="exact"/>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257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Gain on disposals of property, plant and equipment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540" w:type="dxa"/>
            <w:vAlign w:val="bottom"/>
            <w:gridSpan w:val="2"/>
          </w:tcPr>
          <w:p>
            <w:pPr>
              <w:ind w:left="220"/>
              <w:spacing w:after="0" w:line="184" w:lineRule="exact"/>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949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1,027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26,950</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25,844</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25,779</w:t>
            </w:r>
          </w:p>
        </w:tc>
        <w:tc>
          <w:tcPr>
            <w:tcW w:w="0" w:type="dxa"/>
            <w:vAlign w:val="bottom"/>
          </w:tcPr>
          <w:p>
            <w:pPr>
              <w:spacing w:after="0"/>
              <w:rPr>
                <w:sz w:val="1"/>
                <w:szCs w:val="1"/>
                <w:color w:val="auto"/>
              </w:rPr>
            </w:pPr>
          </w:p>
        </w:tc>
      </w:tr>
      <w:tr>
        <w:trPr>
          <w:trHeight w:val="184"/>
        </w:trPr>
        <w:tc>
          <w:tcPr>
            <w:tcW w:w="7540" w:type="dxa"/>
            <w:vAlign w:val="bottom"/>
            <w:gridSpan w:val="2"/>
          </w:tcPr>
          <w:p>
            <w:pPr>
              <w:ind w:left="220"/>
              <w:spacing w:after="0" w:line="184" w:lineRule="exact"/>
              <w:rPr>
                <w:sz w:val="20"/>
                <w:szCs w:val="20"/>
                <w:color w:val="auto"/>
              </w:rPr>
            </w:pPr>
            <w:r>
              <w:rPr>
                <w:rFonts w:ascii="Times New Roman" w:cs="Times New Roman" w:eastAsia="Times New Roman" w:hAnsi="Times New Roman"/>
                <w:sz w:val="18"/>
                <w:szCs w:val="18"/>
                <w:color w:val="auto"/>
              </w:rPr>
              <w:t>Stock based compensation</w:t>
            </w:r>
          </w:p>
        </w:tc>
        <w:tc>
          <w:tcPr>
            <w:tcW w:w="24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1,338</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1,392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1,280</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184"/>
        </w:trPr>
        <w:tc>
          <w:tcPr>
            <w:tcW w:w="7540" w:type="dxa"/>
            <w:vAlign w:val="bottom"/>
            <w:gridSpan w:val="2"/>
          </w:tcPr>
          <w:p>
            <w:pPr>
              <w:ind w:left="220"/>
              <w:spacing w:after="0" w:line="184"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320"/>
              <w:spacing w:after="0" w:line="184" w:lineRule="exact"/>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(203)</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528</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184"/>
        </w:trPr>
        <w:tc>
          <w:tcPr>
            <w:tcW w:w="7540" w:type="dxa"/>
            <w:vAlign w:val="bottom"/>
            <w:gridSpan w:val="2"/>
          </w:tcPr>
          <w:p>
            <w:pPr>
              <w:ind w:left="320"/>
              <w:spacing w:after="0" w:line="184" w:lineRule="exact"/>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7,413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27,272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(23,777)</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320"/>
              <w:spacing w:after="0" w:line="184" w:lineRule="exact"/>
              <w:rPr>
                <w:sz w:val="20"/>
                <w:szCs w:val="20"/>
                <w:color w:val="auto"/>
              </w:rPr>
            </w:pPr>
            <w:r>
              <w:rPr>
                <w:rFonts w:ascii="Times New Roman" w:cs="Times New Roman" w:eastAsia="Times New Roman" w:hAnsi="Times New Roman"/>
                <w:sz w:val="18"/>
                <w:szCs w:val="18"/>
                <w:color w:val="auto"/>
              </w:rPr>
              <w:t>Other current assets, net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1,723</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3,316</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184"/>
        </w:trPr>
        <w:tc>
          <w:tcPr>
            <w:tcW w:w="7540" w:type="dxa"/>
            <w:vAlign w:val="bottom"/>
            <w:gridSpan w:val="2"/>
          </w:tcPr>
          <w:p>
            <w:pPr>
              <w:ind w:left="320"/>
              <w:spacing w:after="0" w:line="184" w:lineRule="exact"/>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826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(8,057)</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320"/>
              <w:spacing w:after="0" w:line="184" w:lineRule="exact"/>
              <w:rPr>
                <w:sz w:val="20"/>
                <w:szCs w:val="20"/>
                <w:color w:val="auto"/>
              </w:rPr>
            </w:pPr>
            <w:r>
              <w:rPr>
                <w:rFonts w:ascii="Times New Roman" w:cs="Times New Roman" w:eastAsia="Times New Roman" w:hAnsi="Times New Roman"/>
                <w:sz w:val="18"/>
                <w:szCs w:val="18"/>
                <w:color w:val="auto"/>
              </w:rPr>
              <w:t>Income tax receivable / payable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(1,793)</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4,861</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184"/>
        </w:trPr>
        <w:tc>
          <w:tcPr>
            <w:tcW w:w="7540" w:type="dxa"/>
            <w:vAlign w:val="bottom"/>
            <w:tcBorders>
              <w:bottom w:val="single" w:sz="8" w:color="CCEEFF"/>
            </w:tcBorders>
            <w:gridSpan w:val="2"/>
          </w:tcPr>
          <w:p>
            <w:pPr>
              <w:ind w:left="320"/>
              <w:spacing w:after="0" w:line="184" w:lineRule="exact"/>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(30,476)</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(35,127)</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(34,966)</w:t>
            </w:r>
          </w:p>
        </w:tc>
        <w:tc>
          <w:tcPr>
            <w:tcW w:w="0" w:type="dxa"/>
            <w:vAlign w:val="bottom"/>
          </w:tcPr>
          <w:p>
            <w:pPr>
              <w:spacing w:after="0"/>
              <w:rPr>
                <w:sz w:val="1"/>
                <w:szCs w:val="1"/>
                <w:color w:val="auto"/>
              </w:rPr>
            </w:pPr>
          </w:p>
        </w:tc>
      </w:tr>
      <w:tr>
        <w:trPr>
          <w:trHeight w:val="177"/>
        </w:trPr>
        <w:tc>
          <w:tcPr>
            <w:tcW w:w="7540" w:type="dxa"/>
            <w:vAlign w:val="bottom"/>
            <w:gridSpan w:val="2"/>
            <w:shd w:val="clear" w:color="auto" w:fill="CCEEFF"/>
          </w:tcPr>
          <w:p>
            <w:pPr>
              <w:ind w:left="420"/>
              <w:spacing w:after="0" w:line="177"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27,107</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62,060</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2,715</w:t>
            </w:r>
          </w:p>
        </w:tc>
        <w:tc>
          <w:tcPr>
            <w:tcW w:w="0" w:type="dxa"/>
            <w:vAlign w:val="bottom"/>
          </w:tcPr>
          <w:p>
            <w:pPr>
              <w:spacing w:after="0"/>
              <w:rPr>
                <w:sz w:val="1"/>
                <w:szCs w:val="1"/>
                <w:color w:val="auto"/>
              </w:rPr>
            </w:pPr>
          </w:p>
        </w:tc>
      </w:tr>
      <w:tr>
        <w:trPr>
          <w:trHeight w:val="184"/>
        </w:trPr>
        <w:tc>
          <w:tcPr>
            <w:tcW w:w="75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Cash Flows Used in Investing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Purchases of property, plant and equipment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(14,538)</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(15,313)</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(14,027)</w:t>
            </w:r>
          </w:p>
        </w:tc>
        <w:tc>
          <w:tcPr>
            <w:tcW w:w="0" w:type="dxa"/>
            <w:vAlign w:val="bottom"/>
          </w:tcPr>
          <w:p>
            <w:pPr>
              <w:spacing w:after="0"/>
              <w:rPr>
                <w:sz w:val="1"/>
                <w:szCs w:val="1"/>
                <w:color w:val="auto"/>
              </w:rPr>
            </w:pPr>
          </w:p>
        </w:tc>
      </w:tr>
      <w:tr>
        <w:trPr>
          <w:trHeight w:val="184"/>
        </w:trPr>
        <w:tc>
          <w:tcPr>
            <w:tcW w:w="754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Proceeds from insurance</w:t>
            </w:r>
          </w:p>
        </w:tc>
        <w:tc>
          <w:tcPr>
            <w:tcW w:w="24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7540" w:type="dxa"/>
            <w:vAlign w:val="bottom"/>
            <w:gridSpan w:val="2"/>
          </w:tcPr>
          <w:p>
            <w:pPr>
              <w:ind w:left="420"/>
              <w:spacing w:after="0" w:line="177"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(14,336)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(15,255)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(14,027)</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54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Payments of long-term debt and financing lease obligations</w:t>
            </w:r>
          </w:p>
        </w:tc>
        <w:tc>
          <w:tcPr>
            <w:tcW w:w="24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(65,400)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Advances on line of credit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20,000</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90,400</w:t>
            </w:r>
          </w:p>
        </w:tc>
        <w:tc>
          <w:tcPr>
            <w:tcW w:w="0" w:type="dxa"/>
            <w:vAlign w:val="bottom"/>
          </w:tcPr>
          <w:p>
            <w:pPr>
              <w:spacing w:after="0"/>
              <w:rPr>
                <w:sz w:val="1"/>
                <w:szCs w:val="1"/>
                <w:color w:val="auto"/>
              </w:rPr>
            </w:pPr>
          </w:p>
        </w:tc>
      </w:tr>
      <w:tr>
        <w:trPr>
          <w:trHeight w:val="184"/>
        </w:trPr>
        <w:tc>
          <w:tcPr>
            <w:tcW w:w="754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Proceeds from exercise of stock options</w:t>
            </w:r>
          </w:p>
        </w:tc>
        <w:tc>
          <w:tcPr>
            <w:tcW w:w="24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Repurchases of common stock</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(30,171)</w:t>
            </w:r>
          </w:p>
        </w:tc>
        <w:tc>
          <w:tcPr>
            <w:tcW w:w="0" w:type="dxa"/>
            <w:vAlign w:val="bottom"/>
          </w:tcPr>
          <w:p>
            <w:pPr>
              <w:spacing w:after="0"/>
              <w:rPr>
                <w:sz w:val="1"/>
                <w:szCs w:val="1"/>
                <w:color w:val="auto"/>
              </w:rPr>
            </w:pPr>
          </w:p>
        </w:tc>
      </w:tr>
      <w:tr>
        <w:trPr>
          <w:trHeight w:val="184"/>
        </w:trPr>
        <w:tc>
          <w:tcPr>
            <w:tcW w:w="754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Employee taxes paid for shares withheld</w:t>
            </w:r>
          </w:p>
        </w:tc>
        <w:tc>
          <w:tcPr>
            <w:tcW w:w="24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(503)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(532)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177"/>
        </w:trPr>
        <w:tc>
          <w:tcPr>
            <w:tcW w:w="7540" w:type="dxa"/>
            <w:vAlign w:val="bottom"/>
            <w:gridSpan w:val="2"/>
          </w:tcPr>
          <w:p>
            <w:pPr>
              <w:ind w:left="420"/>
              <w:spacing w:after="0" w:line="177" w:lineRule="exact"/>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(503)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(45,928)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9,114</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77"/>
        </w:trPr>
        <w:tc>
          <w:tcPr>
            <w:tcW w:w="754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12,337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861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8,620</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7,759</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10,013</w:t>
            </w:r>
          </w:p>
        </w:tc>
        <w:tc>
          <w:tcPr>
            <w:tcW w:w="0" w:type="dxa"/>
            <w:vAlign w:val="bottom"/>
          </w:tcPr>
          <w:p>
            <w:pPr>
              <w:spacing w:after="0"/>
              <w:rPr>
                <w:sz w:val="1"/>
                <w:szCs w:val="1"/>
                <w:color w:val="auto"/>
              </w:rPr>
            </w:pPr>
          </w:p>
        </w:tc>
      </w:tr>
      <w:tr>
        <w:trPr>
          <w:trHeight w:val="217"/>
        </w:trPr>
        <w:tc>
          <w:tcPr>
            <w:tcW w:w="7540" w:type="dxa"/>
            <w:vAlign w:val="bottom"/>
            <w:tcBorders>
              <w:bottom w:val="single" w:sz="8" w:color="CCEEFF"/>
            </w:tcBorders>
            <w:gridSpan w:val="2"/>
          </w:tcPr>
          <w:p>
            <w:pPr>
              <w:spacing w:after="0" w:line="177" w:lineRule="exact"/>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tcBorders>
              <w:bottom w:val="single" w:sz="8" w:color="auto"/>
            </w:tcBorders>
          </w:tcPr>
          <w:p>
            <w:pPr>
              <w:jc w:val="right"/>
              <w:ind w:right="5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20,957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8,620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7,759</w:t>
            </w: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spacing w:after="0"/>
              <w:rPr>
                <w:sz w:val="14"/>
                <w:szCs w:val="14"/>
                <w:color w:val="auto"/>
              </w:rPr>
            </w:pPr>
          </w:p>
        </w:tc>
        <w:tc>
          <w:tcPr>
            <w:tcW w:w="6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5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20,957</w:t>
            </w:r>
          </w:p>
        </w:tc>
        <w:tc>
          <w:tcPr>
            <w:tcW w:w="420" w:type="dxa"/>
            <w:vAlign w:val="bottom"/>
            <w:gridSpan w:val="2"/>
          </w:tcPr>
          <w:p>
            <w:pPr>
              <w:jc w:val="right"/>
              <w:ind w:right="52"/>
              <w:spacing w:after="0" w:line="184"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8,620</w:t>
            </w:r>
          </w:p>
        </w:tc>
        <w:tc>
          <w:tcPr>
            <w:tcW w:w="180" w:type="dxa"/>
            <w:vAlign w:val="bottom"/>
          </w:tcPr>
          <w:p>
            <w:pPr>
              <w:spacing w:after="0"/>
              <w:rPr>
                <w:sz w:val="16"/>
                <w:szCs w:val="16"/>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7"/>
        </w:trPr>
        <w:tc>
          <w:tcPr>
            <w:tcW w:w="7540" w:type="dxa"/>
            <w:vAlign w:val="bottom"/>
            <w:tcBorders>
              <w:bottom w:val="single" w:sz="8" w:color="CCEEFF"/>
            </w:tcBorders>
            <w:gridSpan w:val="2"/>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40" w:type="dxa"/>
            <w:vAlign w:val="bottom"/>
            <w:tcBorders>
              <w:bottom w:val="single" w:sz="8" w:color="auto"/>
            </w:tcBorders>
          </w:tcPr>
          <w:p>
            <w:pPr>
              <w:jc w:val="right"/>
              <w:ind w:right="5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20,957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8,620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7,759</w:t>
            </w: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spacing w:after="0"/>
              <w:rPr>
                <w:sz w:val="14"/>
                <w:szCs w:val="14"/>
                <w:color w:val="auto"/>
              </w:rPr>
            </w:pPr>
          </w:p>
        </w:tc>
        <w:tc>
          <w:tcPr>
            <w:tcW w:w="6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5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Purchases of property, plant and equipment included in accounts payable and accrued expenses</w:t>
            </w:r>
          </w:p>
        </w:tc>
        <w:tc>
          <w:tcPr>
            <w:tcW w:w="240" w:type="dxa"/>
            <w:vAlign w:val="bottom"/>
            <w:shd w:val="clear" w:color="auto" w:fill="CCEEFF"/>
          </w:tcPr>
          <w:p>
            <w:pPr>
              <w:jc w:val="right"/>
              <w:ind w:right="5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59</w:t>
            </w:r>
          </w:p>
        </w:tc>
        <w:tc>
          <w:tcPr>
            <w:tcW w:w="420" w:type="dxa"/>
            <w:vAlign w:val="bottom"/>
            <w:gridSpan w:val="2"/>
            <w:shd w:val="clear" w:color="auto" w:fill="CCEEFF"/>
          </w:tcPr>
          <w:p>
            <w:pPr>
              <w:jc w:val="right"/>
              <w:ind w:right="52"/>
              <w:spacing w:after="0" w:line="184"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430</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184"/>
        </w:trPr>
        <w:tc>
          <w:tcPr>
            <w:tcW w:w="754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306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2,082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184"/>
        </w:trPr>
        <w:tc>
          <w:tcPr>
            <w:tcW w:w="754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Cash paid (received) for income taxes, net of refunds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2,349</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(2,218)</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4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176"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The Tile Shop, LLC (“The Tile Shop”) was founded in 1985 and Tile Shop Holdings, Inc. (“Holdings,” and together with its wholly owned subsidiaries, including The Tile Shop, the “Company”) was incorporated in Delaware in June 2012. The Company is a specialty retailer of man-made and natural stone tiles, luxury vinyl tiles, setting and maintenance materials, and related accessories in the United States. The Company’s assortment includes over 6,000 products from around the world. Natural stone products include marble, travertine, granite, quartz, sandstone, slate, and onyx tiles. Man-made products include ceramic, porcelain, glass, cement, wood look, metal and luxury vinyl tile. The majority of the tile products are sold under the Company's proprietary Rush River and Fired Earth brand names. The Company purchases tile products, accessories and tools directly from its network of suppliers. The Company manufactures its own setting and maintenance materials, such as thinset, grout and sealer, under the Superior brand name, as well as works with other suppliers to manufacture private label products. As of December 31, 2024, the Company operated 142 stores in 31 states and the District of Columbia, with an average size of approximately 20,000 square feet.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of Holdings include the accounts of its wholly owned subsidiaries and variable interest entities for which the Company is the primary beneficiary. All significant intercompany transactions have been eliminated in consolidation.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6"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(“GAAP”) requires management to make estimates and assumptions that affect the amounts reported in the consolidated financial statements. The Company’s estimates and judgments are based on historical experience and various other assumptions that it believes are reasonable under the circumstances. The amount of assets and liabilities reported on the Company's balance sheets and the amounts of income and expenses reported for each of the periods presented are affected by estimates and assumptions, which are used for, but not limited to, the accounting for revenue recognition and related reserves for sales returns, useful lives of property, plant and equipment, determining impairment of property, plant and equipment and right of use assets, accounting for leases, valuation of inventory, and income taxes. Actual results may differ from these estimates.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6"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The Company had cash and cash equivalents of $21.0 million and $8.6 million at December 31, 2024 and 2023, respectively. The Company considers all highly liquid investments with an original maturity date of three months or less when purchased to be cash equivalents. The payments due from banks for debit and credit card transactions are generally received, or settled, within 24 to 48 hours of the transmission date. The Company considers all debit and credit card transactions that settle in less than seven days to be cash and cash equivalents. Amounts due from the banks for these transactions classified as cash and cash equivalents totaled $1.9 million and $3.0 million at December 31, 2024 and 2023,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17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Trade receivables are carried at original invoice amount less an estimate made for doubtful accounts. Management determines the allowance for credit losses on a specific identification basis and by leveraging information on historical losses, current conditions, and reasonable and supportable forecasts of future conditions. Trade receivables are written off when deemed uncollectible. Recoveries of trade receivables previously written off are recorded when received. The allowance for doubtful accounts was $0.3 million as of both December 31, 2024 and 2023. The Company does not accrue interest on accounts receivable.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76"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The Company’s inventory consists of manufactured items and purchased merchandise held for resale. Inventories are stated at the lower of cost (determined using the moving average cost method) or net realizable value. The Company capitalizes the cost of inbound freight, duties, and receiving and handling costs to bring purchased materials into its distribution network. The labor and overhead costs incurred in connection with the production process are included in the value of manufactured finished goods.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were comprised of the following as of December 31: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4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99"/>
              </w:rPr>
              <w:t>2023</w:t>
            </w:r>
          </w:p>
        </w:tc>
      </w:tr>
      <w:tr>
        <w:trPr>
          <w:trHeight w:val="177"/>
        </w:trPr>
        <w:tc>
          <w:tcPr>
            <w:tcW w:w="47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15"/>
                <w:szCs w:val="15"/>
                <w:color w:val="auto"/>
              </w:rPr>
            </w:pPr>
          </w:p>
        </w:tc>
      </w:tr>
      <w:tr>
        <w:trPr>
          <w:trHeight w:val="184"/>
        </w:trPr>
        <w:tc>
          <w:tcPr>
            <w:tcW w:w="47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Finished goods</w:t>
            </w:r>
          </w:p>
        </w:tc>
        <w:tc>
          <w:tcPr>
            <w:tcW w:w="3920" w:type="dxa"/>
            <w:vAlign w:val="bottom"/>
            <w:gridSpan w:val="2"/>
            <w:shd w:val="clear" w:color="auto" w:fill="CCEEFF"/>
          </w:tcPr>
          <w:p>
            <w:pPr>
              <w:jc w:val="right"/>
              <w:ind w:right="118"/>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84,255</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92,205</w:t>
            </w:r>
          </w:p>
        </w:tc>
      </w:tr>
      <w:tr>
        <w:trPr>
          <w:trHeight w:val="184"/>
        </w:trPr>
        <w:tc>
          <w:tcPr>
            <w:tcW w:w="4720" w:type="dxa"/>
            <w:vAlign w:val="bottom"/>
            <w:tcBorders>
              <w:bottom w:val="single" w:sz="8" w:color="CCEEFF"/>
            </w:tcBorders>
          </w:tcPr>
          <w:p>
            <w:pPr>
              <w:spacing w:after="0" w:line="184" w:lineRule="exact"/>
              <w:rPr>
                <w:sz w:val="20"/>
                <w:szCs w:val="20"/>
                <w:color w:val="auto"/>
              </w:rPr>
            </w:pPr>
            <w:r>
              <w:rPr>
                <w:rFonts w:ascii="Times New Roman" w:cs="Times New Roman" w:eastAsia="Times New Roman" w:hAnsi="Times New Roman"/>
                <w:sz w:val="18"/>
                <w:szCs w:val="18"/>
                <w:color w:val="auto"/>
              </w:rPr>
              <w:t>Raw materials</w:t>
            </w:r>
          </w:p>
        </w:tc>
        <w:tc>
          <w:tcPr>
            <w:tcW w:w="3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2,012</w:t>
            </w: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1,474</w:t>
            </w:r>
          </w:p>
        </w:tc>
      </w:tr>
      <w:tr>
        <w:trPr>
          <w:trHeight w:val="177"/>
        </w:trPr>
        <w:tc>
          <w:tcPr>
            <w:tcW w:w="472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w:t>
            </w:r>
          </w:p>
        </w:tc>
        <w:tc>
          <w:tcPr>
            <w:tcW w:w="36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86,267</w:t>
            </w:r>
          </w:p>
        </w:tc>
        <w:tc>
          <w:tcPr>
            <w:tcW w:w="1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9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93,679</w:t>
            </w:r>
          </w:p>
        </w:tc>
      </w:tr>
      <w:tr>
        <w:trPr>
          <w:trHeight w:val="20"/>
        </w:trPr>
        <w:tc>
          <w:tcPr>
            <w:tcW w:w="47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18"/>
          <w:szCs w:val="18"/>
          <w:color w:val="auto"/>
        </w:rPr>
        <w:t>The Company provides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sell through and changes in actual shrinkage trends. The provision for losses related to shrinkage and other amounts was $1.2 million and $1.3 million as of December 31, 2024 and 2023,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3"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records interest and penalties relating to uncertain tax positions in income tax expense. As of December 31, 2024 and 2023, the Company has not recognized any liabilities for uncertain tax positions nor has the Company accrued interest and penalties related to uncertain tax positions.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Company’s customers, in an amount that reflects the consideration received in exchange for those goods or services. The Company recognizes service revenue, which consists primarily of freight charges for home delivery, when the service has been rendered. The Company is required to charge and collect sales and other taxes on sales to the Company's customers and remit these taxes back to government authorities. Total revenues do not include sales tax because the Company is a pass-through conduit for collecting and remitting sales tax. Sales are reduced by an allowance for anticipated sales returns that the Company estimates based on historical returns.</w:t>
      </w:r>
    </w:p>
    <w:p>
      <w:pPr>
        <w:spacing w:after="0" w:line="156"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18"/>
          <w:szCs w:val="18"/>
          <w:color w:val="auto"/>
        </w:rPr>
        <w:t>The Company generally requires customers to pay a deposit when purchasing inventory that is not regularly carried at the store location, or not currently in stock. These deposits are included in other current accrued liabilities until the customer takes possession of the merchandise.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Return Reserve</w:t>
      </w:r>
    </w:p>
    <w:p>
      <w:pPr>
        <w:spacing w:after="0" w:line="163"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Customers may return purchased items for an exchange or refund. The process to establish a sales return reserve contains uncertainties because it requires management to make assumptions and to apply judgment to estimate future returns and exchanges. The customer may receive a refund or exchange the original product for a replacement of equal or similar quality for a period of two months from the time of original purchase. Products received back under this policy are reconditioned pursuant to state laws and resold. The Company records a reserve for estimated product returns, based on historical return trends together with current product sales performance.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4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 and Selling, General and Administrative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costs classified in each major expense category 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Materials cost;</w:t>
      </w:r>
    </w:p>
    <w:p>
      <w:pPr>
        <w:ind w:left="640" w:right="3900"/>
        <w:spacing w:after="0" w:line="220" w:lineRule="auto"/>
        <w:rPr>
          <w:sz w:val="20"/>
          <w:szCs w:val="20"/>
          <w:color w:val="auto"/>
        </w:rPr>
      </w:pPr>
      <w:r>
        <w:rPr>
          <w:rFonts w:ascii="Times New Roman" w:cs="Times New Roman" w:eastAsia="Times New Roman" w:hAnsi="Times New Roman"/>
          <w:sz w:val="18"/>
          <w:szCs w:val="18"/>
          <w:color w:val="auto"/>
        </w:rPr>
        <w:t>Shipping and transportation expenses to bring products into the Company's distribution centers; Customs and duty expenses;</w:t>
      </w:r>
    </w:p>
    <w:p>
      <w:pPr>
        <w:spacing w:after="0" w:line="1" w:lineRule="exact"/>
        <w:rPr>
          <w:sz w:val="20"/>
          <w:szCs w:val="20"/>
          <w:color w:val="auto"/>
        </w:rPr>
      </w:pPr>
    </w:p>
    <w:p>
      <w:pPr>
        <w:ind w:left="640" w:right="7600"/>
        <w:spacing w:after="0" w:line="213" w:lineRule="auto"/>
        <w:rPr>
          <w:sz w:val="20"/>
          <w:szCs w:val="20"/>
          <w:color w:val="auto"/>
        </w:rPr>
      </w:pPr>
      <w:r>
        <w:rPr>
          <w:rFonts w:ascii="Times New Roman" w:cs="Times New Roman" w:eastAsia="Times New Roman" w:hAnsi="Times New Roman"/>
          <w:sz w:val="18"/>
          <w:szCs w:val="18"/>
          <w:color w:val="auto"/>
        </w:rPr>
        <w:t>Customer shipping and handling expenses; Physical inventory losses;</w:t>
      </w:r>
    </w:p>
    <w:p>
      <w:pPr>
        <w:ind w:left="640" w:right="4800"/>
        <w:spacing w:after="0" w:line="227" w:lineRule="auto"/>
        <w:rPr>
          <w:sz w:val="20"/>
          <w:szCs w:val="20"/>
          <w:color w:val="auto"/>
        </w:rPr>
      </w:pPr>
      <w:r>
        <w:rPr>
          <w:rFonts w:ascii="Times New Roman" w:cs="Times New Roman" w:eastAsia="Times New Roman" w:hAnsi="Times New Roman"/>
          <w:sz w:val="18"/>
          <w:szCs w:val="18"/>
          <w:color w:val="auto"/>
        </w:rPr>
        <w:t>Costs incurred at distribution centers in connection with the receiving process; and Labor and overhead costs incurred to manufacture inventory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&amp; Administrative (sometimes referred to as “SG&amp;A”) Expenses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compensation costs for store, corporate and distribution employees;</w:t>
      </w:r>
    </w:p>
    <w:p>
      <w:pPr>
        <w:ind w:left="320"/>
        <w:spacing w:after="0" w:line="228" w:lineRule="auto"/>
        <w:rPr>
          <w:sz w:val="20"/>
          <w:szCs w:val="20"/>
          <w:color w:val="auto"/>
        </w:rPr>
      </w:pPr>
      <w:r>
        <w:rPr>
          <w:rFonts w:ascii="Times New Roman" w:cs="Times New Roman" w:eastAsia="Times New Roman" w:hAnsi="Times New Roman"/>
          <w:sz w:val="18"/>
          <w:szCs w:val="18"/>
          <w:color w:val="auto"/>
        </w:rPr>
        <w:t>Occupancy, utilities and maintenance costs of store and corporate facilities;</w:t>
      </w:r>
    </w:p>
    <w:p>
      <w:pPr>
        <w:ind w:left="640" w:right="2040"/>
        <w:spacing w:after="0" w:line="213" w:lineRule="auto"/>
        <w:rPr>
          <w:sz w:val="20"/>
          <w:szCs w:val="20"/>
          <w:color w:val="auto"/>
        </w:rPr>
      </w:pPr>
      <w:r>
        <w:rPr>
          <w:rFonts w:ascii="Times New Roman" w:cs="Times New Roman" w:eastAsia="Times New Roman" w:hAnsi="Times New Roman"/>
          <w:sz w:val="18"/>
          <w:szCs w:val="18"/>
          <w:color w:val="auto"/>
        </w:rPr>
        <w:t>Shipping and transportation expenses to move inventory from the Company's distribution centers to the Company's stores; Depreciation and amortization; and</w:t>
      </w:r>
    </w:p>
    <w:p>
      <w:pPr>
        <w:ind w:left="320"/>
        <w:spacing w:after="0"/>
        <w:rPr>
          <w:sz w:val="20"/>
          <w:szCs w:val="20"/>
          <w:color w:val="auto"/>
        </w:rPr>
      </w:pPr>
      <w:r>
        <w:rPr>
          <w:rFonts w:ascii="Times New Roman" w:cs="Times New Roman" w:eastAsia="Times New Roman" w:hAnsi="Times New Roman"/>
          <w:sz w:val="18"/>
          <w:szCs w:val="18"/>
          <w:color w:val="auto"/>
        </w:rPr>
        <w:t>Advertising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176"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The Company recognizes expense for its stock based compensation based on the fair value of the awards on the grant date. The Company may issue incentive awards in the form of stock options, restricted stock awards and other equity awards to employees and non-employee directors. Compensation expense is recognized on a straight-line basis over the requisite service period, net of actual forfeitures. Certain awards are also subject to forfeiture if the Company fails to attain its Adjusted EBITDA or Pretax Return on Capital Employed targets. The Company adjusts the cumulative expense recognized on awards with performance conditions based on a probability of achieving the performance condition.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17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bank deposits. By their nature, all such instruments involve risks, including credit risks of non-performance by counterparties. A substantial portion of the Company's cash and cash equivalents and bank deposits are invested with banks with high investment grade credit ratings.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Concentration</w:t>
      </w:r>
    </w:p>
    <w:p>
      <w:pPr>
        <w:spacing w:after="0" w:line="17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The Company purchases merchandise inventories from approximately 200 different suppliers worldwide. Significant suppliers are those that account for greater than 10% of the Company’s annual purchases.</w:t>
      </w:r>
    </w:p>
    <w:p>
      <w:pPr>
        <w:spacing w:after="0" w:line="155"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During the year ended December 31, 2024, the Company purchased materials from one significant supplier which represented a total of 11.4% of the Company’s total purchases. As of December 31, 2024, the accounts payable balance due to the significant supplier was $0.6 million. During the year ended December 31, 2023, the Company purchased materials from two significant suppliers which represented a total of 25.5% of the Company’s total purchases. As of December 31, 2023, the accounts payable balance due to the significant suppliers was $0.6 million. During the year ended December 31, 2022, there were no suppliers considered significant suppliers.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76" w:lineRule="exact"/>
        <w:rPr>
          <w:sz w:val="20"/>
          <w:szCs w:val="20"/>
          <w:color w:val="auto"/>
        </w:rPr>
      </w:pPr>
    </w:p>
    <w:p>
      <w:pPr>
        <w:jc w:val="both"/>
        <w:ind w:right="320"/>
        <w:spacing w:after="0" w:line="235" w:lineRule="auto"/>
        <w:rPr>
          <w:sz w:val="20"/>
          <w:szCs w:val="20"/>
          <w:color w:val="auto"/>
        </w:rPr>
      </w:pPr>
      <w:r>
        <w:rPr>
          <w:rFonts w:ascii="Times New Roman" w:cs="Times New Roman" w:eastAsia="Times New Roman" w:hAnsi="Times New Roman"/>
          <w:sz w:val="18"/>
          <w:szCs w:val="18"/>
          <w:color w:val="auto"/>
        </w:rPr>
        <w:t>The Company’s operations consist primarily of retail sales of natural stone, man-made and luxury vinyl tiles, setting and maintenance materials, and related accessories in stores located in the United States. The Company’s chief operating decision maker only reviews the consolidated results of the Company and accordingly, the Company has concluded it has one reportable segment.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4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76" w:lineRule="exact"/>
        <w:rPr>
          <w:sz w:val="20"/>
          <w:szCs w:val="20"/>
          <w:color w:val="auto"/>
        </w:rPr>
      </w:pPr>
    </w:p>
    <w:p>
      <w:pPr>
        <w:jc w:val="both"/>
        <w:ind w:right="280"/>
        <w:spacing w:after="0" w:line="235" w:lineRule="auto"/>
        <w:rPr>
          <w:sz w:val="20"/>
          <w:szCs w:val="20"/>
          <w:color w:val="auto"/>
        </w:rPr>
      </w:pPr>
      <w:r>
        <w:rPr>
          <w:rFonts w:ascii="Times New Roman" w:cs="Times New Roman" w:eastAsia="Times New Roman" w:hAnsi="Times New Roman"/>
          <w:sz w:val="18"/>
          <w:szCs w:val="18"/>
          <w:color w:val="auto"/>
        </w:rPr>
        <w:t>Advertising costs were $8.3 million, $9.1 million and $8.1 million for the years ended December 31, 2024, 2023 and 2022, respectively, and are included in selling, general and administrative expenses in the consolidated statements of income. The Company’s advertising consists primarily of digital media, direct marketing, events, traditional print media and mobile advertisements and is expensed at the time the media is distributed.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Pre-opening Costs</w:t>
      </w:r>
    </w:p>
    <w:p>
      <w:pPr>
        <w:spacing w:after="0" w:line="176"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8"/>
          <w:szCs w:val="18"/>
          <w:color w:val="auto"/>
        </w:rPr>
        <w:t>The Company’s pre-opening costs are those typically associated with the opening of a new store and generally include rent expense, compensation costs and promotional costs. The Company expenses pre-opening costs as incurred which are recorded in selling, general and administrative expenses. During both the years ended December 31, 2024 and 2022, the Company did not record any pre-opening costs. During the year ended December 31, 2023, the Company recorded pre-opening costs of $0.1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7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Property, plant and equipment and leasehold improvements are recorded at cost. Improvements are capitalized while repairs and maintenance costs are charged to selling, general and administrative expenses when incurred. Property, plant and equipment are depreciated or amortized using the straight-line method over each asset’s estimated useful life. Leasehold improvements and fixtures at leased locations are amortized using the straight-line method over the shorter of the lease term or the estimated useful life of the asset. The cost and accumulated depreciation of assets sold or otherwise disposed of are removed from the accounts and any gain or loss thereon is included in other income and expense.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Asset life (in years)</w:t>
            </w:r>
          </w:p>
        </w:tc>
      </w:tr>
      <w:tr>
        <w:trPr>
          <w:trHeight w:val="177"/>
        </w:trPr>
        <w:tc>
          <w:tcPr>
            <w:tcW w:w="9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Buildings and building improvements</w:t>
            </w: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40</w:t>
            </w:r>
          </w:p>
        </w:tc>
        <w:tc>
          <w:tcPr>
            <w:tcW w:w="540" w:type="dxa"/>
            <w:vAlign w:val="bottom"/>
            <w:shd w:val="clear" w:color="auto" w:fill="CCEEFF"/>
          </w:tcPr>
          <w:p>
            <w:pPr>
              <w:spacing w:after="0"/>
              <w:rPr>
                <w:sz w:val="15"/>
                <w:szCs w:val="15"/>
                <w:color w:val="auto"/>
              </w:rPr>
            </w:pPr>
          </w:p>
        </w:tc>
      </w:tr>
      <w:tr>
        <w:trPr>
          <w:trHeight w:val="184"/>
        </w:trPr>
        <w:tc>
          <w:tcPr>
            <w:tcW w:w="96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Leasehold improvements</w:t>
            </w:r>
          </w:p>
        </w:tc>
        <w:tc>
          <w:tcPr>
            <w:tcW w:w="540" w:type="dxa"/>
            <w:vAlign w:val="bottom"/>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20</w:t>
            </w:r>
          </w:p>
        </w:tc>
      </w:tr>
      <w:tr>
        <w:trPr>
          <w:trHeight w:val="184"/>
        </w:trPr>
        <w:tc>
          <w:tcPr>
            <w:tcW w:w="96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Furniture and fixtures</w:t>
            </w:r>
          </w:p>
        </w:tc>
        <w:tc>
          <w:tcPr>
            <w:tcW w:w="540" w:type="dxa"/>
            <w:vAlign w:val="bottom"/>
            <w:shd w:val="clear" w:color="auto" w:fill="CCEEFF"/>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2</w:t>
            </w:r>
          </w:p>
        </w:tc>
        <w:tc>
          <w:tcPr>
            <w:tcW w:w="5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7</w:t>
            </w:r>
          </w:p>
        </w:tc>
      </w:tr>
      <w:tr>
        <w:trPr>
          <w:trHeight w:val="184"/>
        </w:trPr>
        <w:tc>
          <w:tcPr>
            <w:tcW w:w="96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Machinery and equipment</w:t>
            </w:r>
          </w:p>
        </w:tc>
        <w:tc>
          <w:tcPr>
            <w:tcW w:w="540" w:type="dxa"/>
            <w:vAlign w:val="bottom"/>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w:t>
            </w:r>
          </w:p>
        </w:tc>
      </w:tr>
      <w:tr>
        <w:trPr>
          <w:trHeight w:val="184"/>
        </w:trPr>
        <w:tc>
          <w:tcPr>
            <w:tcW w:w="96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Computer equipment and software</w:t>
            </w:r>
          </w:p>
        </w:tc>
        <w:tc>
          <w:tcPr>
            <w:tcW w:w="540" w:type="dxa"/>
            <w:vAlign w:val="bottom"/>
            <w:shd w:val="clear" w:color="auto" w:fill="CCEEFF"/>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3</w:t>
            </w:r>
          </w:p>
        </w:tc>
        <w:tc>
          <w:tcPr>
            <w:tcW w:w="5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7</w:t>
            </w:r>
          </w:p>
        </w:tc>
      </w:tr>
      <w:tr>
        <w:trPr>
          <w:trHeight w:val="228"/>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5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tcPr>
          <w:p>
            <w:pPr>
              <w:spacing w:after="0"/>
              <w:rPr>
                <w:sz w:val="19"/>
                <w:szCs w:val="19"/>
                <w:color w:val="auto"/>
              </w:rPr>
            </w:pPr>
          </w:p>
        </w:tc>
      </w:tr>
    </w:tbl>
    <w:p>
      <w:pPr>
        <w:spacing w:after="0" w:line="10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The Company evaluates potential impairment losses on long-lived assets used in operations at the individual retail store level, which is the lowest level at which cash flows can be identified, when events and circumstances indicate that the assets may be impaired, and the undiscounted cash flows estimated to be generated by those assets are less than the carrying amounts of those assets. If impairment exists and the undiscounted cash flows estimated to be generated by those assets are less than the carrying amount of those assets, an impairment loss is recorded based on the excess of the carrying value of the asset group over its fair value. Fair value is measured using discounted cash flows or independent opinions of value, as appropriate. During the fiscal years ended December 31, 2024, 2023 and 2022, the Company recorded asset impairment charges of $0.9 million, $1.0 million and $0.4 million, respectively, which were classified in selling, general and administrative expenses.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Use Software</w:t>
      </w:r>
    </w:p>
    <w:p>
      <w:pPr>
        <w:spacing w:after="0" w:line="16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The Company capitalizes software development costs incurred during the application development stage related to new software or major enhancements to the functionality of existing software that is developed solely to meet the Company’s internal operational needs and when there are no plans to market the software externally. Costs capitalized include external direct costs of materials and services and internal compensation costs. Any costs during the preliminary project stage or related to training or maintenance are expensed as incurred. Capitalization ceases when the software project is substantially complete and ready for its intended use. The capitalization and ongoing assessment of recoverability of development costs requires judgment by management with respect to certain external factors, including, but not limited to, technological and economic feasibility, and estimated economic life. As of December 31, 2024 and 2023,</w:t>
      </w:r>
    </w:p>
    <w:p>
      <w:pPr>
        <w:spacing w:after="0" w:line="4" w:lineRule="exact"/>
        <w:rPr>
          <w:sz w:val="20"/>
          <w:szCs w:val="20"/>
          <w:color w:val="auto"/>
        </w:rPr>
      </w:pPr>
    </w:p>
    <w:p>
      <w:pPr>
        <w:jc w:val="both"/>
        <w:ind w:right="280"/>
        <w:spacing w:after="0" w:line="222" w:lineRule="auto"/>
        <w:rPr>
          <w:sz w:val="20"/>
          <w:szCs w:val="20"/>
          <w:color w:val="auto"/>
        </w:rPr>
      </w:pPr>
      <w:r>
        <w:rPr>
          <w:rFonts w:ascii="Times New Roman" w:cs="Times New Roman" w:eastAsia="Times New Roman" w:hAnsi="Times New Roman"/>
          <w:sz w:val="18"/>
          <w:szCs w:val="18"/>
          <w:color w:val="auto"/>
        </w:rPr>
        <w:t>$1.3 million and $2.8 million was included in computer equipment and software, respectively. The internal use software costs are amortized over estimated useful lives of three to seven years. There was $1.8 million, $1.6 million and $2.0 million of amortization expense related to capitalized software during the years ended December 31, 2024, 2023 and 2022, respectively.</w:t>
      </w:r>
    </w:p>
    <w:p>
      <w:pPr>
        <w:spacing w:after="0" w:line="155" w:lineRule="exact"/>
        <w:rPr>
          <w:sz w:val="20"/>
          <w:szCs w:val="20"/>
          <w:color w:val="auto"/>
        </w:rPr>
      </w:pPr>
    </w:p>
    <w:p>
      <w:pPr>
        <w:ind w:right="420"/>
        <w:spacing w:after="0" w:line="226" w:lineRule="auto"/>
        <w:rPr>
          <w:sz w:val="20"/>
          <w:szCs w:val="20"/>
          <w:color w:val="auto"/>
        </w:rPr>
      </w:pPr>
      <w:r>
        <w:rPr>
          <w:rFonts w:ascii="Times New Roman" w:cs="Times New Roman" w:eastAsia="Times New Roman" w:hAnsi="Times New Roman"/>
          <w:sz w:val="18"/>
          <w:szCs w:val="18"/>
          <w:color w:val="auto"/>
        </w:rPr>
        <w:t>The Company licenses software for internal use from third parties. The Company accounts for costs associated with software contracts considered cloud computing arrangements as operating expenses. If a software contract gives the Company the right and it is feasible to take possession of the software, the Company recognizes an asset for the entire contractual cost and recognizes a liability for future payments under the license agreement.</w:t>
      </w: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188595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4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35"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The Company has contractual obligations related to software service arrangements with suppliers for fixed or minimum amounts. Future minimum payments at December 31, 2024 for purchase obligations were $2.9 million. Amounts due under these arrangements in 2025, 2026, 2027 and 2028 total $1.3 million, $0.8 million, $0.5 million, and $0.4 million,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right of use assets and lease liabilities on the consolidated balance sheets. The right of use assets and lease liabilities are recognized as the present value of the future minimum lease payments over the lease term at commencement date. As most of the leases do not provide an implicit rate, the Company uses its incremental borrowing rate based on the information available at commencement date in determining the present value of future payments. The right of use asset is also adjusted for any lease incentives received pursuant to the lease agreement. The Company’s lease terms may include options to extend or terminate the lease typically at its own discretion. The Company regularly evaluates the renewal options and when such options are reasonably certain of exercise, the Company includes the renewal period in its lease term. The Company does not apply the recognition requirements to short term leases.</w:t>
      </w:r>
    </w:p>
    <w:p>
      <w:pPr>
        <w:spacing w:after="0" w:line="15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6"/>
          <w:szCs w:val="16"/>
          <w:color w:val="auto"/>
        </w:rPr>
        <w:t>Certain lease arrangements contain provisions requiring the Company to restore the leased property to its original condition at the end of the lease. The fair values of these obligations are recorded as liabilities on a discounted basis, which occurs at the time the Company enters into the lease arrangement. In the estimation of fair value, the Company uses assumptions and judgements regarding such factors as the existence of a legal obligation for an asset retirement obligation, estimated amounts and timing of settlements, discount rates and inflation rates. The costs associated with these liabilities are capitalized and depreciated over the lease term and the liabilities are accreted over the same period. Asset retirement obligations attributable to leases with a remaining lease term of 12 months or less are presented as other accrued liabilities. As of both December 31, 2024 and 2023, asset retirement obligations classified as other accrued liabilities was $0.1 million. Asset retirement obligations attributable to leases with a remaining lease term of 12 months or more are presented as other long-term liabilities. As of both December 31, 2024 and 2023, asset retirement obligations classified as other long-term liabilities were $3.5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176"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The Company is self-insured for certain employee health and workers’ compensation claims. The Company estimates a liability for aggregate losses below stop-loss coverage limits based on estimates of the ultimate costs to be incurred to settle known claims and claims not reported as of the balance sheet date. The estimated liability is not discounted and is based on a number of assumptions and factors including historical trends, and economic conditions. As of both December 31, 2024 and 2023, an accrual of $1.1 million related to estimated employee health claims was included in other accrued liabilities. As of December 31, 2024 and 2023, an accrual of $1.4 million and $1.5 million related to estimated workers’ compensation claims was included in other accrued liabilities, respectively.</w:t>
      </w:r>
    </w:p>
    <w:p>
      <w:pPr>
        <w:spacing w:after="0" w:line="155" w:lineRule="exact"/>
        <w:rPr>
          <w:sz w:val="20"/>
          <w:szCs w:val="20"/>
          <w:color w:val="auto"/>
        </w:rPr>
      </w:pPr>
    </w:p>
    <w:p>
      <w:pPr>
        <w:ind w:right="640"/>
        <w:spacing w:after="0" w:line="253" w:lineRule="auto"/>
        <w:rPr>
          <w:sz w:val="20"/>
          <w:szCs w:val="20"/>
          <w:color w:val="auto"/>
        </w:rPr>
      </w:pPr>
      <w:r>
        <w:rPr>
          <w:rFonts w:ascii="Times New Roman" w:cs="Times New Roman" w:eastAsia="Times New Roman" w:hAnsi="Times New Roman"/>
          <w:sz w:val="18"/>
          <w:szCs w:val="18"/>
          <w:color w:val="auto"/>
        </w:rPr>
        <w:t>The Company has standby letters of credit outstanding related to the Company's workers’ compensation and employee health insurance policies. As of December 31, 2024 and 2023, the standby letters of credit totaled $1.2 million and $1.4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76"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The Company is at times subject to various legal actions, claims, and proceedings arising in the ordinary course of business, which may include claims related to general liability, workers’ compensation, product liability, and employment-related matters resulting from its business activities. As with most litigation actions, an estimation of any possible liability cannot always be determined. The Company establishes reserves for specific legal proceedings when it determines that the likelihood of an unfavorable outcome is reasonably probable, and the amount of loss can be reasonably estimated. If the Company determines the probable estimate is a range of losses, if no point in the range is more probable, the low end of the range is recorded as a liability on the date the loss is considered probable.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1"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280): Improvements to Reportable Segment Disclosures </w:t>
      </w:r>
      <w:r>
        <w:rPr>
          <w:rFonts w:ascii="Times New Roman" w:cs="Times New Roman" w:eastAsia="Times New Roman" w:hAnsi="Times New Roman"/>
          <w:sz w:val="18"/>
          <w:szCs w:val="18"/>
          <w:color w:val="auto"/>
        </w:rPr>
        <w:t>(“ASU 2023-07”), which requires all public entities, including public entities with a single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to provide in interim and annual periods one or more measures of segment profit or loss used by the chief operating decision maker to allocate resources and assess performance. Additionally, the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0"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4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54"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6"/>
          <w:szCs w:val="16"/>
          <w:color w:val="auto"/>
        </w:rPr>
        <w:t>standard requires disclosures of significant segment expenses and other segment items as well as incremental qualitative disclosures. The Company adopted ASU 2023-07 effective December 31, 2024, on a retrospective basis. Refer to Note 11 for further information on the Company’s reportable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4" w:lineRule="exact"/>
        <w:rPr>
          <w:sz w:val="20"/>
          <w:szCs w:val="20"/>
          <w:color w:val="auto"/>
        </w:rPr>
      </w:pPr>
    </w:p>
    <w:p>
      <w:pPr>
        <w:ind w:right="220"/>
        <w:spacing w:after="0" w:line="230"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amendments in this ASU improve the transparency of income tax disclosures by requiring consistent categories and greater disaggregation of information in the rate reconciliation and income taxes paid disaggregated by jurisdiction. The Company will adopt this guidance as of December 31, 2025. The Company is currently evaluating the impact of this guidance on the Company’s consolidated financial statements and related disclosures.</w:t>
      </w:r>
    </w:p>
    <w:p>
      <w:pPr>
        <w:spacing w:after="0" w:line="15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In November 2024</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FASB issued ASU </w:t>
      </w:r>
      <w:r>
        <w:rPr>
          <w:rFonts w:ascii="Times New Roman" w:cs="Times New Roman" w:eastAsia="Times New Roman" w:hAnsi="Times New Roman"/>
          <w:sz w:val="16"/>
          <w:szCs w:val="16"/>
          <w:i w:val="1"/>
          <w:iCs w:val="1"/>
          <w:color w:val="auto"/>
        </w:rPr>
        <w:t>No. 2024</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03</w:t>
      </w:r>
      <w:r>
        <w:rPr>
          <w:rFonts w:ascii="Times New Roman" w:cs="Times New Roman" w:eastAsia="Times New Roman" w:hAnsi="Times New Roman"/>
          <w:sz w:val="16"/>
          <w:szCs w:val="16"/>
          <w:color w:val="auto"/>
        </w:rPr>
        <w:t xml:space="preserve"> “Income Statement – Reporting Comprehensive Income – Expense Disaggregation Disclosures (Subtopic </w:t>
      </w:r>
      <w:r>
        <w:rPr>
          <w:rFonts w:ascii="Times New Roman" w:cs="Times New Roman" w:eastAsia="Times New Roman" w:hAnsi="Times New Roman"/>
          <w:sz w:val="16"/>
          <w:szCs w:val="16"/>
          <w:i w:val="1"/>
          <w:iCs w:val="1"/>
          <w:color w:val="auto"/>
        </w:rPr>
        <w:t>220</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40</w:t>
      </w:r>
      <w:r>
        <w:rPr>
          <w:rFonts w:ascii="Times New Roman" w:cs="Times New Roman" w:eastAsia="Times New Roman" w:hAnsi="Times New Roman"/>
          <w:sz w:val="16"/>
          <w:szCs w:val="16"/>
          <w:color w:val="auto"/>
        </w:rPr>
        <w:t>): Disaggregation of Income Statement Expenses.” This ASU requires public business entities to disclose, for interim and annual reporting periods, additional information about certain income statement expense categories. The requirements are effective for fiscal years beginning after December 15, 2026</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and for interim periods beginning after December 15, 2027</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Entities are permitted to apply either the prospective or retrospective transition methods. The Company is currently evaluating the impact that the adoption of this ASU will have on its consolidated financial statements and related disclosures.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Revenues</w:t>
      </w:r>
    </w:p>
    <w:p>
      <w:pPr>
        <w:spacing w:after="0" w:line="17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product category:</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3"/>
        </w:trPr>
        <w:tc>
          <w:tcPr>
            <w:tcW w:w="7580" w:type="dxa"/>
            <w:vAlign w:val="bottom"/>
          </w:tcPr>
          <w:p>
            <w:pPr>
              <w:spacing w:after="0"/>
              <w:rPr>
                <w:sz w:val="24"/>
                <w:szCs w:val="24"/>
                <w:color w:val="auto"/>
              </w:rPr>
            </w:pPr>
          </w:p>
        </w:tc>
        <w:tc>
          <w:tcPr>
            <w:tcW w:w="3660" w:type="dxa"/>
            <w:vAlign w:val="bottom"/>
            <w:gridSpan w:val="3"/>
          </w:tcPr>
          <w:p>
            <w:pPr>
              <w:jc w:val="right"/>
              <w:ind w:right="792"/>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16"/>
        </w:trPr>
        <w:tc>
          <w:tcPr>
            <w:tcW w:w="75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2023</w:t>
            </w:r>
          </w:p>
        </w:tc>
      </w:tr>
      <w:tr>
        <w:trPr>
          <w:trHeight w:val="177"/>
        </w:trPr>
        <w:tc>
          <w:tcPr>
            <w:tcW w:w="75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Man-made tiles</w:t>
            </w:r>
          </w:p>
        </w:tc>
        <w:tc>
          <w:tcPr>
            <w:tcW w:w="1760" w:type="dxa"/>
            <w:vAlign w:val="bottom"/>
            <w:shd w:val="clear" w:color="auto" w:fill="CCEEFF"/>
          </w:tcPr>
          <w:p>
            <w:pPr>
              <w:jc w:val="right"/>
              <w:ind w:right="252"/>
              <w:spacing w:after="0" w:line="177" w:lineRule="exact"/>
              <w:rPr>
                <w:sz w:val="20"/>
                <w:szCs w:val="20"/>
                <w:color w:val="auto"/>
              </w:rPr>
            </w:pPr>
            <w:r>
              <w:rPr>
                <w:rFonts w:ascii="Times New Roman" w:cs="Times New Roman" w:eastAsia="Times New Roman" w:hAnsi="Times New Roman"/>
                <w:sz w:val="18"/>
                <w:szCs w:val="18"/>
                <w:color w:val="auto"/>
              </w:rPr>
              <w:t>54 %</w:t>
            </w: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312"/>
              <w:spacing w:after="0" w:line="177" w:lineRule="exact"/>
              <w:rPr>
                <w:sz w:val="20"/>
                <w:szCs w:val="20"/>
                <w:color w:val="auto"/>
              </w:rPr>
            </w:pPr>
            <w:r>
              <w:rPr>
                <w:rFonts w:ascii="Times New Roman" w:cs="Times New Roman" w:eastAsia="Times New Roman" w:hAnsi="Times New Roman"/>
                <w:sz w:val="18"/>
                <w:szCs w:val="18"/>
                <w:color w:val="auto"/>
              </w:rPr>
              <w:t>54 %</w:t>
            </w:r>
          </w:p>
        </w:tc>
      </w:tr>
      <w:tr>
        <w:trPr>
          <w:trHeight w:val="184"/>
        </w:trPr>
        <w:tc>
          <w:tcPr>
            <w:tcW w:w="75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Natural stone tiles</w:t>
            </w:r>
          </w:p>
        </w:tc>
        <w:tc>
          <w:tcPr>
            <w:tcW w:w="1760" w:type="dxa"/>
            <w:vAlign w:val="bottom"/>
          </w:tcPr>
          <w:p>
            <w:pPr>
              <w:jc w:val="right"/>
              <w:ind w:right="452"/>
              <w:spacing w:after="0" w:line="184"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6"/>
                <w:szCs w:val="16"/>
                <w:color w:val="auto"/>
              </w:rPr>
            </w:pPr>
          </w:p>
        </w:tc>
        <w:tc>
          <w:tcPr>
            <w:tcW w:w="1740" w:type="dxa"/>
            <w:vAlign w:val="bottom"/>
          </w:tcPr>
          <w:p>
            <w:pPr>
              <w:jc w:val="right"/>
              <w:ind w:right="532"/>
              <w:spacing w:after="0" w:line="184" w:lineRule="exact"/>
              <w:rPr>
                <w:sz w:val="20"/>
                <w:szCs w:val="20"/>
                <w:color w:val="auto"/>
              </w:rPr>
            </w:pPr>
            <w:r>
              <w:rPr>
                <w:rFonts w:ascii="Times New Roman" w:cs="Times New Roman" w:eastAsia="Times New Roman" w:hAnsi="Times New Roman"/>
                <w:sz w:val="18"/>
                <w:szCs w:val="18"/>
                <w:color w:val="auto"/>
              </w:rPr>
              <w:t>21</w:t>
            </w:r>
          </w:p>
        </w:tc>
      </w:tr>
      <w:tr>
        <w:trPr>
          <w:trHeight w:val="184"/>
        </w:trPr>
        <w:tc>
          <w:tcPr>
            <w:tcW w:w="7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Setting and maintenance materials</w:t>
            </w:r>
          </w:p>
        </w:tc>
        <w:tc>
          <w:tcPr>
            <w:tcW w:w="1760" w:type="dxa"/>
            <w:vAlign w:val="bottom"/>
            <w:shd w:val="clear" w:color="auto" w:fill="CCEEFF"/>
          </w:tcPr>
          <w:p>
            <w:pPr>
              <w:jc w:val="right"/>
              <w:ind w:right="452"/>
              <w:spacing w:after="0" w:line="184" w:lineRule="exact"/>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532"/>
              <w:spacing w:after="0" w:line="184" w:lineRule="exact"/>
              <w:rPr>
                <w:sz w:val="20"/>
                <w:szCs w:val="20"/>
                <w:color w:val="auto"/>
              </w:rPr>
            </w:pPr>
            <w:r>
              <w:rPr>
                <w:rFonts w:ascii="Times New Roman" w:cs="Times New Roman" w:eastAsia="Times New Roman" w:hAnsi="Times New Roman"/>
                <w:sz w:val="18"/>
                <w:szCs w:val="18"/>
                <w:color w:val="auto"/>
              </w:rPr>
              <w:t>15</w:t>
            </w:r>
          </w:p>
        </w:tc>
      </w:tr>
      <w:tr>
        <w:trPr>
          <w:trHeight w:val="184"/>
        </w:trPr>
        <w:tc>
          <w:tcPr>
            <w:tcW w:w="75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Accessories</w:t>
            </w:r>
          </w:p>
        </w:tc>
        <w:tc>
          <w:tcPr>
            <w:tcW w:w="1760" w:type="dxa"/>
            <w:vAlign w:val="bottom"/>
          </w:tcPr>
          <w:p>
            <w:pPr>
              <w:jc w:val="right"/>
              <w:ind w:right="452"/>
              <w:spacing w:after="0" w:line="184" w:lineRule="exact"/>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6"/>
                <w:szCs w:val="16"/>
                <w:color w:val="auto"/>
              </w:rPr>
            </w:pPr>
          </w:p>
        </w:tc>
        <w:tc>
          <w:tcPr>
            <w:tcW w:w="1740" w:type="dxa"/>
            <w:vAlign w:val="bottom"/>
          </w:tcPr>
          <w:p>
            <w:pPr>
              <w:jc w:val="right"/>
              <w:ind w:right="532"/>
              <w:spacing w:after="0" w:line="184" w:lineRule="exact"/>
              <w:rPr>
                <w:sz w:val="20"/>
                <w:szCs w:val="20"/>
                <w:color w:val="auto"/>
              </w:rPr>
            </w:pPr>
            <w:r>
              <w:rPr>
                <w:rFonts w:ascii="Times New Roman" w:cs="Times New Roman" w:eastAsia="Times New Roman" w:hAnsi="Times New Roman"/>
                <w:sz w:val="18"/>
                <w:szCs w:val="18"/>
                <w:color w:val="auto"/>
              </w:rPr>
              <w:t>8</w:t>
            </w:r>
          </w:p>
        </w:tc>
      </w:tr>
      <w:tr>
        <w:trPr>
          <w:trHeight w:val="184"/>
        </w:trPr>
        <w:tc>
          <w:tcPr>
            <w:tcW w:w="7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Delivery service</w:t>
            </w:r>
          </w:p>
        </w:tc>
        <w:tc>
          <w:tcPr>
            <w:tcW w:w="1760" w:type="dxa"/>
            <w:vAlign w:val="bottom"/>
            <w:tcBorders>
              <w:bottom w:val="single" w:sz="8" w:color="auto"/>
            </w:tcBorders>
            <w:shd w:val="clear" w:color="auto" w:fill="CCEEFF"/>
          </w:tcPr>
          <w:p>
            <w:pPr>
              <w:jc w:val="right"/>
              <w:ind w:right="452"/>
              <w:spacing w:after="0" w:line="184" w:lineRule="exact"/>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532"/>
              <w:spacing w:after="0" w:line="184" w:lineRule="exact"/>
              <w:rPr>
                <w:sz w:val="20"/>
                <w:szCs w:val="20"/>
                <w:color w:val="auto"/>
              </w:rPr>
            </w:pPr>
            <w:r>
              <w:rPr>
                <w:rFonts w:ascii="Times New Roman" w:cs="Times New Roman" w:eastAsia="Times New Roman" w:hAnsi="Times New Roman"/>
                <w:sz w:val="18"/>
                <w:szCs w:val="18"/>
                <w:color w:val="auto"/>
              </w:rPr>
              <w:t>2</w:t>
            </w:r>
          </w:p>
        </w:tc>
      </w:tr>
      <w:tr>
        <w:trPr>
          <w:trHeight w:val="177"/>
        </w:trPr>
        <w:tc>
          <w:tcPr>
            <w:tcW w:w="7580" w:type="dxa"/>
            <w:vAlign w:val="bottom"/>
          </w:tcPr>
          <w:p>
            <w:pPr>
              <w:spacing w:after="0"/>
              <w:rPr>
                <w:sz w:val="15"/>
                <w:szCs w:val="15"/>
                <w:color w:val="auto"/>
              </w:rPr>
            </w:pPr>
          </w:p>
        </w:tc>
        <w:tc>
          <w:tcPr>
            <w:tcW w:w="1760" w:type="dxa"/>
            <w:vAlign w:val="bottom"/>
            <w:tcBorders>
              <w:bottom w:val="single" w:sz="8" w:color="auto"/>
            </w:tcBorders>
          </w:tcPr>
          <w:p>
            <w:pPr>
              <w:jc w:val="right"/>
              <w:ind w:right="252"/>
              <w:spacing w:after="0" w:line="177" w:lineRule="exact"/>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5"/>
                <w:szCs w:val="15"/>
                <w:color w:val="auto"/>
              </w:rPr>
            </w:pPr>
          </w:p>
        </w:tc>
        <w:tc>
          <w:tcPr>
            <w:tcW w:w="1740" w:type="dxa"/>
            <w:vAlign w:val="bottom"/>
            <w:tcBorders>
              <w:bottom w:val="single" w:sz="8" w:color="auto"/>
            </w:tcBorders>
          </w:tcPr>
          <w:p>
            <w:pPr>
              <w:jc w:val="right"/>
              <w:ind w:right="312"/>
              <w:spacing w:after="0" w:line="177" w:lineRule="exact"/>
              <w:rPr>
                <w:sz w:val="20"/>
                <w:szCs w:val="20"/>
                <w:color w:val="auto"/>
              </w:rPr>
            </w:pPr>
            <w:r>
              <w:rPr>
                <w:rFonts w:ascii="Times New Roman" w:cs="Times New Roman" w:eastAsia="Times New Roman" w:hAnsi="Times New Roman"/>
                <w:sz w:val="18"/>
                <w:szCs w:val="18"/>
                <w:color w:val="auto"/>
              </w:rPr>
              <w:t>100 %</w:t>
            </w:r>
          </w:p>
        </w:tc>
      </w:tr>
      <w:tr>
        <w:trPr>
          <w:trHeight w:val="20"/>
        </w:trPr>
        <w:tc>
          <w:tcPr>
            <w:tcW w:w="75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The Company generates revenues by selling tile products, setting and maintenance materials, accessories, and delivery services to its customers through its store locations. The timing of revenue recognition coincides with the transfer of control of goods and services ordered by the customer, which falls into one of three categories described below:</w:t>
      </w:r>
    </w:p>
    <w:p>
      <w:pPr>
        <w:spacing w:after="0" w:line="154" w:lineRule="exact"/>
        <w:rPr>
          <w:sz w:val="20"/>
          <w:szCs w:val="20"/>
          <w:color w:val="auto"/>
        </w:rPr>
      </w:pPr>
    </w:p>
    <w:p>
      <w:pPr>
        <w:ind w:left="640" w:right="480"/>
        <w:spacing w:after="0" w:line="224" w:lineRule="auto"/>
        <w:rPr>
          <w:sz w:val="20"/>
          <w:szCs w:val="20"/>
          <w:color w:val="auto"/>
        </w:rPr>
      </w:pPr>
      <w:r>
        <w:rPr>
          <w:rFonts w:ascii="Times New Roman" w:cs="Times New Roman" w:eastAsia="Times New Roman" w:hAnsi="Times New Roman"/>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 w:lineRule="exact"/>
        <w:rPr>
          <w:sz w:val="20"/>
          <w:szCs w:val="20"/>
          <w:color w:val="auto"/>
        </w:rPr>
      </w:pPr>
    </w:p>
    <w:p>
      <w:pPr>
        <w:ind w:left="640"/>
        <w:spacing w:after="0" w:line="220" w:lineRule="auto"/>
        <w:rPr>
          <w:sz w:val="20"/>
          <w:szCs w:val="20"/>
          <w:color w:val="auto"/>
        </w:rPr>
      </w:pPr>
      <w:r>
        <w:rPr>
          <w:rFonts w:ascii="Times New Roman" w:cs="Times New Roman" w:eastAsia="Times New Roman" w:hAnsi="Times New Roman"/>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3" w:lineRule="exact"/>
        <w:rPr>
          <w:sz w:val="20"/>
          <w:szCs w:val="20"/>
          <w:color w:val="auto"/>
        </w:rPr>
      </w:pPr>
    </w:p>
    <w:p>
      <w:pPr>
        <w:ind w:left="640" w:right="240"/>
        <w:spacing w:after="0" w:line="271" w:lineRule="auto"/>
        <w:rPr>
          <w:sz w:val="20"/>
          <w:szCs w:val="20"/>
          <w:color w:val="auto"/>
        </w:rPr>
      </w:pPr>
      <w:r>
        <w:rPr>
          <w:rFonts w:ascii="Times New Roman" w:cs="Times New Roman" w:eastAsia="Times New Roman" w:hAnsi="Times New Roman"/>
          <w:sz w:val="16"/>
          <w:szCs w:val="16"/>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11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$10.9 million and $10.7 million as of December 31, 2024 and 2023, respectively. Revenues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4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recognized during the year ended December 31, 2024 that were included in the customer deposit balance as of the beginning of the period were $10.1 million.</w:t>
      </w:r>
    </w:p>
    <w:p>
      <w:pPr>
        <w:spacing w:after="0" w:line="197"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The Company extends financing to qualified professional customers who apply for credit. The accounts receivable balance was $3.1 million and $2.9 million as of December 31, 2024 and 2023, respectively. Customers who qualify for an account receive 30-day payment terms.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56"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8"/>
          <w:szCs w:val="18"/>
          <w:color w:val="auto"/>
        </w:rPr>
        <w:t>Customers may return purchased items for an exchange or refund. The Company records a reserve for estimated product returns based on the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 as of December 31, 2024 and 2023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77"/>
        </w:trPr>
        <w:tc>
          <w:tcPr>
            <w:tcW w:w="6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6"/>
          </w:tcPr>
          <w:p>
            <w:pPr>
              <w:jc w:val="right"/>
              <w:ind w:right="852"/>
              <w:spacing w:after="0" w:line="177" w:lineRule="exact"/>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Other current accrued liabilities</w:t>
            </w:r>
          </w:p>
        </w:tc>
        <w:tc>
          <w:tcPr>
            <w:tcW w:w="174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2,886</w:t>
            </w:r>
          </w:p>
        </w:tc>
        <w:tc>
          <w:tcPr>
            <w:tcW w:w="4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spacing w:after="0" w:line="184" w:lineRule="exact"/>
              <w:rPr>
                <w:sz w:val="20"/>
                <w:szCs w:val="20"/>
                <w:color w:val="auto"/>
              </w:rPr>
            </w:pPr>
            <w:r>
              <w:rPr>
                <w:rFonts w:ascii="Times New Roman" w:cs="Times New Roman" w:eastAsia="Times New Roman" w:hAnsi="Times New Roman"/>
                <w:sz w:val="18"/>
                <w:szCs w:val="18"/>
                <w:color w:val="auto"/>
              </w:rPr>
              <w:t>Other current assets</w:t>
            </w:r>
          </w:p>
        </w:tc>
        <w:tc>
          <w:tcPr>
            <w:tcW w:w="1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956</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177"/>
        </w:trPr>
        <w:tc>
          <w:tcPr>
            <w:tcW w:w="676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Sales returns reserve, net</w:t>
            </w:r>
          </w:p>
        </w:tc>
        <w:tc>
          <w:tcPr>
            <w:tcW w:w="16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1,930</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Property, Plant and Equipment</w:t>
            </w: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at December 31:</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77"/>
        </w:trPr>
        <w:tc>
          <w:tcPr>
            <w:tcW w:w="6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6"/>
          </w:tcPr>
          <w:p>
            <w:pPr>
              <w:jc w:val="right"/>
              <w:ind w:right="852"/>
              <w:spacing w:after="0" w:line="177" w:lineRule="exact"/>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Land</w:t>
            </w:r>
          </w:p>
        </w:tc>
        <w:tc>
          <w:tcPr>
            <w:tcW w:w="174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904</w:t>
            </w:r>
          </w:p>
        </w:tc>
        <w:tc>
          <w:tcPr>
            <w:tcW w:w="4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184"/>
        </w:trPr>
        <w:tc>
          <w:tcPr>
            <w:tcW w:w="67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Building and building improvements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25,979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25,979</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107,316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102,244</w:t>
            </w:r>
          </w:p>
        </w:tc>
        <w:tc>
          <w:tcPr>
            <w:tcW w:w="0" w:type="dxa"/>
            <w:vAlign w:val="bottom"/>
          </w:tcPr>
          <w:p>
            <w:pPr>
              <w:spacing w:after="0"/>
              <w:rPr>
                <w:sz w:val="1"/>
                <w:szCs w:val="1"/>
                <w:color w:val="auto"/>
              </w:rPr>
            </w:pPr>
          </w:p>
        </w:tc>
      </w:tr>
      <w:tr>
        <w:trPr>
          <w:trHeight w:val="184"/>
        </w:trPr>
        <w:tc>
          <w:tcPr>
            <w:tcW w:w="67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Furniture and fixtures</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151,750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146,033</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Machinery and equipment</w:t>
            </w:r>
          </w:p>
        </w:tc>
        <w:tc>
          <w:tcPr>
            <w:tcW w:w="1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33,417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32,263</w:t>
            </w:r>
          </w:p>
        </w:tc>
        <w:tc>
          <w:tcPr>
            <w:tcW w:w="0" w:type="dxa"/>
            <w:vAlign w:val="bottom"/>
          </w:tcPr>
          <w:p>
            <w:pPr>
              <w:spacing w:after="0"/>
              <w:rPr>
                <w:sz w:val="1"/>
                <w:szCs w:val="1"/>
                <w:color w:val="auto"/>
              </w:rPr>
            </w:pPr>
          </w:p>
        </w:tc>
      </w:tr>
      <w:tr>
        <w:trPr>
          <w:trHeight w:val="184"/>
        </w:trPr>
        <w:tc>
          <w:tcPr>
            <w:tcW w:w="67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Computer equipment and software</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51,553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50,878</w:t>
            </w:r>
          </w:p>
        </w:tc>
        <w:tc>
          <w:tcPr>
            <w:tcW w:w="0" w:type="dxa"/>
            <w:vAlign w:val="bottom"/>
          </w:tcPr>
          <w:p>
            <w:pPr>
              <w:spacing w:after="0"/>
              <w:rPr>
                <w:sz w:val="1"/>
                <w:szCs w:val="1"/>
                <w:color w:val="auto"/>
              </w:rPr>
            </w:pPr>
          </w:p>
        </w:tc>
      </w:tr>
      <w:tr>
        <w:trPr>
          <w:trHeight w:val="184"/>
        </w:trPr>
        <w:tc>
          <w:tcPr>
            <w:tcW w:w="67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Vehicles</w:t>
            </w:r>
          </w:p>
        </w:tc>
        <w:tc>
          <w:tcPr>
            <w:tcW w:w="1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8,481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8,428</w:t>
            </w: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spacing w:after="0" w:line="184" w:lineRule="exact"/>
              <w:rPr>
                <w:sz w:val="20"/>
                <w:szCs w:val="20"/>
                <w:color w:val="auto"/>
              </w:rPr>
            </w:pPr>
            <w:r>
              <w:rPr>
                <w:rFonts w:ascii="Times New Roman" w:cs="Times New Roman" w:eastAsia="Times New Roman" w:hAnsi="Times New Roman"/>
                <w:sz w:val="18"/>
                <w:szCs w:val="18"/>
                <w:color w:val="auto"/>
              </w:rPr>
              <w:t>Construction in progress</w:t>
            </w:r>
          </w:p>
        </w:tc>
        <w:tc>
          <w:tcPr>
            <w:tcW w:w="1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1,921</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2,873</w:t>
            </w:r>
          </w:p>
        </w:tc>
        <w:tc>
          <w:tcPr>
            <w:tcW w:w="0" w:type="dxa"/>
            <w:vAlign w:val="bottom"/>
          </w:tcPr>
          <w:p>
            <w:pPr>
              <w:spacing w:after="0"/>
              <w:rPr>
                <w:sz w:val="1"/>
                <w:szCs w:val="1"/>
                <w:color w:val="auto"/>
              </w:rPr>
            </w:pPr>
          </w:p>
        </w:tc>
      </w:tr>
      <w:tr>
        <w:trPr>
          <w:trHeight w:val="177"/>
        </w:trPr>
        <w:tc>
          <w:tcPr>
            <w:tcW w:w="676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Total property, plant and equipment</w:t>
            </w:r>
          </w:p>
        </w:tc>
        <w:tc>
          <w:tcPr>
            <w:tcW w:w="1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381,321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369,602</w:t>
            </w: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spacing w:after="0" w:line="184"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1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(321,588)</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(305,285)</w:t>
            </w:r>
          </w:p>
        </w:tc>
        <w:tc>
          <w:tcPr>
            <w:tcW w:w="0" w:type="dxa"/>
            <w:vAlign w:val="bottom"/>
          </w:tcPr>
          <w:p>
            <w:pPr>
              <w:spacing w:after="0"/>
              <w:rPr>
                <w:sz w:val="1"/>
                <w:szCs w:val="1"/>
                <w:color w:val="auto"/>
              </w:rPr>
            </w:pPr>
          </w:p>
        </w:tc>
      </w:tr>
      <w:tr>
        <w:trPr>
          <w:trHeight w:val="177"/>
        </w:trPr>
        <w:tc>
          <w:tcPr>
            <w:tcW w:w="6760" w:type="dxa"/>
            <w:vAlign w:val="bottom"/>
            <w:tcBorders>
              <w:bottom w:val="single" w:sz="8" w:color="CCEEFF"/>
            </w:tcBorders>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Total property, plant and equipment, net</w:t>
            </w:r>
          </w:p>
        </w:tc>
        <w:tc>
          <w:tcPr>
            <w:tcW w:w="16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59,733</w:t>
            </w: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64,317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18"/>
          <w:szCs w:val="18"/>
          <w:color w:val="auto"/>
        </w:rPr>
        <w:t>Depreciation expense on property and equipment, including financing leases, was $17.8 million, $21.2 million and $25.1 million for the years ended December 31, 2024, 2023 and 2022, respectively. Property, plant and equipment is measured at fair value when an impairment is recognized and the related assets are written down to fair value. During the years ended December 31, 2024, 2023 and 2022, the Company recorded asset impairment charges of $0.9 million, $1.0 million and $0.4 million,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Other Accrued Liabilities</w:t>
            </w: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consisted of the following at December 31:</w:t>
            </w: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11"/>
        </w:trPr>
        <w:tc>
          <w:tcPr>
            <w:tcW w:w="5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Customer deposits</w:t>
            </w:r>
          </w:p>
        </w:tc>
        <w:tc>
          <w:tcPr>
            <w:tcW w:w="3500" w:type="dxa"/>
            <w:vAlign w:val="bottom"/>
            <w:gridSpan w:val="2"/>
            <w:shd w:val="clear" w:color="auto" w:fill="CCEEFF"/>
          </w:tcPr>
          <w:p>
            <w:pPr>
              <w:jc w:val="right"/>
              <w:ind w:right="118"/>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10,882</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10,719</w:t>
            </w:r>
          </w:p>
        </w:tc>
        <w:tc>
          <w:tcPr>
            <w:tcW w:w="0" w:type="dxa"/>
            <w:vAlign w:val="bottom"/>
          </w:tcPr>
          <w:p>
            <w:pPr>
              <w:spacing w:after="0"/>
              <w:rPr>
                <w:sz w:val="1"/>
                <w:szCs w:val="1"/>
                <w:color w:val="auto"/>
              </w:rPr>
            </w:pPr>
          </w:p>
        </w:tc>
      </w:tr>
      <w:tr>
        <w:trPr>
          <w:trHeight w:val="184"/>
        </w:trPr>
        <w:tc>
          <w:tcPr>
            <w:tcW w:w="51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Sales returns reserve</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2,886</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184"/>
        </w:trPr>
        <w:tc>
          <w:tcPr>
            <w:tcW w:w="51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Accrued wages and salaries</w:t>
            </w:r>
          </w:p>
        </w:tc>
        <w:tc>
          <w:tcPr>
            <w:tcW w:w="3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4,585</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184"/>
        </w:trPr>
        <w:tc>
          <w:tcPr>
            <w:tcW w:w="51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Payroll and sales taxes</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2,107</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2,129</w:t>
            </w:r>
          </w:p>
        </w:tc>
        <w:tc>
          <w:tcPr>
            <w:tcW w:w="0" w:type="dxa"/>
            <w:vAlign w:val="bottom"/>
          </w:tcPr>
          <w:p>
            <w:pPr>
              <w:spacing w:after="0"/>
              <w:rPr>
                <w:sz w:val="1"/>
                <w:szCs w:val="1"/>
                <w:color w:val="auto"/>
              </w:rPr>
            </w:pPr>
          </w:p>
        </w:tc>
      </w:tr>
      <w:tr>
        <w:trPr>
          <w:trHeight w:val="184"/>
        </w:trPr>
        <w:tc>
          <w:tcPr>
            <w:tcW w:w="51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Other current liabilities</w:t>
            </w:r>
          </w:p>
        </w:tc>
        <w:tc>
          <w:tcPr>
            <w:tcW w:w="3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5,184</w:t>
            </w:r>
          </w:p>
        </w:tc>
        <w:tc>
          <w:tcPr>
            <w:tcW w:w="1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4,989</w:t>
            </w:r>
          </w:p>
        </w:tc>
        <w:tc>
          <w:tcPr>
            <w:tcW w:w="0" w:type="dxa"/>
            <w:vAlign w:val="bottom"/>
          </w:tcPr>
          <w:p>
            <w:pPr>
              <w:spacing w:after="0"/>
              <w:rPr>
                <w:sz w:val="1"/>
                <w:szCs w:val="1"/>
                <w:color w:val="auto"/>
              </w:rPr>
            </w:pPr>
          </w:p>
        </w:tc>
      </w:tr>
      <w:tr>
        <w:trPr>
          <w:trHeight w:val="177"/>
        </w:trPr>
        <w:tc>
          <w:tcPr>
            <w:tcW w:w="51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Total other accrued liabilities</w:t>
            </w:r>
          </w:p>
        </w:tc>
        <w:tc>
          <w:tcPr>
            <w:tcW w:w="3220" w:type="dxa"/>
            <w:vAlign w:val="bottom"/>
            <w:vMerge w:val="restart"/>
          </w:tcPr>
          <w:p>
            <w:pPr>
              <w:jc w:val="right"/>
              <w:ind w:right="2552"/>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Borders>
              <w:bottom w:val="single" w:sz="8" w:color="auto"/>
            </w:tcBorders>
          </w:tcPr>
          <w:p>
            <w:pPr>
              <w:jc w:val="right"/>
              <w:ind w:right="11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25,644</w:t>
            </w:r>
          </w:p>
        </w:tc>
        <w:tc>
          <w:tcPr>
            <w:tcW w:w="160" w:type="dxa"/>
            <w:vAlign w:val="bottom"/>
          </w:tcPr>
          <w:p>
            <w:pPr>
              <w:spacing w:after="0"/>
              <w:rPr>
                <w:sz w:val="15"/>
                <w:szCs w:val="15"/>
                <w:color w:val="auto"/>
              </w:rPr>
            </w:pPr>
          </w:p>
        </w:tc>
        <w:tc>
          <w:tcPr>
            <w:tcW w:w="480" w:type="dxa"/>
            <w:vAlign w:val="bottom"/>
            <w:tcBorders>
              <w:bottom w:val="single" w:sz="8" w:color="auto"/>
            </w:tcBorders>
          </w:tcPr>
          <w:p>
            <w:pPr>
              <w:jc w:val="right"/>
              <w:ind w:right="29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2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40" w:type="dxa"/>
            <w:vAlign w:val="bottom"/>
          </w:tcPr>
          <w:p>
            <w:pPr>
              <w:spacing w:after="0"/>
              <w:rPr>
                <w:sz w:val="15"/>
                <w:szCs w:val="15"/>
                <w:color w:val="auto"/>
              </w:rPr>
            </w:pPr>
          </w:p>
        </w:tc>
        <w:tc>
          <w:tcPr>
            <w:tcW w:w="32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51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4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Long-term Debt</w:t>
      </w:r>
    </w:p>
    <w:p>
      <w:pPr>
        <w:spacing w:after="0" w:line="176"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8"/>
          <w:szCs w:val="18"/>
          <w:color w:val="auto"/>
        </w:rPr>
        <w:t>On September 30, 2022, Holdings and its operating subsidiary, The Tile Shop, and certain subsidiaries of each entered into a Credit Agreement with JPMorgan Chase Bank, N.A. and the lenders party thereto, including Fifth Third Bank (the “Credit Agreement”). The Credit Agreement provides the Company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Shop’s Rent Adjusted Leverage Ratio (as defined in the Credit Agreement).</w:t>
      </w:r>
    </w:p>
    <w:p>
      <w:pPr>
        <w:spacing w:after="0" w:line="153"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The Company was in compliance with the covenants as of December 31, 2024.</w:t>
      </w:r>
    </w:p>
    <w:p>
      <w:pPr>
        <w:spacing w:after="0" w:line="14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The Company had no borrowings outstanding on its line of credit as of December 31, 2024. The Company has standby letters of credit outstanding related to its workers’ compensation and medical insurance policies. As of December 31, 2024, standby letters of credit totaled $1.2 million. As of December 31, 2024, there was $73.8 million available for borrowing on the revolving line of credit, which may be used for maintaining the Company’s existing stores, purchasing additional merchandise inventory, and general corporate purposes.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76" w:lineRule="exact"/>
        <w:rPr>
          <w:sz w:val="20"/>
          <w:szCs w:val="20"/>
          <w:color w:val="auto"/>
        </w:rPr>
      </w:pPr>
    </w:p>
    <w:p>
      <w:pPr>
        <w:ind w:right="480"/>
        <w:spacing w:after="0" w:line="235" w:lineRule="auto"/>
        <w:rPr>
          <w:sz w:val="20"/>
          <w:szCs w:val="20"/>
          <w:color w:val="auto"/>
        </w:rPr>
      </w:pPr>
      <w:r>
        <w:rPr>
          <w:rFonts w:ascii="Times New Roman" w:cs="Times New Roman" w:eastAsia="Times New Roman" w:hAnsi="Times New Roman"/>
          <w:sz w:val="18"/>
          <w:szCs w:val="18"/>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depreciable life of assets and leasehold improvements is limited by the expected lease term.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Leases (in thousands)</w:t>
            </w:r>
          </w:p>
        </w:tc>
        <w:tc>
          <w:tcPr>
            <w:tcW w:w="5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Classification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December 31, 2023</w:t>
            </w:r>
          </w:p>
        </w:tc>
      </w:tr>
      <w:tr>
        <w:trPr>
          <w:trHeight w:val="177"/>
        </w:trPr>
        <w:tc>
          <w:tcPr>
            <w:tcW w:w="224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Assets</w:t>
            </w:r>
          </w:p>
        </w:tc>
        <w:tc>
          <w:tcPr>
            <w:tcW w:w="5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r>
      <w:tr>
        <w:trPr>
          <w:trHeight w:val="184"/>
        </w:trPr>
        <w:tc>
          <w:tcPr>
            <w:tcW w:w="22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Operating lease assets</w:t>
            </w:r>
          </w:p>
        </w:tc>
        <w:tc>
          <w:tcPr>
            <w:tcW w:w="5800" w:type="dxa"/>
            <w:vAlign w:val="bottom"/>
            <w:gridSpan w:val="2"/>
            <w:shd w:val="clear" w:color="auto" w:fill="CCEEFF"/>
          </w:tcPr>
          <w:p>
            <w:pPr>
              <w:ind w:left="440"/>
              <w:spacing w:after="0" w:line="184" w:lineRule="exact"/>
              <w:rPr>
                <w:sz w:val="20"/>
                <w:szCs w:val="20"/>
                <w:color w:val="auto"/>
              </w:rPr>
            </w:pPr>
            <w:r>
              <w:rPr>
                <w:rFonts w:ascii="Times New Roman" w:cs="Times New Roman" w:eastAsia="Times New Roman" w:hAnsi="Times New Roman"/>
                <w:sz w:val="18"/>
                <w:szCs w:val="18"/>
                <w:color w:val="auto"/>
              </w:rPr>
              <w:t>Right of use asset</w:t>
            </w:r>
          </w:p>
        </w:tc>
        <w:tc>
          <w:tcPr>
            <w:tcW w:w="140" w:type="dxa"/>
            <w:vAlign w:val="bottom"/>
            <w:tcBorders>
              <w:bottom w:val="single" w:sz="8" w:color="auto"/>
            </w:tcBorders>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132,861</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129,092</w:t>
            </w:r>
          </w:p>
        </w:tc>
      </w:tr>
      <w:tr>
        <w:trPr>
          <w:trHeight w:val="217"/>
        </w:trPr>
        <w:tc>
          <w:tcPr>
            <w:tcW w:w="2240" w:type="dxa"/>
            <w:vAlign w:val="bottom"/>
            <w:tcBorders>
              <w:bottom w:val="single" w:sz="8" w:color="CCEEFF"/>
            </w:tcBorders>
          </w:tcPr>
          <w:p>
            <w:pPr>
              <w:spacing w:after="0" w:line="177" w:lineRule="exact"/>
              <w:rPr>
                <w:sz w:val="20"/>
                <w:szCs w:val="20"/>
                <w:color w:val="auto"/>
              </w:rPr>
            </w:pPr>
            <w:r>
              <w:rPr>
                <w:rFonts w:ascii="Times New Roman" w:cs="Times New Roman" w:eastAsia="Times New Roman" w:hAnsi="Times New Roman"/>
                <w:sz w:val="18"/>
                <w:szCs w:val="18"/>
                <w:color w:val="auto"/>
              </w:rPr>
              <w:t>Total leased assets</w:t>
            </w:r>
          </w:p>
        </w:tc>
        <w:tc>
          <w:tcPr>
            <w:tcW w:w="5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132,861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129,092</w:t>
            </w:r>
          </w:p>
        </w:tc>
      </w:tr>
      <w:tr>
        <w:trPr>
          <w:trHeight w:val="163"/>
        </w:trPr>
        <w:tc>
          <w:tcPr>
            <w:tcW w:w="2240" w:type="dxa"/>
            <w:vAlign w:val="bottom"/>
            <w:shd w:val="clear" w:color="auto" w:fill="CCEEFF"/>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4"/>
        </w:trPr>
        <w:tc>
          <w:tcPr>
            <w:tcW w:w="2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Liabilities</w:t>
            </w:r>
          </w:p>
        </w:tc>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4"/>
        </w:trPr>
        <w:tc>
          <w:tcPr>
            <w:tcW w:w="22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Current</w:t>
            </w:r>
          </w:p>
        </w:tc>
        <w:tc>
          <w:tcPr>
            <w:tcW w:w="5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4"/>
        </w:trPr>
        <w:tc>
          <w:tcPr>
            <w:tcW w:w="22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Operating</w:t>
            </w:r>
          </w:p>
        </w:tc>
        <w:tc>
          <w:tcPr>
            <w:tcW w:w="5800" w:type="dxa"/>
            <w:vAlign w:val="bottom"/>
            <w:gridSpan w:val="2"/>
          </w:tcPr>
          <w:p>
            <w:pPr>
              <w:ind w:left="440"/>
              <w:spacing w:after="0" w:line="184" w:lineRule="exact"/>
              <w:rPr>
                <w:sz w:val="20"/>
                <w:szCs w:val="20"/>
                <w:color w:val="auto"/>
              </w:rPr>
            </w:pPr>
            <w:r>
              <w:rPr>
                <w:rFonts w:ascii="Times New Roman" w:cs="Times New Roman" w:eastAsia="Times New Roman" w:hAnsi="Times New Roman"/>
                <w:sz w:val="18"/>
                <w:szCs w:val="18"/>
                <w:color w:val="auto"/>
              </w:rPr>
              <w:t>Current portion of lease liability</w:t>
            </w:r>
          </w:p>
        </w:tc>
        <w:tc>
          <w:tcPr>
            <w:tcW w:w="140" w:type="dxa"/>
            <w:vAlign w:val="bottom"/>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28,880</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27,265</w:t>
            </w:r>
          </w:p>
        </w:tc>
      </w:tr>
      <w:tr>
        <w:trPr>
          <w:trHeight w:val="184"/>
        </w:trPr>
        <w:tc>
          <w:tcPr>
            <w:tcW w:w="22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Noncurrent</w:t>
            </w:r>
          </w:p>
        </w:tc>
        <w:tc>
          <w:tcPr>
            <w:tcW w:w="5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4"/>
        </w:trPr>
        <w:tc>
          <w:tcPr>
            <w:tcW w:w="2240" w:type="dxa"/>
            <w:vAlign w:val="bottom"/>
            <w:tcBorders>
              <w:bottom w:val="single" w:sz="8" w:color="CCEEFF"/>
            </w:tcBorders>
          </w:tcPr>
          <w:p>
            <w:pPr>
              <w:ind w:left="100"/>
              <w:spacing w:after="0" w:line="184" w:lineRule="exact"/>
              <w:rPr>
                <w:sz w:val="20"/>
                <w:szCs w:val="20"/>
                <w:color w:val="auto"/>
              </w:rPr>
            </w:pPr>
            <w:r>
              <w:rPr>
                <w:rFonts w:ascii="Times New Roman" w:cs="Times New Roman" w:eastAsia="Times New Roman" w:hAnsi="Times New Roman"/>
                <w:sz w:val="18"/>
                <w:szCs w:val="18"/>
                <w:color w:val="auto"/>
              </w:rPr>
              <w:t>Operating</w:t>
            </w:r>
          </w:p>
        </w:tc>
        <w:tc>
          <w:tcPr>
            <w:tcW w:w="5800" w:type="dxa"/>
            <w:vAlign w:val="bottom"/>
            <w:tcBorders>
              <w:bottom w:val="single" w:sz="8" w:color="CCEEFF"/>
            </w:tcBorders>
            <w:gridSpan w:val="2"/>
          </w:tcPr>
          <w:p>
            <w:pPr>
              <w:ind w:left="440"/>
              <w:spacing w:after="0" w:line="184" w:lineRule="exact"/>
              <w:rPr>
                <w:sz w:val="20"/>
                <w:szCs w:val="20"/>
                <w:color w:val="auto"/>
              </w:rPr>
            </w:pPr>
            <w:r>
              <w:rPr>
                <w:rFonts w:ascii="Times New Roman" w:cs="Times New Roman" w:eastAsia="Times New Roman" w:hAnsi="Times New Roman"/>
                <w:sz w:val="18"/>
                <w:szCs w:val="18"/>
                <w:color w:val="auto"/>
              </w:rPr>
              <w:t>Long-term lease liability, net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113,700</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112,697</w:t>
            </w:r>
          </w:p>
        </w:tc>
      </w:tr>
      <w:tr>
        <w:trPr>
          <w:trHeight w:val="177"/>
        </w:trPr>
        <w:tc>
          <w:tcPr>
            <w:tcW w:w="224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lease liabilities</w:t>
            </w:r>
          </w:p>
        </w:tc>
        <w:tc>
          <w:tcPr>
            <w:tcW w:w="5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142,580</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139,962</w:t>
            </w:r>
          </w:p>
        </w:tc>
      </w:tr>
      <w:tr>
        <w:trPr>
          <w:trHeight w:val="20"/>
        </w:trPr>
        <w:tc>
          <w:tcPr>
            <w:tcW w:w="22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368"/>
        </w:trPr>
        <w:tc>
          <w:tcPr>
            <w:tcW w:w="22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4"/>
          </w:tcPr>
          <w:p>
            <w:pPr>
              <w:jc w:val="right"/>
              <w:ind w:right="512"/>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Lease cost (in thousands)</w:t>
            </w:r>
          </w:p>
        </w:tc>
        <w:tc>
          <w:tcPr>
            <w:tcW w:w="5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Classification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2023</w:t>
            </w:r>
          </w:p>
        </w:tc>
      </w:tr>
      <w:tr>
        <w:trPr>
          <w:trHeight w:val="177"/>
        </w:trPr>
        <w:tc>
          <w:tcPr>
            <w:tcW w:w="224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Operating lease cost</w:t>
            </w:r>
          </w:p>
        </w:tc>
        <w:tc>
          <w:tcPr>
            <w:tcW w:w="5700" w:type="dxa"/>
            <w:vAlign w:val="bottom"/>
            <w:tcBorders>
              <w:top w:val="single" w:sz="8" w:color="auto"/>
            </w:tcBorders>
            <w:shd w:val="clear" w:color="auto" w:fill="CCEEFF"/>
          </w:tcPr>
          <w:p>
            <w:pPr>
              <w:ind w:left="440"/>
              <w:spacing w:after="0" w:line="177" w:lineRule="exact"/>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37,781</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36,023</w:t>
            </w:r>
          </w:p>
        </w:tc>
      </w:tr>
      <w:tr>
        <w:trPr>
          <w:trHeight w:val="250"/>
        </w:trPr>
        <w:tc>
          <w:tcPr>
            <w:tcW w:w="224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Variable lease cost</w:t>
            </w:r>
            <w:r>
              <w:rPr>
                <w:rFonts w:ascii="Times New Roman" w:cs="Times New Roman" w:eastAsia="Times New Roman" w:hAnsi="Times New Roman"/>
                <w:sz w:val="28"/>
                <w:szCs w:val="28"/>
                <w:color w:val="auto"/>
                <w:vertAlign w:val="superscript"/>
              </w:rPr>
              <w:t>(1)</w:t>
            </w:r>
          </w:p>
        </w:tc>
        <w:tc>
          <w:tcPr>
            <w:tcW w:w="5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SG&amp;A expenses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w:t>
            </w:r>
          </w:p>
        </w:tc>
      </w:tr>
      <w:tr>
        <w:trPr>
          <w:trHeight w:val="184"/>
        </w:trPr>
        <w:tc>
          <w:tcPr>
            <w:tcW w:w="22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Short term lease cost</w:t>
            </w:r>
          </w:p>
        </w:tc>
        <w:tc>
          <w:tcPr>
            <w:tcW w:w="5800" w:type="dxa"/>
            <w:vAlign w:val="bottom"/>
            <w:gridSpan w:val="2"/>
            <w:shd w:val="clear" w:color="auto" w:fill="CCEEFF"/>
          </w:tcPr>
          <w:p>
            <w:pPr>
              <w:ind w:left="440"/>
              <w:spacing w:after="0" w:line="184" w:lineRule="exact"/>
              <w:rPr>
                <w:sz w:val="20"/>
                <w:szCs w:val="20"/>
                <w:color w:val="auto"/>
              </w:rPr>
            </w:pPr>
            <w:r>
              <w:rPr>
                <w:rFonts w:ascii="Times New Roman" w:cs="Times New Roman" w:eastAsia="Times New Roman" w:hAnsi="Times New Roman"/>
                <w:sz w:val="18"/>
                <w:szCs w:val="18"/>
                <w:color w:val="auto"/>
              </w:rPr>
              <w:t>SG&amp;A expenses</w:t>
            </w: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372</w:t>
            </w:r>
          </w:p>
        </w:tc>
      </w:tr>
      <w:tr>
        <w:trPr>
          <w:trHeight w:val="177"/>
        </w:trPr>
        <w:tc>
          <w:tcPr>
            <w:tcW w:w="22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lease cost</w:t>
            </w:r>
          </w:p>
        </w:tc>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52,856</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50,414</w:t>
            </w:r>
          </w:p>
        </w:tc>
      </w:tr>
      <w:tr>
        <w:trPr>
          <w:trHeight w:val="20"/>
        </w:trPr>
        <w:tc>
          <w:tcPr>
            <w:tcW w:w="22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5540" w:right="1300" w:hanging="5535"/>
        <w:spacing w:after="0"/>
        <w:tabs>
          <w:tab w:leader="none" w:pos="215"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Variable lease costs consist primarily of taxes, insurance, and common area or other maintenance costs for the Company’s leased facilities.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402590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56"/>
        </w:trPr>
        <w:tc>
          <w:tcPr>
            <w:tcW w:w="1240" w:type="dxa"/>
            <w:vAlign w:val="bottom"/>
            <w:tcBorders>
              <w:top w:val="single" w:sz="8" w:color="0000FF"/>
            </w:tcBorders>
          </w:tcPr>
          <w:p>
            <w:pPr>
              <w:spacing w:after="0"/>
              <w:rPr>
                <w:sz w:val="24"/>
                <w:szCs w:val="24"/>
                <w:color w:val="auto"/>
              </w:rPr>
            </w:pPr>
          </w:p>
        </w:tc>
        <w:tc>
          <w:tcPr>
            <w:tcW w:w="63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8"/>
        </w:trPr>
        <w:tc>
          <w:tcPr>
            <w:tcW w:w="1240" w:type="dxa"/>
            <w:vAlign w:val="bottom"/>
          </w:tcPr>
          <w:p>
            <w:pPr>
              <w:spacing w:after="0"/>
              <w:rPr>
                <w:sz w:val="19"/>
                <w:szCs w:val="19"/>
                <w:color w:val="auto"/>
              </w:rPr>
            </w:pPr>
          </w:p>
        </w:tc>
        <w:tc>
          <w:tcPr>
            <w:tcW w:w="63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69"/>
        </w:trPr>
        <w:tc>
          <w:tcPr>
            <w:tcW w:w="5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Maturity of Lease Liabilities (in thousands)</w:t>
            </w: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892"/>
              <w:spacing w:after="0"/>
              <w:rPr>
                <w:sz w:val="20"/>
                <w:szCs w:val="20"/>
                <w:color w:val="auto"/>
              </w:rPr>
            </w:pPr>
            <w:r>
              <w:rPr>
                <w:rFonts w:ascii="Times New Roman" w:cs="Times New Roman" w:eastAsia="Times New Roman" w:hAnsi="Times New Roman"/>
                <w:sz w:val="18"/>
                <w:szCs w:val="18"/>
                <w:color w:val="auto"/>
              </w:rPr>
              <w:t>Operating Leases</w:t>
            </w:r>
          </w:p>
        </w:tc>
      </w:tr>
      <w:tr>
        <w:trPr>
          <w:trHeight w:val="177"/>
        </w:trPr>
        <w:tc>
          <w:tcPr>
            <w:tcW w:w="12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2025</w:t>
            </w:r>
          </w:p>
        </w:tc>
        <w:tc>
          <w:tcPr>
            <w:tcW w:w="4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39,994</w:t>
            </w:r>
          </w:p>
        </w:tc>
      </w:tr>
      <w:tr>
        <w:trPr>
          <w:trHeight w:val="184"/>
        </w:trPr>
        <w:tc>
          <w:tcPr>
            <w:tcW w:w="1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2026</w:t>
            </w:r>
          </w:p>
        </w:tc>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38,027</w:t>
            </w:r>
          </w:p>
        </w:tc>
      </w:tr>
      <w:tr>
        <w:trPr>
          <w:trHeight w:val="184"/>
        </w:trPr>
        <w:tc>
          <w:tcPr>
            <w:tcW w:w="12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2027</w:t>
            </w:r>
          </w:p>
        </w:tc>
        <w:tc>
          <w:tcPr>
            <w:tcW w:w="4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31,787</w:t>
            </w:r>
          </w:p>
        </w:tc>
      </w:tr>
      <w:tr>
        <w:trPr>
          <w:trHeight w:val="184"/>
        </w:trPr>
        <w:tc>
          <w:tcPr>
            <w:tcW w:w="12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2028</w:t>
            </w:r>
          </w:p>
        </w:tc>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23,976</w:t>
            </w:r>
          </w:p>
        </w:tc>
      </w:tr>
      <w:tr>
        <w:trPr>
          <w:trHeight w:val="184"/>
        </w:trPr>
        <w:tc>
          <w:tcPr>
            <w:tcW w:w="12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2029</w:t>
            </w:r>
          </w:p>
        </w:tc>
        <w:tc>
          <w:tcPr>
            <w:tcW w:w="4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16,541</w:t>
            </w:r>
          </w:p>
        </w:tc>
      </w:tr>
      <w:tr>
        <w:trPr>
          <w:trHeight w:val="184"/>
        </w:trPr>
        <w:tc>
          <w:tcPr>
            <w:tcW w:w="5880" w:type="dxa"/>
            <w:vAlign w:val="bottom"/>
            <w:tcBorders>
              <w:bottom w:val="single" w:sz="8" w:color="CCEEFF"/>
            </w:tcBorders>
            <w:gridSpan w:val="4"/>
          </w:tcPr>
          <w:p>
            <w:pPr>
              <w:spacing w:after="0" w:line="184" w:lineRule="exact"/>
              <w:rPr>
                <w:sz w:val="20"/>
                <w:szCs w:val="20"/>
                <w:color w:val="auto"/>
              </w:rPr>
            </w:pPr>
            <w:r>
              <w:rPr>
                <w:rFonts w:ascii="Times New Roman" w:cs="Times New Roman" w:eastAsia="Times New Roman" w:hAnsi="Times New Roman"/>
                <w:sz w:val="18"/>
                <w:szCs w:val="18"/>
                <w:color w:val="auto"/>
              </w:rPr>
              <w:t>Thereafter</w:t>
            </w:r>
          </w:p>
        </w:tc>
        <w:tc>
          <w:tcPr>
            <w:tcW w:w="1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24,919</w:t>
            </w:r>
          </w:p>
        </w:tc>
      </w:tr>
      <w:tr>
        <w:trPr>
          <w:trHeight w:val="177"/>
        </w:trPr>
        <w:tc>
          <w:tcPr>
            <w:tcW w:w="5880" w:type="dxa"/>
            <w:vAlign w:val="bottom"/>
            <w:gridSpan w:val="4"/>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lease payments</w:t>
            </w: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175,244</w:t>
            </w:r>
          </w:p>
        </w:tc>
      </w:tr>
      <w:tr>
        <w:trPr>
          <w:trHeight w:val="184"/>
        </w:trPr>
        <w:tc>
          <w:tcPr>
            <w:tcW w:w="5880" w:type="dxa"/>
            <w:vAlign w:val="bottom"/>
            <w:tcBorders>
              <w:bottom w:val="single" w:sz="8" w:color="CCEEFF"/>
            </w:tcBorders>
            <w:gridSpan w:val="4"/>
          </w:tcPr>
          <w:p>
            <w:pPr>
              <w:spacing w:after="0" w:line="184" w:lineRule="exact"/>
              <w:rPr>
                <w:sz w:val="20"/>
                <w:szCs w:val="20"/>
                <w:color w:val="auto"/>
              </w:rPr>
            </w:pPr>
            <w:r>
              <w:rPr>
                <w:rFonts w:ascii="Times New Roman" w:cs="Times New Roman" w:eastAsia="Times New Roman" w:hAnsi="Times New Roman"/>
                <w:sz w:val="18"/>
                <w:szCs w:val="18"/>
                <w:color w:val="auto"/>
              </w:rPr>
              <w:t>Less: interest</w:t>
            </w:r>
          </w:p>
        </w:tc>
        <w:tc>
          <w:tcPr>
            <w:tcW w:w="1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(32,664)</w:t>
            </w:r>
          </w:p>
        </w:tc>
      </w:tr>
      <w:tr>
        <w:trPr>
          <w:trHeight w:val="177"/>
        </w:trPr>
        <w:tc>
          <w:tcPr>
            <w:tcW w:w="5880" w:type="dxa"/>
            <w:vAlign w:val="bottom"/>
            <w:tcBorders>
              <w:bottom w:val="single" w:sz="8" w:color="CCEEFF"/>
            </w:tcBorders>
            <w:gridSpan w:val="4"/>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Present value of lease liabilities</w:t>
            </w: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142,580</w:t>
            </w:r>
          </w:p>
        </w:tc>
      </w:tr>
      <w:tr>
        <w:trPr>
          <w:trHeight w:val="20"/>
        </w:trPr>
        <w:tc>
          <w:tcPr>
            <w:tcW w:w="1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r>
      <w:tr>
        <w:trPr>
          <w:trHeight w:val="368"/>
        </w:trPr>
        <w:tc>
          <w:tcPr>
            <w:tcW w:w="12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right"/>
              <w:ind w:right="892"/>
              <w:spacing w:after="0"/>
              <w:rPr>
                <w:sz w:val="20"/>
                <w:szCs w:val="20"/>
                <w:color w:val="auto"/>
              </w:rPr>
            </w:pPr>
            <w:r>
              <w:rPr>
                <w:rFonts w:ascii="Times New Roman" w:cs="Times New Roman" w:eastAsia="Times New Roman" w:hAnsi="Times New Roman"/>
                <w:sz w:val="18"/>
                <w:szCs w:val="18"/>
                <w:color w:val="auto"/>
                <w:w w:val="96"/>
              </w:rPr>
              <w:t>Year Ended December 31,</w:t>
            </w:r>
          </w:p>
        </w:tc>
      </w:tr>
      <w:tr>
        <w:trPr>
          <w:trHeight w:val="216"/>
        </w:trPr>
        <w:tc>
          <w:tcPr>
            <w:tcW w:w="5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Other Information (in thousands)</w:t>
            </w: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right"/>
              <w:ind w:right="592"/>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color w:val="auto"/>
              </w:rPr>
              <w:t>2023</w:t>
            </w:r>
          </w:p>
        </w:tc>
      </w:tr>
      <w:tr>
        <w:trPr>
          <w:trHeight w:val="177"/>
        </w:trPr>
        <w:tc>
          <w:tcPr>
            <w:tcW w:w="5880" w:type="dxa"/>
            <w:vAlign w:val="bottom"/>
            <w:gridSpan w:val="4"/>
          </w:tcPr>
          <w:p>
            <w:pPr>
              <w:spacing w:after="0" w:line="177"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4"/>
        </w:trPr>
        <w:tc>
          <w:tcPr>
            <w:tcW w:w="5880" w:type="dxa"/>
            <w:vAlign w:val="bottom"/>
            <w:gridSpan w:val="4"/>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680" w:type="dxa"/>
            <w:vAlign w:val="bottom"/>
            <w:gridSpan w:val="3"/>
            <w:shd w:val="clear" w:color="auto" w:fill="CCEEFF"/>
          </w:tcPr>
          <w:p>
            <w:pPr>
              <w:jc w:val="right"/>
              <w:ind w:right="2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6"/>
            <w:shd w:val="clear" w:color="auto" w:fill="CCEEFF"/>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(39,184)</w:t>
            </w:r>
          </w:p>
        </w:tc>
        <w:tc>
          <w:tcPr>
            <w:tcW w:w="560" w:type="dxa"/>
            <w:vAlign w:val="bottom"/>
            <w:gridSpan w:val="2"/>
            <w:shd w:val="clear" w:color="auto" w:fill="CCEEFF"/>
          </w:tcPr>
          <w:p>
            <w:pPr>
              <w:jc w:val="right"/>
              <w:ind w:right="36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(37,587)</w:t>
            </w:r>
          </w:p>
        </w:tc>
      </w:tr>
      <w:tr>
        <w:trPr>
          <w:trHeight w:val="228"/>
        </w:trPr>
        <w:tc>
          <w:tcPr>
            <w:tcW w:w="58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Lease right-of-use assets obtained or modified in exchange for lease obligations</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30,691</w:t>
            </w:r>
          </w:p>
        </w:tc>
        <w:tc>
          <w:tcPr>
            <w:tcW w:w="120" w:type="dxa"/>
            <w:vAlign w:val="bottom"/>
          </w:tcPr>
          <w:p>
            <w:pPr>
              <w:spacing w:after="0"/>
              <w:rPr>
                <w:sz w:val="19"/>
                <w:szCs w:val="19"/>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w:t>
            </w:r>
          </w:p>
        </w:tc>
      </w:tr>
      <w:tr>
        <w:trPr>
          <w:trHeight w:val="376"/>
        </w:trPr>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Term and Discount Rate</w:t>
            </w:r>
          </w:p>
        </w:tc>
        <w:tc>
          <w:tcPr>
            <w:tcW w:w="1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December 31, 2024</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jc w:val="right"/>
              <w:ind w:right="792"/>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177"/>
        </w:trPr>
        <w:tc>
          <w:tcPr>
            <w:tcW w:w="5320" w:type="dxa"/>
            <w:vAlign w:val="bottom"/>
            <w:tcBorders>
              <w:top w:val="single" w:sz="8" w:color="auto"/>
            </w:tcBorders>
            <w:gridSpan w:val="2"/>
          </w:tcPr>
          <w:p>
            <w:pPr>
              <w:spacing w:after="0" w:line="177" w:lineRule="exact"/>
              <w:rPr>
                <w:sz w:val="20"/>
                <w:szCs w:val="20"/>
                <w:color w:val="auto"/>
              </w:rPr>
            </w:pPr>
            <w:r>
              <w:rPr>
                <w:rFonts w:ascii="Times New Roman" w:cs="Times New Roman" w:eastAsia="Times New Roman" w:hAnsi="Times New Roman"/>
                <w:sz w:val="18"/>
                <w:szCs w:val="18"/>
                <w:color w:val="auto"/>
              </w:rPr>
              <w:t>Weighted average remaining term (years)</w:t>
            </w:r>
          </w:p>
        </w:tc>
        <w:tc>
          <w:tcPr>
            <w:tcW w:w="1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r>
      <w:tr>
        <w:trPr>
          <w:trHeight w:val="184"/>
        </w:trPr>
        <w:tc>
          <w:tcPr>
            <w:tcW w:w="5880" w:type="dxa"/>
            <w:vAlign w:val="bottom"/>
            <w:gridSpan w:val="4"/>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Operating leases</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72"/>
              <w:spacing w:after="0" w:line="184" w:lineRule="exact"/>
              <w:rPr>
                <w:sz w:val="20"/>
                <w:szCs w:val="20"/>
                <w:color w:val="auto"/>
              </w:rPr>
            </w:pPr>
            <w:r>
              <w:rPr>
                <w:rFonts w:ascii="Times New Roman" w:cs="Times New Roman" w:eastAsia="Times New Roman" w:hAnsi="Times New Roman"/>
                <w:sz w:val="18"/>
                <w:szCs w:val="18"/>
                <w:color w:val="auto"/>
              </w:rPr>
              <w:t>5.4</w:t>
            </w:r>
          </w:p>
        </w:tc>
      </w:tr>
      <w:tr>
        <w:trPr>
          <w:trHeight w:val="184"/>
        </w:trPr>
        <w:tc>
          <w:tcPr>
            <w:tcW w:w="588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Weighted average discount rate</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4"/>
        </w:trPr>
        <w:tc>
          <w:tcPr>
            <w:tcW w:w="5880" w:type="dxa"/>
            <w:vAlign w:val="bottom"/>
            <w:gridSpan w:val="4"/>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Operating leases</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158"/>
              <w:spacing w:after="0" w:line="184" w:lineRule="exact"/>
              <w:rPr>
                <w:sz w:val="20"/>
                <w:szCs w:val="20"/>
                <w:color w:val="auto"/>
              </w:rPr>
            </w:pPr>
            <w:r>
              <w:rPr>
                <w:rFonts w:ascii="Times New Roman" w:cs="Times New Roman" w:eastAsia="Times New Roman" w:hAnsi="Times New Roman"/>
                <w:sz w:val="18"/>
                <w:szCs w:val="18"/>
                <w:color w:val="auto"/>
              </w:rPr>
              <w:t>7.45 %</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72"/>
              <w:spacing w:after="0" w:line="184" w:lineRule="exact"/>
              <w:rPr>
                <w:sz w:val="20"/>
                <w:szCs w:val="20"/>
                <w:color w:val="auto"/>
              </w:rPr>
            </w:pPr>
            <w:r>
              <w:rPr>
                <w:rFonts w:ascii="Times New Roman" w:cs="Times New Roman" w:eastAsia="Times New Roman" w:hAnsi="Times New Roman"/>
                <w:sz w:val="18"/>
                <w:szCs w:val="18"/>
                <w:color w:val="auto"/>
              </w:rPr>
              <w:t>7.90 %</w:t>
            </w:r>
          </w:p>
        </w:tc>
      </w:tr>
    </w:tbl>
    <w:p>
      <w:pPr>
        <w:spacing w:after="0" w:line="1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In July 2022, the Company entered into an agreement to modify one of its store leases. The terms of the agreement required the Company to vacate the store during the fourth quarter of 2022 in exchange for a $1.4 million lease incentive payment from the landlord. During the fourth quarter, the Company fulfilled its obligation to close the store and received the $1.4 million lease incentive payment from the landlord. The Company recognized the $1.4 million benefit associated with the modified lease during the year ended December 31, 2022. The Company did not receive any lease incentives tied to a store closure or recognize a reduction to rent expense in connection with this type of lease incentive during the twelve months ended December 31, 2023 and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of Financial Instruments</w:t>
      </w:r>
    </w:p>
    <w:p>
      <w:pPr>
        <w:spacing w:after="0" w:line="176"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1 – Unadjusted quoted prices that are available in active markets for the identical assets or liabilities at the measurement date.</w:t>
      </w:r>
    </w:p>
    <w:p>
      <w:pPr>
        <w:spacing w:after="0" w:line="161" w:lineRule="exact"/>
        <w:rPr>
          <w:sz w:val="20"/>
          <w:szCs w:val="20"/>
          <w:color w:val="auto"/>
        </w:rPr>
      </w:pPr>
    </w:p>
    <w:p>
      <w:pPr>
        <w:ind w:left="480"/>
        <w:spacing w:after="0" w:line="253" w:lineRule="auto"/>
        <w:rPr>
          <w:sz w:val="20"/>
          <w:szCs w:val="20"/>
          <w:color w:val="auto"/>
        </w:rPr>
      </w:pPr>
      <w:r>
        <w:rPr>
          <w:rFonts w:ascii="Times New Roman" w:cs="Times New Roman" w:eastAsia="Times New Roman" w:hAnsi="Times New Roman"/>
          <w:sz w:val="18"/>
          <w:szCs w:val="18"/>
          <w:color w:val="auto"/>
        </w:rPr>
        <w:t>Level 2 – Significant other observable inputs available at the measurement date, other than quoted prices included in Level 1, either directly or indirectly, including:</w:t>
      </w:r>
    </w:p>
    <w:p>
      <w:pPr>
        <w:spacing w:after="0" w:line="1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Quoted prices for similar assets or liabilities in active markets;</w:t>
      </w:r>
    </w:p>
    <w:p>
      <w:pPr>
        <w:jc w:val="both"/>
        <w:ind w:left="1120" w:right="4580"/>
        <w:spacing w:after="0"/>
        <w:rPr>
          <w:sz w:val="20"/>
          <w:szCs w:val="20"/>
          <w:color w:val="auto"/>
        </w:rPr>
      </w:pPr>
      <w:r>
        <w:rPr>
          <w:rFonts w:ascii="Times New Roman" w:cs="Times New Roman" w:eastAsia="Times New Roman" w:hAnsi="Times New Roman"/>
          <w:sz w:val="16"/>
          <w:szCs w:val="16"/>
          <w:color w:val="auto"/>
        </w:rPr>
        <w:t>Quoted prices for identical or similar assets or liabilities in non-active markets; Inputs other than quoted prices that are observable for the asset or liability; and</w:t>
      </w:r>
    </w:p>
    <w:p>
      <w:pPr>
        <w:ind w:left="800"/>
        <w:spacing w:after="0"/>
        <w:rPr>
          <w:sz w:val="20"/>
          <w:szCs w:val="20"/>
          <w:color w:val="auto"/>
        </w:rPr>
      </w:pPr>
      <w:r>
        <w:rPr>
          <w:rFonts w:ascii="Times New Roman" w:cs="Times New Roman" w:eastAsia="Times New Roman" w:hAnsi="Times New Roman"/>
          <w:sz w:val="18"/>
          <w:szCs w:val="18"/>
          <w:color w:val="auto"/>
        </w:rPr>
        <w:t>Inputs that are derived principally from or corroborated by other observable market data.</w:t>
      </w:r>
    </w:p>
    <w:p>
      <w:pPr>
        <w:spacing w:after="0" w:line="141" w:lineRule="exact"/>
        <w:rPr>
          <w:sz w:val="20"/>
          <w:szCs w:val="20"/>
          <w:color w:val="auto"/>
        </w:rPr>
      </w:pPr>
    </w:p>
    <w:p>
      <w:pPr>
        <w:ind w:left="480" w:right="740"/>
        <w:spacing w:after="0" w:line="238" w:lineRule="auto"/>
        <w:rPr>
          <w:sz w:val="20"/>
          <w:szCs w:val="20"/>
          <w:color w:val="auto"/>
        </w:rPr>
      </w:pPr>
      <w:r>
        <w:rPr>
          <w:rFonts w:ascii="Times New Roman" w:cs="Times New Roman" w:eastAsia="Times New Roman" w:hAnsi="Times New Roman"/>
          <w:sz w:val="18"/>
          <w:szCs w:val="18"/>
          <w:color w:val="auto"/>
        </w:rPr>
        <w:t>Level 3 – Significant unobservable inputs that cannot be corroborated by observable market data and reflect the use of significant management judgment.</w:t>
      </w:r>
    </w:p>
    <w:p>
      <w:pPr>
        <w:spacing w:after="0" w:line="155"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financial assets that were accounted for at fair value on a recurring basis at December 31, 2024 and 2023 according to the valuation techniques the Company uses to determine their fair values. There have been no transfers of assets among the fair value hierarchies presented.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1240" w:type="dxa"/>
            <w:vAlign w:val="bottom"/>
            <w:tcBorders>
              <w:top w:val="single" w:sz="8" w:color="0000FF"/>
            </w:tcBorders>
          </w:tcPr>
          <w:p>
            <w:pPr>
              <w:spacing w:after="0"/>
              <w:rPr>
                <w:sz w:val="24"/>
                <w:szCs w:val="24"/>
                <w:color w:val="auto"/>
              </w:rPr>
            </w:pPr>
          </w:p>
        </w:tc>
        <w:tc>
          <w:tcPr>
            <w:tcW w:w="1720" w:type="dxa"/>
            <w:vAlign w:val="bottom"/>
          </w:tcPr>
          <w:p>
            <w:pPr>
              <w:spacing w:after="0"/>
              <w:rPr>
                <w:sz w:val="24"/>
                <w:szCs w:val="24"/>
                <w:color w:val="auto"/>
              </w:rPr>
            </w:pPr>
          </w:p>
        </w:tc>
        <w:tc>
          <w:tcPr>
            <w:tcW w:w="5800" w:type="dxa"/>
            <w:vAlign w:val="bottom"/>
            <w:gridSpan w:val="5"/>
          </w:tcPr>
          <w:p>
            <w:pPr>
              <w:ind w:left="112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800" w:type="dxa"/>
            <w:vAlign w:val="bottom"/>
            <w:gridSpan w:val="5"/>
          </w:tcPr>
          <w:p>
            <w:pPr>
              <w:ind w:left="11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1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Pricing</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2"/>
          </w:tcPr>
          <w:p>
            <w:pPr>
              <w:jc w:val="center"/>
              <w:ind w:left="1532"/>
              <w:spacing w:after="0"/>
              <w:rPr>
                <w:sz w:val="20"/>
                <w:szCs w:val="20"/>
                <w:color w:val="auto"/>
              </w:rPr>
            </w:pPr>
            <w:r>
              <w:rPr>
                <w:rFonts w:ascii="Times New Roman" w:cs="Times New Roman" w:eastAsia="Times New Roman" w:hAnsi="Times New Roman"/>
                <w:sz w:val="18"/>
                <w:szCs w:val="18"/>
                <w:color w:val="auto"/>
                <w:w w:val="95"/>
              </w:rPr>
              <w:t>Fair Value at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Category</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December 31, 2024</w:t>
            </w:r>
          </w:p>
        </w:tc>
        <w:tc>
          <w:tcPr>
            <w:tcW w:w="5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77"/>
        </w:trPr>
        <w:tc>
          <w:tcPr>
            <w:tcW w:w="296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2"/>
          </w:tcPr>
          <w:p>
            <w:pPr>
              <w:jc w:val="center"/>
              <w:ind w:left="1552"/>
              <w:spacing w:after="0" w:line="177" w:lineRule="exact"/>
              <w:rPr>
                <w:sz w:val="20"/>
                <w:szCs w:val="20"/>
                <w:color w:val="auto"/>
              </w:rPr>
            </w:pPr>
            <w:r>
              <w:rPr>
                <w:rFonts w:ascii="Times New Roman" w:cs="Times New Roman" w:eastAsia="Times New Roman" w:hAnsi="Times New Roman"/>
                <w:sz w:val="18"/>
                <w:szCs w:val="18"/>
                <w:color w:val="auto"/>
                <w:w w:val="97"/>
              </w:rPr>
              <w:t>(in thousands)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shd w:val="clear" w:color="auto" w:fill="CCEEFF"/>
          </w:tcPr>
          <w:p>
            <w:pPr>
              <w:spacing w:after="0"/>
              <w:rPr>
                <w:sz w:val="16"/>
                <w:szCs w:val="16"/>
                <w:color w:val="auto"/>
              </w:rPr>
            </w:pPr>
          </w:p>
        </w:tc>
        <w:tc>
          <w:tcPr>
            <w:tcW w:w="16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Level 1</w:t>
            </w:r>
          </w:p>
        </w:tc>
        <w:tc>
          <w:tcPr>
            <w:tcW w:w="540" w:type="dxa"/>
            <w:vAlign w:val="bottom"/>
            <w:gridSpan w:val="2"/>
            <w:shd w:val="clear" w:color="auto" w:fill="CCEEFF"/>
          </w:tcPr>
          <w:p>
            <w:pPr>
              <w:jc w:val="right"/>
              <w:ind w:right="2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ind w:right="52"/>
              <w:spacing w:after="0" w:line="184" w:lineRule="exact"/>
              <w:rPr>
                <w:sz w:val="20"/>
                <w:szCs w:val="20"/>
                <w:color w:val="auto"/>
              </w:rPr>
            </w:pPr>
            <w:r>
              <w:rPr>
                <w:rFonts w:ascii="Times New Roman" w:cs="Times New Roman" w:eastAsia="Times New Roman" w:hAnsi="Times New Roman"/>
                <w:sz w:val="18"/>
                <w:szCs w:val="18"/>
                <w:color w:val="auto"/>
              </w:rPr>
              <w:t>20,957</w:t>
            </w:r>
          </w:p>
        </w:tc>
        <w:tc>
          <w:tcPr>
            <w:tcW w:w="560" w:type="dxa"/>
            <w:vAlign w:val="bottom"/>
            <w:shd w:val="clear" w:color="auto" w:fill="CCEEFF"/>
          </w:tcPr>
          <w:p>
            <w:pPr>
              <w:jc w:val="right"/>
              <w:ind w:right="23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8,620</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18"/>
          <w:szCs w:val="18"/>
          <w:color w:val="auto"/>
        </w:rPr>
        <w:t>Cash and cash equivalents consist of cash on hand, bank deposits, and money market funds. The value was measured using quoted market prices in active markets. The carrying value approximates fair value. There have been no changes in the valuation techniques used by the Company to value the Company’s financial instruments.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accounts receivable and accounts payable approximates their estimated fair values due to the short maturities of these instruments.</w:t>
      </w:r>
    </w:p>
    <w:p>
      <w:pPr>
        <w:spacing w:after="0" w:line="174"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8"/>
          <w:szCs w:val="18"/>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During the years ended December 31, 2024, 2023 and 2022, the Company recognized charges in selling, general, and administrative expenses to write-down property, plant, and equipment and right of use assets to their estimated fair values of $0.9 million, $1.0 million and $0.4 million, respectively. The Company measured the fair value of these assets using a discounted cash flow model based on projected cash flows, an estimated risk-adjusted rate of return, and market rental rates for comparable properties. The following table presents quantitative information about significant level 2 and level 3 inputs used to estimate the fair value of property, plant and equipment and right of use assets during the twelve months ended December 31, 2024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0" w:type="dxa"/>
            <w:vAlign w:val="bottom"/>
            <w:tcBorders>
              <w:bottom w:val="single" w:sz="8" w:color="CCEEFF"/>
            </w:tcBorders>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2"/>
              <w:spacing w:after="0" w:line="197"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Borders>
              <w:bottom w:val="single" w:sz="8" w:color="CCEEFF"/>
            </w:tcBorders>
          </w:tcPr>
          <w:p>
            <w:pPr>
              <w:spacing w:after="0"/>
              <w:rPr>
                <w:sz w:val="17"/>
                <w:szCs w:val="17"/>
                <w:color w:val="auto"/>
              </w:rPr>
            </w:pPr>
          </w:p>
        </w:tc>
        <w:tc>
          <w:tcPr>
            <w:tcW w:w="1900" w:type="dxa"/>
            <w:vAlign w:val="bottom"/>
            <w:tcBorders>
              <w:top w:val="single" w:sz="8" w:color="auto"/>
              <w:bottom w:val="single" w:sz="8" w:color="auto"/>
            </w:tcBorders>
          </w:tcPr>
          <w:p>
            <w:pPr>
              <w:ind w:left="180"/>
              <w:spacing w:after="0" w:line="197" w:lineRule="exact"/>
              <w:rPr>
                <w:sz w:val="20"/>
                <w:szCs w:val="20"/>
                <w:color w:val="auto"/>
              </w:rPr>
            </w:pPr>
            <w:r>
              <w:rPr>
                <w:rFonts w:ascii="Times New Roman" w:cs="Times New Roman" w:eastAsia="Times New Roman" w:hAnsi="Times New Roman"/>
                <w:sz w:val="18"/>
                <w:szCs w:val="18"/>
                <w:b w:val="1"/>
                <w:bCs w:val="1"/>
                <w:color w:val="auto"/>
              </w:rPr>
              <w:t>Valuation Technique</w:t>
            </w:r>
          </w:p>
        </w:tc>
        <w:tc>
          <w:tcPr>
            <w:tcW w:w="100" w:type="dxa"/>
            <w:vAlign w:val="bottom"/>
            <w:tcBorders>
              <w:top w:val="single" w:sz="8" w:color="auto"/>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5"/>
              </w:rPr>
              <w:t>Category</w:t>
            </w:r>
          </w:p>
        </w:tc>
        <w:tc>
          <w:tcPr>
            <w:tcW w:w="80" w:type="dxa"/>
            <w:vAlign w:val="bottom"/>
            <w:tcBorders>
              <w:top w:val="single" w:sz="8" w:color="auto"/>
              <w:bottom w:val="single" w:sz="8" w:color="CCEEFF"/>
            </w:tcBorders>
          </w:tcPr>
          <w:p>
            <w:pPr>
              <w:spacing w:after="0"/>
              <w:rPr>
                <w:sz w:val="17"/>
                <w:szCs w:val="17"/>
                <w:color w:val="auto"/>
              </w:rPr>
            </w:pPr>
          </w:p>
        </w:tc>
        <w:tc>
          <w:tcPr>
            <w:tcW w:w="1860" w:type="dxa"/>
            <w:vAlign w:val="bottom"/>
            <w:tcBorders>
              <w:top w:val="single" w:sz="8" w:color="auto"/>
              <w:bottom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7"/>
              </w:rPr>
              <w:t>Input</w:t>
            </w:r>
          </w:p>
        </w:tc>
        <w:tc>
          <w:tcPr>
            <w:tcW w:w="80" w:type="dxa"/>
            <w:vAlign w:val="bottom"/>
            <w:tcBorders>
              <w:top w:val="single" w:sz="8" w:color="auto"/>
              <w:bottom w:val="single" w:sz="8" w:color="CCEEFF"/>
            </w:tcBorders>
          </w:tcPr>
          <w:p>
            <w:pPr>
              <w:spacing w:after="0"/>
              <w:rPr>
                <w:sz w:val="17"/>
                <w:szCs w:val="17"/>
                <w:color w:val="auto"/>
              </w:rPr>
            </w:pPr>
          </w:p>
        </w:tc>
        <w:tc>
          <w:tcPr>
            <w:tcW w:w="2240" w:type="dxa"/>
            <w:vAlign w:val="bottom"/>
            <w:tcBorders>
              <w:top w:val="single" w:sz="8" w:color="auto"/>
              <w:bottom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7"/>
              </w:rPr>
              <w:t>Range</w:t>
            </w:r>
          </w:p>
        </w:tc>
      </w:tr>
      <w:tr>
        <w:trPr>
          <w:trHeight w:val="230"/>
        </w:trPr>
        <w:tc>
          <w:tcPr>
            <w:tcW w:w="26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 xml:space="preserve">Right of use assets </w:t>
            </w:r>
            <w:r>
              <w:rPr>
                <w:rFonts w:ascii="Times New Roman" w:cs="Times New Roman" w:eastAsia="Times New Roman" w:hAnsi="Times New Roman"/>
                <w:sz w:val="26"/>
                <w:szCs w:val="26"/>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Discounted cash flow</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Level 2</w:t>
            </w:r>
          </w:p>
        </w:tc>
        <w:tc>
          <w:tcPr>
            <w:tcW w:w="1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Market rental rates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$37.56 per sq. ft.</w:t>
            </w:r>
          </w:p>
        </w:tc>
      </w:tr>
      <w:tr>
        <w:trPr>
          <w:trHeight w:val="184"/>
        </w:trPr>
        <w:tc>
          <w:tcPr>
            <w:tcW w:w="2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5"/>
              </w:rPr>
              <w:t>Level 2</w:t>
            </w:r>
          </w:p>
        </w:tc>
        <w:tc>
          <w:tcPr>
            <w:tcW w:w="19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7"/>
              </w:rPr>
              <w:t>Discount rate</w:t>
            </w: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4"/>
              </w:rPr>
              <w:t>7.75%</w:t>
            </w:r>
          </w:p>
        </w:tc>
      </w:tr>
      <w:tr>
        <w:trPr>
          <w:trHeight w:val="250"/>
        </w:trPr>
        <w:tc>
          <w:tcPr>
            <w:tcW w:w="26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Property, plant and equipment </w:t>
            </w:r>
            <w:r>
              <w:rPr>
                <w:rFonts w:ascii="Times New Roman" w:cs="Times New Roman" w:eastAsia="Times New Roman" w:hAnsi="Times New Roman"/>
                <w:sz w:val="28"/>
                <w:szCs w:val="28"/>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Discounted cash flow</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Level 3</w:t>
            </w:r>
          </w:p>
        </w:tc>
        <w:tc>
          <w:tcPr>
            <w:tcW w:w="1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Revenue growth rate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 to 3%</w:t>
            </w:r>
          </w:p>
        </w:tc>
      </w:tr>
      <w:tr>
        <w:trPr>
          <w:trHeight w:val="184"/>
        </w:trPr>
        <w:tc>
          <w:tcPr>
            <w:tcW w:w="2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5"/>
              </w:rPr>
              <w:t>Level 3</w:t>
            </w:r>
          </w:p>
        </w:tc>
        <w:tc>
          <w:tcPr>
            <w:tcW w:w="19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7"/>
              </w:rPr>
              <w:t>Discount rate</w:t>
            </w: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7.75% to 8.5%</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r>
      <w:tr>
        <w:trPr>
          <w:trHeight w:val="184"/>
        </w:trPr>
        <w:tc>
          <w:tcPr>
            <w:tcW w:w="2600" w:type="dxa"/>
            <w:vAlign w:val="bottom"/>
            <w:tcBorders>
              <w:bottom w:val="single" w:sz="8" w:color="CCEEFF"/>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2"/>
              <w:spacing w:after="0" w:line="184"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ind w:left="180"/>
              <w:spacing w:after="0" w:line="184" w:lineRule="exact"/>
              <w:rPr>
                <w:sz w:val="20"/>
                <w:szCs w:val="20"/>
                <w:color w:val="auto"/>
              </w:rPr>
            </w:pPr>
            <w:r>
              <w:rPr>
                <w:rFonts w:ascii="Times New Roman" w:cs="Times New Roman" w:eastAsia="Times New Roman" w:hAnsi="Times New Roman"/>
                <w:sz w:val="18"/>
                <w:szCs w:val="18"/>
                <w:b w:val="1"/>
                <w:bCs w:val="1"/>
                <w:color w:val="auto"/>
              </w:rPr>
              <w:t>Valuation Technique</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5"/>
              </w:rPr>
              <w:t>Category</w:t>
            </w:r>
          </w:p>
        </w:tc>
        <w:tc>
          <w:tcPr>
            <w:tcW w:w="8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Input</w:t>
            </w:r>
          </w:p>
        </w:tc>
        <w:tc>
          <w:tcPr>
            <w:tcW w:w="8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Range</w:t>
            </w:r>
          </w:p>
        </w:tc>
      </w:tr>
      <w:tr>
        <w:trPr>
          <w:trHeight w:val="230"/>
        </w:trPr>
        <w:tc>
          <w:tcPr>
            <w:tcW w:w="26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 xml:space="preserve">Right of use assets </w:t>
            </w:r>
            <w:r>
              <w:rPr>
                <w:rFonts w:ascii="Times New Roman" w:cs="Times New Roman" w:eastAsia="Times New Roman" w:hAnsi="Times New Roman"/>
                <w:sz w:val="26"/>
                <w:szCs w:val="26"/>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Discounted cash flow</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Level 2</w:t>
            </w:r>
          </w:p>
        </w:tc>
        <w:tc>
          <w:tcPr>
            <w:tcW w:w="1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Market rental rates</w:t>
            </w: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$14.50 to $33.44 per sq. ft.</w:t>
            </w:r>
          </w:p>
        </w:tc>
      </w:tr>
      <w:tr>
        <w:trPr>
          <w:trHeight w:val="184"/>
        </w:trPr>
        <w:tc>
          <w:tcPr>
            <w:tcW w:w="2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5"/>
              </w:rPr>
              <w:t>Level 2</w:t>
            </w:r>
          </w:p>
        </w:tc>
        <w:tc>
          <w:tcPr>
            <w:tcW w:w="19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7"/>
              </w:rPr>
              <w:t>Discount rate</w:t>
            </w: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8.3% to 8.8%</w:t>
            </w:r>
          </w:p>
        </w:tc>
      </w:tr>
      <w:tr>
        <w:trPr>
          <w:trHeight w:val="250"/>
        </w:trPr>
        <w:tc>
          <w:tcPr>
            <w:tcW w:w="26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Property, plant and equipment </w:t>
            </w:r>
            <w:r>
              <w:rPr>
                <w:rFonts w:ascii="Times New Roman" w:cs="Times New Roman" w:eastAsia="Times New Roman" w:hAnsi="Times New Roman"/>
                <w:sz w:val="28"/>
                <w:szCs w:val="28"/>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Discounted cash flow</w:t>
            </w: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Level 3</w:t>
            </w:r>
          </w:p>
        </w:tc>
        <w:tc>
          <w:tcPr>
            <w:tcW w:w="1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Revenue growth rate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3% to 20%</w:t>
            </w:r>
          </w:p>
        </w:tc>
      </w:tr>
      <w:tr>
        <w:trPr>
          <w:trHeight w:val="228"/>
        </w:trPr>
        <w:tc>
          <w:tcPr>
            <w:tcW w:w="2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Level 3</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Discount rate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8.0% to 9.5%</w:t>
            </w:r>
          </w:p>
        </w:tc>
      </w:tr>
    </w:tbl>
    <w:p>
      <w:pPr>
        <w:spacing w:after="0" w:line="82" w:lineRule="exact"/>
        <w:rPr>
          <w:sz w:val="20"/>
          <w:szCs w:val="20"/>
          <w:color w:val="auto"/>
        </w:rPr>
      </w:pPr>
    </w:p>
    <w:p>
      <w:pPr>
        <w:ind w:left="320" w:hanging="315"/>
        <w:spacing w:after="0"/>
        <w:tabs>
          <w:tab w:leader="none" w:pos="320" w:val="left"/>
        </w:tabs>
        <w:numPr>
          <w:ilvl w:val="0"/>
          <w:numId w:val="2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fair value specifically relates to only those locations which had impairment charges during the twelve months ended December 31, 2024 and 2023.</w:t>
      </w:r>
    </w:p>
    <w:p>
      <w:pPr>
        <w:spacing w:after="0" w:line="140"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During the twelve months ended December 31, 2023, the Company recorded a $0.8 million adjustment to reflect an increase in its estimate of the fair value to restore leased property to its original condition at the end of the lease. The change in the estimated value of the Company’s asset retirement obligation resulted in a $0.8 million increase in property, plant and equipment and a $0.8 million increase in other long-term liabilities. The Company measured the fair value of its asset retirement obligation based on the estimated amounts and timing of settlements, an estimated risk adjusted rate of return, and expected inflation rates, which are considered Level 2 inputs. The Company did not adjust its estimate of the fair value to restore leased property to its original condition during the twelve months ended December 31,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per common share</w:t>
      </w:r>
    </w:p>
    <w:p>
      <w:pPr>
        <w:spacing w:after="0" w:line="176"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 average number of shares outstanding during the period. Diluted earnings per share is calculated by dividing net income by the weighted average number of common shares outstanding, after taking into consideration all dilutive potential common shares outstanding during the period.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4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income per share was calculated as follows: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0"/>
        </w:trPr>
        <w:tc>
          <w:tcPr>
            <w:tcW w:w="5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2022</w:t>
            </w:r>
          </w:p>
        </w:tc>
      </w:tr>
      <w:tr>
        <w:trPr>
          <w:trHeight w:val="177"/>
        </w:trPr>
        <w:tc>
          <w:tcPr>
            <w:tcW w:w="5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120" w:type="dxa"/>
            <w:vAlign w:val="bottom"/>
            <w:gridSpan w:val="7"/>
          </w:tcPr>
          <w:p>
            <w:pPr>
              <w:jc w:val="right"/>
              <w:ind w:right="492"/>
              <w:spacing w:after="0" w:line="177" w:lineRule="exact"/>
              <w:rPr>
                <w:sz w:val="20"/>
                <w:szCs w:val="20"/>
                <w:color w:val="auto"/>
              </w:rPr>
            </w:pPr>
            <w:r>
              <w:rPr>
                <w:rFonts w:ascii="Times New Roman" w:cs="Times New Roman" w:eastAsia="Times New Roman" w:hAnsi="Times New Roman"/>
                <w:sz w:val="18"/>
                <w:szCs w:val="18"/>
                <w:color w:val="auto"/>
              </w:rPr>
              <w:t>(in thousands, except share and per share data)</w:t>
            </w:r>
          </w:p>
        </w:tc>
      </w:tr>
      <w:tr>
        <w:trPr>
          <w:trHeight w:val="184"/>
        </w:trPr>
        <w:tc>
          <w:tcPr>
            <w:tcW w:w="58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gridSpan w:val="2"/>
            <w:shd w:val="clear" w:color="auto" w:fill="CCEEFF"/>
          </w:tcPr>
          <w:p>
            <w:pPr>
              <w:jc w:val="right"/>
              <w:ind w:right="11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2,321</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10,071</w:t>
            </w:r>
          </w:p>
        </w:tc>
        <w:tc>
          <w:tcPr>
            <w:tcW w:w="460" w:type="dxa"/>
            <w:vAlign w:val="bottom"/>
            <w:gridSpan w:val="2"/>
            <w:shd w:val="clear" w:color="auto" w:fill="CCEEFF"/>
          </w:tcPr>
          <w:p>
            <w:pPr>
              <w:jc w:val="right"/>
              <w:ind w:right="138"/>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15,703</w:t>
            </w:r>
          </w:p>
        </w:tc>
      </w:tr>
      <w:tr>
        <w:trPr>
          <w:trHeight w:val="184"/>
        </w:trPr>
        <w:tc>
          <w:tcPr>
            <w:tcW w:w="58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43,714,567</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43,424,089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48,855,701</w:t>
            </w:r>
          </w:p>
        </w:tc>
      </w:tr>
      <w:tr>
        <w:trPr>
          <w:trHeight w:val="184"/>
        </w:trPr>
        <w:tc>
          <w:tcPr>
            <w:tcW w:w="58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Effect of dilutive securities attributable to stock based awards</w:t>
            </w:r>
          </w:p>
        </w:tc>
        <w:tc>
          <w:tcPr>
            <w:tcW w:w="10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137,086</w:t>
            </w:r>
          </w:p>
        </w:tc>
        <w:tc>
          <w:tcPr>
            <w:tcW w:w="1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196,701</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391,346</w:t>
            </w:r>
          </w:p>
        </w:tc>
      </w:tr>
      <w:tr>
        <w:trPr>
          <w:trHeight w:val="177"/>
        </w:trPr>
        <w:tc>
          <w:tcPr>
            <w:tcW w:w="5820" w:type="dxa"/>
            <w:vAlign w:val="bottom"/>
            <w:tcBorders>
              <w:bottom w:val="single" w:sz="8" w:color="CCEEFF"/>
            </w:tcBorders>
          </w:tcPr>
          <w:p>
            <w:pPr>
              <w:spacing w:after="0" w:line="177"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43,851,653</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43,620,790</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49,247,047</w:t>
            </w:r>
          </w:p>
        </w:tc>
      </w:tr>
      <w:tr>
        <w:trPr>
          <w:trHeight w:val="177"/>
        </w:trPr>
        <w:tc>
          <w:tcPr>
            <w:tcW w:w="582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Basic net income per share</w:t>
            </w: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0.23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0.32</w:t>
            </w:r>
          </w:p>
        </w:tc>
      </w:tr>
      <w:tr>
        <w:trPr>
          <w:trHeight w:val="184"/>
        </w:trPr>
        <w:tc>
          <w:tcPr>
            <w:tcW w:w="58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Diluted net income per share</w:t>
            </w:r>
          </w:p>
        </w:tc>
        <w:tc>
          <w:tcPr>
            <w:tcW w:w="1300" w:type="dxa"/>
            <w:vAlign w:val="bottom"/>
            <w:gridSpan w:val="2"/>
          </w:tcPr>
          <w:p>
            <w:pPr>
              <w:jc w:val="right"/>
              <w:ind w:right="112"/>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16"/>
                <w:szCs w:val="16"/>
                <w:color w:val="auto"/>
              </w:rPr>
            </w:pP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0.23</w:t>
            </w:r>
          </w:p>
        </w:tc>
        <w:tc>
          <w:tcPr>
            <w:tcW w:w="460" w:type="dxa"/>
            <w:vAlign w:val="bottom"/>
            <w:gridSpan w:val="2"/>
          </w:tcPr>
          <w:p>
            <w:pPr>
              <w:jc w:val="right"/>
              <w:ind w:right="138"/>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0.32</w:t>
            </w:r>
          </w:p>
        </w:tc>
      </w:tr>
      <w:tr>
        <w:trPr>
          <w:trHeight w:val="184"/>
        </w:trPr>
        <w:tc>
          <w:tcPr>
            <w:tcW w:w="58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Anti-dilutive securities excluded from earnings per share calculation</w:t>
            </w: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118,717</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404,557</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640,993</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Equity Incentive Plans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76"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8"/>
          <w:szCs w:val="18"/>
          <w:color w:val="auto"/>
        </w:rPr>
        <w:t>On July 20, 2021, the stockholders of the Company approved the Tile Shop Holdings, Inc.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 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63"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did not grant any stock options to its employees or record material stock compensation expense related to stock options. As of December 31, 2024, all options outstanding were fully vested and all compensation cost has been recognized. Prior to 2020, the Company granted stock options to its employees that included service condition requirements. The options provide for certain acceleration of vesting and cancellation of options under different circumstances, such as a change in control, death, disability and termination of service. The Company recognizes compensation expense on a straight-line basis over the requisite service period, net of actual forfeitures.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4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years ended December 31, 2024, 2023 and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4"/>
              </w:rPr>
              <w:t>Weighted</w:t>
            </w:r>
          </w:p>
        </w:tc>
        <w:tc>
          <w:tcPr>
            <w:tcW w:w="240" w:type="dxa"/>
            <w:vAlign w:val="bottom"/>
          </w:tcPr>
          <w:p>
            <w:pPr>
              <w:spacing w:after="0"/>
              <w:rPr>
                <w:sz w:val="17"/>
                <w:szCs w:val="17"/>
                <w:color w:val="auto"/>
              </w:rPr>
            </w:pPr>
          </w:p>
        </w:tc>
        <w:tc>
          <w:tcPr>
            <w:tcW w:w="11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4"/>
              </w:rPr>
              <w:t>Weighted</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4"/>
              </w:rPr>
              <w:t>Weighted Avg.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Aggregate</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ind w:right="72"/>
              <w:spacing w:after="0" w:line="184" w:lineRule="exact"/>
              <w:rPr>
                <w:sz w:val="20"/>
                <w:szCs w:val="20"/>
                <w:color w:val="auto"/>
              </w:rPr>
            </w:pPr>
            <w:r>
              <w:rPr>
                <w:rFonts w:ascii="Times New Roman" w:cs="Times New Roman" w:eastAsia="Times New Roman" w:hAnsi="Times New Roman"/>
                <w:sz w:val="18"/>
                <w:szCs w:val="18"/>
                <w:color w:val="auto"/>
                <w:w w:val="95"/>
              </w:rPr>
              <w:t>Average‎</w:t>
            </w:r>
          </w:p>
        </w:tc>
        <w:tc>
          <w:tcPr>
            <w:tcW w:w="240" w:type="dxa"/>
            <w:vAlign w:val="bottom"/>
          </w:tcPr>
          <w:p>
            <w:pPr>
              <w:spacing w:after="0"/>
              <w:rPr>
                <w:sz w:val="16"/>
                <w:szCs w:val="16"/>
                <w:color w:val="auto"/>
              </w:rPr>
            </w:pPr>
          </w:p>
        </w:tc>
        <w:tc>
          <w:tcPr>
            <w:tcW w:w="1140" w:type="dxa"/>
            <w:vAlign w:val="bottom"/>
          </w:tcPr>
          <w:p>
            <w:pPr>
              <w:jc w:val="center"/>
              <w:ind w:right="192"/>
              <w:spacing w:after="0" w:line="184" w:lineRule="exact"/>
              <w:rPr>
                <w:sz w:val="20"/>
                <w:szCs w:val="20"/>
                <w:color w:val="auto"/>
              </w:rPr>
            </w:pPr>
            <w:r>
              <w:rPr>
                <w:rFonts w:ascii="Times New Roman" w:cs="Times New Roman" w:eastAsia="Times New Roman" w:hAnsi="Times New Roman"/>
                <w:sz w:val="18"/>
                <w:szCs w:val="18"/>
                <w:color w:val="auto"/>
                <w:w w:val="96"/>
              </w:rPr>
              <w:t>Avg. Grant</w:t>
            </w:r>
          </w:p>
        </w:tc>
        <w:tc>
          <w:tcPr>
            <w:tcW w:w="146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Remaining‎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32"/>
              <w:spacing w:after="0" w:line="184" w:lineRule="exact"/>
              <w:rPr>
                <w:sz w:val="20"/>
                <w:szCs w:val="20"/>
                <w:color w:val="auto"/>
              </w:rPr>
            </w:pPr>
            <w:r>
              <w:rPr>
                <w:rFonts w:ascii="Times New Roman" w:cs="Times New Roman" w:eastAsia="Times New Roman" w:hAnsi="Times New Roman"/>
                <w:sz w:val="18"/>
                <w:szCs w:val="18"/>
                <w:color w:val="auto"/>
                <w:w w:val="96"/>
              </w:rPr>
              <w:t>Intrinsic‎</w:t>
            </w:r>
          </w:p>
        </w:tc>
        <w:tc>
          <w:tcPr>
            <w:tcW w:w="0" w:type="dxa"/>
            <w:vAlign w:val="bottom"/>
          </w:tcPr>
          <w:p>
            <w:pPr>
              <w:spacing w:after="0"/>
              <w:rPr>
                <w:sz w:val="1"/>
                <w:szCs w:val="1"/>
                <w:color w:val="auto"/>
              </w:rPr>
            </w:pPr>
          </w:p>
        </w:tc>
      </w:tr>
      <w:tr>
        <w:trPr>
          <w:trHeight w:val="197"/>
        </w:trPr>
        <w:tc>
          <w:tcPr>
            <w:tcW w:w="4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52"/>
              <w:spacing w:after="0" w:line="197" w:lineRule="exact"/>
              <w:rPr>
                <w:sz w:val="20"/>
                <w:szCs w:val="20"/>
                <w:color w:val="auto"/>
              </w:rPr>
            </w:pPr>
            <w:r>
              <w:rPr>
                <w:rFonts w:ascii="Times New Roman" w:cs="Times New Roman" w:eastAsia="Times New Roman" w:hAnsi="Times New Roman"/>
                <w:sz w:val="18"/>
                <w:szCs w:val="18"/>
                <w:color w:val="auto"/>
                <w:w w:val="96"/>
              </w:rPr>
              <w:t>Exercise‎</w:t>
            </w:r>
          </w:p>
        </w:tc>
        <w:tc>
          <w:tcPr>
            <w:tcW w:w="240" w:type="dxa"/>
            <w:vAlign w:val="bottom"/>
          </w:tcPr>
          <w:p>
            <w:pPr>
              <w:spacing w:after="0"/>
              <w:rPr>
                <w:sz w:val="17"/>
                <w:szCs w:val="17"/>
                <w:color w:val="auto"/>
              </w:rPr>
            </w:pPr>
          </w:p>
        </w:tc>
        <w:tc>
          <w:tcPr>
            <w:tcW w:w="1140" w:type="dxa"/>
            <w:vAlign w:val="bottom"/>
          </w:tcPr>
          <w:p>
            <w:pPr>
              <w:jc w:val="right"/>
              <w:ind w:right="472"/>
              <w:spacing w:after="0" w:line="197" w:lineRule="exact"/>
              <w:rPr>
                <w:sz w:val="20"/>
                <w:szCs w:val="20"/>
                <w:color w:val="auto"/>
              </w:rPr>
            </w:pPr>
            <w:r>
              <w:rPr>
                <w:rFonts w:ascii="Times New Roman" w:cs="Times New Roman" w:eastAsia="Times New Roman" w:hAnsi="Times New Roman"/>
                <w:sz w:val="18"/>
                <w:szCs w:val="18"/>
                <w:color w:val="auto"/>
              </w:rPr>
              <w:t>Date</w:t>
            </w:r>
          </w:p>
        </w:tc>
        <w:tc>
          <w:tcPr>
            <w:tcW w:w="1460" w:type="dxa"/>
            <w:vAlign w:val="bottom"/>
            <w:gridSpan w:val="2"/>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Contractual‎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2"/>
              <w:spacing w:after="0" w:line="197" w:lineRule="exact"/>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9"/>
                <w:szCs w:val="19"/>
                <w:color w:val="auto"/>
              </w:rPr>
            </w:pP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Price‎</w:t>
            </w:r>
          </w:p>
        </w:tc>
        <w:tc>
          <w:tcPr>
            <w:tcW w:w="240" w:type="dxa"/>
            <w:vAlign w:val="bottom"/>
          </w:tcPr>
          <w:p>
            <w:pPr>
              <w:spacing w:after="0"/>
              <w:rPr>
                <w:sz w:val="19"/>
                <w:szCs w:val="19"/>
                <w:color w:val="auto"/>
              </w:rPr>
            </w:pPr>
          </w:p>
        </w:tc>
        <w:tc>
          <w:tcPr>
            <w:tcW w:w="11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4"/>
              </w:rPr>
              <w:t>Fair Value</w:t>
            </w: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2"/>
              </w:rPr>
              <w:t>Term‎</w:t>
            </w: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6"/>
              </w:rPr>
              <w:t>(Years)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(in‎ thousands)</w:t>
            </w:r>
          </w:p>
        </w:tc>
        <w:tc>
          <w:tcPr>
            <w:tcW w:w="0" w:type="dxa"/>
            <w:vAlign w:val="bottom"/>
          </w:tcPr>
          <w:p>
            <w:pPr>
              <w:spacing w:after="0"/>
              <w:rPr>
                <w:sz w:val="1"/>
                <w:szCs w:val="1"/>
                <w:color w:val="auto"/>
              </w:rPr>
            </w:pPr>
          </w:p>
        </w:tc>
      </w:tr>
      <w:tr>
        <w:trPr>
          <w:trHeight w:val="177"/>
        </w:trPr>
        <w:tc>
          <w:tcPr>
            <w:tcW w:w="478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January 1, 2022</w:t>
            </w:r>
          </w:p>
        </w:tc>
        <w:tc>
          <w:tcPr>
            <w:tcW w:w="100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905,945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bottom w:val="single" w:sz="8" w:color="CCEEFF"/>
            </w:tcBorders>
            <w:shd w:val="clear" w:color="auto" w:fill="CCEEFF"/>
          </w:tcPr>
          <w:p>
            <w:pPr>
              <w:jc w:val="right"/>
              <w:ind w:right="12"/>
              <w:spacing w:after="0" w:line="177" w:lineRule="exact"/>
              <w:rPr>
                <w:sz w:val="20"/>
                <w:szCs w:val="20"/>
                <w:color w:val="auto"/>
              </w:rPr>
            </w:pPr>
            <w:r>
              <w:rPr>
                <w:rFonts w:ascii="Times New Roman" w:cs="Times New Roman" w:eastAsia="Times New Roman" w:hAnsi="Times New Roman"/>
                <w:sz w:val="18"/>
                <w:szCs w:val="18"/>
                <w:color w:val="auto"/>
              </w:rPr>
              <w:t>10.96</w:t>
            </w:r>
          </w:p>
        </w:tc>
        <w:tc>
          <w:tcPr>
            <w:tcW w:w="24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bottom w:val="single" w:sz="8" w:color="CCEEFF"/>
            </w:tcBorders>
            <w:shd w:val="clear" w:color="auto" w:fill="CCEEFF"/>
          </w:tcPr>
          <w:p>
            <w:pPr>
              <w:jc w:val="right"/>
              <w:ind w:right="112"/>
              <w:spacing w:after="0" w:line="177" w:lineRule="exact"/>
              <w:rPr>
                <w:sz w:val="20"/>
                <w:szCs w:val="20"/>
                <w:color w:val="auto"/>
              </w:rPr>
            </w:pPr>
            <w:r>
              <w:rPr>
                <w:rFonts w:ascii="Times New Roman" w:cs="Times New Roman" w:eastAsia="Times New Roman" w:hAnsi="Times New Roman"/>
                <w:sz w:val="18"/>
                <w:szCs w:val="18"/>
                <w:color w:val="auto"/>
              </w:rPr>
              <w:t>5.19</w:t>
            </w: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jc w:val="right"/>
              <w:ind w:right="12"/>
              <w:spacing w:after="0" w:line="177"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80" w:type="dxa"/>
            <w:vAlign w:val="bottom"/>
            <w:vMerge w:val="continue"/>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2"/>
              <w:spacing w:after="0" w:line="18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2"/>
              <w:spacing w:after="0" w:line="184"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Cancelled/Forfeited</w:t>
            </w:r>
          </w:p>
        </w:tc>
        <w:tc>
          <w:tcPr>
            <w:tcW w:w="1060" w:type="dxa"/>
            <w:vAlign w:val="bottom"/>
            <w:gridSpan w:val="2"/>
          </w:tcPr>
          <w:p>
            <w:pPr>
              <w:jc w:val="right"/>
              <w:ind w:right="60"/>
              <w:spacing w:after="0" w:line="184" w:lineRule="exact"/>
              <w:rPr>
                <w:sz w:val="20"/>
                <w:szCs w:val="20"/>
                <w:color w:val="auto"/>
              </w:rPr>
            </w:pPr>
            <w:r>
              <w:rPr>
                <w:rFonts w:ascii="Times New Roman" w:cs="Times New Roman" w:eastAsia="Times New Roman" w:hAnsi="Times New Roman"/>
                <w:sz w:val="18"/>
                <w:szCs w:val="18"/>
                <w:color w:val="auto"/>
              </w:rPr>
              <w:t>(347,878)</w:t>
            </w:r>
          </w:p>
        </w:tc>
        <w:tc>
          <w:tcPr>
            <w:tcW w:w="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line="184" w:lineRule="exact"/>
              <w:rPr>
                <w:sz w:val="20"/>
                <w:szCs w:val="20"/>
                <w:color w:val="auto"/>
              </w:rPr>
            </w:pPr>
            <w:r>
              <w:rPr>
                <w:rFonts w:ascii="Times New Roman" w:cs="Times New Roman" w:eastAsia="Times New Roman" w:hAnsi="Times New Roman"/>
                <w:sz w:val="18"/>
                <w:szCs w:val="18"/>
                <w:color w:val="auto"/>
              </w:rPr>
              <w:t>10.53</w:t>
            </w:r>
          </w:p>
        </w:tc>
        <w:tc>
          <w:tcPr>
            <w:tcW w:w="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line="184" w:lineRule="exact"/>
              <w:rPr>
                <w:sz w:val="20"/>
                <w:szCs w:val="20"/>
                <w:color w:val="auto"/>
              </w:rPr>
            </w:pPr>
            <w:r>
              <w:rPr>
                <w:rFonts w:ascii="Times New Roman" w:cs="Times New Roman" w:eastAsia="Times New Roman" w:hAnsi="Times New Roman"/>
                <w:sz w:val="18"/>
                <w:szCs w:val="18"/>
                <w:color w:val="auto"/>
              </w:rPr>
              <w:t>5.45</w:t>
            </w: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78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December 31, 2022</w:t>
            </w:r>
          </w:p>
        </w:tc>
        <w:tc>
          <w:tcPr>
            <w:tcW w:w="100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558,067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bottom w:val="single" w:sz="8" w:color="CCEEFF"/>
            </w:tcBorders>
            <w:shd w:val="clear" w:color="auto" w:fill="CCEEFF"/>
          </w:tcPr>
          <w:p>
            <w:pPr>
              <w:jc w:val="right"/>
              <w:ind w:right="12"/>
              <w:spacing w:after="0" w:line="177" w:lineRule="exact"/>
              <w:rPr>
                <w:sz w:val="20"/>
                <w:szCs w:val="20"/>
                <w:color w:val="auto"/>
              </w:rPr>
            </w:pPr>
            <w:r>
              <w:rPr>
                <w:rFonts w:ascii="Times New Roman" w:cs="Times New Roman" w:eastAsia="Times New Roman" w:hAnsi="Times New Roman"/>
                <w:sz w:val="18"/>
                <w:szCs w:val="18"/>
                <w:color w:val="auto"/>
              </w:rPr>
              <w:t>11.22</w:t>
            </w:r>
          </w:p>
        </w:tc>
        <w:tc>
          <w:tcPr>
            <w:tcW w:w="24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bottom w:val="single" w:sz="8" w:color="CCEEFF"/>
            </w:tcBorders>
            <w:shd w:val="clear" w:color="auto" w:fill="CCEEFF"/>
          </w:tcPr>
          <w:p>
            <w:pPr>
              <w:jc w:val="right"/>
              <w:ind w:right="112"/>
              <w:spacing w:after="0" w:line="177" w:lineRule="exact"/>
              <w:rPr>
                <w:sz w:val="20"/>
                <w:szCs w:val="20"/>
                <w:color w:val="auto"/>
              </w:rPr>
            </w:pPr>
            <w:r>
              <w:rPr>
                <w:rFonts w:ascii="Times New Roman" w:cs="Times New Roman" w:eastAsia="Times New Roman" w:hAnsi="Times New Roman"/>
                <w:sz w:val="18"/>
                <w:szCs w:val="18"/>
                <w:color w:val="auto"/>
              </w:rPr>
              <w:t>4.82</w:t>
            </w: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jc w:val="right"/>
              <w:ind w:right="12"/>
              <w:spacing w:after="0" w:line="177"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80" w:type="dxa"/>
            <w:vAlign w:val="bottom"/>
            <w:vMerge w:val="continue"/>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(50,000)</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2"/>
              <w:spacing w:after="0" w:line="184" w:lineRule="exact"/>
              <w:rPr>
                <w:sz w:val="20"/>
                <w:szCs w:val="20"/>
                <w:color w:val="auto"/>
              </w:rPr>
            </w:pPr>
            <w:r>
              <w:rPr>
                <w:rFonts w:ascii="Times New Roman" w:cs="Times New Roman" w:eastAsia="Times New Roman" w:hAnsi="Times New Roman"/>
                <w:sz w:val="18"/>
                <w:szCs w:val="18"/>
                <w:color w:val="auto"/>
              </w:rPr>
              <w:t>6.26</w:t>
            </w:r>
          </w:p>
        </w:tc>
        <w:tc>
          <w:tcPr>
            <w:tcW w:w="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2"/>
              <w:spacing w:after="0" w:line="184" w:lineRule="exact"/>
              <w:rPr>
                <w:sz w:val="20"/>
                <w:szCs w:val="20"/>
                <w:color w:val="auto"/>
              </w:rPr>
            </w:pPr>
            <w:r>
              <w:rPr>
                <w:rFonts w:ascii="Times New Roman" w:cs="Times New Roman" w:eastAsia="Times New Roman" w:hAnsi="Times New Roman"/>
                <w:sz w:val="18"/>
                <w:szCs w:val="18"/>
                <w:color w:val="auto"/>
              </w:rPr>
              <w:t>2.57</w:t>
            </w: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Cancelled/Forfeited</w:t>
            </w:r>
          </w:p>
        </w:tc>
        <w:tc>
          <w:tcPr>
            <w:tcW w:w="1060" w:type="dxa"/>
            <w:vAlign w:val="bottom"/>
            <w:gridSpan w:val="2"/>
          </w:tcPr>
          <w:p>
            <w:pPr>
              <w:jc w:val="right"/>
              <w:ind w:right="60"/>
              <w:spacing w:after="0" w:line="184" w:lineRule="exact"/>
              <w:rPr>
                <w:sz w:val="20"/>
                <w:szCs w:val="20"/>
                <w:color w:val="auto"/>
              </w:rPr>
            </w:pPr>
            <w:r>
              <w:rPr>
                <w:rFonts w:ascii="Times New Roman" w:cs="Times New Roman" w:eastAsia="Times New Roman" w:hAnsi="Times New Roman"/>
                <w:sz w:val="18"/>
                <w:szCs w:val="18"/>
                <w:color w:val="auto"/>
              </w:rPr>
              <w:t>(197,350)</w:t>
            </w:r>
          </w:p>
        </w:tc>
        <w:tc>
          <w:tcPr>
            <w:tcW w:w="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line="184" w:lineRule="exact"/>
              <w:rPr>
                <w:sz w:val="20"/>
                <w:szCs w:val="20"/>
                <w:color w:val="auto"/>
              </w:rPr>
            </w:pPr>
            <w:r>
              <w:rPr>
                <w:rFonts w:ascii="Times New Roman" w:cs="Times New Roman" w:eastAsia="Times New Roman" w:hAnsi="Times New Roman"/>
                <w:sz w:val="18"/>
                <w:szCs w:val="18"/>
                <w:color w:val="auto"/>
              </w:rPr>
              <w:t>18.33</w:t>
            </w:r>
          </w:p>
        </w:tc>
        <w:tc>
          <w:tcPr>
            <w:tcW w:w="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line="184" w:lineRule="exact"/>
              <w:rPr>
                <w:sz w:val="20"/>
                <w:szCs w:val="20"/>
                <w:color w:val="auto"/>
              </w:rPr>
            </w:pPr>
            <w:r>
              <w:rPr>
                <w:rFonts w:ascii="Times New Roman" w:cs="Times New Roman" w:eastAsia="Times New Roman" w:hAnsi="Times New Roman"/>
                <w:sz w:val="18"/>
                <w:szCs w:val="18"/>
                <w:color w:val="auto"/>
              </w:rPr>
              <w:t>8.58</w:t>
            </w: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78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December 31, 2023</w:t>
            </w:r>
          </w:p>
        </w:tc>
        <w:tc>
          <w:tcPr>
            <w:tcW w:w="100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310,717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bottom w:val="single" w:sz="8" w:color="CCEEFF"/>
            </w:tcBorders>
            <w:shd w:val="clear" w:color="auto" w:fill="CCEEFF"/>
          </w:tcPr>
          <w:p>
            <w:pPr>
              <w:jc w:val="right"/>
              <w:ind w:right="12"/>
              <w:spacing w:after="0" w:line="177" w:lineRule="exact"/>
              <w:rPr>
                <w:sz w:val="20"/>
                <w:szCs w:val="20"/>
                <w:color w:val="auto"/>
              </w:rPr>
            </w:pPr>
            <w:r>
              <w:rPr>
                <w:rFonts w:ascii="Times New Roman" w:cs="Times New Roman" w:eastAsia="Times New Roman" w:hAnsi="Times New Roman"/>
                <w:sz w:val="18"/>
                <w:szCs w:val="18"/>
                <w:color w:val="auto"/>
              </w:rPr>
              <w:t>7.51</w:t>
            </w:r>
          </w:p>
        </w:tc>
        <w:tc>
          <w:tcPr>
            <w:tcW w:w="24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bottom w:val="single" w:sz="8" w:color="CCEEFF"/>
            </w:tcBorders>
            <w:shd w:val="clear" w:color="auto" w:fill="CCEEFF"/>
          </w:tcPr>
          <w:p>
            <w:pPr>
              <w:jc w:val="right"/>
              <w:ind w:right="112"/>
              <w:spacing w:after="0" w:line="177" w:lineRule="exact"/>
              <w:rPr>
                <w:sz w:val="20"/>
                <w:szCs w:val="20"/>
                <w:color w:val="auto"/>
              </w:rPr>
            </w:pPr>
            <w:r>
              <w:rPr>
                <w:rFonts w:ascii="Times New Roman" w:cs="Times New Roman" w:eastAsia="Times New Roman" w:hAnsi="Times New Roman"/>
                <w:sz w:val="18"/>
                <w:szCs w:val="18"/>
                <w:color w:val="auto"/>
              </w:rPr>
              <w:t>3.17</w:t>
            </w: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jc w:val="right"/>
              <w:ind w:right="12"/>
              <w:spacing w:after="0" w:line="177"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Granted</w:t>
            </w: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80" w:type="dxa"/>
            <w:vAlign w:val="bottom"/>
            <w:vMerge w:val="continue"/>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2"/>
              <w:spacing w:after="0" w:line="18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2"/>
              <w:spacing w:after="0" w:line="184"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Cancelled/Forfeited</w:t>
            </w:r>
          </w:p>
        </w:tc>
        <w:tc>
          <w:tcPr>
            <w:tcW w:w="1060" w:type="dxa"/>
            <w:vAlign w:val="bottom"/>
            <w:gridSpan w:val="2"/>
          </w:tcPr>
          <w:p>
            <w:pPr>
              <w:jc w:val="right"/>
              <w:ind w:right="60"/>
              <w:spacing w:after="0" w:line="184" w:lineRule="exact"/>
              <w:rPr>
                <w:sz w:val="20"/>
                <w:szCs w:val="20"/>
                <w:color w:val="auto"/>
              </w:rPr>
            </w:pPr>
            <w:r>
              <w:rPr>
                <w:rFonts w:ascii="Times New Roman" w:cs="Times New Roman" w:eastAsia="Times New Roman" w:hAnsi="Times New Roman"/>
                <w:sz w:val="18"/>
                <w:szCs w:val="18"/>
                <w:color w:val="auto"/>
              </w:rPr>
              <w:t>(15,350)</w:t>
            </w:r>
          </w:p>
        </w:tc>
        <w:tc>
          <w:tcPr>
            <w:tcW w:w="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line="184" w:lineRule="exact"/>
              <w:rPr>
                <w:sz w:val="20"/>
                <w:szCs w:val="20"/>
                <w:color w:val="auto"/>
              </w:rPr>
            </w:pPr>
            <w:r>
              <w:rPr>
                <w:rFonts w:ascii="Times New Roman" w:cs="Times New Roman" w:eastAsia="Times New Roman" w:hAnsi="Times New Roman"/>
                <w:sz w:val="18"/>
                <w:szCs w:val="18"/>
                <w:color w:val="auto"/>
              </w:rPr>
              <w:t>15.97</w:t>
            </w:r>
          </w:p>
        </w:tc>
        <w:tc>
          <w:tcPr>
            <w:tcW w:w="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line="184" w:lineRule="exact"/>
              <w:rPr>
                <w:sz w:val="20"/>
                <w:szCs w:val="20"/>
                <w:color w:val="auto"/>
              </w:rPr>
            </w:pPr>
            <w:r>
              <w:rPr>
                <w:rFonts w:ascii="Times New Roman" w:cs="Times New Roman" w:eastAsia="Times New Roman" w:hAnsi="Times New Roman"/>
                <w:sz w:val="18"/>
                <w:szCs w:val="18"/>
                <w:color w:val="auto"/>
              </w:rPr>
              <w:t>6.52</w:t>
            </w: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78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December 31, 2024</w:t>
            </w:r>
          </w:p>
        </w:tc>
        <w:tc>
          <w:tcPr>
            <w:tcW w:w="100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295,367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bottom w:val="single" w:sz="8" w:color="CCEEFF"/>
            </w:tcBorders>
            <w:shd w:val="clear" w:color="auto" w:fill="CCEEFF"/>
          </w:tcPr>
          <w:p>
            <w:pPr>
              <w:jc w:val="right"/>
              <w:ind w:right="12"/>
              <w:spacing w:after="0" w:line="177" w:lineRule="exact"/>
              <w:rPr>
                <w:sz w:val="20"/>
                <w:szCs w:val="20"/>
                <w:color w:val="auto"/>
              </w:rPr>
            </w:pPr>
            <w:r>
              <w:rPr>
                <w:rFonts w:ascii="Times New Roman" w:cs="Times New Roman" w:eastAsia="Times New Roman" w:hAnsi="Times New Roman"/>
                <w:sz w:val="18"/>
                <w:szCs w:val="18"/>
                <w:color w:val="auto"/>
              </w:rPr>
              <w:t>7.07</w:t>
            </w:r>
          </w:p>
        </w:tc>
        <w:tc>
          <w:tcPr>
            <w:tcW w:w="24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bottom w:val="single" w:sz="8" w:color="CCEEFF"/>
            </w:tcBorders>
            <w:shd w:val="clear" w:color="auto" w:fill="CCEEFF"/>
          </w:tcPr>
          <w:p>
            <w:pPr>
              <w:jc w:val="right"/>
              <w:ind w:right="112"/>
              <w:spacing w:after="0" w:line="177" w:lineRule="exact"/>
              <w:rPr>
                <w:sz w:val="20"/>
                <w:szCs w:val="20"/>
                <w:color w:val="auto"/>
              </w:rPr>
            </w:pPr>
            <w:r>
              <w:rPr>
                <w:rFonts w:ascii="Times New Roman" w:cs="Times New Roman" w:eastAsia="Times New Roman" w:hAnsi="Times New Roman"/>
                <w:sz w:val="18"/>
                <w:szCs w:val="18"/>
                <w:color w:val="auto"/>
              </w:rPr>
              <w:t>3.00</w:t>
            </w: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jc w:val="right"/>
              <w:ind w:right="12"/>
              <w:spacing w:after="0" w:line="177"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0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7.07</w:t>
            </w:r>
          </w:p>
        </w:tc>
        <w:tc>
          <w:tcPr>
            <w:tcW w:w="24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12"/>
              <w:spacing w:after="0" w:line="203" w:lineRule="exact"/>
              <w:rPr>
                <w:sz w:val="20"/>
                <w:szCs w:val="20"/>
                <w:color w:val="auto"/>
              </w:rPr>
            </w:pPr>
            <w:r>
              <w:rPr>
                <w:rFonts w:ascii="Times New Roman" w:cs="Times New Roman" w:eastAsia="Times New Roman" w:hAnsi="Times New Roman"/>
                <w:sz w:val="18"/>
                <w:szCs w:val="18"/>
                <w:color w:val="auto"/>
              </w:rPr>
              <w:t>3.00</w:t>
            </w: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8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CCEEFF"/>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295,367</w:t>
            </w:r>
          </w:p>
        </w:tc>
        <w:tc>
          <w:tcPr>
            <w:tcW w:w="6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177"/>
        </w:trPr>
        <w:tc>
          <w:tcPr>
            <w:tcW w:w="478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Vested and expected to vest, December 31, 2024</w:t>
            </w:r>
          </w:p>
        </w:tc>
        <w:tc>
          <w:tcPr>
            <w:tcW w:w="1000" w:type="dxa"/>
            <w:vAlign w:val="bottom"/>
            <w:tcBorders>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295,367</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line="177" w:lineRule="exact"/>
              <w:rPr>
                <w:sz w:val="20"/>
                <w:szCs w:val="20"/>
                <w:color w:val="auto"/>
              </w:rPr>
            </w:pPr>
            <w:r>
              <w:rPr>
                <w:rFonts w:ascii="Times New Roman" w:cs="Times New Roman" w:eastAsia="Times New Roman" w:hAnsi="Times New Roman"/>
                <w:sz w:val="18"/>
                <w:szCs w:val="18"/>
                <w:color w:val="auto"/>
              </w:rPr>
              <w:t>7.07</w:t>
            </w:r>
          </w:p>
        </w:tc>
        <w:tc>
          <w:tcPr>
            <w:tcW w:w="240" w:type="dxa"/>
            <w:vAlign w:val="bottom"/>
            <w:tcBorders>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2"/>
              <w:spacing w:after="0" w:line="177" w:lineRule="exact"/>
              <w:rPr>
                <w:sz w:val="20"/>
                <w:szCs w:val="20"/>
                <w:color w:val="auto"/>
              </w:rPr>
            </w:pPr>
            <w:r>
              <w:rPr>
                <w:rFonts w:ascii="Times New Roman" w:cs="Times New Roman" w:eastAsia="Times New Roman" w:hAnsi="Times New Roman"/>
                <w:sz w:val="18"/>
                <w:szCs w:val="18"/>
                <w:color w:val="auto"/>
              </w:rPr>
              <w:t>3.00</w:t>
            </w:r>
          </w:p>
        </w:tc>
        <w:tc>
          <w:tcPr>
            <w:tcW w:w="6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intrinsic value is the difference between the exercise price and the closing price of the Company’s stock on December 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76"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The Company awards restricted common shares to selected employees and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its Adjusted EBITDA or Pretax Return on Capital Employed performance targets. The restricted common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following table summarizes restricted stock activity during the years ended December 31, 2024, 2023 and 2022:</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8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4"/>
              </w:rPr>
              <w:t>Weighted Avg.</w:t>
            </w:r>
          </w:p>
        </w:tc>
        <w:tc>
          <w:tcPr>
            <w:tcW w:w="0" w:type="dxa"/>
            <w:vAlign w:val="bottom"/>
          </w:tcPr>
          <w:p>
            <w:pPr>
              <w:spacing w:after="0"/>
              <w:rPr>
                <w:sz w:val="1"/>
                <w:szCs w:val="1"/>
                <w:color w:val="auto"/>
              </w:rPr>
            </w:pPr>
          </w:p>
        </w:tc>
      </w:tr>
      <w:tr>
        <w:trPr>
          <w:trHeight w:val="184"/>
        </w:trPr>
        <w:tc>
          <w:tcPr>
            <w:tcW w:w="8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52"/>
              <w:spacing w:after="0" w:line="184" w:lineRule="exact"/>
              <w:rPr>
                <w:sz w:val="20"/>
                <w:szCs w:val="20"/>
                <w:color w:val="auto"/>
              </w:rPr>
            </w:pPr>
            <w:r>
              <w:rPr>
                <w:rFonts w:ascii="Times New Roman" w:cs="Times New Roman" w:eastAsia="Times New Roman" w:hAnsi="Times New Roman"/>
                <w:sz w:val="18"/>
                <w:szCs w:val="18"/>
                <w:color w:val="auto"/>
                <w:w w:val="95"/>
              </w:rPr>
              <w:t>‎Grant Date</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8"/>
                <w:szCs w:val="18"/>
                <w:color w:val="auto"/>
              </w:rPr>
            </w:pPr>
          </w:p>
        </w:tc>
        <w:tc>
          <w:tcPr>
            <w:tcW w:w="12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4"/>
              </w:rPr>
              <w:t>‎Fair Value</w:t>
            </w:r>
          </w:p>
        </w:tc>
        <w:tc>
          <w:tcPr>
            <w:tcW w:w="0" w:type="dxa"/>
            <w:vAlign w:val="bottom"/>
          </w:tcPr>
          <w:p>
            <w:pPr>
              <w:spacing w:after="0"/>
              <w:rPr>
                <w:sz w:val="1"/>
                <w:szCs w:val="1"/>
                <w:color w:val="auto"/>
              </w:rPr>
            </w:pPr>
          </w:p>
        </w:tc>
      </w:tr>
      <w:tr>
        <w:trPr>
          <w:trHeight w:val="177"/>
        </w:trPr>
        <w:tc>
          <w:tcPr>
            <w:tcW w:w="836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Nonvested, January 1, 2022</w:t>
            </w:r>
          </w:p>
        </w:tc>
        <w:tc>
          <w:tcPr>
            <w:tcW w:w="132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1,297,634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line="20" w:lineRule="exact"/>
              <w:rPr>
                <w:sz w:val="1"/>
                <w:szCs w:val="1"/>
                <w:color w:val="auto"/>
              </w:rPr>
            </w:pPr>
          </w:p>
        </w:tc>
      </w:tr>
      <w:tr>
        <w:trPr>
          <w:trHeight w:val="163"/>
        </w:trPr>
        <w:tc>
          <w:tcPr>
            <w:tcW w:w="8360" w:type="dxa"/>
            <w:vAlign w:val="bottom"/>
            <w:vMerge w:val="continue"/>
          </w:tcPr>
          <w:p>
            <w:pPr>
              <w:spacing w:after="0"/>
              <w:rPr>
                <w:sz w:val="14"/>
                <w:szCs w:val="14"/>
                <w:color w:val="auto"/>
              </w:rPr>
            </w:pPr>
          </w:p>
        </w:tc>
        <w:tc>
          <w:tcPr>
            <w:tcW w:w="132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610,478</w:t>
            </w: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(466,298)</w:t>
            </w:r>
          </w:p>
        </w:tc>
        <w:tc>
          <w:tcPr>
            <w:tcW w:w="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184"/>
        </w:trPr>
        <w:tc>
          <w:tcPr>
            <w:tcW w:w="83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(264,912)</w:t>
            </w:r>
          </w:p>
        </w:tc>
        <w:tc>
          <w:tcPr>
            <w:tcW w:w="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177"/>
        </w:trPr>
        <w:tc>
          <w:tcPr>
            <w:tcW w:w="836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Nonvested, December 31, 2022</w:t>
            </w:r>
          </w:p>
        </w:tc>
        <w:tc>
          <w:tcPr>
            <w:tcW w:w="132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1,176,902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line="20" w:lineRule="exact"/>
              <w:rPr>
                <w:sz w:val="1"/>
                <w:szCs w:val="1"/>
                <w:color w:val="auto"/>
              </w:rPr>
            </w:pPr>
          </w:p>
        </w:tc>
      </w:tr>
      <w:tr>
        <w:trPr>
          <w:trHeight w:val="163"/>
        </w:trPr>
        <w:tc>
          <w:tcPr>
            <w:tcW w:w="8360" w:type="dxa"/>
            <w:vAlign w:val="bottom"/>
            <w:vMerge w:val="continue"/>
          </w:tcPr>
          <w:p>
            <w:pPr>
              <w:spacing w:after="0"/>
              <w:rPr>
                <w:sz w:val="14"/>
                <w:szCs w:val="14"/>
                <w:color w:val="auto"/>
              </w:rPr>
            </w:pPr>
          </w:p>
        </w:tc>
        <w:tc>
          <w:tcPr>
            <w:tcW w:w="132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611,154</w:t>
            </w: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(448,506)</w:t>
            </w:r>
          </w:p>
        </w:tc>
        <w:tc>
          <w:tcPr>
            <w:tcW w:w="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184"/>
        </w:trPr>
        <w:tc>
          <w:tcPr>
            <w:tcW w:w="83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(372,645)</w:t>
            </w:r>
          </w:p>
        </w:tc>
        <w:tc>
          <w:tcPr>
            <w:tcW w:w="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177"/>
        </w:trPr>
        <w:tc>
          <w:tcPr>
            <w:tcW w:w="836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Nonvested, December 31, 2023</w:t>
            </w:r>
          </w:p>
        </w:tc>
        <w:tc>
          <w:tcPr>
            <w:tcW w:w="132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966,905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line="20" w:lineRule="exact"/>
              <w:rPr>
                <w:sz w:val="1"/>
                <w:szCs w:val="1"/>
                <w:color w:val="auto"/>
              </w:rPr>
            </w:pPr>
          </w:p>
        </w:tc>
      </w:tr>
      <w:tr>
        <w:trPr>
          <w:trHeight w:val="163"/>
        </w:trPr>
        <w:tc>
          <w:tcPr>
            <w:tcW w:w="8360" w:type="dxa"/>
            <w:vAlign w:val="bottom"/>
            <w:vMerge w:val="continue"/>
          </w:tcPr>
          <w:p>
            <w:pPr>
              <w:spacing w:after="0"/>
              <w:rPr>
                <w:sz w:val="14"/>
                <w:szCs w:val="14"/>
                <w:color w:val="auto"/>
              </w:rPr>
            </w:pPr>
          </w:p>
        </w:tc>
        <w:tc>
          <w:tcPr>
            <w:tcW w:w="132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497,893</w:t>
            </w: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(334,014)</w:t>
            </w:r>
          </w:p>
        </w:tc>
        <w:tc>
          <w:tcPr>
            <w:tcW w:w="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184"/>
        </w:trPr>
        <w:tc>
          <w:tcPr>
            <w:tcW w:w="83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80"/>
              <w:spacing w:after="0" w:line="184" w:lineRule="exact"/>
              <w:rPr>
                <w:sz w:val="20"/>
                <w:szCs w:val="20"/>
                <w:color w:val="auto"/>
              </w:rPr>
            </w:pPr>
            <w:r>
              <w:rPr>
                <w:rFonts w:ascii="Times New Roman" w:cs="Times New Roman" w:eastAsia="Times New Roman" w:hAnsi="Times New Roman"/>
                <w:sz w:val="18"/>
                <w:szCs w:val="18"/>
                <w:color w:val="auto"/>
              </w:rPr>
              <w:t>(275,689)</w:t>
            </w:r>
          </w:p>
        </w:tc>
        <w:tc>
          <w:tcPr>
            <w:tcW w:w="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177"/>
        </w:trPr>
        <w:tc>
          <w:tcPr>
            <w:tcW w:w="836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Nonvested, December 31, 2024</w:t>
            </w:r>
          </w:p>
        </w:tc>
        <w:tc>
          <w:tcPr>
            <w:tcW w:w="132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855,095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360"/>
        <w:spacing w:after="0" w:line="232" w:lineRule="auto"/>
        <w:rPr>
          <w:sz w:val="20"/>
          <w:szCs w:val="20"/>
          <w:color w:val="auto"/>
        </w:rPr>
      </w:pPr>
      <w:r>
        <w:rPr>
          <w:rFonts w:ascii="Times New Roman" w:cs="Times New Roman" w:eastAsia="Times New Roman" w:hAnsi="Times New Roman"/>
          <w:sz w:val="18"/>
          <w:szCs w:val="18"/>
          <w:color w:val="auto"/>
        </w:rPr>
        <w:t>The total expense associated with restricted stock for the years ended December 31, 2024, 2023, and 2022 was $1.3 million, $1.4 million, and $1.7 million,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180340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4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35"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Each fiscal year, the Company grants restricted share awards subject to forfeiture on the date the Company files its annual report on Form 10-K for each of the three fiscal years starting with the fiscal year of grant, if the Company fails to attain certain performance targets in each year. In 2024, the Company granted restricted share awards subject to forfeiture on the date the Company files its annual report on Form 10-K for each of the 2024, 2025 and 2026 fiscal years if the Company fails to attain certain Pretax Return on Capital Employed performance targets in 2024, 2025 and 2026. The Company did not attain any of the Pretax Return on Capital Employed performance measures in 2024, and accordingly, did not record any expense in connection with the performance share awards in 2024.</w:t>
      </w:r>
    </w:p>
    <w:p>
      <w:pPr>
        <w:spacing w:after="0" w:line="145" w:lineRule="exact"/>
        <w:rPr>
          <w:sz w:val="20"/>
          <w:szCs w:val="20"/>
          <w:color w:val="auto"/>
        </w:rPr>
      </w:pPr>
    </w:p>
    <w:p>
      <w:pPr>
        <w:jc w:val="both"/>
        <w:ind w:right="220"/>
        <w:spacing w:after="0" w:line="260" w:lineRule="auto"/>
        <w:rPr>
          <w:sz w:val="20"/>
          <w:szCs w:val="20"/>
          <w:color w:val="auto"/>
        </w:rPr>
      </w:pPr>
      <w:r>
        <w:rPr>
          <w:rFonts w:ascii="Times New Roman" w:cs="Times New Roman" w:eastAsia="Times New Roman" w:hAnsi="Times New Roman"/>
          <w:sz w:val="16"/>
          <w:szCs w:val="16"/>
          <w:color w:val="auto"/>
        </w:rPr>
        <w:t>As of December 31, 2024, there was $2.9 million of total unrecognized expense related to unvested restricted stock awards, which are expected to vest, and will be expensed over a weighted average period of 1.4 years. The fair value of restricted stock granted in fiscal years 2024 and 2023 was $3.3 million and $3.0 million, respectively. The total fair value of restricted stock that vested in fiscal years 2024 and 2023 was $2.2 million and $2.3 million, respectively.</w:t>
      </w:r>
    </w:p>
    <w:p>
      <w:pPr>
        <w:ind w:right="80"/>
        <w:spacing w:after="0" w:line="227" w:lineRule="auto"/>
        <w:rPr>
          <w:sz w:val="20"/>
          <w:szCs w:val="20"/>
          <w:color w:val="auto"/>
        </w:rPr>
      </w:pPr>
      <w:r>
        <w:rPr>
          <w:rFonts w:ascii="Times New Roman" w:cs="Times New Roman" w:eastAsia="Times New Roman" w:hAnsi="Times New Roman"/>
          <w:sz w:val="18"/>
          <w:szCs w:val="18"/>
          <w:color w:val="auto"/>
        </w:rPr>
        <w:t>Using the closing stock price of $6.93 on December 31, 2024, the 855,095 restricted shares outstanding and expected to vest as of December 31, 2024 had an intrinsic value of $5.9 million.</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10"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4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consisted of the following:</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center"/>
              <w:ind w:left="52"/>
              <w:spacing w:after="0"/>
              <w:rPr>
                <w:sz w:val="20"/>
                <w:szCs w:val="20"/>
                <w:color w:val="auto"/>
              </w:rPr>
            </w:pPr>
            <w:r>
              <w:rPr>
                <w:rFonts w:ascii="Times New Roman" w:cs="Times New Roman" w:eastAsia="Times New Roman" w:hAnsi="Times New Roman"/>
                <w:sz w:val="18"/>
                <w:szCs w:val="18"/>
                <w:color w:val="auto"/>
                <w:w w:val="95"/>
              </w:rPr>
              <w:t>Years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9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2"/>
              <w:spacing w:after="0" w:line="177" w:lineRule="exact"/>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2"/>
              <w:spacing w:after="0" w:line="177" w:lineRule="exact"/>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1"/>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1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(in thousands)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4920" w:type="dxa"/>
            <w:vAlign w:val="bottom"/>
            <w:vMerge w:val="continue"/>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Federal</w:t>
            </w:r>
          </w:p>
        </w:tc>
        <w:tc>
          <w:tcPr>
            <w:tcW w:w="2820" w:type="dxa"/>
            <w:vAlign w:val="bottom"/>
            <w:gridSpan w:val="2"/>
            <w:shd w:val="clear" w:color="auto" w:fill="CCEEFF"/>
          </w:tcPr>
          <w:p>
            <w:pPr>
              <w:jc w:val="right"/>
              <w:ind w:right="732"/>
              <w:spacing w:after="0" w:line="184"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(428)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(2,087)</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(3,870)</w:t>
            </w:r>
          </w:p>
        </w:tc>
        <w:tc>
          <w:tcPr>
            <w:tcW w:w="0" w:type="dxa"/>
            <w:vAlign w:val="bottom"/>
          </w:tcPr>
          <w:p>
            <w:pPr>
              <w:spacing w:after="0"/>
              <w:rPr>
                <w:sz w:val="1"/>
                <w:szCs w:val="1"/>
                <w:color w:val="auto"/>
              </w:rPr>
            </w:pPr>
          </w:p>
        </w:tc>
      </w:tr>
      <w:tr>
        <w:trPr>
          <w:trHeight w:val="184"/>
        </w:trPr>
        <w:tc>
          <w:tcPr>
            <w:tcW w:w="49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State</w:t>
            </w:r>
          </w:p>
        </w:tc>
        <w:tc>
          <w:tcPr>
            <w:tcW w:w="1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(556)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International</w:t>
            </w:r>
          </w:p>
        </w:tc>
        <w:tc>
          <w:tcPr>
            <w:tcW w:w="19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49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Current</w:t>
            </w:r>
          </w:p>
        </w:tc>
        <w:tc>
          <w:tcPr>
            <w:tcW w:w="1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(555)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(2,643)</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Deferred</w:t>
            </w:r>
          </w:p>
        </w:tc>
        <w:tc>
          <w:tcPr>
            <w:tcW w:w="19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Federal</w:t>
            </w:r>
          </w:p>
        </w:tc>
        <w:tc>
          <w:tcPr>
            <w:tcW w:w="1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(794)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State</w:t>
            </w:r>
          </w:p>
        </w:tc>
        <w:tc>
          <w:tcPr>
            <w:tcW w:w="19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(486)</w:t>
            </w: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184"/>
        </w:trPr>
        <w:tc>
          <w:tcPr>
            <w:tcW w:w="4920" w:type="dxa"/>
            <w:vAlign w:val="bottom"/>
            <w:tcBorders>
              <w:bottom w:val="single" w:sz="8" w:color="CCEEFF"/>
            </w:tcBorders>
          </w:tcPr>
          <w:p>
            <w:pPr>
              <w:ind w:left="220"/>
              <w:spacing w:after="0" w:line="184" w:lineRule="exact"/>
              <w:rPr>
                <w:sz w:val="20"/>
                <w:szCs w:val="20"/>
                <w:color w:val="auto"/>
              </w:rPr>
            </w:pPr>
            <w:r>
              <w:rPr>
                <w:rFonts w:ascii="Times New Roman" w:cs="Times New Roman" w:eastAsia="Times New Roman" w:hAnsi="Times New Roman"/>
                <w:sz w:val="18"/>
                <w:szCs w:val="18"/>
                <w:color w:val="auto"/>
              </w:rPr>
              <w:t>International</w:t>
            </w:r>
          </w:p>
        </w:tc>
        <w:tc>
          <w:tcPr>
            <w:tcW w:w="19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77"/>
        </w:trPr>
        <w:tc>
          <w:tcPr>
            <w:tcW w:w="49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Deferred</w:t>
            </w:r>
          </w:p>
        </w:tc>
        <w:tc>
          <w:tcPr>
            <w:tcW w:w="19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(1,280)</w:t>
            </w:r>
          </w:p>
        </w:tc>
        <w:tc>
          <w:tcPr>
            <w:tcW w:w="1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177"/>
        </w:trPr>
        <w:tc>
          <w:tcPr>
            <w:tcW w:w="49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(Provision) Benefit for Income Taxes</w:t>
            </w:r>
          </w:p>
        </w:tc>
        <w:tc>
          <w:tcPr>
            <w:tcW w:w="1900" w:type="dxa"/>
            <w:vAlign w:val="bottom"/>
          </w:tcPr>
          <w:p>
            <w:pPr>
              <w:spacing w:after="0"/>
              <w:rPr>
                <w:sz w:val="15"/>
                <w:szCs w:val="15"/>
                <w:color w:val="auto"/>
              </w:rPr>
            </w:pPr>
          </w:p>
        </w:tc>
        <w:tc>
          <w:tcPr>
            <w:tcW w:w="920" w:type="dxa"/>
            <w:vAlign w:val="bottom"/>
            <w:tcBorders>
              <w:bottom w:val="single" w:sz="8" w:color="auto"/>
            </w:tcBorders>
          </w:tcPr>
          <w:p>
            <w:pPr>
              <w:jc w:val="right"/>
              <w:ind w:right="73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(921)</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(3,923)</w:t>
            </w:r>
          </w:p>
        </w:tc>
        <w:tc>
          <w:tcPr>
            <w:tcW w:w="160" w:type="dxa"/>
            <w:vAlign w:val="bottom"/>
          </w:tcPr>
          <w:p>
            <w:pPr>
              <w:spacing w:after="0"/>
              <w:rPr>
                <w:sz w:val="15"/>
                <w:szCs w:val="15"/>
                <w:color w:val="auto"/>
              </w:rPr>
            </w:pPr>
          </w:p>
        </w:tc>
        <w:tc>
          <w:tcPr>
            <w:tcW w:w="320" w:type="dxa"/>
            <w:vAlign w:val="bottom"/>
            <w:tcBorders>
              <w:bottom w:val="single" w:sz="8" w:color="auto"/>
            </w:tcBorders>
          </w:tcPr>
          <w:p>
            <w:pPr>
              <w:jc w:val="right"/>
              <w:ind w:right="13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(5,327)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majority of the Company's pretax income is from domestic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effective income tax rate reconciliation for the years ended December 31, 2024, 2023 and 2022: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18"/>
                <w:szCs w:val="18"/>
                <w:color w:val="auto"/>
              </w:rPr>
            </w:pPr>
          </w:p>
        </w:tc>
      </w:tr>
      <w:tr>
        <w:trPr>
          <w:trHeight w:val="177"/>
        </w:trPr>
        <w:tc>
          <w:tcPr>
            <w:tcW w:w="68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Federal statutory rate</w:t>
            </w:r>
          </w:p>
        </w:tc>
        <w:tc>
          <w:tcPr>
            <w:tcW w:w="10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21.0</w:t>
            </w:r>
          </w:p>
        </w:tc>
        <w:tc>
          <w:tcPr>
            <w:tcW w:w="320" w:type="dxa"/>
            <w:vAlign w:val="bottom"/>
            <w:shd w:val="clear" w:color="auto" w:fill="CCEEFF"/>
          </w:tcPr>
          <w:p>
            <w:pPr>
              <w:jc w:val="right"/>
              <w:ind w:right="72"/>
              <w:spacing w:after="0" w:line="177" w:lineRule="exact"/>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21.0</w:t>
            </w:r>
          </w:p>
        </w:tc>
        <w:tc>
          <w:tcPr>
            <w:tcW w:w="320" w:type="dxa"/>
            <w:vAlign w:val="bottom"/>
            <w:shd w:val="clear" w:color="auto" w:fill="CCEEFF"/>
          </w:tcPr>
          <w:p>
            <w:pPr>
              <w:jc w:val="right"/>
              <w:ind w:right="92"/>
              <w:spacing w:after="0" w:line="177"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CEEFF"/>
          </w:tcPr>
          <w:p>
            <w:pPr>
              <w:jc w:val="right"/>
              <w:ind w:right="72"/>
              <w:spacing w:after="0" w:line="177" w:lineRule="exact"/>
              <w:rPr>
                <w:sz w:val="20"/>
                <w:szCs w:val="20"/>
                <w:color w:val="auto"/>
              </w:rPr>
            </w:pPr>
            <w:r>
              <w:rPr>
                <w:rFonts w:ascii="Times New Roman" w:cs="Times New Roman" w:eastAsia="Times New Roman" w:hAnsi="Times New Roman"/>
                <w:sz w:val="18"/>
                <w:szCs w:val="18"/>
                <w:color w:val="auto"/>
                <w:w w:val="79"/>
              </w:rPr>
              <w:t>%</w:t>
            </w:r>
          </w:p>
        </w:tc>
      </w:tr>
      <w:tr>
        <w:trPr>
          <w:trHeight w:val="184"/>
        </w:trPr>
        <w:tc>
          <w:tcPr>
            <w:tcW w:w="68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State income taxes, net of the federal tax benefit</w:t>
            </w: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16"/>
                <w:szCs w:val="16"/>
                <w:color w:val="auto"/>
              </w:rPr>
            </w:pPr>
          </w:p>
        </w:tc>
      </w:tr>
      <w:tr>
        <w:trPr>
          <w:trHeight w:val="184"/>
        </w:trPr>
        <w:tc>
          <w:tcPr>
            <w:tcW w:w="68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Stock based compensation</w:t>
            </w:r>
          </w:p>
        </w:tc>
        <w:tc>
          <w:tcPr>
            <w:tcW w:w="10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(3.9)</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CCEEFF"/>
          </w:tcPr>
          <w:p>
            <w:pPr>
              <w:spacing w:after="0"/>
              <w:rPr>
                <w:sz w:val="16"/>
                <w:szCs w:val="16"/>
                <w:color w:val="auto"/>
              </w:rPr>
            </w:pPr>
          </w:p>
        </w:tc>
      </w:tr>
      <w:tr>
        <w:trPr>
          <w:trHeight w:val="184"/>
        </w:trPr>
        <w:tc>
          <w:tcPr>
            <w:tcW w:w="68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Non-deductible meals and entertainment</w:t>
            </w: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6"/>
                <w:szCs w:val="16"/>
                <w:color w:val="auto"/>
              </w:rPr>
            </w:pPr>
          </w:p>
        </w:tc>
      </w:tr>
      <w:tr>
        <w:trPr>
          <w:trHeight w:val="184"/>
        </w:trPr>
        <w:tc>
          <w:tcPr>
            <w:tcW w:w="68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Tax credits</w:t>
            </w:r>
          </w:p>
        </w:tc>
        <w:tc>
          <w:tcPr>
            <w:tcW w:w="10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CCEEFF"/>
          </w:tcPr>
          <w:p>
            <w:pPr>
              <w:spacing w:after="0"/>
              <w:rPr>
                <w:sz w:val="16"/>
                <w:szCs w:val="16"/>
                <w:color w:val="auto"/>
              </w:rPr>
            </w:pPr>
          </w:p>
        </w:tc>
      </w:tr>
      <w:tr>
        <w:trPr>
          <w:trHeight w:val="184"/>
        </w:trPr>
        <w:tc>
          <w:tcPr>
            <w:tcW w:w="68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Foreign rate differential</w:t>
            </w: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6"/>
                <w:szCs w:val="16"/>
                <w:color w:val="auto"/>
              </w:rPr>
            </w:pPr>
          </w:p>
        </w:tc>
      </w:tr>
      <w:tr>
        <w:trPr>
          <w:trHeight w:val="184"/>
        </w:trPr>
        <w:tc>
          <w:tcPr>
            <w:tcW w:w="68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0.8</w:t>
            </w:r>
          </w:p>
        </w:tc>
        <w:tc>
          <w:tcPr>
            <w:tcW w:w="32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(0.6)</w:t>
            </w:r>
          </w:p>
        </w:tc>
        <w:tc>
          <w:tcPr>
            <w:tcW w:w="300" w:type="dxa"/>
            <w:vAlign w:val="bottom"/>
            <w:tcBorders>
              <w:bottom w:val="single" w:sz="8" w:color="auto"/>
            </w:tcBorders>
            <w:shd w:val="clear" w:color="auto" w:fill="CCEEFF"/>
          </w:tcPr>
          <w:p>
            <w:pPr>
              <w:spacing w:after="0"/>
              <w:rPr>
                <w:sz w:val="16"/>
                <w:szCs w:val="16"/>
                <w:color w:val="auto"/>
              </w:rPr>
            </w:pPr>
          </w:p>
        </w:tc>
      </w:tr>
      <w:tr>
        <w:trPr>
          <w:trHeight w:val="177"/>
        </w:trPr>
        <w:tc>
          <w:tcPr>
            <w:tcW w:w="68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Effective tax rate</w:t>
            </w:r>
          </w:p>
        </w:tc>
        <w:tc>
          <w:tcPr>
            <w:tcW w:w="10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28.4</w:t>
            </w:r>
          </w:p>
        </w:tc>
        <w:tc>
          <w:tcPr>
            <w:tcW w:w="320" w:type="dxa"/>
            <w:vAlign w:val="bottom"/>
            <w:tcBorders>
              <w:bottom w:val="single" w:sz="8" w:color="auto"/>
            </w:tcBorders>
          </w:tcPr>
          <w:p>
            <w:pPr>
              <w:jc w:val="right"/>
              <w:ind w:right="72"/>
              <w:spacing w:after="0" w:line="177" w:lineRule="exact"/>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28.0</w:t>
            </w:r>
          </w:p>
        </w:tc>
        <w:tc>
          <w:tcPr>
            <w:tcW w:w="320" w:type="dxa"/>
            <w:vAlign w:val="bottom"/>
            <w:tcBorders>
              <w:bottom w:val="single" w:sz="8" w:color="auto"/>
            </w:tcBorders>
          </w:tcPr>
          <w:p>
            <w:pPr>
              <w:jc w:val="right"/>
              <w:ind w:right="92"/>
              <w:spacing w:after="0" w:line="177"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5"/>
                <w:szCs w:val="15"/>
                <w:color w:val="auto"/>
              </w:rPr>
            </w:pPr>
          </w:p>
        </w:tc>
        <w:tc>
          <w:tcPr>
            <w:tcW w:w="10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25.3</w:t>
            </w:r>
          </w:p>
        </w:tc>
        <w:tc>
          <w:tcPr>
            <w:tcW w:w="300" w:type="dxa"/>
            <w:vAlign w:val="bottom"/>
            <w:tcBorders>
              <w:bottom w:val="single" w:sz="8" w:color="auto"/>
            </w:tcBorders>
          </w:tcPr>
          <w:p>
            <w:pPr>
              <w:jc w:val="right"/>
              <w:ind w:right="72"/>
              <w:spacing w:after="0" w:line="177" w:lineRule="exact"/>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6"/>
          <w:szCs w:val="16"/>
          <w:color w:val="auto"/>
        </w:rPr>
        <w:t>The Company’s effective tax rate was 28.4%, 28.0% and 25.3% during the years ended December 31, 2024, 2023 and 2022, respectively. The increase in the effective tax rate in 2024 when compared to 2023 was largely due to a decrease in pretax income and a disproportionate impact of certain permanent items. The increase in the effective tax rate in 2023 when compared to 2022 was primarily due to an increase in tax expense associated with stock based compensation.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4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deferred income taxes were as follows at December 31:</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1"/>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682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82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Section 743 carryforward</w:t>
            </w:r>
          </w:p>
        </w:tc>
        <w:tc>
          <w:tcPr>
            <w:tcW w:w="1840" w:type="dxa"/>
            <w:vAlign w:val="bottom"/>
            <w:gridSpan w:val="2"/>
            <w:shd w:val="clear" w:color="auto" w:fill="CCEEFF"/>
          </w:tcPr>
          <w:p>
            <w:pPr>
              <w:jc w:val="right"/>
              <w:ind w:right="138"/>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4,388</w:t>
            </w:r>
          </w:p>
        </w:tc>
        <w:tc>
          <w:tcPr>
            <w:tcW w:w="1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78"/>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6,070</w:t>
            </w:r>
          </w:p>
        </w:tc>
        <w:tc>
          <w:tcPr>
            <w:tcW w:w="0" w:type="dxa"/>
            <w:vAlign w:val="bottom"/>
          </w:tcPr>
          <w:p>
            <w:pPr>
              <w:spacing w:after="0"/>
              <w:rPr>
                <w:sz w:val="1"/>
                <w:szCs w:val="1"/>
                <w:color w:val="auto"/>
              </w:rPr>
            </w:pPr>
          </w:p>
        </w:tc>
      </w:tr>
      <w:tr>
        <w:trPr>
          <w:trHeight w:val="184"/>
        </w:trPr>
        <w:tc>
          <w:tcPr>
            <w:tcW w:w="68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Inventory</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1,666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184"/>
        </w:trPr>
        <w:tc>
          <w:tcPr>
            <w:tcW w:w="682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Operating lease liabilities</w:t>
            </w:r>
          </w:p>
        </w:tc>
        <w:tc>
          <w:tcPr>
            <w:tcW w:w="1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36,851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36,083</w:t>
            </w:r>
          </w:p>
        </w:tc>
        <w:tc>
          <w:tcPr>
            <w:tcW w:w="0" w:type="dxa"/>
            <w:vAlign w:val="bottom"/>
          </w:tcPr>
          <w:p>
            <w:pPr>
              <w:spacing w:after="0"/>
              <w:rPr>
                <w:sz w:val="1"/>
                <w:szCs w:val="1"/>
                <w:color w:val="auto"/>
              </w:rPr>
            </w:pPr>
          </w:p>
        </w:tc>
      </w:tr>
      <w:tr>
        <w:trPr>
          <w:trHeight w:val="184"/>
        </w:trPr>
        <w:tc>
          <w:tcPr>
            <w:tcW w:w="6820" w:type="dxa"/>
            <w:vAlign w:val="bottom"/>
            <w:tcBorders>
              <w:bottom w:val="single" w:sz="8" w:color="CCEEFF"/>
            </w:tcBorders>
          </w:tcPr>
          <w:p>
            <w:pPr>
              <w:ind w:left="220"/>
              <w:spacing w:after="0" w:line="184" w:lineRule="exact"/>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2,598</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177"/>
        </w:trPr>
        <w:tc>
          <w:tcPr>
            <w:tcW w:w="6820" w:type="dxa"/>
            <w:vAlign w:val="bottom"/>
            <w:shd w:val="clear" w:color="auto" w:fill="CCEEFF"/>
          </w:tcPr>
          <w:p>
            <w:pPr>
              <w:ind w:left="220"/>
              <w:spacing w:after="0" w:line="177" w:lineRule="exact"/>
              <w:rPr>
                <w:sz w:val="20"/>
                <w:szCs w:val="20"/>
                <w:color w:val="auto"/>
              </w:rPr>
            </w:pPr>
            <w:r>
              <w:rPr>
                <w:rFonts w:ascii="Times New Roman" w:cs="Times New Roman" w:eastAsia="Times New Roman" w:hAnsi="Times New Roman"/>
                <w:sz w:val="18"/>
                <w:szCs w:val="18"/>
                <w:color w:val="auto"/>
              </w:rPr>
              <w:t>Total deferred income tax assets</w:t>
            </w:r>
          </w:p>
        </w:tc>
        <w:tc>
          <w:tcPr>
            <w:tcW w:w="15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3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45,503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7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46,730</w:t>
            </w:r>
          </w:p>
        </w:tc>
        <w:tc>
          <w:tcPr>
            <w:tcW w:w="0" w:type="dxa"/>
            <w:vAlign w:val="bottom"/>
          </w:tcPr>
          <w:p>
            <w:pPr>
              <w:spacing w:after="0"/>
              <w:rPr>
                <w:sz w:val="1"/>
                <w:szCs w:val="1"/>
                <w:color w:val="auto"/>
              </w:rPr>
            </w:pPr>
          </w:p>
        </w:tc>
      </w:tr>
      <w:tr>
        <w:trPr>
          <w:trHeight w:val="177"/>
        </w:trPr>
        <w:tc>
          <w:tcPr>
            <w:tcW w:w="68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Deferred income tax liabilities</w:t>
            </w:r>
          </w:p>
        </w:tc>
        <w:tc>
          <w:tcPr>
            <w:tcW w:w="1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8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Depreciation</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3,635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5,145</w:t>
            </w:r>
          </w:p>
        </w:tc>
        <w:tc>
          <w:tcPr>
            <w:tcW w:w="0" w:type="dxa"/>
            <w:vAlign w:val="bottom"/>
          </w:tcPr>
          <w:p>
            <w:pPr>
              <w:spacing w:after="0"/>
              <w:rPr>
                <w:sz w:val="1"/>
                <w:szCs w:val="1"/>
                <w:color w:val="auto"/>
              </w:rPr>
            </w:pPr>
          </w:p>
        </w:tc>
      </w:tr>
      <w:tr>
        <w:trPr>
          <w:trHeight w:val="184"/>
        </w:trPr>
        <w:tc>
          <w:tcPr>
            <w:tcW w:w="682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1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36,418</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35,337</w:t>
            </w:r>
          </w:p>
        </w:tc>
        <w:tc>
          <w:tcPr>
            <w:tcW w:w="0" w:type="dxa"/>
            <w:vAlign w:val="bottom"/>
          </w:tcPr>
          <w:p>
            <w:pPr>
              <w:spacing w:after="0"/>
              <w:rPr>
                <w:sz w:val="1"/>
                <w:szCs w:val="1"/>
                <w:color w:val="auto"/>
              </w:rPr>
            </w:pPr>
          </w:p>
        </w:tc>
      </w:tr>
      <w:tr>
        <w:trPr>
          <w:trHeight w:val="184"/>
        </w:trPr>
        <w:tc>
          <w:tcPr>
            <w:tcW w:w="6820" w:type="dxa"/>
            <w:vAlign w:val="bottom"/>
            <w:tcBorders>
              <w:bottom w:val="single" w:sz="8" w:color="CCEEFF"/>
            </w:tcBorders>
          </w:tcPr>
          <w:p>
            <w:pPr>
              <w:ind w:left="220"/>
              <w:spacing w:after="0" w:line="184" w:lineRule="exact"/>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560</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177"/>
        </w:trPr>
        <w:tc>
          <w:tcPr>
            <w:tcW w:w="6820" w:type="dxa"/>
            <w:vAlign w:val="bottom"/>
            <w:shd w:val="clear" w:color="auto" w:fill="CCEEFF"/>
          </w:tcPr>
          <w:p>
            <w:pPr>
              <w:ind w:left="220"/>
              <w:spacing w:after="0" w:line="177" w:lineRule="exact"/>
              <w:rPr>
                <w:sz w:val="20"/>
                <w:szCs w:val="20"/>
                <w:color w:val="auto"/>
              </w:rPr>
            </w:pPr>
            <w:r>
              <w:rPr>
                <w:rFonts w:ascii="Times New Roman" w:cs="Times New Roman" w:eastAsia="Times New Roman" w:hAnsi="Times New Roman"/>
                <w:sz w:val="18"/>
                <w:szCs w:val="18"/>
                <w:color w:val="auto"/>
              </w:rPr>
              <w:t>Total deferred income tax liabilities</w:t>
            </w:r>
          </w:p>
        </w:tc>
        <w:tc>
          <w:tcPr>
            <w:tcW w:w="15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40,613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41,474</w:t>
            </w:r>
          </w:p>
        </w:tc>
        <w:tc>
          <w:tcPr>
            <w:tcW w:w="0" w:type="dxa"/>
            <w:vAlign w:val="bottom"/>
          </w:tcPr>
          <w:p>
            <w:pPr>
              <w:spacing w:after="0"/>
              <w:rPr>
                <w:sz w:val="1"/>
                <w:szCs w:val="1"/>
                <w:color w:val="auto"/>
              </w:rPr>
            </w:pPr>
          </w:p>
        </w:tc>
      </w:tr>
      <w:tr>
        <w:trPr>
          <w:trHeight w:val="177"/>
        </w:trPr>
        <w:tc>
          <w:tcPr>
            <w:tcW w:w="682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rPr>
              <w:t>Net deferred income tax assets</w:t>
            </w:r>
          </w:p>
        </w:tc>
        <w:tc>
          <w:tcPr>
            <w:tcW w:w="1540" w:type="dxa"/>
            <w:vAlign w:val="bottom"/>
          </w:tcPr>
          <w:p>
            <w:pPr>
              <w:spacing w:after="0"/>
              <w:rPr>
                <w:sz w:val="15"/>
                <w:szCs w:val="15"/>
                <w:color w:val="auto"/>
              </w:rPr>
            </w:pPr>
          </w:p>
        </w:tc>
        <w:tc>
          <w:tcPr>
            <w:tcW w:w="300" w:type="dxa"/>
            <w:vAlign w:val="bottom"/>
            <w:tcBorders>
              <w:bottom w:val="single" w:sz="8" w:color="auto"/>
            </w:tcBorders>
          </w:tcPr>
          <w:p>
            <w:pPr>
              <w:jc w:val="right"/>
              <w:ind w:right="13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4,890</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78"/>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color w:val="auto"/>
              </w:rPr>
              <w:t>5,256</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closed its foreign operations in 2024 and, as such, there are no foreign unremitted earnings as of December 31, 2024.</w:t>
      </w:r>
    </w:p>
    <w:p>
      <w:pPr>
        <w:spacing w:after="0" w:line="161" w:lineRule="exact"/>
        <w:rPr>
          <w:sz w:val="20"/>
          <w:szCs w:val="20"/>
          <w:color w:val="auto"/>
        </w:rPr>
      </w:pPr>
    </w:p>
    <w:p>
      <w:pPr>
        <w:ind w:right="300"/>
        <w:spacing w:after="0" w:line="314" w:lineRule="auto"/>
        <w:rPr>
          <w:sz w:val="20"/>
          <w:szCs w:val="20"/>
          <w:color w:val="auto"/>
        </w:rPr>
      </w:pPr>
      <w:r>
        <w:rPr>
          <w:rFonts w:ascii="Times New Roman" w:cs="Times New Roman" w:eastAsia="Times New Roman" w:hAnsi="Times New Roman"/>
          <w:sz w:val="16"/>
          <w:szCs w:val="16"/>
          <w:color w:val="auto"/>
        </w:rPr>
        <w:t>The Company records interest and penalties through income tax expense relating to uncertain tax positions. As of December 31, 2024, 2023 and 2022, the Company has not recognized any liabilities for uncertain tax positions nor has the Company accrued interest and penalties related to uncertain tax positions.</w:t>
      </w:r>
    </w:p>
    <w:p>
      <w:pPr>
        <w:spacing w:after="0" w:line="97"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8"/>
          <w:szCs w:val="18"/>
          <w:color w:val="auto"/>
        </w:rPr>
        <w:t>The Company's federal, state, and foreign income tax returns are subject to audit. The Company is not currently under audit by federal or foreign taxing authorities. During 2024, the Minnesota Department of Revenue commenced an audit of the 2020, 2021, and 2022 tax years; the audit has not been completed. The years open to examination include years ending 2021 to 2023 for federal income tax purposes, years ending 2020 to 2023 for state income tax purposes, and years ending 2020 to 2023 for foreign income tax purposes.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Segments</w:t>
      </w:r>
    </w:p>
    <w:p>
      <w:pPr>
        <w:spacing w:after="0" w:line="17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color w:val="auto"/>
        </w:rPr>
        <w:t>The Company’s Chief Executive Officer is the Chief Operating Decision Maker (“CODM”). The CODM utilizes the Company’s annual budget planning process, which includes Company-wide initiatives, as a key input to resource allocation. The CODM makes decisions on resource allocation and evaluates financial performance on a total Company basis; therefore, the Company has one reportable segment. The Company earns most of their revenue in the United States. Long-lived assets, which consist of property and equipment, net and operating lease right of use assets, are all located in the United States.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concluded that consolidated net income is the measure of segment profitability. The following table presents the Company’s segment revenue and gross profit, significant segment expenses, segment income from operations and net income provided to the CODM:</w:t>
      </w:r>
    </w:p>
    <w:tbl>
      <w:tblPr>
        <w:tblLayout w:type="fixed"/>
        <w:tblInd w:w="0" w:type="dxa"/>
        <w:tblCellMar>
          <w:top w:w="0" w:type="dxa"/>
          <w:left w:w="0" w:type="dxa"/>
          <w:bottom w:w="0" w:type="dxa"/>
          <w:right w:w="0" w:type="dxa"/>
        </w:tblCellMar>
      </w:tblPr>
      <w:tr>
        <w:trPr>
          <w:trHeight w:val="196"/>
        </w:trPr>
        <w:tc>
          <w:tcPr>
            <w:tcW w:w="54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2"/>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32"/>
              <w:spacing w:after="0" w:line="196" w:lineRule="exact"/>
              <w:rPr>
                <w:sz w:val="20"/>
                <w:szCs w:val="20"/>
                <w:color w:val="auto"/>
              </w:rPr>
            </w:pPr>
            <w:r>
              <w:rPr>
                <w:rFonts w:ascii="Times New Roman" w:cs="Times New Roman" w:eastAsia="Times New Roman" w:hAnsi="Times New Roman"/>
                <w:sz w:val="18"/>
                <w:szCs w:val="18"/>
                <w:color w:val="auto"/>
              </w:rPr>
              <w:t>2022</w:t>
            </w:r>
          </w:p>
        </w:tc>
      </w:tr>
      <w:tr>
        <w:trPr>
          <w:trHeight w:val="177"/>
        </w:trPr>
        <w:tc>
          <w:tcPr>
            <w:tcW w:w="54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shd w:val="clear" w:color="auto" w:fill="CCEEFF"/>
          </w:tcPr>
          <w:p>
            <w:pPr>
              <w:jc w:val="right"/>
              <w:ind w:right="91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347,071</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377,146</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394,702</w:t>
            </w:r>
          </w:p>
        </w:tc>
      </w:tr>
      <w:tr>
        <w:trPr>
          <w:trHeight w:val="184"/>
        </w:trPr>
        <w:tc>
          <w:tcPr>
            <w:tcW w:w="5400" w:type="dxa"/>
            <w:vAlign w:val="bottom"/>
            <w:tcBorders>
              <w:bottom w:val="single" w:sz="8" w:color="CCEEFF"/>
            </w:tcBorders>
          </w:tcPr>
          <w:p>
            <w:pPr>
              <w:spacing w:after="0" w:line="184" w:lineRule="exact"/>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119,197</w:t>
            </w: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134,085</w:t>
            </w: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135,765</w:t>
            </w:r>
          </w:p>
        </w:tc>
      </w:tr>
      <w:tr>
        <w:trPr>
          <w:trHeight w:val="177"/>
        </w:trPr>
        <w:tc>
          <w:tcPr>
            <w:tcW w:w="54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227,874</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243,061</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258,937</w:t>
            </w:r>
          </w:p>
        </w:tc>
      </w:tr>
      <w:tr>
        <w:trPr>
          <w:trHeight w:val="184"/>
        </w:trPr>
        <w:tc>
          <w:tcPr>
            <w:tcW w:w="5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Stock based compensation</w:t>
            </w:r>
          </w:p>
        </w:tc>
        <w:tc>
          <w:tcPr>
            <w:tcW w:w="1100" w:type="dxa"/>
            <w:vAlign w:val="bottom"/>
          </w:tcPr>
          <w:p>
            <w:pPr>
              <w:spacing w:after="0"/>
              <w:rPr>
                <w:sz w:val="16"/>
                <w:szCs w:val="16"/>
                <w:color w:val="auto"/>
              </w:rPr>
            </w:pPr>
          </w:p>
        </w:tc>
        <w:tc>
          <w:tcPr>
            <w:tcW w:w="6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1,338</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1,392</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1,832</w:t>
            </w:r>
          </w:p>
        </w:tc>
      </w:tr>
      <w:tr>
        <w:trPr>
          <w:trHeight w:val="184"/>
        </w:trPr>
        <w:tc>
          <w:tcPr>
            <w:tcW w:w="54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17,759</w:t>
            </w: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21,229</w:t>
            </w: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25,142</w:t>
            </w:r>
          </w:p>
        </w:tc>
      </w:tr>
      <w:tr>
        <w:trPr>
          <w:trHeight w:val="184"/>
        </w:trPr>
        <w:tc>
          <w:tcPr>
            <w:tcW w:w="5400" w:type="dxa"/>
            <w:vAlign w:val="bottom"/>
            <w:tcBorders>
              <w:bottom w:val="single" w:sz="8" w:color="CCEEFF"/>
            </w:tcBorders>
          </w:tcPr>
          <w:p>
            <w:pPr>
              <w:spacing w:after="0" w:line="184" w:lineRule="exact"/>
              <w:rPr>
                <w:sz w:val="20"/>
                <w:szCs w:val="20"/>
                <w:color w:val="auto"/>
              </w:rPr>
            </w:pPr>
            <w:r>
              <w:rPr>
                <w:rFonts w:ascii="Times New Roman" w:cs="Times New Roman" w:eastAsia="Times New Roman" w:hAnsi="Times New Roman"/>
                <w:sz w:val="18"/>
                <w:szCs w:val="18"/>
                <w:color w:val="auto"/>
              </w:rPr>
              <w:t>Adjusted selling, general and administrative expenses*</w:t>
            </w: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205,260</w:t>
            </w: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204,282</w:t>
            </w: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209,354</w:t>
            </w:r>
          </w:p>
        </w:tc>
      </w:tr>
      <w:tr>
        <w:trPr>
          <w:trHeight w:val="177"/>
        </w:trPr>
        <w:tc>
          <w:tcPr>
            <w:tcW w:w="54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3,517</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16,158</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22,609</w:t>
            </w:r>
          </w:p>
        </w:tc>
      </w:tr>
      <w:tr>
        <w:trPr>
          <w:trHeight w:val="184"/>
        </w:trPr>
        <w:tc>
          <w:tcPr>
            <w:tcW w:w="5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Pr>
          <w:p>
            <w:pPr>
              <w:spacing w:after="0"/>
              <w:rPr>
                <w:sz w:val="16"/>
                <w:szCs w:val="16"/>
                <w:color w:val="auto"/>
              </w:rPr>
            </w:pPr>
          </w:p>
        </w:tc>
        <w:tc>
          <w:tcPr>
            <w:tcW w:w="900" w:type="dxa"/>
            <w:vAlign w:val="bottom"/>
            <w:gridSpan w:val="2"/>
          </w:tcPr>
          <w:p>
            <w:pPr>
              <w:jc w:val="right"/>
              <w:ind w:right="220"/>
              <w:spacing w:after="0" w:line="184" w:lineRule="exact"/>
              <w:rPr>
                <w:sz w:val="20"/>
                <w:szCs w:val="20"/>
                <w:color w:val="auto"/>
              </w:rPr>
            </w:pPr>
            <w:r>
              <w:rPr>
                <w:rFonts w:ascii="Times New Roman" w:cs="Times New Roman" w:eastAsia="Times New Roman" w:hAnsi="Times New Roman"/>
                <w:sz w:val="18"/>
                <w:szCs w:val="18"/>
                <w:color w:val="auto"/>
              </w:rPr>
              <w:t>(275)</w:t>
            </w:r>
          </w:p>
        </w:tc>
        <w:tc>
          <w:tcPr>
            <w:tcW w:w="420" w:type="dxa"/>
            <w:vAlign w:val="bottom"/>
          </w:tcPr>
          <w:p>
            <w:pPr>
              <w:spacing w:after="0"/>
              <w:rPr>
                <w:sz w:val="16"/>
                <w:szCs w:val="16"/>
                <w:color w:val="auto"/>
              </w:rPr>
            </w:pPr>
          </w:p>
        </w:tc>
        <w:tc>
          <w:tcPr>
            <w:tcW w:w="13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(2,164)</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(1,579)</w:t>
            </w:r>
          </w:p>
        </w:tc>
      </w:tr>
      <w:tr>
        <w:trPr>
          <w:trHeight w:val="177"/>
        </w:trPr>
        <w:tc>
          <w:tcPr>
            <w:tcW w:w="54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3,242</w:t>
            </w: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13,994</w:t>
            </w: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21,030</w:t>
            </w:r>
          </w:p>
        </w:tc>
      </w:tr>
      <w:tr>
        <w:trPr>
          <w:trHeight w:val="184"/>
        </w:trPr>
        <w:tc>
          <w:tcPr>
            <w:tcW w:w="54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Pr>
          <w:p>
            <w:pPr>
              <w:spacing w:after="0"/>
              <w:rPr>
                <w:sz w:val="16"/>
                <w:szCs w:val="16"/>
                <w:color w:val="auto"/>
              </w:rPr>
            </w:pPr>
          </w:p>
        </w:tc>
        <w:tc>
          <w:tcPr>
            <w:tcW w:w="900" w:type="dxa"/>
            <w:vAlign w:val="bottom"/>
            <w:gridSpan w:val="2"/>
          </w:tcPr>
          <w:p>
            <w:pPr>
              <w:jc w:val="right"/>
              <w:ind w:right="220"/>
              <w:spacing w:after="0" w:line="184" w:lineRule="exact"/>
              <w:rPr>
                <w:sz w:val="20"/>
                <w:szCs w:val="20"/>
                <w:color w:val="auto"/>
              </w:rPr>
            </w:pPr>
            <w:r>
              <w:rPr>
                <w:rFonts w:ascii="Times New Roman" w:cs="Times New Roman" w:eastAsia="Times New Roman" w:hAnsi="Times New Roman"/>
                <w:sz w:val="18"/>
                <w:szCs w:val="18"/>
                <w:color w:val="auto"/>
              </w:rPr>
              <w:t>(921)</w:t>
            </w:r>
          </w:p>
        </w:tc>
        <w:tc>
          <w:tcPr>
            <w:tcW w:w="420" w:type="dxa"/>
            <w:vAlign w:val="bottom"/>
          </w:tcPr>
          <w:p>
            <w:pPr>
              <w:spacing w:after="0"/>
              <w:rPr>
                <w:sz w:val="16"/>
                <w:szCs w:val="16"/>
                <w:color w:val="auto"/>
              </w:rPr>
            </w:pPr>
          </w:p>
        </w:tc>
        <w:tc>
          <w:tcPr>
            <w:tcW w:w="13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(3,923)</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(5,327)</w:t>
            </w:r>
          </w:p>
        </w:tc>
      </w:tr>
      <w:tr>
        <w:trPr>
          <w:trHeight w:val="177"/>
        </w:trPr>
        <w:tc>
          <w:tcPr>
            <w:tcW w:w="5400" w:type="dxa"/>
            <w:vAlign w:val="bottom"/>
            <w:tcBorders>
              <w:top w:val="single" w:sz="8" w:color="CCEEFF"/>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100" w:type="dxa"/>
            <w:vAlign w:val="bottom"/>
            <w:tcBorders>
              <w:top w:val="single" w:sz="8" w:color="auto"/>
              <w:bottom w:val="single" w:sz="8" w:color="auto"/>
            </w:tcBorders>
            <w:shd w:val="clear" w:color="auto" w:fill="CCEEFF"/>
          </w:tcPr>
          <w:p>
            <w:pPr>
              <w:jc w:val="right"/>
              <w:ind w:right="91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2,321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3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10,071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32"/>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15,703</w:t>
            </w:r>
          </w:p>
        </w:tc>
      </w:tr>
      <w:tr>
        <w:trPr>
          <w:trHeight w:val="20"/>
        </w:trPr>
        <w:tc>
          <w:tcPr>
            <w:tcW w:w="5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*Exclusive of stock based compensation and depreciation and amortization shown separately.</w:t>
      </w:r>
    </w:p>
    <w:p>
      <w:pPr>
        <w:spacing w:after="0" w:line="1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193040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ind w:left="4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Savings Plan</w:t>
      </w:r>
    </w:p>
    <w:p>
      <w:pPr>
        <w:spacing w:after="0" w:line="176"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8"/>
          <w:szCs w:val="18"/>
          <w:color w:val="auto"/>
        </w:rPr>
        <w:t>The Company has a 401(k) profit sharing plan covering substantially all full-time employees. Employee contributions are limited to the maximum amount allowable by the Internal Revenue Code. The Company matched employee contributions of $1.7 million in 2024 and $1.6 million in both 2023 and 2022. The Company made no discretionary contributions for any of the years presented.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Quarterly Financial Data (Unaudited)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results of operations for the years ended December 31, 2024 and 2023 are summarized below (in thousands, except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First Quarter</w:t>
            </w:r>
          </w:p>
        </w:tc>
        <w:tc>
          <w:tcPr>
            <w:tcW w:w="1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Second Quarter</w:t>
            </w:r>
          </w:p>
        </w:tc>
        <w:tc>
          <w:tcPr>
            <w:tcW w:w="17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Third Quarter</w:t>
            </w:r>
          </w:p>
        </w:tc>
        <w:tc>
          <w:tcPr>
            <w:tcW w:w="15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Fourth Quarter</w:t>
            </w:r>
          </w:p>
        </w:tc>
      </w:tr>
      <w:tr>
        <w:trPr>
          <w:trHeight w:val="361"/>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4"/>
        </w:trPr>
        <w:tc>
          <w:tcPr>
            <w:tcW w:w="34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gridSpan w:val="2"/>
            <w:shd w:val="clear" w:color="auto" w:fill="CCEEFF"/>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91,728</w:t>
            </w:r>
          </w:p>
        </w:tc>
        <w:tc>
          <w:tcPr>
            <w:tcW w:w="1740" w:type="dxa"/>
            <w:vAlign w:val="bottom"/>
            <w:shd w:val="clear" w:color="auto" w:fill="CCEEFF"/>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91,384</w:t>
            </w:r>
          </w:p>
        </w:tc>
        <w:tc>
          <w:tcPr>
            <w:tcW w:w="1700" w:type="dxa"/>
            <w:vAlign w:val="bottom"/>
            <w:shd w:val="clear" w:color="auto" w:fill="CCEEFF"/>
          </w:tcPr>
          <w:p>
            <w:pPr>
              <w:jc w:val="right"/>
              <w:ind w:right="152"/>
              <w:spacing w:after="0" w:line="184" w:lineRule="exact"/>
              <w:rPr>
                <w:sz w:val="20"/>
                <w:szCs w:val="20"/>
                <w:color w:val="auto"/>
              </w:rPr>
            </w:pPr>
            <w:r>
              <w:rPr>
                <w:rFonts w:ascii="Times New Roman" w:cs="Times New Roman" w:eastAsia="Times New Roman" w:hAnsi="Times New Roman"/>
                <w:sz w:val="18"/>
                <w:szCs w:val="18"/>
                <w:color w:val="auto"/>
              </w:rPr>
              <w:t>84,505</w:t>
            </w:r>
          </w:p>
        </w:tc>
        <w:tc>
          <w:tcPr>
            <w:tcW w:w="15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79,454</w:t>
            </w:r>
          </w:p>
        </w:tc>
      </w:tr>
      <w:tr>
        <w:trPr>
          <w:trHeight w:val="184"/>
        </w:trPr>
        <w:tc>
          <w:tcPr>
            <w:tcW w:w="3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60,319</w:t>
            </w:r>
          </w:p>
        </w:tc>
        <w:tc>
          <w:tcPr>
            <w:tcW w:w="1740" w:type="dxa"/>
            <w:vAlign w:val="bottom"/>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60,331</w:t>
            </w:r>
          </w:p>
        </w:tc>
        <w:tc>
          <w:tcPr>
            <w:tcW w:w="1700" w:type="dxa"/>
            <w:vAlign w:val="bottom"/>
          </w:tcPr>
          <w:p>
            <w:pPr>
              <w:jc w:val="right"/>
              <w:ind w:right="152"/>
              <w:spacing w:after="0" w:line="184" w:lineRule="exact"/>
              <w:rPr>
                <w:sz w:val="20"/>
                <w:szCs w:val="20"/>
                <w:color w:val="auto"/>
              </w:rPr>
            </w:pPr>
            <w:r>
              <w:rPr>
                <w:rFonts w:ascii="Times New Roman" w:cs="Times New Roman" w:eastAsia="Times New Roman" w:hAnsi="Times New Roman"/>
                <w:sz w:val="18"/>
                <w:szCs w:val="18"/>
                <w:color w:val="auto"/>
              </w:rPr>
              <w:t>56,228</w:t>
            </w:r>
          </w:p>
        </w:tc>
        <w:tc>
          <w:tcPr>
            <w:tcW w:w="15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50,996</w:t>
            </w:r>
          </w:p>
        </w:tc>
      </w:tr>
      <w:tr>
        <w:trPr>
          <w:trHeight w:val="184"/>
        </w:trPr>
        <w:tc>
          <w:tcPr>
            <w:tcW w:w="34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2,283</w:t>
            </w:r>
          </w:p>
        </w:tc>
        <w:tc>
          <w:tcPr>
            <w:tcW w:w="1740" w:type="dxa"/>
            <w:vAlign w:val="bottom"/>
            <w:shd w:val="clear" w:color="auto" w:fill="CCEEFF"/>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1,851</w:t>
            </w:r>
          </w:p>
        </w:tc>
        <w:tc>
          <w:tcPr>
            <w:tcW w:w="1700" w:type="dxa"/>
            <w:vAlign w:val="bottom"/>
            <w:shd w:val="clear" w:color="auto" w:fill="CCEEFF"/>
          </w:tcPr>
          <w:p>
            <w:pPr>
              <w:jc w:val="right"/>
              <w:ind w:right="152"/>
              <w:spacing w:after="0" w:line="184" w:lineRule="exact"/>
              <w:rPr>
                <w:sz w:val="20"/>
                <w:szCs w:val="20"/>
                <w:color w:val="auto"/>
              </w:rPr>
            </w:pPr>
            <w:r>
              <w:rPr>
                <w:rFonts w:ascii="Times New Roman" w:cs="Times New Roman" w:eastAsia="Times New Roman" w:hAnsi="Times New Roman"/>
                <w:sz w:val="18"/>
                <w:szCs w:val="18"/>
                <w:color w:val="auto"/>
              </w:rPr>
              <w:t>250</w:t>
            </w:r>
          </w:p>
        </w:tc>
        <w:tc>
          <w:tcPr>
            <w:tcW w:w="15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(867)</w:t>
            </w:r>
          </w:p>
        </w:tc>
      </w:tr>
      <w:tr>
        <w:trPr>
          <w:trHeight w:val="184"/>
        </w:trPr>
        <w:tc>
          <w:tcPr>
            <w:tcW w:w="3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1,689</w:t>
            </w:r>
          </w:p>
        </w:tc>
        <w:tc>
          <w:tcPr>
            <w:tcW w:w="1740" w:type="dxa"/>
            <w:vAlign w:val="bottom"/>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1,219</w:t>
            </w:r>
          </w:p>
        </w:tc>
        <w:tc>
          <w:tcPr>
            <w:tcW w:w="1700" w:type="dxa"/>
            <w:vAlign w:val="bottom"/>
          </w:tcPr>
          <w:p>
            <w:pPr>
              <w:jc w:val="right"/>
              <w:ind w:right="152"/>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15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(628)</w:t>
            </w:r>
          </w:p>
        </w:tc>
      </w:tr>
      <w:tr>
        <w:trPr>
          <w:trHeight w:val="184"/>
        </w:trPr>
        <w:tc>
          <w:tcPr>
            <w:tcW w:w="34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Basic earnings (loss) per share</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0.04</w:t>
            </w:r>
          </w:p>
        </w:tc>
        <w:tc>
          <w:tcPr>
            <w:tcW w:w="1740" w:type="dxa"/>
            <w:vAlign w:val="bottom"/>
            <w:shd w:val="clear" w:color="auto" w:fill="CCEEFF"/>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0.03</w:t>
            </w:r>
          </w:p>
        </w:tc>
        <w:tc>
          <w:tcPr>
            <w:tcW w:w="1700" w:type="dxa"/>
            <w:vAlign w:val="bottom"/>
            <w:shd w:val="clear" w:color="auto" w:fill="CCEEFF"/>
          </w:tcPr>
          <w:p>
            <w:pPr>
              <w:jc w:val="right"/>
              <w:ind w:right="152"/>
              <w:spacing w:after="0" w:line="184" w:lineRule="exact"/>
              <w:rPr>
                <w:sz w:val="20"/>
                <w:szCs w:val="20"/>
                <w:color w:val="auto"/>
              </w:rPr>
            </w:pPr>
            <w:r>
              <w:rPr>
                <w:rFonts w:ascii="Times New Roman" w:cs="Times New Roman" w:eastAsia="Times New Roman" w:hAnsi="Times New Roman"/>
                <w:sz w:val="18"/>
                <w:szCs w:val="18"/>
                <w:color w:val="auto"/>
              </w:rPr>
              <w:t>0.00</w:t>
            </w:r>
          </w:p>
        </w:tc>
        <w:tc>
          <w:tcPr>
            <w:tcW w:w="15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(0.01)</w:t>
            </w:r>
          </w:p>
        </w:tc>
      </w:tr>
      <w:tr>
        <w:trPr>
          <w:trHeight w:val="184"/>
        </w:trPr>
        <w:tc>
          <w:tcPr>
            <w:tcW w:w="3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Diluted earnings (loss) per share</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0.04</w:t>
            </w:r>
          </w:p>
        </w:tc>
        <w:tc>
          <w:tcPr>
            <w:tcW w:w="1740" w:type="dxa"/>
            <w:vAlign w:val="bottom"/>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0.03</w:t>
            </w:r>
          </w:p>
        </w:tc>
        <w:tc>
          <w:tcPr>
            <w:tcW w:w="1700" w:type="dxa"/>
            <w:vAlign w:val="bottom"/>
          </w:tcPr>
          <w:p>
            <w:pPr>
              <w:jc w:val="right"/>
              <w:ind w:right="152"/>
              <w:spacing w:after="0" w:line="184" w:lineRule="exact"/>
              <w:rPr>
                <w:sz w:val="20"/>
                <w:szCs w:val="20"/>
                <w:color w:val="auto"/>
              </w:rPr>
            </w:pPr>
            <w:r>
              <w:rPr>
                <w:rFonts w:ascii="Times New Roman" w:cs="Times New Roman" w:eastAsia="Times New Roman" w:hAnsi="Times New Roman"/>
                <w:sz w:val="18"/>
                <w:szCs w:val="18"/>
                <w:color w:val="auto"/>
              </w:rPr>
              <w:t>0.00</w:t>
            </w:r>
          </w:p>
        </w:tc>
        <w:tc>
          <w:tcPr>
            <w:tcW w:w="15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(0.01)</w:t>
            </w:r>
          </w:p>
        </w:tc>
      </w:tr>
      <w:tr>
        <w:trPr>
          <w:trHeight w:val="184"/>
        </w:trPr>
        <w:tc>
          <w:tcPr>
            <w:tcW w:w="3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4"/>
        </w:trPr>
        <w:tc>
          <w:tcPr>
            <w:tcW w:w="342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2023</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4"/>
        </w:trPr>
        <w:tc>
          <w:tcPr>
            <w:tcW w:w="34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gridSpan w:val="2"/>
            <w:shd w:val="clear" w:color="auto" w:fill="CCEEFF"/>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102,019</w:t>
            </w:r>
          </w:p>
        </w:tc>
        <w:tc>
          <w:tcPr>
            <w:tcW w:w="1740" w:type="dxa"/>
            <w:vAlign w:val="bottom"/>
            <w:shd w:val="clear" w:color="auto" w:fill="CCEEFF"/>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98,557</w:t>
            </w:r>
          </w:p>
        </w:tc>
        <w:tc>
          <w:tcPr>
            <w:tcW w:w="1700" w:type="dxa"/>
            <w:vAlign w:val="bottom"/>
            <w:shd w:val="clear" w:color="auto" w:fill="CCEEFF"/>
          </w:tcPr>
          <w:p>
            <w:pPr>
              <w:jc w:val="right"/>
              <w:ind w:right="152"/>
              <w:spacing w:after="0" w:line="184" w:lineRule="exact"/>
              <w:rPr>
                <w:sz w:val="20"/>
                <w:szCs w:val="20"/>
                <w:color w:val="auto"/>
              </w:rPr>
            </w:pPr>
            <w:r>
              <w:rPr>
                <w:rFonts w:ascii="Times New Roman" w:cs="Times New Roman" w:eastAsia="Times New Roman" w:hAnsi="Times New Roman"/>
                <w:sz w:val="18"/>
                <w:szCs w:val="18"/>
                <w:color w:val="auto"/>
              </w:rPr>
              <w:t>92,112</w:t>
            </w:r>
          </w:p>
        </w:tc>
        <w:tc>
          <w:tcPr>
            <w:tcW w:w="15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84,458</w:t>
            </w:r>
          </w:p>
        </w:tc>
      </w:tr>
      <w:tr>
        <w:trPr>
          <w:trHeight w:val="184"/>
        </w:trPr>
        <w:tc>
          <w:tcPr>
            <w:tcW w:w="3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65,538</w:t>
            </w:r>
          </w:p>
        </w:tc>
        <w:tc>
          <w:tcPr>
            <w:tcW w:w="1740" w:type="dxa"/>
            <w:vAlign w:val="bottom"/>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63,302</w:t>
            </w:r>
          </w:p>
        </w:tc>
        <w:tc>
          <w:tcPr>
            <w:tcW w:w="1700" w:type="dxa"/>
            <w:vAlign w:val="bottom"/>
          </w:tcPr>
          <w:p>
            <w:pPr>
              <w:jc w:val="right"/>
              <w:ind w:right="152"/>
              <w:spacing w:after="0" w:line="184" w:lineRule="exact"/>
              <w:rPr>
                <w:sz w:val="20"/>
                <w:szCs w:val="20"/>
                <w:color w:val="auto"/>
              </w:rPr>
            </w:pPr>
            <w:r>
              <w:rPr>
                <w:rFonts w:ascii="Times New Roman" w:cs="Times New Roman" w:eastAsia="Times New Roman" w:hAnsi="Times New Roman"/>
                <w:sz w:val="18"/>
                <w:szCs w:val="18"/>
                <w:color w:val="auto"/>
              </w:rPr>
              <w:t>59,563</w:t>
            </w:r>
          </w:p>
        </w:tc>
        <w:tc>
          <w:tcPr>
            <w:tcW w:w="15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54,658</w:t>
            </w:r>
          </w:p>
        </w:tc>
      </w:tr>
      <w:tr>
        <w:trPr>
          <w:trHeight w:val="184"/>
        </w:trPr>
        <w:tc>
          <w:tcPr>
            <w:tcW w:w="34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Income from operations</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4,125</w:t>
            </w:r>
          </w:p>
        </w:tc>
        <w:tc>
          <w:tcPr>
            <w:tcW w:w="1740" w:type="dxa"/>
            <w:vAlign w:val="bottom"/>
            <w:shd w:val="clear" w:color="auto" w:fill="CCEEFF"/>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7,734</w:t>
            </w:r>
          </w:p>
        </w:tc>
        <w:tc>
          <w:tcPr>
            <w:tcW w:w="1700" w:type="dxa"/>
            <w:vAlign w:val="bottom"/>
            <w:shd w:val="clear" w:color="auto" w:fill="CCEEFF"/>
          </w:tcPr>
          <w:p>
            <w:pPr>
              <w:jc w:val="right"/>
              <w:ind w:right="152"/>
              <w:spacing w:after="0" w:line="184" w:lineRule="exact"/>
              <w:rPr>
                <w:sz w:val="20"/>
                <w:szCs w:val="20"/>
                <w:color w:val="auto"/>
              </w:rPr>
            </w:pPr>
            <w:r>
              <w:rPr>
                <w:rFonts w:ascii="Times New Roman" w:cs="Times New Roman" w:eastAsia="Times New Roman" w:hAnsi="Times New Roman"/>
                <w:sz w:val="18"/>
                <w:szCs w:val="18"/>
                <w:color w:val="auto"/>
              </w:rPr>
              <w:t>2,829</w:t>
            </w:r>
          </w:p>
        </w:tc>
        <w:tc>
          <w:tcPr>
            <w:tcW w:w="15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1,470</w:t>
            </w:r>
          </w:p>
        </w:tc>
      </w:tr>
      <w:tr>
        <w:trPr>
          <w:trHeight w:val="184"/>
        </w:trPr>
        <w:tc>
          <w:tcPr>
            <w:tcW w:w="3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2,512</w:t>
            </w:r>
          </w:p>
        </w:tc>
        <w:tc>
          <w:tcPr>
            <w:tcW w:w="1740" w:type="dxa"/>
            <w:vAlign w:val="bottom"/>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5,079</w:t>
            </w:r>
          </w:p>
        </w:tc>
        <w:tc>
          <w:tcPr>
            <w:tcW w:w="1700" w:type="dxa"/>
            <w:vAlign w:val="bottom"/>
          </w:tcPr>
          <w:p>
            <w:pPr>
              <w:jc w:val="right"/>
              <w:ind w:right="152"/>
              <w:spacing w:after="0" w:line="184" w:lineRule="exact"/>
              <w:rPr>
                <w:sz w:val="20"/>
                <w:szCs w:val="20"/>
                <w:color w:val="auto"/>
              </w:rPr>
            </w:pPr>
            <w:r>
              <w:rPr>
                <w:rFonts w:ascii="Times New Roman" w:cs="Times New Roman" w:eastAsia="Times New Roman" w:hAnsi="Times New Roman"/>
                <w:sz w:val="18"/>
                <w:szCs w:val="18"/>
                <w:color w:val="auto"/>
              </w:rPr>
              <w:t>1,844</w:t>
            </w:r>
          </w:p>
        </w:tc>
        <w:tc>
          <w:tcPr>
            <w:tcW w:w="15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636</w:t>
            </w:r>
          </w:p>
        </w:tc>
      </w:tr>
      <w:tr>
        <w:trPr>
          <w:trHeight w:val="184"/>
        </w:trPr>
        <w:tc>
          <w:tcPr>
            <w:tcW w:w="34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Basic earnings per share</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32"/>
              <w:spacing w:after="0" w:line="184" w:lineRule="exact"/>
              <w:rPr>
                <w:sz w:val="20"/>
                <w:szCs w:val="20"/>
                <w:color w:val="auto"/>
              </w:rPr>
            </w:pPr>
            <w:r>
              <w:rPr>
                <w:rFonts w:ascii="Times New Roman" w:cs="Times New Roman" w:eastAsia="Times New Roman" w:hAnsi="Times New Roman"/>
                <w:sz w:val="18"/>
                <w:szCs w:val="18"/>
                <w:color w:val="auto"/>
              </w:rPr>
              <w:t>0.06</w:t>
            </w:r>
          </w:p>
        </w:tc>
        <w:tc>
          <w:tcPr>
            <w:tcW w:w="1740" w:type="dxa"/>
            <w:vAlign w:val="bottom"/>
            <w:shd w:val="clear" w:color="auto" w:fill="CCEEFF"/>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rPr>
              <w:t>0.12</w:t>
            </w:r>
          </w:p>
        </w:tc>
        <w:tc>
          <w:tcPr>
            <w:tcW w:w="1700" w:type="dxa"/>
            <w:vAlign w:val="bottom"/>
            <w:shd w:val="clear" w:color="auto" w:fill="CCEEFF"/>
          </w:tcPr>
          <w:p>
            <w:pPr>
              <w:jc w:val="right"/>
              <w:ind w:right="152"/>
              <w:spacing w:after="0" w:line="184" w:lineRule="exact"/>
              <w:rPr>
                <w:sz w:val="20"/>
                <w:szCs w:val="20"/>
                <w:color w:val="auto"/>
              </w:rPr>
            </w:pPr>
            <w:r>
              <w:rPr>
                <w:rFonts w:ascii="Times New Roman" w:cs="Times New Roman" w:eastAsia="Times New Roman" w:hAnsi="Times New Roman"/>
                <w:sz w:val="18"/>
                <w:szCs w:val="18"/>
                <w:color w:val="auto"/>
              </w:rPr>
              <w:t>0.04</w:t>
            </w:r>
          </w:p>
        </w:tc>
        <w:tc>
          <w:tcPr>
            <w:tcW w:w="15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0.01</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0.06</w:t>
            </w:r>
          </w:p>
        </w:tc>
        <w:tc>
          <w:tcPr>
            <w:tcW w:w="1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0.12</w:t>
            </w:r>
          </w:p>
        </w:tc>
        <w:tc>
          <w:tcPr>
            <w:tcW w:w="17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0.04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783"/>
        </w:trPr>
        <w:tc>
          <w:tcPr>
            <w:tcW w:w="3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59</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2"/>
        </w:trPr>
        <w:tc>
          <w:tcPr>
            <w:tcW w:w="3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4"/>
              </w:rPr>
              <w:t>Table of Contents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35"/>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40" w:type="dxa"/>
            <w:vAlign w:val="bottom"/>
            <w:gridSpan w:val="32"/>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7"/>
              </w:rPr>
              <w:t>TILE SHOP HOLDINGS, INC.</w:t>
            </w:r>
          </w:p>
        </w:tc>
      </w:tr>
      <w:tr>
        <w:trPr>
          <w:trHeight w:val="230"/>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60" w:type="dxa"/>
            <w:vAlign w:val="bottom"/>
            <w:gridSpan w:val="31"/>
          </w:tcPr>
          <w:p>
            <w:pPr>
              <w:jc w:val="center"/>
              <w:ind w:right="4820"/>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r>
      <w:tr>
        <w:trPr>
          <w:trHeight w:val="382"/>
        </w:trPr>
        <w:tc>
          <w:tcPr>
            <w:tcW w:w="12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20" w:type="dxa"/>
            <w:vAlign w:val="bottom"/>
            <w:gridSpan w:val="38"/>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58"/>
        </w:trPr>
        <w:tc>
          <w:tcPr>
            <w:tcW w:w="920" w:type="dxa"/>
            <w:vAlign w:val="bottom"/>
            <w:tcBorders>
              <w:right w:val="single" w:sz="8" w:color="CCEEFF"/>
            </w:tcBorders>
            <w:gridSpan w:val="5"/>
            <w:shd w:val="clear" w:color="auto" w:fill="CCEEFF"/>
          </w:tcPr>
          <w:p>
            <w:pPr>
              <w:jc w:val="center"/>
              <w:ind w:left="372"/>
              <w:spacing w:after="0" w:line="157" w:lineRule="exact"/>
              <w:rPr>
                <w:rFonts w:ascii="Times New Roman" w:cs="Times New Roman" w:eastAsia="Times New Roman" w:hAnsi="Times New Roman"/>
                <w:sz w:val="18"/>
                <w:szCs w:val="18"/>
                <w:color w:val="0000EE"/>
                <w:w w:val="97"/>
              </w:rPr>
            </w:pPr>
            <w:hyperlink r:id="rId83">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320" w:type="dxa"/>
            <w:vAlign w:val="bottom"/>
            <w:shd w:val="clear" w:color="auto" w:fill="CCEEFF"/>
          </w:tcPr>
          <w:p>
            <w:pPr>
              <w:spacing w:after="0"/>
              <w:rPr>
                <w:sz w:val="13"/>
                <w:szCs w:val="13"/>
                <w:color w:val="auto"/>
              </w:rPr>
            </w:pPr>
          </w:p>
        </w:tc>
        <w:tc>
          <w:tcPr>
            <w:tcW w:w="10020" w:type="dxa"/>
            <w:vAlign w:val="bottom"/>
            <w:gridSpan w:val="38"/>
            <w:shd w:val="clear" w:color="auto" w:fill="CCEEFF"/>
          </w:tcPr>
          <w:p>
            <w:pPr>
              <w:ind w:left="140"/>
              <w:spacing w:after="0" w:line="157"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Certificate of Incorporation of Tile Shop Holdings, Inc. – incorporated by reference to Exhibit 3.1 to the Company’s Form S-4 (Reg. No.</w:t>
              </w:r>
            </w:hyperlink>
          </w:p>
        </w:tc>
      </w:tr>
      <w:tr>
        <w:trPr>
          <w:trHeight w:val="164"/>
        </w:trPr>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620" w:type="dxa"/>
            <w:vAlign w:val="bottom"/>
            <w:tcBorders>
              <w:top w:val="single" w:sz="8" w:color="0000EE"/>
            </w:tcBorders>
            <w:gridSpan w:val="26"/>
            <w:shd w:val="clear" w:color="auto" w:fill="CCEEFF"/>
          </w:tcPr>
          <w:p>
            <w:pPr>
              <w:spacing w:after="0" w:line="164"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333-182482) dated July 2, 2012.</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6"/>
        </w:trPr>
        <w:tc>
          <w:tcPr>
            <w:tcW w:w="4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tcBorders>
              <w:right w:val="single" w:sz="8" w:color="CCEEFF"/>
            </w:tcBorders>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8"/>
        </w:trPr>
        <w:tc>
          <w:tcPr>
            <w:tcW w:w="920" w:type="dxa"/>
            <w:vAlign w:val="bottom"/>
            <w:gridSpan w:val="5"/>
          </w:tcPr>
          <w:p>
            <w:pPr>
              <w:jc w:val="center"/>
              <w:ind w:left="372"/>
              <w:spacing w:after="0" w:line="157" w:lineRule="exact"/>
              <w:rPr>
                <w:rFonts w:ascii="Times New Roman" w:cs="Times New Roman" w:eastAsia="Times New Roman" w:hAnsi="Times New Roman"/>
                <w:sz w:val="18"/>
                <w:szCs w:val="18"/>
                <w:color w:val="0000FF"/>
                <w:w w:val="97"/>
              </w:rPr>
            </w:pPr>
            <w:hyperlink r:id="rId8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80" w:type="dxa"/>
            <w:vAlign w:val="bottom"/>
            <w:gridSpan w:val="37"/>
          </w:tcPr>
          <w:p>
            <w:pPr>
              <w:spacing w:after="0" w:line="157"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Certificate of Amendment to the Certificate of Incorporation of Tile Shop Holdings, Inc. – incorporated by reference to Exhibit 3.2 to the</w:t>
              </w:r>
            </w:hyperlink>
          </w:p>
        </w:tc>
      </w:tr>
      <w:tr>
        <w:trPr>
          <w:trHeight w:val="164"/>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60" w:type="dxa"/>
            <w:vAlign w:val="bottom"/>
            <w:tcBorders>
              <w:top w:val="single" w:sz="8" w:color="0000FF"/>
            </w:tcBorders>
            <w:gridSpan w:val="28"/>
          </w:tcPr>
          <w:p>
            <w:pPr>
              <w:spacing w:after="0" w:line="164"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Company’s Current Report on Form 8-K filed July 21,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
        </w:trPr>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920" w:type="dxa"/>
            <w:vAlign w:val="bottom"/>
            <w:tcBorders>
              <w:right w:val="single" w:sz="8" w:color="CCEEFF"/>
            </w:tcBorders>
            <w:gridSpan w:val="5"/>
            <w:shd w:val="clear" w:color="auto" w:fill="CCEEFF"/>
          </w:tcPr>
          <w:p>
            <w:pPr>
              <w:jc w:val="center"/>
              <w:ind w:left="372"/>
              <w:spacing w:after="0" w:line="157" w:lineRule="exact"/>
              <w:rPr>
                <w:rFonts w:ascii="Times New Roman" w:cs="Times New Roman" w:eastAsia="Times New Roman" w:hAnsi="Times New Roman"/>
                <w:sz w:val="18"/>
                <w:szCs w:val="18"/>
                <w:color w:val="0000EE"/>
                <w:w w:val="97"/>
              </w:rPr>
            </w:pPr>
            <w:hyperlink r:id="rId85">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80" w:type="dxa"/>
            <w:vAlign w:val="bottom"/>
            <w:gridSpan w:val="37"/>
            <w:shd w:val="clear" w:color="auto" w:fill="CCEEFF"/>
          </w:tcPr>
          <w:p>
            <w:pPr>
              <w:spacing w:after="0" w:line="157"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Bylaws of Tile Shop Holdings, Inc. – incorporated by reference to Exhibit 3.2 to the Company’s Form S-4 (Reg. No. 333-182482) dated</w:t>
              </w:r>
            </w:hyperlink>
          </w:p>
        </w:tc>
      </w:tr>
      <w:tr>
        <w:trPr>
          <w:trHeight w:val="170"/>
        </w:trPr>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0000EE"/>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0000EE"/>
              <w:bottom w:val="single" w:sz="8" w:color="0000EE"/>
            </w:tcBorders>
            <w:shd w:val="clear" w:color="auto" w:fill="CCEEFF"/>
          </w:tcPr>
          <w:p>
            <w:pPr>
              <w:spacing w:after="0" w:line="164" w:lineRule="exact"/>
              <w:rPr>
                <w:rFonts w:ascii="Times New Roman" w:cs="Times New Roman" w:eastAsia="Times New Roman" w:hAnsi="Times New Roman"/>
                <w:sz w:val="18"/>
                <w:szCs w:val="18"/>
                <w:color w:val="0000EE"/>
                <w:w w:val="96"/>
              </w:rPr>
            </w:pPr>
            <w:hyperlink r:id="rId85">
              <w:r>
                <w:rPr>
                  <w:rFonts w:ascii="Times New Roman" w:cs="Times New Roman" w:eastAsia="Times New Roman" w:hAnsi="Times New Roman"/>
                  <w:sz w:val="18"/>
                  <w:szCs w:val="18"/>
                  <w:color w:val="0000EE"/>
                  <w:w w:val="96"/>
                </w:rPr>
                <w:t>July 2, 2012.</w:t>
              </w:r>
            </w:hyperlink>
          </w:p>
        </w:tc>
        <w:tc>
          <w:tcPr>
            <w:tcW w:w="8680" w:type="dxa"/>
            <w:vAlign w:val="bottom"/>
            <w:tcBorders>
              <w:top w:val="single" w:sz="8" w:color="0000EE"/>
              <w:bottom w:val="single" w:sz="8" w:color="CCEEFF"/>
            </w:tcBorders>
            <w:gridSpan w:val="24"/>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58"/>
        </w:trPr>
        <w:tc>
          <w:tcPr>
            <w:tcW w:w="920" w:type="dxa"/>
            <w:vAlign w:val="bottom"/>
            <w:gridSpan w:val="5"/>
          </w:tcPr>
          <w:p>
            <w:pPr>
              <w:jc w:val="center"/>
              <w:ind w:left="372"/>
              <w:spacing w:after="0" w:line="157" w:lineRule="exact"/>
              <w:rPr>
                <w:rFonts w:ascii="Times New Roman" w:cs="Times New Roman" w:eastAsia="Times New Roman" w:hAnsi="Times New Roman"/>
                <w:sz w:val="18"/>
                <w:szCs w:val="18"/>
                <w:color w:val="0000EE"/>
                <w:w w:val="97"/>
              </w:rPr>
            </w:pPr>
            <w:hyperlink r:id="rId8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320" w:type="dxa"/>
            <w:vAlign w:val="bottom"/>
          </w:tcPr>
          <w:p>
            <w:pPr>
              <w:spacing w:after="0"/>
              <w:rPr>
                <w:sz w:val="13"/>
                <w:szCs w:val="13"/>
                <w:color w:val="auto"/>
              </w:rPr>
            </w:pPr>
          </w:p>
        </w:tc>
        <w:tc>
          <w:tcPr>
            <w:tcW w:w="10020" w:type="dxa"/>
            <w:vAlign w:val="bottom"/>
            <w:gridSpan w:val="38"/>
          </w:tcPr>
          <w:p>
            <w:pPr>
              <w:ind w:left="140"/>
              <w:spacing w:after="0" w:line="157" w:lineRule="exact"/>
              <w:rPr>
                <w:rFonts w:ascii="Times New Roman" w:cs="Times New Roman" w:eastAsia="Times New Roman" w:hAnsi="Times New Roman"/>
                <w:sz w:val="18"/>
                <w:szCs w:val="18"/>
                <w:color w:val="0000EE"/>
                <w:w w:val="97"/>
              </w:rPr>
            </w:pPr>
            <w:hyperlink r:id="rId86">
              <w:r>
                <w:rPr>
                  <w:rFonts w:ascii="Times New Roman" w:cs="Times New Roman" w:eastAsia="Times New Roman" w:hAnsi="Times New Roman"/>
                  <w:sz w:val="18"/>
                  <w:szCs w:val="18"/>
                  <w:color w:val="0000EE"/>
                  <w:w w:val="97"/>
                </w:rPr>
                <w:t>Specimen Common Stock Certificate – incorporated by reference to Exhibit 4.1 of Amendment No. 1 to the Company’s Form S-4 (Reg. No.</w:t>
              </w:r>
            </w:hyperlink>
          </w:p>
        </w:tc>
      </w:tr>
      <w:tr>
        <w:trPr>
          <w:trHeight w:val="164"/>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60" w:type="dxa"/>
            <w:vAlign w:val="bottom"/>
            <w:tcBorders>
              <w:top w:val="single" w:sz="8" w:color="0000EE"/>
            </w:tcBorders>
            <w:gridSpan w:val="36"/>
          </w:tcPr>
          <w:p>
            <w:pPr>
              <w:spacing w:after="0" w:line="164"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333-182482) dated July 23, 2012.</w:t>
              </w:r>
            </w:hyperlink>
          </w:p>
        </w:tc>
        <w:tc>
          <w:tcPr>
            <w:tcW w:w="20" w:type="dxa"/>
            <w:vAlign w:val="bottom"/>
          </w:tcPr>
          <w:p>
            <w:pPr>
              <w:spacing w:after="0"/>
              <w:rPr>
                <w:sz w:val="14"/>
                <w:szCs w:val="14"/>
                <w:color w:val="auto"/>
              </w:rPr>
            </w:pPr>
          </w:p>
        </w:tc>
      </w:tr>
      <w:tr>
        <w:trPr>
          <w:trHeight w:val="26"/>
        </w:trPr>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920" w:type="dxa"/>
            <w:vAlign w:val="bottom"/>
            <w:tcBorders>
              <w:right w:val="single" w:sz="8" w:color="CCEEFF"/>
            </w:tcBorders>
            <w:gridSpan w:val="5"/>
            <w:shd w:val="clear" w:color="auto" w:fill="CCEEFF"/>
          </w:tcPr>
          <w:p>
            <w:pPr>
              <w:jc w:val="center"/>
              <w:ind w:left="372"/>
              <w:spacing w:after="0" w:line="157" w:lineRule="exact"/>
              <w:rPr>
                <w:rFonts w:ascii="Times New Roman" w:cs="Times New Roman" w:eastAsia="Times New Roman" w:hAnsi="Times New Roman"/>
                <w:sz w:val="18"/>
                <w:szCs w:val="18"/>
                <w:color w:val="0000EE"/>
                <w:w w:val="97"/>
              </w:rPr>
            </w:pPr>
            <w:hyperlink r:id="rId8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80" w:type="dxa"/>
            <w:vAlign w:val="bottom"/>
            <w:gridSpan w:val="37"/>
            <w:shd w:val="clear" w:color="auto" w:fill="CCEEFF"/>
          </w:tcPr>
          <w:p>
            <w:pPr>
              <w:spacing w:after="0" w:line="157" w:lineRule="exact"/>
              <w:rPr>
                <w:rFonts w:ascii="Times New Roman" w:cs="Times New Roman" w:eastAsia="Times New Roman" w:hAnsi="Times New Roman"/>
                <w:sz w:val="18"/>
                <w:szCs w:val="18"/>
                <w:color w:val="0000FF"/>
                <w:w w:val="98"/>
              </w:rPr>
            </w:pPr>
            <w:hyperlink r:id="rId87">
              <w:r>
                <w:rPr>
                  <w:rFonts w:ascii="Times New Roman" w:cs="Times New Roman" w:eastAsia="Times New Roman" w:hAnsi="Times New Roman"/>
                  <w:sz w:val="18"/>
                  <w:szCs w:val="18"/>
                  <w:color w:val="0000FF"/>
                  <w:w w:val="98"/>
                </w:rPr>
                <w:t>Description of Tile Shop Holdings, Inc.’s Registered Securities – incorporated by reference to Exhibit 4.2 of the Company’s Annual Report</w:t>
              </w:r>
            </w:hyperlink>
          </w:p>
        </w:tc>
      </w:tr>
      <w:tr>
        <w:trPr>
          <w:trHeight w:val="164"/>
        </w:trPr>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820" w:type="dxa"/>
            <w:vAlign w:val="bottom"/>
            <w:tcBorders>
              <w:top w:val="single" w:sz="8" w:color="0000FF"/>
            </w:tcBorders>
            <w:gridSpan w:val="34"/>
            <w:shd w:val="clear" w:color="auto" w:fill="CCEEFF"/>
          </w:tcPr>
          <w:p>
            <w:pPr>
              <w:spacing w:after="0" w:line="164"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on Form 10-K for the year ended December 31, 2022.</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6"/>
        </w:trPr>
        <w:tc>
          <w:tcPr>
            <w:tcW w:w="4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8"/>
        </w:trPr>
        <w:tc>
          <w:tcPr>
            <w:tcW w:w="920" w:type="dxa"/>
            <w:vAlign w:val="bottom"/>
            <w:gridSpan w:val="5"/>
          </w:tcPr>
          <w:p>
            <w:pPr>
              <w:jc w:val="center"/>
              <w:ind w:left="372"/>
              <w:spacing w:after="0" w:line="157" w:lineRule="exact"/>
              <w:rPr>
                <w:rFonts w:ascii="Times New Roman" w:cs="Times New Roman" w:eastAsia="Times New Roman" w:hAnsi="Times New Roman"/>
                <w:sz w:val="18"/>
                <w:szCs w:val="18"/>
                <w:color w:val="0000EE"/>
                <w:w w:val="93"/>
              </w:rPr>
            </w:pPr>
            <w:hyperlink r:id="rId88">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w:t>
              </w:r>
            </w:hyperlink>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80" w:type="dxa"/>
            <w:vAlign w:val="bottom"/>
            <w:gridSpan w:val="37"/>
          </w:tcPr>
          <w:p>
            <w:pPr>
              <w:spacing w:after="0" w:line="157"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Tile Shop Holdings, Inc. 2012 Omnibus Award Plan (f/k/a 2012 Equity Award Plan) – incorporated by reference to Exhibit 10.1 to the</w:t>
              </w:r>
            </w:hyperlink>
          </w:p>
        </w:tc>
      </w:tr>
      <w:tr>
        <w:trPr>
          <w:trHeight w:val="164"/>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60" w:type="dxa"/>
            <w:vAlign w:val="bottom"/>
            <w:tcBorders>
              <w:top w:val="single" w:sz="8" w:color="0000EE"/>
            </w:tcBorders>
            <w:gridSpan w:val="21"/>
          </w:tcPr>
          <w:p>
            <w:pPr>
              <w:spacing w:after="0" w:line="164"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Company’s Current Report on Form 8-K filed July 26, 2013.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
        </w:trPr>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920" w:type="dxa"/>
            <w:vAlign w:val="bottom"/>
            <w:tcBorders>
              <w:right w:val="single" w:sz="8" w:color="CCEEFF"/>
            </w:tcBorders>
            <w:gridSpan w:val="5"/>
            <w:shd w:val="clear" w:color="auto" w:fill="CCEEFF"/>
          </w:tcPr>
          <w:p>
            <w:pPr>
              <w:jc w:val="center"/>
              <w:ind w:left="372"/>
              <w:spacing w:after="0" w:line="157" w:lineRule="exact"/>
              <w:rPr>
                <w:rFonts w:ascii="Times New Roman" w:cs="Times New Roman" w:eastAsia="Times New Roman" w:hAnsi="Times New Roman"/>
                <w:sz w:val="18"/>
                <w:szCs w:val="18"/>
                <w:color w:val="0000EE"/>
                <w:w w:val="93"/>
              </w:rPr>
            </w:pPr>
            <w:hyperlink r:id="rId89">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w:t>
              </w:r>
            </w:hyperlink>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80" w:type="dxa"/>
            <w:vAlign w:val="bottom"/>
            <w:gridSpan w:val="37"/>
            <w:shd w:val="clear" w:color="auto" w:fill="CCEEFF"/>
          </w:tcPr>
          <w:p>
            <w:pPr>
              <w:spacing w:after="0" w:line="157"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Amended and Restated Amendment No. 1 to the Tile Shop Holdings, Inc. 2012 Omnibus Award Plan (f/k/a 2012 Equity Award Plan) –</w:t>
              </w:r>
            </w:hyperlink>
          </w:p>
        </w:tc>
      </w:tr>
      <w:tr>
        <w:trPr>
          <w:trHeight w:val="170"/>
        </w:trPr>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0000EE"/>
              <w:bottom w:val="single" w:sz="8" w:color="CCEEFF"/>
            </w:tcBorders>
            <w:shd w:val="clear" w:color="auto" w:fill="CCEEFF"/>
          </w:tcPr>
          <w:p>
            <w:pPr>
              <w:spacing w:after="0"/>
              <w:rPr>
                <w:sz w:val="14"/>
                <w:szCs w:val="14"/>
                <w:color w:val="auto"/>
              </w:rPr>
            </w:pPr>
          </w:p>
        </w:tc>
        <w:tc>
          <w:tcPr>
            <w:tcW w:w="220" w:type="dxa"/>
            <w:vAlign w:val="bottom"/>
            <w:tcBorders>
              <w:top w:val="single" w:sz="8" w:color="0000EE"/>
              <w:bottom w:val="single" w:sz="8" w:color="CCEEFF"/>
            </w:tcBorders>
            <w:shd w:val="clear" w:color="auto" w:fill="CCEEFF"/>
          </w:tcPr>
          <w:p>
            <w:pPr>
              <w:spacing w:after="0"/>
              <w:rPr>
                <w:sz w:val="14"/>
                <w:szCs w:val="14"/>
                <w:color w:val="auto"/>
              </w:rPr>
            </w:pPr>
          </w:p>
        </w:tc>
        <w:tc>
          <w:tcPr>
            <w:tcW w:w="120" w:type="dxa"/>
            <w:vAlign w:val="bottom"/>
            <w:tcBorders>
              <w:top w:val="single" w:sz="8" w:color="0000EE"/>
              <w:bottom w:val="single" w:sz="8" w:color="CCEEFF"/>
              <w:right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7640" w:type="dxa"/>
            <w:vAlign w:val="bottom"/>
            <w:tcBorders>
              <w:top w:val="single" w:sz="8" w:color="0000FF"/>
              <w:bottom w:val="single" w:sz="8" w:color="0000FF"/>
            </w:tcBorders>
            <w:gridSpan w:val="14"/>
            <w:shd w:val="clear" w:color="auto" w:fill="CCEEFF"/>
          </w:tcPr>
          <w:p>
            <w:pPr>
              <w:spacing w:after="0" w:line="164" w:lineRule="exact"/>
              <w:rPr>
                <w:rFonts w:ascii="Times New Roman" w:cs="Times New Roman" w:eastAsia="Times New Roman" w:hAnsi="Times New Roman"/>
                <w:sz w:val="18"/>
                <w:szCs w:val="18"/>
                <w:color w:val="0000FF"/>
                <w:w w:val="97"/>
              </w:rPr>
            </w:pPr>
            <w:hyperlink r:id="rId89">
              <w:r>
                <w:rPr>
                  <w:rFonts w:ascii="Times New Roman" w:cs="Times New Roman" w:eastAsia="Times New Roman" w:hAnsi="Times New Roman"/>
                  <w:sz w:val="18"/>
                  <w:szCs w:val="18"/>
                  <w:color w:val="0000FF"/>
                  <w:w w:val="97"/>
                </w:rPr>
                <w:t>incorporated by reference to Exhibit 10.2 to the Company’s Current Report on Form 8-K filed July 26, 2013.</w:t>
              </w:r>
            </w:hyperlink>
          </w:p>
        </w:tc>
        <w:tc>
          <w:tcPr>
            <w:tcW w:w="190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58"/>
        </w:trPr>
        <w:tc>
          <w:tcPr>
            <w:tcW w:w="920" w:type="dxa"/>
            <w:vAlign w:val="bottom"/>
            <w:gridSpan w:val="5"/>
          </w:tcPr>
          <w:p>
            <w:pPr>
              <w:jc w:val="center"/>
              <w:ind w:left="372"/>
              <w:spacing w:after="0" w:line="157" w:lineRule="exact"/>
              <w:rPr>
                <w:rFonts w:ascii="Times New Roman" w:cs="Times New Roman" w:eastAsia="Times New Roman" w:hAnsi="Times New Roman"/>
                <w:sz w:val="18"/>
                <w:szCs w:val="18"/>
                <w:color w:val="0000FF"/>
                <w:w w:val="93"/>
              </w:rPr>
            </w:pPr>
            <w:hyperlink r:id="rId90">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3*</w:t>
              </w:r>
            </w:hyperlink>
          </w:p>
        </w:tc>
        <w:tc>
          <w:tcPr>
            <w:tcW w:w="320" w:type="dxa"/>
            <w:vAlign w:val="bottom"/>
          </w:tcPr>
          <w:p>
            <w:pPr>
              <w:spacing w:after="0"/>
              <w:rPr>
                <w:sz w:val="13"/>
                <w:szCs w:val="13"/>
                <w:color w:val="auto"/>
              </w:rPr>
            </w:pPr>
          </w:p>
        </w:tc>
        <w:tc>
          <w:tcPr>
            <w:tcW w:w="10020" w:type="dxa"/>
            <w:vAlign w:val="bottom"/>
            <w:gridSpan w:val="38"/>
          </w:tcPr>
          <w:p>
            <w:pPr>
              <w:ind w:left="140"/>
              <w:spacing w:after="0" w:line="157" w:lineRule="exact"/>
              <w:rPr>
                <w:rFonts w:ascii="Times New Roman" w:cs="Times New Roman" w:eastAsia="Times New Roman" w:hAnsi="Times New Roman"/>
                <w:sz w:val="18"/>
                <w:szCs w:val="18"/>
                <w:color w:val="0000FF"/>
                <w:w w:val="97"/>
              </w:rPr>
            </w:pPr>
            <w:hyperlink r:id="rId90">
              <w:r>
                <w:rPr>
                  <w:rFonts w:ascii="Times New Roman" w:cs="Times New Roman" w:eastAsia="Times New Roman" w:hAnsi="Times New Roman"/>
                  <w:sz w:val="18"/>
                  <w:szCs w:val="18"/>
                  <w:color w:val="0000FF"/>
                  <w:w w:val="97"/>
                </w:rPr>
                <w:t>Form of Indemnification Agreement by and between Tile Shop Holdings, Inc. and each of its directors and executive officers – incorporated</w:t>
              </w:r>
            </w:hyperlink>
          </w:p>
        </w:tc>
      </w:tr>
      <w:tr>
        <w:trPr>
          <w:trHeight w:val="170"/>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tcBorders>
              <w:top w:val="single" w:sz="8" w:color="0000FF"/>
              <w:bottom w:val="single" w:sz="8" w:color="0000FF"/>
            </w:tcBorders>
            <w:gridSpan w:val="16"/>
          </w:tcPr>
          <w:p>
            <w:pPr>
              <w:spacing w:after="0" w:line="164" w:lineRule="exact"/>
              <w:rPr>
                <w:rFonts w:ascii="Times New Roman" w:cs="Times New Roman" w:eastAsia="Times New Roman" w:hAnsi="Times New Roman"/>
                <w:sz w:val="18"/>
                <w:szCs w:val="18"/>
                <w:color w:val="0000FF"/>
                <w:w w:val="97"/>
              </w:rPr>
            </w:pPr>
            <w:hyperlink r:id="rId90">
              <w:r>
                <w:rPr>
                  <w:rFonts w:ascii="Times New Roman" w:cs="Times New Roman" w:eastAsia="Times New Roman" w:hAnsi="Times New Roman"/>
                  <w:sz w:val="18"/>
                  <w:szCs w:val="18"/>
                  <w:color w:val="0000FF"/>
                  <w:w w:val="97"/>
                </w:rPr>
                <w:t>by reference to Exhibit 10.13 of Amendment No. 1 to the Company’s Form S-4 (Reg. No. 333-182482) dated July 23, 2012.</w:t>
              </w:r>
            </w:hyperlink>
          </w:p>
        </w:tc>
        <w:tc>
          <w:tcPr>
            <w:tcW w:w="114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920" w:type="dxa"/>
            <w:vAlign w:val="bottom"/>
            <w:tcBorders>
              <w:right w:val="single" w:sz="8" w:color="CCEEFF"/>
            </w:tcBorders>
            <w:gridSpan w:val="5"/>
            <w:shd w:val="clear" w:color="auto" w:fill="CCEEFF"/>
          </w:tcPr>
          <w:p>
            <w:pPr>
              <w:jc w:val="center"/>
              <w:ind w:left="372"/>
              <w:spacing w:after="0" w:line="157" w:lineRule="exact"/>
              <w:rPr>
                <w:rFonts w:ascii="Times New Roman" w:cs="Times New Roman" w:eastAsia="Times New Roman" w:hAnsi="Times New Roman"/>
                <w:sz w:val="18"/>
                <w:szCs w:val="18"/>
                <w:color w:val="0000EE"/>
                <w:w w:val="93"/>
              </w:rPr>
            </w:pPr>
            <w:hyperlink r:id="rId91">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4*</w:t>
              </w:r>
            </w:hyperlink>
          </w:p>
        </w:tc>
        <w:tc>
          <w:tcPr>
            <w:tcW w:w="320" w:type="dxa"/>
            <w:vAlign w:val="bottom"/>
            <w:shd w:val="clear" w:color="auto" w:fill="CCEEFF"/>
          </w:tcPr>
          <w:p>
            <w:pPr>
              <w:spacing w:after="0"/>
              <w:rPr>
                <w:sz w:val="13"/>
                <w:szCs w:val="13"/>
                <w:color w:val="auto"/>
              </w:rPr>
            </w:pPr>
          </w:p>
        </w:tc>
        <w:tc>
          <w:tcPr>
            <w:tcW w:w="10020" w:type="dxa"/>
            <w:vAlign w:val="bottom"/>
            <w:gridSpan w:val="38"/>
            <w:shd w:val="clear" w:color="auto" w:fill="CCEEFF"/>
          </w:tcPr>
          <w:p>
            <w:pPr>
              <w:ind w:left="140"/>
              <w:spacing w:after="0" w:line="157"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Tile Shop Holdings, Inc. Form of Incentive Stock Option Agreement (2012 Plan) – incorporated by reference to Exhibit 10.3 to the</w:t>
              </w:r>
            </w:hyperlink>
          </w:p>
        </w:tc>
      </w:tr>
      <w:tr>
        <w:trPr>
          <w:trHeight w:val="164"/>
        </w:trPr>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20" w:type="dxa"/>
            <w:vAlign w:val="bottom"/>
            <w:tcBorders>
              <w:top w:val="single" w:sz="8" w:color="0000EE"/>
              <w:right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240" w:type="dxa"/>
            <w:vAlign w:val="bottom"/>
            <w:tcBorders>
              <w:top w:val="single" w:sz="8" w:color="0000EE"/>
            </w:tcBorders>
            <w:gridSpan w:val="19"/>
            <w:shd w:val="clear" w:color="auto" w:fill="CCEEFF"/>
          </w:tcPr>
          <w:p>
            <w:pPr>
              <w:spacing w:after="0" w:line="164"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Company’s Current Report on Form 8-K filed July 26, 2013.</w:t>
              </w:r>
            </w:hyperlink>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6"/>
        </w:trPr>
        <w:tc>
          <w:tcPr>
            <w:tcW w:w="4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8"/>
        </w:trPr>
        <w:tc>
          <w:tcPr>
            <w:tcW w:w="920" w:type="dxa"/>
            <w:vAlign w:val="bottom"/>
            <w:gridSpan w:val="5"/>
          </w:tcPr>
          <w:p>
            <w:pPr>
              <w:jc w:val="center"/>
              <w:ind w:left="372"/>
              <w:spacing w:after="0" w:line="157" w:lineRule="exact"/>
              <w:rPr>
                <w:rFonts w:ascii="Times New Roman" w:cs="Times New Roman" w:eastAsia="Times New Roman" w:hAnsi="Times New Roman"/>
                <w:sz w:val="18"/>
                <w:szCs w:val="18"/>
                <w:color w:val="0000EE"/>
                <w:w w:val="93"/>
              </w:rPr>
            </w:pPr>
            <w:hyperlink r:id="rId92">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5*</w:t>
              </w:r>
            </w:hyperlink>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80" w:type="dxa"/>
            <w:vAlign w:val="bottom"/>
            <w:gridSpan w:val="37"/>
          </w:tcPr>
          <w:p>
            <w:pPr>
              <w:spacing w:after="0" w:line="157"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Tile Shop Holdings, Inc. Form of Nonstatutory Stock Option Agreement (2012 Plan) – incorporated by reference to Exhibit 10.4 to the</w:t>
              </w:r>
            </w:hyperlink>
          </w:p>
        </w:tc>
      </w:tr>
      <w:tr>
        <w:trPr>
          <w:trHeight w:val="164"/>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500" w:type="dxa"/>
            <w:vAlign w:val="bottom"/>
            <w:tcBorders>
              <w:top w:val="single" w:sz="8" w:color="0000EE"/>
            </w:tcBorders>
            <w:gridSpan w:val="23"/>
          </w:tcPr>
          <w:p>
            <w:pPr>
              <w:spacing w:after="0" w:line="164"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Company’s Current Report on Form 8-K filed July 26, 2013.</w:t>
              </w:r>
            </w:hyperlink>
          </w:p>
        </w:tc>
        <w:tc>
          <w:tcPr>
            <w:tcW w:w="1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
        </w:trPr>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920" w:type="dxa"/>
            <w:vAlign w:val="bottom"/>
            <w:tcBorders>
              <w:right w:val="single" w:sz="8" w:color="CCEEFF"/>
            </w:tcBorders>
            <w:gridSpan w:val="5"/>
            <w:shd w:val="clear" w:color="auto" w:fill="CCEEFF"/>
          </w:tcPr>
          <w:p>
            <w:pPr>
              <w:jc w:val="center"/>
              <w:ind w:left="372"/>
              <w:spacing w:after="0" w:line="157" w:lineRule="exact"/>
              <w:rPr>
                <w:rFonts w:ascii="Times New Roman" w:cs="Times New Roman" w:eastAsia="Times New Roman" w:hAnsi="Times New Roman"/>
                <w:sz w:val="18"/>
                <w:szCs w:val="18"/>
                <w:color w:val="0000EE"/>
                <w:w w:val="93"/>
              </w:rPr>
            </w:pPr>
            <w:hyperlink r:id="rId93">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6*</w:t>
              </w:r>
            </w:hyperlink>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80" w:type="dxa"/>
            <w:vAlign w:val="bottom"/>
            <w:gridSpan w:val="37"/>
            <w:shd w:val="clear" w:color="auto" w:fill="CCEEFF"/>
          </w:tcPr>
          <w:p>
            <w:pPr>
              <w:spacing w:after="0" w:line="157"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Tile Shop Holdings, Inc. Form of Stock Restriction Agreement (2012 Plan) – incorporated by reference to Exhibit 10.5 to the Company’s</w:t>
              </w:r>
            </w:hyperlink>
          </w:p>
        </w:tc>
      </w:tr>
      <w:tr>
        <w:trPr>
          <w:trHeight w:val="164"/>
        </w:trPr>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20" w:type="dxa"/>
            <w:vAlign w:val="bottom"/>
            <w:tcBorders>
              <w:top w:val="single" w:sz="8" w:color="0000EE"/>
            </w:tcBorders>
            <w:shd w:val="clear" w:color="auto" w:fill="CCEEFF"/>
          </w:tcPr>
          <w:p>
            <w:pPr>
              <w:spacing w:after="0"/>
              <w:rPr>
                <w:sz w:val="14"/>
                <w:szCs w:val="14"/>
                <w:color w:val="auto"/>
              </w:rPr>
            </w:pPr>
          </w:p>
        </w:tc>
        <w:tc>
          <w:tcPr>
            <w:tcW w:w="120" w:type="dxa"/>
            <w:vAlign w:val="bottom"/>
            <w:tcBorders>
              <w:top w:val="single" w:sz="8" w:color="0000EE"/>
              <w:right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680" w:type="dxa"/>
            <w:vAlign w:val="bottom"/>
            <w:tcBorders>
              <w:top w:val="single" w:sz="8" w:color="0000EE"/>
            </w:tcBorders>
            <w:gridSpan w:val="29"/>
            <w:shd w:val="clear" w:color="auto" w:fill="CCEEFF"/>
          </w:tcPr>
          <w:p>
            <w:pPr>
              <w:spacing w:after="0" w:line="164"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Current Report on Form 8-K filed July 26, 2013.</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6"/>
        </w:trPr>
        <w:tc>
          <w:tcPr>
            <w:tcW w:w="4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8"/>
        </w:trPr>
        <w:tc>
          <w:tcPr>
            <w:tcW w:w="920" w:type="dxa"/>
            <w:vAlign w:val="bottom"/>
            <w:gridSpan w:val="5"/>
          </w:tcPr>
          <w:p>
            <w:pPr>
              <w:jc w:val="center"/>
              <w:ind w:left="372"/>
              <w:spacing w:after="0" w:line="157" w:lineRule="exact"/>
              <w:rPr>
                <w:rFonts w:ascii="Times New Roman" w:cs="Times New Roman" w:eastAsia="Times New Roman" w:hAnsi="Times New Roman"/>
                <w:sz w:val="18"/>
                <w:szCs w:val="18"/>
                <w:color w:val="0000EE"/>
                <w:w w:val="93"/>
              </w:rPr>
            </w:pPr>
            <w:hyperlink r:id="rId94">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7*</w:t>
              </w:r>
            </w:hyperlink>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80" w:type="dxa"/>
            <w:vAlign w:val="bottom"/>
            <w:gridSpan w:val="37"/>
          </w:tcPr>
          <w:p>
            <w:pPr>
              <w:spacing w:after="0" w:line="157"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Tile Shop Holdings, Inc. Form of Stock Restriction Agreement (2012 Plan) – incorporated by reference to Exhibit 10.2 to the Company’s</w:t>
              </w:r>
            </w:hyperlink>
          </w:p>
        </w:tc>
      </w:tr>
      <w:tr>
        <w:trPr>
          <w:trHeight w:val="164"/>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80" w:type="dxa"/>
            <w:vAlign w:val="bottom"/>
            <w:tcBorders>
              <w:top w:val="single" w:sz="8" w:color="0000EE"/>
            </w:tcBorders>
            <w:gridSpan w:val="29"/>
          </w:tcPr>
          <w:p>
            <w:pPr>
              <w:spacing w:after="0" w:line="164"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Quarterly Report on Form 10-Q for the quarter ended September 30,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
        </w:trPr>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920" w:type="dxa"/>
            <w:vAlign w:val="bottom"/>
            <w:tcBorders>
              <w:right w:val="single" w:sz="8" w:color="CCEEFF"/>
            </w:tcBorders>
            <w:gridSpan w:val="5"/>
            <w:shd w:val="clear" w:color="auto" w:fill="CCEEFF"/>
          </w:tcPr>
          <w:p>
            <w:pPr>
              <w:jc w:val="center"/>
              <w:ind w:left="372"/>
              <w:spacing w:after="0" w:line="157" w:lineRule="exact"/>
              <w:rPr>
                <w:rFonts w:ascii="Times New Roman" w:cs="Times New Roman" w:eastAsia="Times New Roman" w:hAnsi="Times New Roman"/>
                <w:sz w:val="18"/>
                <w:szCs w:val="18"/>
                <w:color w:val="0000EE"/>
                <w:w w:val="93"/>
              </w:rPr>
            </w:pPr>
            <w:hyperlink r:id="rId95">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8*</w:t>
              </w:r>
            </w:hyperlink>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80" w:type="dxa"/>
            <w:vAlign w:val="bottom"/>
            <w:gridSpan w:val="37"/>
            <w:shd w:val="clear" w:color="auto" w:fill="CCEEFF"/>
          </w:tcPr>
          <w:p>
            <w:pPr>
              <w:spacing w:after="0" w:line="157"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Employment Agreement, dated February 19, 2018, between Tile Shop Holdings, Inc. and Cabell Lolmaugh – incorporated by reference to</w:t>
              </w:r>
            </w:hyperlink>
          </w:p>
        </w:tc>
      </w:tr>
      <w:tr>
        <w:trPr>
          <w:trHeight w:val="170"/>
        </w:trPr>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0000EE"/>
              <w:bottom w:val="single" w:sz="8" w:color="CCEEFF"/>
            </w:tcBorders>
            <w:shd w:val="clear" w:color="auto" w:fill="CCEEFF"/>
          </w:tcPr>
          <w:p>
            <w:pPr>
              <w:spacing w:after="0"/>
              <w:rPr>
                <w:sz w:val="14"/>
                <w:szCs w:val="14"/>
                <w:color w:val="auto"/>
              </w:rPr>
            </w:pPr>
          </w:p>
        </w:tc>
        <w:tc>
          <w:tcPr>
            <w:tcW w:w="220" w:type="dxa"/>
            <w:vAlign w:val="bottom"/>
            <w:tcBorders>
              <w:top w:val="single" w:sz="8" w:color="0000EE"/>
              <w:bottom w:val="single" w:sz="8" w:color="CCEEFF"/>
            </w:tcBorders>
            <w:shd w:val="clear" w:color="auto" w:fill="CCEEFF"/>
          </w:tcPr>
          <w:p>
            <w:pPr>
              <w:spacing w:after="0"/>
              <w:rPr>
                <w:sz w:val="14"/>
                <w:szCs w:val="14"/>
                <w:color w:val="auto"/>
              </w:rPr>
            </w:pPr>
          </w:p>
        </w:tc>
        <w:tc>
          <w:tcPr>
            <w:tcW w:w="120" w:type="dxa"/>
            <w:vAlign w:val="bottom"/>
            <w:tcBorders>
              <w:top w:val="single" w:sz="8" w:color="0000EE"/>
              <w:bottom w:val="single" w:sz="8" w:color="CCEEFF"/>
              <w:right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5960" w:type="dxa"/>
            <w:vAlign w:val="bottom"/>
            <w:tcBorders>
              <w:top w:val="single" w:sz="8" w:color="0000EE"/>
              <w:bottom w:val="single" w:sz="8" w:color="0000EE"/>
            </w:tcBorders>
            <w:gridSpan w:val="12"/>
            <w:shd w:val="clear" w:color="auto" w:fill="CCEEFF"/>
          </w:tcPr>
          <w:p>
            <w:pPr>
              <w:spacing w:after="0" w:line="164" w:lineRule="exact"/>
              <w:rPr>
                <w:rFonts w:ascii="Times New Roman" w:cs="Times New Roman" w:eastAsia="Times New Roman" w:hAnsi="Times New Roman"/>
                <w:sz w:val="18"/>
                <w:szCs w:val="18"/>
                <w:color w:val="0000EE"/>
                <w:w w:val="97"/>
              </w:rPr>
            </w:pPr>
            <w:hyperlink r:id="rId95">
              <w:r>
                <w:rPr>
                  <w:rFonts w:ascii="Times New Roman" w:cs="Times New Roman" w:eastAsia="Times New Roman" w:hAnsi="Times New Roman"/>
                  <w:sz w:val="18"/>
                  <w:szCs w:val="18"/>
                  <w:color w:val="0000EE"/>
                  <w:w w:val="97"/>
                </w:rPr>
                <w:t>Exhibit 10.1 to the Company’s Current Report on Form 8-K filed February 21, 2018.</w:t>
              </w:r>
            </w:hyperlink>
          </w:p>
        </w:tc>
        <w:tc>
          <w:tcPr>
            <w:tcW w:w="3780" w:type="dxa"/>
            <w:vAlign w:val="bottom"/>
            <w:tcBorders>
              <w:top w:val="single" w:sz="8" w:color="0000EE"/>
              <w:bottom w:val="single" w:sz="8" w:color="CCEEFF"/>
            </w:tcBorders>
            <w:gridSpan w:val="20"/>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58"/>
        </w:trPr>
        <w:tc>
          <w:tcPr>
            <w:tcW w:w="920" w:type="dxa"/>
            <w:vAlign w:val="bottom"/>
            <w:gridSpan w:val="5"/>
          </w:tcPr>
          <w:p>
            <w:pPr>
              <w:jc w:val="center"/>
              <w:ind w:left="372"/>
              <w:spacing w:after="0" w:line="157" w:lineRule="exact"/>
              <w:rPr>
                <w:rFonts w:ascii="Times New Roman" w:cs="Times New Roman" w:eastAsia="Times New Roman" w:hAnsi="Times New Roman"/>
                <w:sz w:val="18"/>
                <w:szCs w:val="18"/>
                <w:color w:val="0000EE"/>
                <w:w w:val="93"/>
              </w:rPr>
            </w:pPr>
            <w:hyperlink r:id="rId96">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9*</w:t>
              </w:r>
            </w:hyperlink>
          </w:p>
        </w:tc>
        <w:tc>
          <w:tcPr>
            <w:tcW w:w="320" w:type="dxa"/>
            <w:vAlign w:val="bottom"/>
          </w:tcPr>
          <w:p>
            <w:pPr>
              <w:spacing w:after="0"/>
              <w:rPr>
                <w:sz w:val="13"/>
                <w:szCs w:val="13"/>
                <w:color w:val="auto"/>
              </w:rPr>
            </w:pPr>
          </w:p>
        </w:tc>
        <w:tc>
          <w:tcPr>
            <w:tcW w:w="10020" w:type="dxa"/>
            <w:vAlign w:val="bottom"/>
            <w:gridSpan w:val="38"/>
          </w:tcPr>
          <w:p>
            <w:pPr>
              <w:ind w:left="140"/>
              <w:spacing w:after="0" w:line="157" w:lineRule="exact"/>
              <w:rPr>
                <w:rFonts w:ascii="Times New Roman" w:cs="Times New Roman" w:eastAsia="Times New Roman" w:hAnsi="Times New Roman"/>
                <w:sz w:val="18"/>
                <w:szCs w:val="18"/>
                <w:color w:val="0000EE"/>
                <w:w w:val="97"/>
              </w:rPr>
            </w:pPr>
            <w:hyperlink r:id="rId96">
              <w:r>
                <w:rPr>
                  <w:rFonts w:ascii="Times New Roman" w:cs="Times New Roman" w:eastAsia="Times New Roman" w:hAnsi="Times New Roman"/>
                  <w:sz w:val="18"/>
                  <w:szCs w:val="18"/>
                  <w:color w:val="0000EE"/>
                  <w:w w:val="97"/>
                </w:rPr>
                <w:t>Employment Agreement, dated September 6, 2019, by and between Tile Shop Holdings, Inc. and Mark Davis – incorporated by reference to</w:t>
              </w:r>
            </w:hyperlink>
          </w:p>
        </w:tc>
      </w:tr>
      <w:tr>
        <w:trPr>
          <w:trHeight w:val="170"/>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40" w:type="dxa"/>
            <w:vAlign w:val="bottom"/>
            <w:tcBorders>
              <w:top w:val="single" w:sz="8" w:color="0000EE"/>
              <w:bottom w:val="single" w:sz="8" w:color="0000EE"/>
            </w:tcBorders>
            <w:gridSpan w:val="13"/>
          </w:tcPr>
          <w:p>
            <w:pPr>
              <w:spacing w:after="0" w:line="164" w:lineRule="exact"/>
              <w:rPr>
                <w:rFonts w:ascii="Times New Roman" w:cs="Times New Roman" w:eastAsia="Times New Roman" w:hAnsi="Times New Roman"/>
                <w:sz w:val="18"/>
                <w:szCs w:val="18"/>
                <w:color w:val="0000EE"/>
                <w:w w:val="97"/>
              </w:rPr>
            </w:pPr>
            <w:hyperlink r:id="rId96">
              <w:r>
                <w:rPr>
                  <w:rFonts w:ascii="Times New Roman" w:cs="Times New Roman" w:eastAsia="Times New Roman" w:hAnsi="Times New Roman"/>
                  <w:sz w:val="18"/>
                  <w:szCs w:val="18"/>
                  <w:color w:val="0000EE"/>
                  <w:w w:val="97"/>
                </w:rPr>
                <w:t>Exhibit 10.2 to the Company’s Quarterly Report on Form 10-Q for the quarter ended September 30, 2019.</w:t>
              </w:r>
            </w:hyperlink>
          </w:p>
        </w:tc>
        <w:tc>
          <w:tcPr>
            <w:tcW w:w="2420" w:type="dxa"/>
            <w:vAlign w:val="bottom"/>
            <w:tcBorders>
              <w:top w:val="single" w:sz="8" w:color="0000EE"/>
            </w:tcBorders>
            <w:gridSpan w:val="23"/>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1240" w:type="dxa"/>
            <w:vAlign w:val="bottom"/>
            <w:gridSpan w:val="6"/>
            <w:shd w:val="clear" w:color="auto" w:fill="CCEEFF"/>
          </w:tcPr>
          <w:p>
            <w:pPr>
              <w:jc w:val="center"/>
              <w:ind w:left="32"/>
              <w:spacing w:after="0" w:line="157" w:lineRule="exact"/>
              <w:rPr>
                <w:rFonts w:ascii="Times New Roman" w:cs="Times New Roman" w:eastAsia="Times New Roman" w:hAnsi="Times New Roman"/>
                <w:sz w:val="18"/>
                <w:szCs w:val="18"/>
                <w:color w:val="0000FF"/>
                <w:w w:val="96"/>
              </w:rPr>
            </w:pPr>
            <w:hyperlink r:id="rId97">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10*</w:t>
              </w:r>
            </w:hyperlink>
          </w:p>
        </w:tc>
        <w:tc>
          <w:tcPr>
            <w:tcW w:w="10020" w:type="dxa"/>
            <w:vAlign w:val="bottom"/>
            <w:gridSpan w:val="38"/>
            <w:shd w:val="clear" w:color="auto" w:fill="CCEEFF"/>
          </w:tcPr>
          <w:p>
            <w:pPr>
              <w:ind w:left="140"/>
              <w:spacing w:after="0" w:line="157"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Amendment to Employment Agreement, dated as of March 18, 2024, by and between Tile Shop Holdings, Inc. and Mark Davis –</w:t>
              </w:r>
            </w:hyperlink>
          </w:p>
        </w:tc>
      </w:tr>
      <w:tr>
        <w:trPr>
          <w:trHeight w:val="170"/>
        </w:trPr>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22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right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7800" w:type="dxa"/>
            <w:vAlign w:val="bottom"/>
            <w:tcBorders>
              <w:top w:val="single" w:sz="8" w:color="0000FF"/>
              <w:bottom w:val="single" w:sz="8" w:color="0000FF"/>
            </w:tcBorders>
            <w:gridSpan w:val="15"/>
            <w:shd w:val="clear" w:color="auto" w:fill="CCEEFF"/>
          </w:tcPr>
          <w:p>
            <w:pPr>
              <w:spacing w:after="0" w:line="164" w:lineRule="exact"/>
              <w:rPr>
                <w:rFonts w:ascii="Times New Roman" w:cs="Times New Roman" w:eastAsia="Times New Roman" w:hAnsi="Times New Roman"/>
                <w:sz w:val="18"/>
                <w:szCs w:val="18"/>
                <w:color w:val="0000FF"/>
                <w:w w:val="97"/>
              </w:rPr>
            </w:pPr>
            <w:hyperlink r:id="rId97">
              <w:r>
                <w:rPr>
                  <w:rFonts w:ascii="Times New Roman" w:cs="Times New Roman" w:eastAsia="Times New Roman" w:hAnsi="Times New Roman"/>
                  <w:sz w:val="18"/>
                  <w:szCs w:val="18"/>
                  <w:color w:val="0000FF"/>
                  <w:w w:val="97"/>
                </w:rPr>
                <w:t>incorporated by reference to Exhibit 10.1 to the Company’s Current Report on Form 8-K filed March 18, 2024.</w:t>
              </w:r>
            </w:hyperlink>
          </w:p>
        </w:tc>
        <w:tc>
          <w:tcPr>
            <w:tcW w:w="132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280" w:type="dxa"/>
            <w:vAlign w:val="bottom"/>
            <w:tcBorders>
              <w:top w:val="single" w:sz="8" w:color="CCEEFF"/>
              <w:bottom w:val="single" w:sz="8" w:color="CCEEFF"/>
              <w:right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58"/>
        </w:trPr>
        <w:tc>
          <w:tcPr>
            <w:tcW w:w="920" w:type="dxa"/>
            <w:vAlign w:val="bottom"/>
            <w:gridSpan w:val="5"/>
          </w:tcPr>
          <w:p>
            <w:pPr>
              <w:jc w:val="center"/>
              <w:ind w:left="372"/>
              <w:spacing w:after="0" w:line="157" w:lineRule="exact"/>
              <w:rPr>
                <w:sz w:val="20"/>
                <w:szCs w:val="20"/>
                <w:color w:val="auto"/>
              </w:rPr>
            </w:pPr>
            <w:r>
              <w:rPr>
                <w:rFonts w:ascii="Times New Roman" w:cs="Times New Roman" w:eastAsia="Times New Roman" w:hAnsi="Times New Roman"/>
                <w:sz w:val="18"/>
                <w:szCs w:val="18"/>
                <w:color w:val="0000FF"/>
                <w:w w:val="92"/>
              </w:rPr>
              <w:t>10.</w:t>
            </w:r>
            <w:r>
              <w:rPr>
                <w:rFonts w:ascii="Times New Roman" w:cs="Times New Roman" w:eastAsia="Times New Roman" w:hAnsi="Times New Roman"/>
                <w:sz w:val="18"/>
                <w:szCs w:val="18"/>
                <w:u w:val="single" w:color="auto"/>
                <w:color w:val="0000FF"/>
                <w:w w:val="92"/>
              </w:rPr>
              <w:t>11*</w:t>
            </w:r>
          </w:p>
        </w:tc>
        <w:tc>
          <w:tcPr>
            <w:tcW w:w="320" w:type="dxa"/>
            <w:vAlign w:val="bottom"/>
          </w:tcPr>
          <w:p>
            <w:pPr>
              <w:spacing w:after="0"/>
              <w:rPr>
                <w:sz w:val="13"/>
                <w:szCs w:val="13"/>
                <w:color w:val="auto"/>
              </w:rPr>
            </w:pPr>
          </w:p>
        </w:tc>
        <w:tc>
          <w:tcPr>
            <w:tcW w:w="10020" w:type="dxa"/>
            <w:vAlign w:val="bottom"/>
            <w:gridSpan w:val="38"/>
          </w:tcPr>
          <w:p>
            <w:pPr>
              <w:ind w:left="140"/>
              <w:spacing w:after="0" w:line="157" w:lineRule="exact"/>
              <w:rPr>
                <w:sz w:val="20"/>
                <w:szCs w:val="20"/>
                <w:color w:val="auto"/>
              </w:rPr>
            </w:pPr>
            <w:r>
              <w:rPr>
                <w:rFonts w:ascii="Times New Roman" w:cs="Times New Roman" w:eastAsia="Times New Roman" w:hAnsi="Times New Roman"/>
                <w:sz w:val="18"/>
                <w:szCs w:val="18"/>
                <w:color w:val="0000FF"/>
              </w:rPr>
              <w:t>Employment Agreement, dated as of February 25, 2025, by and between Tile Shop Holdings, Inc. and Joseph Kinder – filed herewith.</w:t>
            </w:r>
          </w:p>
        </w:tc>
      </w:tr>
      <w:tr>
        <w:trPr>
          <w:trHeight w:val="26"/>
        </w:trPr>
        <w:tc>
          <w:tcPr>
            <w:tcW w:w="44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1240" w:type="dxa"/>
            <w:vAlign w:val="bottom"/>
            <w:gridSpan w:val="6"/>
            <w:shd w:val="clear" w:color="auto" w:fill="CCEEFF"/>
          </w:tcPr>
          <w:p>
            <w:pPr>
              <w:jc w:val="center"/>
              <w:ind w:left="32"/>
              <w:spacing w:after="0" w:line="157" w:lineRule="exact"/>
              <w:rPr>
                <w:rFonts w:ascii="Times New Roman" w:cs="Times New Roman" w:eastAsia="Times New Roman" w:hAnsi="Times New Roman"/>
                <w:sz w:val="18"/>
                <w:szCs w:val="18"/>
                <w:color w:val="0000FF"/>
                <w:w w:val="96"/>
              </w:rPr>
            </w:pPr>
            <w:hyperlink r:id="rId98">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12*</w:t>
              </w:r>
            </w:hyperlink>
          </w:p>
        </w:tc>
        <w:tc>
          <w:tcPr>
            <w:tcW w:w="10020" w:type="dxa"/>
            <w:vAlign w:val="bottom"/>
            <w:gridSpan w:val="38"/>
            <w:shd w:val="clear" w:color="auto" w:fill="CCEEFF"/>
          </w:tcPr>
          <w:p>
            <w:pPr>
              <w:ind w:left="140"/>
              <w:spacing w:after="0" w:line="157"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Tile Shop Holdings, Inc. Form of Performance-Based Stock Restriction Agreement – incorporated by reference to Exhibit 10.20 to the</w:t>
              </w:r>
            </w:hyperlink>
          </w:p>
        </w:tc>
      </w:tr>
      <w:tr>
        <w:trPr>
          <w:trHeight w:val="164"/>
        </w:trPr>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0000FF"/>
              <w:right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right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480" w:type="dxa"/>
            <w:vAlign w:val="bottom"/>
            <w:tcBorders>
              <w:top w:val="single" w:sz="8" w:color="0000FF"/>
            </w:tcBorders>
            <w:gridSpan w:val="22"/>
            <w:shd w:val="clear" w:color="auto" w:fill="CCEEFF"/>
          </w:tcPr>
          <w:p>
            <w:pPr>
              <w:spacing w:after="0" w:line="164"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Company’s Annual Report on Form 10-K for the year ended December 31, 2020.</w:t>
              </w:r>
            </w:hyperlink>
          </w:p>
        </w:tc>
        <w:tc>
          <w:tcPr>
            <w:tcW w:w="160" w:type="dxa"/>
            <w:vAlign w:val="bottom"/>
            <w:tcBorders>
              <w:top w:val="single" w:sz="8" w:color="CCEEFF"/>
            </w:tcBorders>
            <w:gridSpan w:val="5"/>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6"/>
        </w:trPr>
        <w:tc>
          <w:tcPr>
            <w:tcW w:w="4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8"/>
        </w:trPr>
        <w:tc>
          <w:tcPr>
            <w:tcW w:w="1240" w:type="dxa"/>
            <w:vAlign w:val="bottom"/>
            <w:gridSpan w:val="6"/>
          </w:tcPr>
          <w:p>
            <w:pPr>
              <w:jc w:val="center"/>
              <w:ind w:left="32"/>
              <w:spacing w:after="0" w:line="157" w:lineRule="exact"/>
              <w:rPr>
                <w:rFonts w:ascii="Times New Roman" w:cs="Times New Roman" w:eastAsia="Times New Roman" w:hAnsi="Times New Roman"/>
                <w:sz w:val="18"/>
                <w:szCs w:val="18"/>
                <w:color w:val="0000FF"/>
                <w:w w:val="96"/>
              </w:rPr>
            </w:pPr>
            <w:hyperlink r:id="rId99">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13*</w:t>
              </w:r>
            </w:hyperlink>
          </w:p>
        </w:tc>
        <w:tc>
          <w:tcPr>
            <w:tcW w:w="140" w:type="dxa"/>
            <w:vAlign w:val="bottom"/>
          </w:tcPr>
          <w:p>
            <w:pPr>
              <w:spacing w:after="0"/>
              <w:rPr>
                <w:sz w:val="13"/>
                <w:szCs w:val="13"/>
                <w:color w:val="auto"/>
              </w:rPr>
            </w:pPr>
          </w:p>
        </w:tc>
        <w:tc>
          <w:tcPr>
            <w:tcW w:w="9880" w:type="dxa"/>
            <w:vAlign w:val="bottom"/>
            <w:gridSpan w:val="37"/>
          </w:tcPr>
          <w:p>
            <w:pPr>
              <w:spacing w:after="0" w:line="157"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Tile Shop Holdings, Inc. 2021 Omnibus Equity Compensation Plan – incorporated by reference to Exhibit 10.1 to the Company’s Current</w:t>
              </w:r>
            </w:hyperlink>
          </w:p>
        </w:tc>
      </w:tr>
      <w:tr>
        <w:trPr>
          <w:trHeight w:val="164"/>
        </w:trPr>
        <w:tc>
          <w:tcPr>
            <w:tcW w:w="44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720" w:type="dxa"/>
            <w:vAlign w:val="bottom"/>
            <w:tcBorders>
              <w:top w:val="single" w:sz="8" w:color="0000FF"/>
            </w:tcBorders>
            <w:gridSpan w:val="31"/>
          </w:tcPr>
          <w:p>
            <w:pPr>
              <w:spacing w:after="0" w:line="164"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Report on Form 8-K filed July 21, 2021.</w:t>
              </w:r>
            </w:hyperlink>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
        </w:trPr>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1240" w:type="dxa"/>
            <w:vAlign w:val="bottom"/>
            <w:gridSpan w:val="6"/>
            <w:shd w:val="clear" w:color="auto" w:fill="CCEEFF"/>
          </w:tcPr>
          <w:p>
            <w:pPr>
              <w:jc w:val="center"/>
              <w:ind w:left="32"/>
              <w:spacing w:after="0" w:line="157" w:lineRule="exact"/>
              <w:rPr>
                <w:rFonts w:ascii="Times New Roman" w:cs="Times New Roman" w:eastAsia="Times New Roman" w:hAnsi="Times New Roman"/>
                <w:sz w:val="18"/>
                <w:szCs w:val="18"/>
                <w:color w:val="0000FF"/>
                <w:w w:val="96"/>
              </w:rPr>
            </w:pPr>
            <w:hyperlink r:id="rId100">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14*</w:t>
              </w:r>
            </w:hyperlink>
          </w:p>
        </w:tc>
        <w:tc>
          <w:tcPr>
            <w:tcW w:w="140" w:type="dxa"/>
            <w:vAlign w:val="bottom"/>
            <w:shd w:val="clear" w:color="auto" w:fill="CCEEFF"/>
          </w:tcPr>
          <w:p>
            <w:pPr>
              <w:spacing w:after="0"/>
              <w:rPr>
                <w:sz w:val="13"/>
                <w:szCs w:val="13"/>
                <w:color w:val="auto"/>
              </w:rPr>
            </w:pPr>
          </w:p>
        </w:tc>
        <w:tc>
          <w:tcPr>
            <w:tcW w:w="9880" w:type="dxa"/>
            <w:vAlign w:val="bottom"/>
            <w:gridSpan w:val="37"/>
            <w:shd w:val="clear" w:color="auto" w:fill="CCEEFF"/>
          </w:tcPr>
          <w:p>
            <w:pPr>
              <w:spacing w:after="0" w:line="157"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Form of Nonqualified Stock Option Agreement (2021 Plan) – incorporated by reference to Exhibit 10.2 to the Company’s Current Report</w:t>
              </w:r>
            </w:hyperlink>
          </w:p>
        </w:tc>
      </w:tr>
      <w:tr>
        <w:trPr>
          <w:trHeight w:val="164"/>
        </w:trPr>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0000FF"/>
              <w:right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right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30"/>
            <w:shd w:val="clear" w:color="auto" w:fill="CCEEFF"/>
          </w:tcPr>
          <w:p>
            <w:pPr>
              <w:spacing w:after="0" w:line="164"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on Form 8-K filed July 21, 2021.</w:t>
              </w:r>
            </w:hyperlink>
          </w:p>
        </w:tc>
        <w:tc>
          <w:tcPr>
            <w:tcW w:w="10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6"/>
        </w:trPr>
        <w:tc>
          <w:tcPr>
            <w:tcW w:w="4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8"/>
        </w:trPr>
        <w:tc>
          <w:tcPr>
            <w:tcW w:w="1240" w:type="dxa"/>
            <w:vAlign w:val="bottom"/>
            <w:gridSpan w:val="6"/>
          </w:tcPr>
          <w:p>
            <w:pPr>
              <w:jc w:val="center"/>
              <w:ind w:left="32"/>
              <w:spacing w:after="0" w:line="157" w:lineRule="exact"/>
              <w:rPr>
                <w:rFonts w:ascii="Times New Roman" w:cs="Times New Roman" w:eastAsia="Times New Roman" w:hAnsi="Times New Roman"/>
                <w:sz w:val="18"/>
                <w:szCs w:val="18"/>
                <w:color w:val="0000FF"/>
                <w:w w:val="96"/>
              </w:rPr>
            </w:pPr>
            <w:hyperlink r:id="rId101">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15*</w:t>
              </w:r>
            </w:hyperlink>
          </w:p>
        </w:tc>
        <w:tc>
          <w:tcPr>
            <w:tcW w:w="140" w:type="dxa"/>
            <w:vAlign w:val="bottom"/>
          </w:tcPr>
          <w:p>
            <w:pPr>
              <w:spacing w:after="0"/>
              <w:rPr>
                <w:sz w:val="13"/>
                <w:szCs w:val="13"/>
                <w:color w:val="auto"/>
              </w:rPr>
            </w:pPr>
          </w:p>
        </w:tc>
        <w:tc>
          <w:tcPr>
            <w:tcW w:w="9880" w:type="dxa"/>
            <w:vAlign w:val="bottom"/>
            <w:gridSpan w:val="37"/>
          </w:tcPr>
          <w:p>
            <w:pPr>
              <w:spacing w:after="0" w:line="157"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Form of Incentive Stock Option Agreement (2021 Plan) – incorporated by reference to Exhibit 10.3 to the Company’s Current Report on</w:t>
              </w:r>
            </w:hyperlink>
          </w:p>
        </w:tc>
      </w:tr>
      <w:tr>
        <w:trPr>
          <w:trHeight w:val="164"/>
        </w:trPr>
        <w:tc>
          <w:tcPr>
            <w:tcW w:w="44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40" w:type="dxa"/>
            <w:vAlign w:val="bottom"/>
            <w:tcBorders>
              <w:top w:val="single" w:sz="8" w:color="0000FF"/>
            </w:tcBorders>
            <w:gridSpan w:val="27"/>
          </w:tcPr>
          <w:p>
            <w:pPr>
              <w:spacing w:after="0" w:line="164"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8-K filed July 21, 2021.</w:t>
              </w:r>
            </w:hyperlink>
          </w:p>
        </w:tc>
        <w:tc>
          <w:tcPr>
            <w:tcW w:w="16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
        </w:trPr>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1240" w:type="dxa"/>
            <w:vAlign w:val="bottom"/>
            <w:gridSpan w:val="6"/>
            <w:shd w:val="clear" w:color="auto" w:fill="CCEEFF"/>
          </w:tcPr>
          <w:p>
            <w:pPr>
              <w:jc w:val="center"/>
              <w:ind w:left="32"/>
              <w:spacing w:after="0" w:line="157" w:lineRule="exact"/>
              <w:rPr>
                <w:rFonts w:ascii="Times New Roman" w:cs="Times New Roman" w:eastAsia="Times New Roman" w:hAnsi="Times New Roman"/>
                <w:sz w:val="18"/>
                <w:szCs w:val="18"/>
                <w:color w:val="0000FF"/>
                <w:w w:val="96"/>
              </w:rPr>
            </w:pPr>
            <w:hyperlink r:id="rId102">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16*</w:t>
              </w:r>
            </w:hyperlink>
          </w:p>
        </w:tc>
        <w:tc>
          <w:tcPr>
            <w:tcW w:w="140" w:type="dxa"/>
            <w:vAlign w:val="bottom"/>
            <w:shd w:val="clear" w:color="auto" w:fill="CCEEFF"/>
          </w:tcPr>
          <w:p>
            <w:pPr>
              <w:spacing w:after="0"/>
              <w:rPr>
                <w:sz w:val="13"/>
                <w:szCs w:val="13"/>
                <w:color w:val="auto"/>
              </w:rPr>
            </w:pPr>
          </w:p>
        </w:tc>
        <w:tc>
          <w:tcPr>
            <w:tcW w:w="9880" w:type="dxa"/>
            <w:vAlign w:val="bottom"/>
            <w:gridSpan w:val="37"/>
            <w:shd w:val="clear" w:color="auto" w:fill="CCEEFF"/>
          </w:tcPr>
          <w:p>
            <w:pPr>
              <w:spacing w:after="0" w:line="157" w:lineRule="exact"/>
              <w:rPr>
                <w:rFonts w:ascii="Times New Roman" w:cs="Times New Roman" w:eastAsia="Times New Roman" w:hAnsi="Times New Roman"/>
                <w:sz w:val="18"/>
                <w:szCs w:val="18"/>
                <w:color w:val="0000FF"/>
                <w:w w:val="97"/>
              </w:rPr>
            </w:pPr>
            <w:hyperlink r:id="rId102">
              <w:r>
                <w:rPr>
                  <w:rFonts w:ascii="Times New Roman" w:cs="Times New Roman" w:eastAsia="Times New Roman" w:hAnsi="Times New Roman"/>
                  <w:sz w:val="18"/>
                  <w:szCs w:val="18"/>
                  <w:color w:val="0000FF"/>
                  <w:w w:val="97"/>
                </w:rPr>
                <w:t>Form of Stock Restriction Agreement (2021 Plan) – incorporated by reference to Exhibit 10.4 to the Company’s Current Report on Form 8-</w:t>
              </w:r>
            </w:hyperlink>
          </w:p>
        </w:tc>
      </w:tr>
      <w:tr>
        <w:trPr>
          <w:trHeight w:val="170"/>
        </w:trPr>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22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right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540" w:type="dxa"/>
            <w:vAlign w:val="bottom"/>
            <w:tcBorders>
              <w:top w:val="single" w:sz="8" w:color="0000FF"/>
              <w:bottom w:val="single" w:sz="8" w:color="0000FF"/>
            </w:tcBorders>
            <w:gridSpan w:val="2"/>
            <w:shd w:val="clear" w:color="auto" w:fill="CCEEFF"/>
          </w:tcPr>
          <w:p>
            <w:pPr>
              <w:spacing w:after="0" w:line="164" w:lineRule="exact"/>
              <w:rPr>
                <w:rFonts w:ascii="Times New Roman" w:cs="Times New Roman" w:eastAsia="Times New Roman" w:hAnsi="Times New Roman"/>
                <w:sz w:val="18"/>
                <w:szCs w:val="18"/>
                <w:color w:val="0000FF"/>
                <w:w w:val="96"/>
              </w:rPr>
            </w:pPr>
            <w:hyperlink r:id="rId102">
              <w:r>
                <w:rPr>
                  <w:rFonts w:ascii="Times New Roman" w:cs="Times New Roman" w:eastAsia="Times New Roman" w:hAnsi="Times New Roman"/>
                  <w:sz w:val="18"/>
                  <w:szCs w:val="18"/>
                  <w:color w:val="0000FF"/>
                  <w:w w:val="96"/>
                </w:rPr>
                <w:t>K filed July 21, 2021.</w:t>
              </w:r>
            </w:hyperlink>
          </w:p>
        </w:tc>
        <w:tc>
          <w:tcPr>
            <w:tcW w:w="8260" w:type="dxa"/>
            <w:vAlign w:val="bottom"/>
            <w:tcBorders>
              <w:top w:val="single" w:sz="8" w:color="0000FF"/>
              <w:bottom w:val="single" w:sz="8" w:color="CCEEFF"/>
            </w:tcBorders>
            <w:gridSpan w:val="31"/>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58"/>
        </w:trPr>
        <w:tc>
          <w:tcPr>
            <w:tcW w:w="1240" w:type="dxa"/>
            <w:vAlign w:val="bottom"/>
            <w:gridSpan w:val="6"/>
          </w:tcPr>
          <w:p>
            <w:pPr>
              <w:jc w:val="center"/>
              <w:ind w:left="32"/>
              <w:spacing w:after="0" w:line="157" w:lineRule="exact"/>
              <w:rPr>
                <w:rFonts w:ascii="Times New Roman" w:cs="Times New Roman" w:eastAsia="Times New Roman" w:hAnsi="Times New Roman"/>
                <w:sz w:val="18"/>
                <w:szCs w:val="18"/>
                <w:color w:val="0000FF"/>
                <w:w w:val="96"/>
              </w:rPr>
            </w:pPr>
            <w:hyperlink r:id="rId103">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17*</w:t>
              </w:r>
            </w:hyperlink>
          </w:p>
        </w:tc>
        <w:tc>
          <w:tcPr>
            <w:tcW w:w="10020" w:type="dxa"/>
            <w:vAlign w:val="bottom"/>
            <w:gridSpan w:val="38"/>
          </w:tcPr>
          <w:p>
            <w:pPr>
              <w:ind w:left="140"/>
              <w:spacing w:after="0" w:line="157"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Performance-Based Stock Restriction Agreement (2021 Plan) – incorporated by reference to Exhibit 10.5 to the Company’s</w:t>
              </w:r>
            </w:hyperlink>
          </w:p>
        </w:tc>
      </w:tr>
      <w:tr>
        <w:trPr>
          <w:trHeight w:val="164"/>
        </w:trPr>
        <w:tc>
          <w:tcPr>
            <w:tcW w:w="44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0" w:type="dxa"/>
            <w:vAlign w:val="bottom"/>
            <w:tcBorders>
              <w:top w:val="single" w:sz="8" w:color="0000FF"/>
            </w:tcBorders>
            <w:gridSpan w:val="20"/>
          </w:tcPr>
          <w:p>
            <w:pPr>
              <w:spacing w:after="0" w:line="164"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Current Report on Form 8-K filed July 21, 2021.</w:t>
              </w:r>
            </w:hyperlink>
          </w:p>
        </w:tc>
        <w:tc>
          <w:tcPr>
            <w:tcW w:w="440" w:type="dxa"/>
            <w:vAlign w:val="bottom"/>
            <w:gridSpan w:val="1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
        </w:trPr>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1240" w:type="dxa"/>
            <w:vAlign w:val="bottom"/>
            <w:gridSpan w:val="6"/>
            <w:shd w:val="clear" w:color="auto" w:fill="CCEEFF"/>
          </w:tcPr>
          <w:p>
            <w:pPr>
              <w:jc w:val="center"/>
              <w:ind w:left="32"/>
              <w:spacing w:after="0" w:line="157" w:lineRule="exact"/>
              <w:rPr>
                <w:rFonts w:ascii="Times New Roman" w:cs="Times New Roman" w:eastAsia="Times New Roman" w:hAnsi="Times New Roman"/>
                <w:sz w:val="18"/>
                <w:szCs w:val="18"/>
                <w:color w:val="0000FF"/>
                <w:w w:val="96"/>
              </w:rPr>
            </w:pPr>
            <w:hyperlink r:id="rId104">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18*</w:t>
              </w:r>
            </w:hyperlink>
          </w:p>
        </w:tc>
        <w:tc>
          <w:tcPr>
            <w:tcW w:w="140" w:type="dxa"/>
            <w:vAlign w:val="bottom"/>
            <w:shd w:val="clear" w:color="auto" w:fill="CCEEFF"/>
          </w:tcPr>
          <w:p>
            <w:pPr>
              <w:spacing w:after="0"/>
              <w:rPr>
                <w:sz w:val="13"/>
                <w:szCs w:val="13"/>
                <w:color w:val="auto"/>
              </w:rPr>
            </w:pPr>
          </w:p>
        </w:tc>
        <w:tc>
          <w:tcPr>
            <w:tcW w:w="9880" w:type="dxa"/>
            <w:vAlign w:val="bottom"/>
            <w:gridSpan w:val="37"/>
            <w:shd w:val="clear" w:color="auto" w:fill="CCEEFF"/>
          </w:tcPr>
          <w:p>
            <w:pPr>
              <w:spacing w:after="0" w:line="157" w:lineRule="exact"/>
              <w:rPr>
                <w:rFonts w:ascii="Times New Roman" w:cs="Times New Roman" w:eastAsia="Times New Roman" w:hAnsi="Times New Roman"/>
                <w:sz w:val="18"/>
                <w:szCs w:val="18"/>
                <w:color w:val="0000FF"/>
                <w:w w:val="98"/>
              </w:rPr>
            </w:pPr>
            <w:hyperlink r:id="rId104">
              <w:r>
                <w:rPr>
                  <w:rFonts w:ascii="Times New Roman" w:cs="Times New Roman" w:eastAsia="Times New Roman" w:hAnsi="Times New Roman"/>
                  <w:sz w:val="18"/>
                  <w:szCs w:val="18"/>
                  <w:color w:val="0000FF"/>
                  <w:w w:val="98"/>
                </w:rPr>
                <w:t>Form of Stock Restriction Agreement (2021 Plan) (2023) – incorporated by reference to Exhibit 10.19 of the Company’s Annual Report on</w:t>
              </w:r>
            </w:hyperlink>
          </w:p>
        </w:tc>
      </w:tr>
      <w:tr>
        <w:trPr>
          <w:trHeight w:val="164"/>
        </w:trPr>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0000FF"/>
              <w:right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right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840" w:type="dxa"/>
            <w:vAlign w:val="bottom"/>
            <w:tcBorders>
              <w:top w:val="single" w:sz="8" w:color="0000FF"/>
            </w:tcBorders>
            <w:gridSpan w:val="35"/>
            <w:shd w:val="clear" w:color="auto" w:fill="CCEEFF"/>
          </w:tcPr>
          <w:p>
            <w:pPr>
              <w:spacing w:after="0" w:line="164"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Form 10-K for the year ended December 31, 2022.</w:t>
              </w:r>
            </w:hyperlink>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6"/>
        </w:trPr>
        <w:tc>
          <w:tcPr>
            <w:tcW w:w="44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8"/>
        </w:trPr>
        <w:tc>
          <w:tcPr>
            <w:tcW w:w="1240" w:type="dxa"/>
            <w:vAlign w:val="bottom"/>
            <w:gridSpan w:val="6"/>
          </w:tcPr>
          <w:p>
            <w:pPr>
              <w:jc w:val="center"/>
              <w:ind w:left="32"/>
              <w:spacing w:after="0" w:line="157" w:lineRule="exact"/>
              <w:rPr>
                <w:rFonts w:ascii="Times New Roman" w:cs="Times New Roman" w:eastAsia="Times New Roman" w:hAnsi="Times New Roman"/>
                <w:sz w:val="18"/>
                <w:szCs w:val="18"/>
                <w:color w:val="0000FF"/>
                <w:w w:val="96"/>
              </w:rPr>
            </w:pPr>
            <w:hyperlink r:id="rId105">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19*</w:t>
              </w:r>
            </w:hyperlink>
          </w:p>
        </w:tc>
        <w:tc>
          <w:tcPr>
            <w:tcW w:w="140" w:type="dxa"/>
            <w:vAlign w:val="bottom"/>
          </w:tcPr>
          <w:p>
            <w:pPr>
              <w:spacing w:after="0"/>
              <w:rPr>
                <w:sz w:val="13"/>
                <w:szCs w:val="13"/>
                <w:color w:val="auto"/>
              </w:rPr>
            </w:pPr>
          </w:p>
        </w:tc>
        <w:tc>
          <w:tcPr>
            <w:tcW w:w="9880" w:type="dxa"/>
            <w:vAlign w:val="bottom"/>
            <w:gridSpan w:val="37"/>
          </w:tcPr>
          <w:p>
            <w:pPr>
              <w:spacing w:after="0" w:line="157"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Performance-Based Stock Restriction Agreement (2021 Plan) (2023) – incorporated by reference to Exhibit 10.20 of the</w:t>
              </w:r>
            </w:hyperlink>
          </w:p>
        </w:tc>
      </w:tr>
      <w:tr>
        <w:trPr>
          <w:trHeight w:val="164"/>
        </w:trPr>
        <w:tc>
          <w:tcPr>
            <w:tcW w:w="440" w:type="dxa"/>
            <w:vAlign w:val="bottom"/>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100" w:type="dxa"/>
            <w:vAlign w:val="bottom"/>
            <w:tcBorders>
              <w:top w:val="single" w:sz="8" w:color="0000FF"/>
            </w:tcBorders>
            <w:gridSpan w:val="17"/>
          </w:tcPr>
          <w:p>
            <w:pPr>
              <w:spacing w:after="0" w:line="164"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Company’s Annual Report on Form 10-K for the year ended December 31, 2022.</w:t>
              </w:r>
            </w:hyperlink>
          </w:p>
        </w:tc>
        <w:tc>
          <w:tcPr>
            <w:tcW w:w="780" w:type="dxa"/>
            <w:vAlign w:val="bottom"/>
            <w:gridSpan w:val="20"/>
          </w:tcPr>
          <w:p>
            <w:pPr>
              <w:spacing w:after="0"/>
              <w:rPr>
                <w:sz w:val="14"/>
                <w:szCs w:val="14"/>
                <w:color w:val="auto"/>
              </w:rPr>
            </w:pPr>
          </w:p>
        </w:tc>
      </w:tr>
      <w:tr>
        <w:trPr>
          <w:trHeight w:val="221"/>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40" w:type="dxa"/>
            <w:vAlign w:val="bottom"/>
            <w:tcBorders>
              <w:top w:val="single" w:sz="8" w:color="0000FF"/>
            </w:tcBorders>
            <w:gridSpan w:val="10"/>
          </w:tcPr>
          <w:p>
            <w:pPr>
              <w:jc w:val="center"/>
              <w:ind w:left="3172"/>
              <w:spacing w:after="0"/>
              <w:rPr>
                <w:sz w:val="20"/>
                <w:szCs w:val="20"/>
                <w:color w:val="auto"/>
              </w:rPr>
            </w:pPr>
            <w:r>
              <w:rPr>
                <w:rFonts w:ascii="Times New Roman" w:cs="Times New Roman" w:eastAsia="Times New Roman" w:hAnsi="Times New Roman"/>
                <w:sz w:val="18"/>
                <w:szCs w:val="18"/>
                <w:color w:val="auto"/>
                <w:w w:val="99"/>
              </w:rPr>
              <w:t>60</w:t>
            </w:r>
          </w:p>
        </w:tc>
        <w:tc>
          <w:tcPr>
            <w:tcW w:w="46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1"/>
        </w:trPr>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6"/>
            <w:vMerge w:val="restart"/>
            <w:shd w:val="clear" w:color="auto" w:fill="CCEEFF"/>
          </w:tcPr>
          <w:p>
            <w:pPr>
              <w:jc w:val="center"/>
              <w:ind w:left="252"/>
              <w:spacing w:after="0"/>
              <w:rPr>
                <w:rFonts w:ascii="Times New Roman" w:cs="Times New Roman" w:eastAsia="Times New Roman" w:hAnsi="Times New Roman"/>
                <w:sz w:val="18"/>
                <w:szCs w:val="18"/>
                <w:color w:val="0000FF"/>
                <w:w w:val="96"/>
              </w:rPr>
            </w:pPr>
            <w:hyperlink r:id="rId108">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20*</w:t>
              </w:r>
            </w:hyperlink>
          </w:p>
        </w:tc>
        <w:tc>
          <w:tcPr>
            <w:tcW w:w="380" w:type="dxa"/>
            <w:vAlign w:val="bottom"/>
            <w:tcBorders>
              <w:right w:val="single" w:sz="8" w:color="CCEEFF"/>
            </w:tcBorders>
            <w:shd w:val="clear" w:color="auto" w:fill="CCEEFF"/>
          </w:tcPr>
          <w:p>
            <w:pPr>
              <w:spacing w:after="0"/>
              <w:rPr>
                <w:sz w:val="17"/>
                <w:szCs w:val="17"/>
                <w:color w:val="auto"/>
              </w:rPr>
            </w:pPr>
          </w:p>
        </w:tc>
        <w:tc>
          <w:tcPr>
            <w:tcW w:w="9840" w:type="dxa"/>
            <w:vAlign w:val="bottom"/>
            <w:gridSpan w:val="28"/>
            <w:shd w:val="clear" w:color="auto" w:fill="CCEEFF"/>
          </w:tcPr>
          <w:p>
            <w:pPr>
              <w:spacing w:after="0"/>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Nondisclosure, Confidentiality, Assignment and Noncompetition Agreement, dated July 22, 2024, by and between Cabell Lolmaugh and</w:t>
              </w:r>
            </w:hyperlink>
          </w:p>
        </w:tc>
        <w:tc>
          <w:tcPr>
            <w:tcW w:w="0" w:type="dxa"/>
            <w:vAlign w:val="bottom"/>
          </w:tcPr>
          <w:p>
            <w:pPr>
              <w:spacing w:after="0"/>
              <w:rPr>
                <w:sz w:val="1"/>
                <w:szCs w:val="1"/>
                <w:color w:val="auto"/>
              </w:rPr>
            </w:pPr>
          </w:p>
        </w:tc>
      </w:tr>
      <w:tr>
        <w:trPr>
          <w:trHeight w:val="164"/>
        </w:trPr>
        <w:tc>
          <w:tcPr>
            <w:tcW w:w="1020" w:type="dxa"/>
            <w:vAlign w:val="bottom"/>
            <w:tcBorders>
              <w:top w:val="single" w:sz="8" w:color="CCEEFF"/>
            </w:tcBorders>
            <w:gridSpan w:val="6"/>
            <w:vMerge w:val="continue"/>
            <w:shd w:val="clear" w:color="auto" w:fill="CCEEFF"/>
          </w:tcPr>
          <w:p>
            <w:pPr>
              <w:spacing w:after="0"/>
              <w:rPr>
                <w:sz w:val="14"/>
                <w:szCs w:val="14"/>
                <w:color w:val="auto"/>
              </w:rPr>
            </w:pPr>
          </w:p>
        </w:tc>
        <w:tc>
          <w:tcPr>
            <w:tcW w:w="380" w:type="dxa"/>
            <w:vAlign w:val="bottom"/>
            <w:tcBorders>
              <w:top w:val="single" w:sz="8" w:color="CCEEFF"/>
              <w:right w:val="single" w:sz="8" w:color="CCEEFF"/>
            </w:tcBorders>
            <w:shd w:val="clear" w:color="auto" w:fill="CCEEFF"/>
          </w:tcPr>
          <w:p>
            <w:pPr>
              <w:spacing w:after="0"/>
              <w:rPr>
                <w:sz w:val="14"/>
                <w:szCs w:val="14"/>
                <w:color w:val="auto"/>
              </w:rPr>
            </w:pPr>
          </w:p>
        </w:tc>
        <w:tc>
          <w:tcPr>
            <w:tcW w:w="9620" w:type="dxa"/>
            <w:vAlign w:val="bottom"/>
            <w:tcBorders>
              <w:top w:val="single" w:sz="8" w:color="0000FF"/>
            </w:tcBorders>
            <w:gridSpan w:val="22"/>
            <w:shd w:val="clear" w:color="auto" w:fill="CCEEFF"/>
          </w:tcPr>
          <w:p>
            <w:pPr>
              <w:spacing w:after="0" w:line="164"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Tile Shop Holdings, Inc. – incorporated by reference to Exhibit 10.1 to the Company’s Quarterly Report on Form 10-Q for the quarter</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right w:val="single" w:sz="8" w:color="CCEEFF"/>
            </w:tcBorders>
            <w:shd w:val="clear" w:color="auto" w:fill="CCEEFF"/>
          </w:tcPr>
          <w:p>
            <w:pPr>
              <w:spacing w:after="0"/>
              <w:rPr>
                <w:sz w:val="14"/>
                <w:szCs w:val="14"/>
                <w:color w:val="auto"/>
              </w:rPr>
            </w:pPr>
          </w:p>
        </w:tc>
        <w:tc>
          <w:tcPr>
            <w:tcW w:w="9420" w:type="dxa"/>
            <w:vAlign w:val="bottom"/>
            <w:tcBorders>
              <w:top w:val="single" w:sz="8" w:color="0000FF"/>
            </w:tcBorders>
            <w:gridSpan w:val="16"/>
            <w:shd w:val="clear" w:color="auto" w:fill="CCEEFF"/>
          </w:tcPr>
          <w:p>
            <w:pPr>
              <w:spacing w:after="0" w:line="164"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ended June 30, 2024.</w:t>
              </w:r>
            </w:hyperlink>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020" w:type="dxa"/>
            <w:vAlign w:val="bottom"/>
            <w:gridSpan w:val="6"/>
          </w:tcPr>
          <w:p>
            <w:pPr>
              <w:jc w:val="center"/>
              <w:ind w:left="252"/>
              <w:spacing w:after="0" w:line="157" w:lineRule="exact"/>
              <w:rPr>
                <w:rFonts w:ascii="Times New Roman" w:cs="Times New Roman" w:eastAsia="Times New Roman" w:hAnsi="Times New Roman"/>
                <w:sz w:val="18"/>
                <w:szCs w:val="18"/>
                <w:color w:val="0000FF"/>
                <w:w w:val="96"/>
              </w:rPr>
            </w:pPr>
            <w:hyperlink r:id="rId109">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21*</w:t>
              </w:r>
            </w:hyperlink>
          </w:p>
        </w:tc>
        <w:tc>
          <w:tcPr>
            <w:tcW w:w="380" w:type="dxa"/>
            <w:vAlign w:val="bottom"/>
          </w:tcPr>
          <w:p>
            <w:pPr>
              <w:spacing w:after="0"/>
              <w:rPr>
                <w:sz w:val="13"/>
                <w:szCs w:val="13"/>
                <w:color w:val="auto"/>
              </w:rPr>
            </w:pPr>
          </w:p>
        </w:tc>
        <w:tc>
          <w:tcPr>
            <w:tcW w:w="9840" w:type="dxa"/>
            <w:vAlign w:val="bottom"/>
            <w:gridSpan w:val="28"/>
          </w:tcPr>
          <w:p>
            <w:pPr>
              <w:spacing w:after="0" w:line="157"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Nondisclosure, Confidentiality, Assignment and Noncompetition Agreement, dated July 22, 2024, by and between Mark Davis and Tile</w:t>
              </w:r>
            </w:hyperlink>
          </w:p>
        </w:tc>
        <w:tc>
          <w:tcPr>
            <w:tcW w:w="0" w:type="dxa"/>
            <w:vAlign w:val="bottom"/>
          </w:tcPr>
          <w:p>
            <w:pPr>
              <w:spacing w:after="0"/>
              <w:rPr>
                <w:sz w:val="1"/>
                <w:szCs w:val="1"/>
                <w:color w:val="auto"/>
              </w:rPr>
            </w:pPr>
          </w:p>
        </w:tc>
      </w:tr>
      <w:tr>
        <w:trPr>
          <w:trHeight w:val="164"/>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540" w:type="dxa"/>
            <w:vAlign w:val="bottom"/>
            <w:tcBorders>
              <w:top w:val="single" w:sz="8" w:color="0000FF"/>
              <w:bottom w:val="single" w:sz="8" w:color="0000FF"/>
            </w:tcBorders>
            <w:gridSpan w:val="18"/>
          </w:tcPr>
          <w:p>
            <w:pPr>
              <w:spacing w:after="0" w:line="164" w:lineRule="exact"/>
              <w:rPr>
                <w:rFonts w:ascii="Times New Roman" w:cs="Times New Roman" w:eastAsia="Times New Roman" w:hAnsi="Times New Roman"/>
                <w:sz w:val="18"/>
                <w:szCs w:val="18"/>
                <w:color w:val="0000FF"/>
                <w:w w:val="97"/>
              </w:rPr>
            </w:pPr>
            <w:hyperlink r:id="rId109">
              <w:r>
                <w:rPr>
                  <w:rFonts w:ascii="Times New Roman" w:cs="Times New Roman" w:eastAsia="Times New Roman" w:hAnsi="Times New Roman"/>
                  <w:sz w:val="18"/>
                  <w:szCs w:val="18"/>
                  <w:color w:val="0000FF"/>
                  <w:w w:val="97"/>
                </w:rPr>
                <w:t>Shop Holdings, Inc. – incorporated by reference to Exhibit 10.2 to the Company’s Quarterly Report on Form 10-Q for the quarter ended</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560" w:type="dxa"/>
            <w:vAlign w:val="bottom"/>
            <w:gridSpan w:val="19"/>
          </w:tcPr>
          <w:p>
            <w:pPr>
              <w:spacing w:after="0" w:line="164"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June 30, 2024.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020" w:type="dxa"/>
            <w:vAlign w:val="bottom"/>
            <w:gridSpan w:val="6"/>
            <w:shd w:val="clear" w:color="auto" w:fill="CCEEFF"/>
          </w:tcPr>
          <w:p>
            <w:pPr>
              <w:jc w:val="center"/>
              <w:ind w:left="252"/>
              <w:spacing w:after="0" w:line="157" w:lineRule="exact"/>
              <w:rPr>
                <w:rFonts w:ascii="Times New Roman" w:cs="Times New Roman" w:eastAsia="Times New Roman" w:hAnsi="Times New Roman"/>
                <w:sz w:val="18"/>
                <w:szCs w:val="18"/>
                <w:color w:val="0000FF"/>
                <w:w w:val="96"/>
              </w:rPr>
            </w:pPr>
            <w:hyperlink r:id="rId110">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22*</w:t>
              </w:r>
            </w:hyperlink>
          </w:p>
        </w:tc>
        <w:tc>
          <w:tcPr>
            <w:tcW w:w="380" w:type="dxa"/>
            <w:vAlign w:val="bottom"/>
            <w:tcBorders>
              <w:right w:val="single" w:sz="8" w:color="CCEEFF"/>
            </w:tcBorders>
            <w:shd w:val="clear" w:color="auto" w:fill="CCEEFF"/>
          </w:tcPr>
          <w:p>
            <w:pPr>
              <w:spacing w:after="0"/>
              <w:rPr>
                <w:sz w:val="13"/>
                <w:szCs w:val="13"/>
                <w:color w:val="auto"/>
              </w:rPr>
            </w:pPr>
          </w:p>
        </w:tc>
        <w:tc>
          <w:tcPr>
            <w:tcW w:w="9840" w:type="dxa"/>
            <w:vAlign w:val="bottom"/>
            <w:gridSpan w:val="28"/>
            <w:shd w:val="clear" w:color="auto" w:fill="CCEEFF"/>
          </w:tcPr>
          <w:p>
            <w:pPr>
              <w:spacing w:after="0" w:line="157" w:lineRule="exact"/>
              <w:rPr>
                <w:rFonts w:ascii="Times New Roman" w:cs="Times New Roman" w:eastAsia="Times New Roman" w:hAnsi="Times New Roman"/>
                <w:sz w:val="18"/>
                <w:szCs w:val="18"/>
                <w:color w:val="0000FF"/>
                <w:w w:val="98"/>
              </w:rPr>
            </w:pPr>
            <w:hyperlink r:id="rId110">
              <w:r>
                <w:rPr>
                  <w:rFonts w:ascii="Times New Roman" w:cs="Times New Roman" w:eastAsia="Times New Roman" w:hAnsi="Times New Roman"/>
                  <w:sz w:val="18"/>
                  <w:szCs w:val="18"/>
                  <w:color w:val="0000FF"/>
                  <w:w w:val="98"/>
                </w:rPr>
                <w:t>Nondisclosure, Confidentiality, Assignment and Noncompetition Agreement, dated July 22, 2024, by and between Joseph Kinder and Tile</w:t>
              </w:r>
            </w:hyperlink>
          </w:p>
        </w:tc>
        <w:tc>
          <w:tcPr>
            <w:tcW w:w="0" w:type="dxa"/>
            <w:vAlign w:val="bottom"/>
          </w:tcPr>
          <w:p>
            <w:pPr>
              <w:spacing w:after="0"/>
              <w:rPr>
                <w:sz w:val="1"/>
                <w:szCs w:val="1"/>
                <w:color w:val="auto"/>
              </w:rPr>
            </w:pPr>
          </w:p>
        </w:tc>
      </w:tr>
      <w:tr>
        <w:trPr>
          <w:trHeight w:val="164"/>
        </w:trPr>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right w:val="single" w:sz="8" w:color="CCEEFF"/>
            </w:tcBorders>
            <w:shd w:val="clear" w:color="auto" w:fill="CCEEFF"/>
          </w:tcPr>
          <w:p>
            <w:pPr>
              <w:spacing w:after="0"/>
              <w:rPr>
                <w:sz w:val="14"/>
                <w:szCs w:val="14"/>
                <w:color w:val="auto"/>
              </w:rPr>
            </w:pPr>
          </w:p>
        </w:tc>
        <w:tc>
          <w:tcPr>
            <w:tcW w:w="9720" w:type="dxa"/>
            <w:vAlign w:val="bottom"/>
            <w:tcBorders>
              <w:top w:val="single" w:sz="8" w:color="0000FF"/>
            </w:tcBorders>
            <w:gridSpan w:val="27"/>
            <w:shd w:val="clear" w:color="auto" w:fill="CCEEFF"/>
          </w:tcPr>
          <w:p>
            <w:pPr>
              <w:spacing w:after="0" w:line="164" w:lineRule="exact"/>
              <w:rPr>
                <w:rFonts w:ascii="Times New Roman" w:cs="Times New Roman" w:eastAsia="Times New Roman" w:hAnsi="Times New Roman"/>
                <w:sz w:val="18"/>
                <w:szCs w:val="18"/>
                <w:color w:val="0000FF"/>
                <w:w w:val="98"/>
              </w:rPr>
            </w:pPr>
            <w:hyperlink r:id="rId110">
              <w:r>
                <w:rPr>
                  <w:rFonts w:ascii="Times New Roman" w:cs="Times New Roman" w:eastAsia="Times New Roman" w:hAnsi="Times New Roman"/>
                  <w:sz w:val="18"/>
                  <w:szCs w:val="18"/>
                  <w:color w:val="0000FF"/>
                  <w:w w:val="98"/>
                </w:rPr>
                <w:t>Shop Holdings, Inc. – incorporated by reference to Exhibit 10.3 to the Company’s Quarterly Report on Form 10-Q for the quarter ended</w:t>
              </w:r>
            </w:hyperlink>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right w:val="single" w:sz="8" w:color="CCEEFF"/>
            </w:tcBorders>
            <w:shd w:val="clear" w:color="auto" w:fill="CCEEFF"/>
          </w:tcPr>
          <w:p>
            <w:pPr>
              <w:spacing w:after="0"/>
              <w:rPr>
                <w:sz w:val="14"/>
                <w:szCs w:val="14"/>
                <w:color w:val="auto"/>
              </w:rPr>
            </w:pPr>
          </w:p>
        </w:tc>
        <w:tc>
          <w:tcPr>
            <w:tcW w:w="9560" w:type="dxa"/>
            <w:vAlign w:val="bottom"/>
            <w:tcBorders>
              <w:top w:val="single" w:sz="8" w:color="0000FF"/>
            </w:tcBorders>
            <w:gridSpan w:val="19"/>
            <w:shd w:val="clear" w:color="auto" w:fill="CCEEFF"/>
          </w:tcPr>
          <w:p>
            <w:pPr>
              <w:spacing w:after="0" w:line="164"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June 30, 2024.</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400" w:type="dxa"/>
            <w:vAlign w:val="bottom"/>
            <w:gridSpan w:val="7"/>
          </w:tcPr>
          <w:p>
            <w:pPr>
              <w:jc w:val="center"/>
              <w:ind w:right="20"/>
              <w:spacing w:after="0" w:line="157" w:lineRule="exact"/>
              <w:rPr>
                <w:rFonts w:ascii="Times New Roman" w:cs="Times New Roman" w:eastAsia="Times New Roman" w:hAnsi="Times New Roman"/>
                <w:sz w:val="18"/>
                <w:szCs w:val="18"/>
                <w:color w:val="0000FF"/>
                <w:w w:val="97"/>
              </w:rPr>
            </w:pPr>
            <w:hyperlink r:id="rId111">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23***</w:t>
              </w:r>
            </w:hyperlink>
          </w:p>
        </w:tc>
        <w:tc>
          <w:tcPr>
            <w:tcW w:w="9840" w:type="dxa"/>
            <w:vAlign w:val="bottom"/>
            <w:gridSpan w:val="28"/>
          </w:tcPr>
          <w:p>
            <w:pPr>
              <w:spacing w:after="0" w:line="157"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Credit Agreement, dated as of September 30, 2022, by and among The Tile Shop, LLC, as borrower and loan party, Tile Shop Holdings,</w:t>
              </w:r>
            </w:hyperlink>
          </w:p>
        </w:tc>
        <w:tc>
          <w:tcPr>
            <w:tcW w:w="0" w:type="dxa"/>
            <w:vAlign w:val="bottom"/>
          </w:tcPr>
          <w:p>
            <w:pPr>
              <w:spacing w:after="0"/>
              <w:rPr>
                <w:sz w:val="1"/>
                <w:szCs w:val="1"/>
                <w:color w:val="auto"/>
              </w:rPr>
            </w:pPr>
          </w:p>
        </w:tc>
      </w:tr>
      <w:tr>
        <w:trPr>
          <w:trHeight w:val="164"/>
        </w:trPr>
        <w:tc>
          <w:tcPr>
            <w:tcW w:w="36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9480" w:type="dxa"/>
            <w:vAlign w:val="bottom"/>
            <w:tcBorders>
              <w:top w:val="single" w:sz="8" w:color="0000FF"/>
              <w:bottom w:val="single" w:sz="8" w:color="0000FF"/>
            </w:tcBorders>
            <w:gridSpan w:val="17"/>
          </w:tcPr>
          <w:p>
            <w:pPr>
              <w:spacing w:after="0" w:line="164" w:lineRule="exact"/>
              <w:rPr>
                <w:rFonts w:ascii="Times New Roman" w:cs="Times New Roman" w:eastAsia="Times New Roman" w:hAnsi="Times New Roman"/>
                <w:sz w:val="18"/>
                <w:szCs w:val="18"/>
                <w:color w:val="0000FF"/>
                <w:w w:val="97"/>
              </w:rPr>
            </w:pPr>
            <w:hyperlink r:id="rId111">
              <w:r>
                <w:rPr>
                  <w:rFonts w:ascii="Times New Roman" w:cs="Times New Roman" w:eastAsia="Times New Roman" w:hAnsi="Times New Roman"/>
                  <w:sz w:val="18"/>
                  <w:szCs w:val="18"/>
                  <w:color w:val="0000FF"/>
                  <w:w w:val="97"/>
                </w:rPr>
                <w:t>Inc., Tile Shop Lending, Inc., and The Tile Shop of Michigan, LLC, as guarantors and loan parties, each lender from time to time party</w:t>
              </w:r>
            </w:hyperlink>
          </w:p>
        </w:tc>
        <w:tc>
          <w:tcPr>
            <w:tcW w:w="10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40" w:type="dxa"/>
            <w:vAlign w:val="bottom"/>
            <w:gridSpan w:val="28"/>
          </w:tcPr>
          <w:p>
            <w:pPr>
              <w:spacing w:after="0" w:line="164"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thereto, and JPMorgan Chase Bank, N.A., as administrative agent, sole bookrunner and sole lead arranger – incorporated by reference to</w:t>
              </w:r>
            </w:hyperlink>
          </w:p>
        </w:tc>
        <w:tc>
          <w:tcPr>
            <w:tcW w:w="0" w:type="dxa"/>
            <w:vAlign w:val="bottom"/>
          </w:tcPr>
          <w:p>
            <w:pPr>
              <w:spacing w:after="0"/>
              <w:rPr>
                <w:sz w:val="1"/>
                <w:szCs w:val="1"/>
                <w:color w:val="auto"/>
              </w:rPr>
            </w:pPr>
          </w:p>
        </w:tc>
      </w:tr>
      <w:tr>
        <w:trPr>
          <w:trHeight w:val="164"/>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0" w:type="dxa"/>
            <w:vAlign w:val="bottom"/>
            <w:tcBorders>
              <w:top w:val="single" w:sz="8" w:color="0000FF"/>
            </w:tcBorders>
            <w:gridSpan w:val="21"/>
          </w:tcPr>
          <w:p>
            <w:pPr>
              <w:spacing w:after="0" w:line="164"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Exhibit 10.1 to the Company’s Current Report on Form 8-K filed September 30, 2022.</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54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400" w:type="dxa"/>
            <w:vAlign w:val="bottom"/>
            <w:tcBorders>
              <w:right w:val="single" w:sz="8" w:color="CCEEFF"/>
            </w:tcBorders>
            <w:gridSpan w:val="7"/>
            <w:shd w:val="clear" w:color="auto" w:fill="CCEEFF"/>
          </w:tcPr>
          <w:p>
            <w:pPr>
              <w:jc w:val="center"/>
              <w:ind w:right="20"/>
              <w:spacing w:after="0" w:line="168" w:lineRule="exact"/>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24***</w:t>
              </w:r>
            </w:hyperlink>
          </w:p>
        </w:tc>
        <w:tc>
          <w:tcPr>
            <w:tcW w:w="9840" w:type="dxa"/>
            <w:vAlign w:val="bottom"/>
            <w:gridSpan w:val="28"/>
            <w:shd w:val="clear" w:color="auto" w:fill="CCEEFF"/>
          </w:tcPr>
          <w:p>
            <w:pPr>
              <w:spacing w:after="0" w:line="168" w:lineRule="exact"/>
              <w:rPr>
                <w:rFonts w:ascii="Times New Roman" w:cs="Times New Roman" w:eastAsia="Times New Roman" w:hAnsi="Times New Roman"/>
                <w:sz w:val="18"/>
                <w:szCs w:val="18"/>
                <w:color w:val="0000FF"/>
                <w:w w:val="98"/>
              </w:rPr>
            </w:pPr>
            <w:hyperlink r:id="rId112">
              <w:r>
                <w:rPr>
                  <w:rFonts w:ascii="Times New Roman" w:cs="Times New Roman" w:eastAsia="Times New Roman" w:hAnsi="Times New Roman"/>
                  <w:sz w:val="18"/>
                  <w:szCs w:val="18"/>
                  <w:color w:val="0000FF"/>
                  <w:w w:val="98"/>
                </w:rPr>
                <w:t>Pledge and Security Agreement, dated as of September 30, 2022, by and among The Tile Shop, LLC, Tile Shop Holdings, Inc., Tile Shop</w:t>
              </w:r>
            </w:hyperlink>
          </w:p>
        </w:tc>
        <w:tc>
          <w:tcPr>
            <w:tcW w:w="0" w:type="dxa"/>
            <w:vAlign w:val="bottom"/>
          </w:tcPr>
          <w:p>
            <w:pPr>
              <w:spacing w:after="0"/>
              <w:rPr>
                <w:sz w:val="1"/>
                <w:szCs w:val="1"/>
                <w:color w:val="auto"/>
              </w:rPr>
            </w:pPr>
          </w:p>
        </w:tc>
      </w:tr>
      <w:tr>
        <w:trPr>
          <w:trHeight w:val="164"/>
        </w:trPr>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30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38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9680" w:type="dxa"/>
            <w:vAlign w:val="bottom"/>
            <w:tcBorders>
              <w:top w:val="single" w:sz="8" w:color="0000FF"/>
              <w:bottom w:val="single" w:sz="8" w:color="0000FF"/>
            </w:tcBorders>
            <w:gridSpan w:val="25"/>
            <w:shd w:val="clear" w:color="auto" w:fill="CCEEFF"/>
          </w:tcPr>
          <w:p>
            <w:pPr>
              <w:spacing w:after="0" w:line="164" w:lineRule="exact"/>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Lending, Inc., and The Tile Shop of Michigan, LLC, as grantors, and JPMorgan Chase Bank, N.A., as administrative agent – incorporated</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9700" w:type="dxa"/>
            <w:vAlign w:val="bottom"/>
            <w:gridSpan w:val="26"/>
            <w:shd w:val="clear" w:color="auto" w:fill="CCEEFF"/>
          </w:tcPr>
          <w:p>
            <w:pPr>
              <w:spacing w:after="0" w:line="164"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by reference to Exhibit 10.2 to the Company’s Current Report on Form 8-K filed September 30, 2022.</w:t>
              </w:r>
            </w:hyperlink>
          </w:p>
        </w:tc>
        <w:tc>
          <w:tcPr>
            <w:tcW w:w="1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54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920" w:type="dxa"/>
            <w:vAlign w:val="bottom"/>
            <w:gridSpan w:val="5"/>
          </w:tcPr>
          <w:p>
            <w:pPr>
              <w:jc w:val="center"/>
              <w:ind w:left="372"/>
              <w:spacing w:after="0" w:line="157" w:lineRule="exact"/>
              <w:rPr>
                <w:rFonts w:ascii="Times New Roman" w:cs="Times New Roman" w:eastAsia="Times New Roman" w:hAnsi="Times New Roman"/>
                <w:sz w:val="18"/>
                <w:szCs w:val="18"/>
                <w:color w:val="0000FF"/>
                <w:w w:val="95"/>
              </w:rPr>
            </w:pPr>
            <w:hyperlink r:id="rId113">
              <w:r>
                <w:rPr>
                  <w:rFonts w:ascii="Times New Roman" w:cs="Times New Roman" w:eastAsia="Times New Roman" w:hAnsi="Times New Roman"/>
                  <w:sz w:val="18"/>
                  <w:szCs w:val="18"/>
                  <w:color w:val="0000FF"/>
                  <w:w w:val="95"/>
                </w:rPr>
                <w:t>16.</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40" w:type="dxa"/>
            <w:vAlign w:val="bottom"/>
            <w:gridSpan w:val="28"/>
          </w:tcPr>
          <w:p>
            <w:pPr>
              <w:spacing w:after="0" w:line="157"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Letter from Ernst &amp; Young LLP to the Securities and Exchange Commission, dated May 25, 2023 – incorporated by reference to Exhibit</w:t>
              </w:r>
            </w:hyperlink>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60" w:type="dxa"/>
            <w:vAlign w:val="bottom"/>
            <w:tcBorders>
              <w:top w:val="single" w:sz="8" w:color="0000FF"/>
              <w:bottom w:val="single" w:sz="8" w:color="0000FF"/>
            </w:tcBorders>
            <w:gridSpan w:val="5"/>
          </w:tcPr>
          <w:p>
            <w:pPr>
              <w:spacing w:after="0" w:line="164" w:lineRule="exact"/>
              <w:rPr>
                <w:rFonts w:ascii="Times New Roman" w:cs="Times New Roman" w:eastAsia="Times New Roman" w:hAnsi="Times New Roman"/>
                <w:sz w:val="18"/>
                <w:szCs w:val="18"/>
                <w:color w:val="0000FF"/>
                <w:w w:val="96"/>
              </w:rPr>
            </w:pPr>
            <w:hyperlink r:id="rId113">
              <w:r>
                <w:rPr>
                  <w:rFonts w:ascii="Times New Roman" w:cs="Times New Roman" w:eastAsia="Times New Roman" w:hAnsi="Times New Roman"/>
                  <w:sz w:val="18"/>
                  <w:szCs w:val="18"/>
                  <w:color w:val="0000FF"/>
                  <w:w w:val="96"/>
                </w:rPr>
                <w:t>16.</w:t>
              </w:r>
              <w:r>
                <w:rPr>
                  <w:rFonts w:ascii="Times New Roman" w:cs="Times New Roman" w:eastAsia="Times New Roman" w:hAnsi="Times New Roman"/>
                  <w:sz w:val="18"/>
                  <w:szCs w:val="18"/>
                  <w:u w:val="single" w:color="auto"/>
                  <w:color w:val="0000FF"/>
                  <w:w w:val="96"/>
                </w:rPr>
                <w:t>1</w:t>
              </w:r>
              <w:r>
                <w:rPr>
                  <w:rFonts w:ascii="Times New Roman" w:cs="Times New Roman" w:eastAsia="Times New Roman" w:hAnsi="Times New Roman"/>
                  <w:sz w:val="18"/>
                  <w:szCs w:val="18"/>
                  <w:color w:val="0000FF"/>
                  <w:w w:val="96"/>
                </w:rPr>
                <w:t xml:space="preserve"> to the Company’s Current Report on Form 8-K filed May 25, 2023.</w:t>
              </w:r>
            </w:hyperlink>
          </w:p>
        </w:tc>
        <w:tc>
          <w:tcPr>
            <w:tcW w:w="4600" w:type="dxa"/>
            <w:vAlign w:val="bottom"/>
            <w:tcBorders>
              <w:top w:val="single" w:sz="8" w:color="0000FF"/>
            </w:tcBorders>
            <w:gridSpan w:val="19"/>
          </w:tcPr>
          <w:p>
            <w:pPr>
              <w:spacing w:after="0"/>
              <w:rPr>
                <w:sz w:val="14"/>
                <w:szCs w:val="14"/>
                <w:color w:val="auto"/>
              </w:rPr>
            </w:pPr>
          </w:p>
        </w:tc>
        <w:tc>
          <w:tcPr>
            <w:tcW w:w="1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20" w:type="dxa"/>
            <w:vAlign w:val="bottom"/>
            <w:gridSpan w:val="5"/>
            <w:shd w:val="clear" w:color="auto" w:fill="CCEEFF"/>
          </w:tcPr>
          <w:p>
            <w:pPr>
              <w:jc w:val="center"/>
              <w:ind w:left="372"/>
              <w:spacing w:after="0" w:line="157" w:lineRule="exact"/>
              <w:rPr>
                <w:rFonts w:ascii="Times New Roman" w:cs="Times New Roman" w:eastAsia="Times New Roman" w:hAnsi="Times New Roman"/>
                <w:sz w:val="18"/>
                <w:szCs w:val="18"/>
                <w:color w:val="0000FF"/>
                <w:w w:val="95"/>
              </w:rPr>
            </w:pPr>
            <w:hyperlink r:id="rId114">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hyperlink>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9840" w:type="dxa"/>
            <w:vAlign w:val="bottom"/>
            <w:gridSpan w:val="28"/>
            <w:shd w:val="clear" w:color="auto" w:fill="CCEEFF"/>
          </w:tcPr>
          <w:p>
            <w:pPr>
              <w:spacing w:after="0" w:line="157"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Tile Shop Holdings, Inc. Insider Trading Policy (last amended February 28, 2023) – incorporated by reference to Exhibit 19.1 to the</w:t>
              </w:r>
            </w:hyperlink>
          </w:p>
        </w:tc>
        <w:tc>
          <w:tcPr>
            <w:tcW w:w="0" w:type="dxa"/>
            <w:vAlign w:val="bottom"/>
          </w:tcPr>
          <w:p>
            <w:pPr>
              <w:spacing w:after="0"/>
              <w:rPr>
                <w:sz w:val="1"/>
                <w:szCs w:val="1"/>
                <w:color w:val="auto"/>
              </w:rPr>
            </w:pPr>
          </w:p>
        </w:tc>
      </w:tr>
      <w:tr>
        <w:trPr>
          <w:trHeight w:val="164"/>
        </w:trPr>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right w:val="single" w:sz="8" w:color="CCEEFF"/>
            </w:tcBorders>
            <w:shd w:val="clear" w:color="auto" w:fill="CCEEFF"/>
          </w:tcPr>
          <w:p>
            <w:pPr>
              <w:spacing w:after="0"/>
              <w:rPr>
                <w:sz w:val="14"/>
                <w:szCs w:val="14"/>
                <w:color w:val="auto"/>
              </w:rPr>
            </w:pPr>
          </w:p>
        </w:tc>
        <w:tc>
          <w:tcPr>
            <w:tcW w:w="9300" w:type="dxa"/>
            <w:vAlign w:val="bottom"/>
            <w:tcBorders>
              <w:top w:val="single" w:sz="8" w:color="0000FF"/>
            </w:tcBorders>
            <w:gridSpan w:val="15"/>
            <w:shd w:val="clear" w:color="auto" w:fill="CCEEFF"/>
          </w:tcPr>
          <w:p>
            <w:pPr>
              <w:spacing w:after="0" w:line="164"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Company’s Annual Report on Form 10-K for the year ended December 31, 2023.</w:t>
              </w:r>
            </w:hyperlink>
          </w:p>
        </w:tc>
        <w:tc>
          <w:tcPr>
            <w:tcW w:w="340" w:type="dxa"/>
            <w:vAlign w:val="bottom"/>
            <w:tcBorders>
              <w:top w:val="single" w:sz="8" w:color="CCEEFF"/>
            </w:tcBorders>
            <w:gridSpan w:val="8"/>
            <w:shd w:val="clear" w:color="auto" w:fill="CCEEFF"/>
          </w:tcPr>
          <w:p>
            <w:pPr>
              <w:spacing w:after="0"/>
              <w:rPr>
                <w:sz w:val="14"/>
                <w:szCs w:val="14"/>
                <w:color w:val="auto"/>
              </w:rPr>
            </w:pPr>
          </w:p>
        </w:tc>
        <w:tc>
          <w:tcPr>
            <w:tcW w:w="200" w:type="dxa"/>
            <w:vAlign w:val="bottom"/>
            <w:tcBorders>
              <w:top w:val="single" w:sz="8" w:color="CCEEFF"/>
            </w:tcBorders>
            <w:gridSpan w:val="5"/>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54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40" w:type="dxa"/>
            <w:vAlign w:val="bottom"/>
            <w:tcBorders>
              <w:right w:val="single" w:sz="8" w:color="CCEEFF"/>
            </w:tcBorders>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920" w:type="dxa"/>
            <w:vAlign w:val="bottom"/>
            <w:gridSpan w:val="5"/>
          </w:tcPr>
          <w:p>
            <w:pPr>
              <w:jc w:val="center"/>
              <w:ind w:left="372"/>
              <w:spacing w:after="0" w:line="157" w:lineRule="exact"/>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40" w:type="dxa"/>
            <w:vAlign w:val="bottom"/>
            <w:gridSpan w:val="28"/>
          </w:tcPr>
          <w:p>
            <w:pPr>
              <w:spacing w:after="0" w:line="157" w:lineRule="exact"/>
              <w:rPr>
                <w:sz w:val="20"/>
                <w:szCs w:val="20"/>
                <w:color w:val="auto"/>
              </w:rPr>
            </w:pPr>
            <w:r>
              <w:rPr>
                <w:rFonts w:ascii="Times New Roman" w:cs="Times New Roman" w:eastAsia="Times New Roman" w:hAnsi="Times New Roman"/>
                <w:sz w:val="18"/>
                <w:szCs w:val="18"/>
                <w:color w:val="0000FF"/>
              </w:rPr>
              <w:t>Subsidiaries of Tile Shop Holdings, Inc. – filed herewith.</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540" w:type="dxa"/>
            <w:vAlign w:val="bottom"/>
            <w:shd w:val="clear" w:color="auto" w:fill="0000FF"/>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920" w:type="dxa"/>
            <w:vAlign w:val="bottom"/>
            <w:gridSpan w:val="5"/>
            <w:shd w:val="clear" w:color="auto" w:fill="CCEEFF"/>
          </w:tcPr>
          <w:p>
            <w:pPr>
              <w:jc w:val="center"/>
              <w:ind w:left="372"/>
              <w:spacing w:after="0" w:line="157" w:lineRule="exact"/>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9840" w:type="dxa"/>
            <w:vAlign w:val="bottom"/>
            <w:gridSpan w:val="28"/>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Consent of RSM US LLP, independent registered public accounting firm – filed herewith.</w:t>
            </w:r>
          </w:p>
        </w:tc>
        <w:tc>
          <w:tcPr>
            <w:tcW w:w="0" w:type="dxa"/>
            <w:vAlign w:val="bottom"/>
          </w:tcPr>
          <w:p>
            <w:pPr>
              <w:spacing w:after="0"/>
              <w:rPr>
                <w:sz w:val="1"/>
                <w:szCs w:val="1"/>
                <w:color w:val="auto"/>
              </w:rPr>
            </w:pPr>
          </w:p>
        </w:tc>
      </w:tr>
      <w:tr>
        <w:trPr>
          <w:trHeight w:val="26"/>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54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920" w:type="dxa"/>
            <w:vAlign w:val="bottom"/>
            <w:gridSpan w:val="5"/>
          </w:tcPr>
          <w:p>
            <w:pPr>
              <w:jc w:val="center"/>
              <w:ind w:left="372"/>
              <w:spacing w:after="0" w:line="157" w:lineRule="exact"/>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40" w:type="dxa"/>
            <w:vAlign w:val="bottom"/>
            <w:gridSpan w:val="28"/>
          </w:tcPr>
          <w:p>
            <w:pPr>
              <w:spacing w:after="0" w:line="157" w:lineRule="exact"/>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 – filed herewith.</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54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920" w:type="dxa"/>
            <w:vAlign w:val="bottom"/>
            <w:gridSpan w:val="5"/>
            <w:shd w:val="clear" w:color="auto" w:fill="CCEEFF"/>
          </w:tcPr>
          <w:p>
            <w:pPr>
              <w:jc w:val="center"/>
              <w:ind w:left="372"/>
              <w:spacing w:after="0" w:line="157" w:lineRule="exact"/>
              <w:rPr>
                <w:sz w:val="20"/>
                <w:szCs w:val="20"/>
                <w:color w:val="auto"/>
              </w:rPr>
            </w:pPr>
            <w:r>
              <w:rPr>
                <w:rFonts w:ascii="Times New Roman" w:cs="Times New Roman" w:eastAsia="Times New Roman" w:hAnsi="Times New Roman"/>
                <w:sz w:val="18"/>
                <w:szCs w:val="18"/>
                <w:color w:val="0000FF"/>
                <w:w w:val="95"/>
              </w:rPr>
              <w:t>24.</w:t>
            </w:r>
            <w:r>
              <w:rPr>
                <w:rFonts w:ascii="Times New Roman" w:cs="Times New Roman" w:eastAsia="Times New Roman" w:hAnsi="Times New Roman"/>
                <w:sz w:val="18"/>
                <w:szCs w:val="18"/>
                <w:u w:val="single" w:color="auto"/>
                <w:color w:val="0000FF"/>
                <w:w w:val="95"/>
              </w:rPr>
              <w:t>1</w:t>
            </w: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9840" w:type="dxa"/>
            <w:vAlign w:val="bottom"/>
            <w:gridSpan w:val="28"/>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Power of Attorney (included on the “Signatures” page of this Annual Report on Form 10-K) – filed herewith.</w:t>
            </w:r>
          </w:p>
        </w:tc>
        <w:tc>
          <w:tcPr>
            <w:tcW w:w="0" w:type="dxa"/>
            <w:vAlign w:val="bottom"/>
          </w:tcPr>
          <w:p>
            <w:pPr>
              <w:spacing w:after="0"/>
              <w:rPr>
                <w:sz w:val="1"/>
                <w:szCs w:val="1"/>
                <w:color w:val="auto"/>
              </w:rPr>
            </w:pPr>
          </w:p>
        </w:tc>
      </w:tr>
      <w:tr>
        <w:trPr>
          <w:trHeight w:val="26"/>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54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920" w:type="dxa"/>
            <w:vAlign w:val="bottom"/>
            <w:gridSpan w:val="5"/>
          </w:tcPr>
          <w:p>
            <w:pPr>
              <w:jc w:val="center"/>
              <w:ind w:left="372"/>
              <w:spacing w:after="0" w:line="157"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40" w:type="dxa"/>
            <w:vAlign w:val="bottom"/>
            <w:gridSpan w:val="28"/>
          </w:tcPr>
          <w:p>
            <w:pPr>
              <w:spacing w:after="0" w:line="157" w:lineRule="exact"/>
              <w:rPr>
                <w:sz w:val="20"/>
                <w:szCs w:val="20"/>
                <w:color w:val="auto"/>
              </w:rPr>
            </w:pPr>
            <w:r>
              <w:rPr>
                <w:rFonts w:ascii="Times New Roman" w:cs="Times New Roman" w:eastAsia="Times New Roman" w:hAnsi="Times New Roman"/>
                <w:sz w:val="18"/>
                <w:szCs w:val="18"/>
                <w:color w:val="0000FF"/>
              </w:rPr>
              <w:t>Certification by Chief Executive Officer Pursuant to Section 302 of the Sarbanes-Oxley Act of 2002 – filed herewith.</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54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920" w:type="dxa"/>
            <w:vAlign w:val="bottom"/>
            <w:gridSpan w:val="5"/>
            <w:shd w:val="clear" w:color="auto" w:fill="CCEEFF"/>
          </w:tcPr>
          <w:p>
            <w:pPr>
              <w:jc w:val="center"/>
              <w:ind w:left="372"/>
              <w:spacing w:after="0" w:line="157"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9840" w:type="dxa"/>
            <w:vAlign w:val="bottom"/>
            <w:gridSpan w:val="28"/>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Certification by Chief Financial Officer Pursuant to Section 302 of the Sarbanes-Oxley Act of 2002 – filed herewith.</w:t>
            </w:r>
          </w:p>
        </w:tc>
        <w:tc>
          <w:tcPr>
            <w:tcW w:w="0" w:type="dxa"/>
            <w:vAlign w:val="bottom"/>
          </w:tcPr>
          <w:p>
            <w:pPr>
              <w:spacing w:after="0"/>
              <w:rPr>
                <w:sz w:val="1"/>
                <w:szCs w:val="1"/>
                <w:color w:val="auto"/>
              </w:rPr>
            </w:pPr>
          </w:p>
        </w:tc>
      </w:tr>
      <w:tr>
        <w:trPr>
          <w:trHeight w:val="26"/>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54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60" w:type="dxa"/>
            <w:vAlign w:val="bottom"/>
            <w:tcBorders>
              <w:right w:val="single" w:sz="8" w:color="CCEEFF"/>
            </w:tcBorders>
            <w:shd w:val="clear" w:color="auto" w:fill="0000FF"/>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440" w:type="dxa"/>
            <w:vAlign w:val="bottom"/>
            <w:gridSpan w:val="2"/>
          </w:tcPr>
          <w:p>
            <w:pPr>
              <w:spacing w:after="0"/>
              <w:rPr>
                <w:sz w:val="13"/>
                <w:szCs w:val="13"/>
                <w:color w:val="auto"/>
              </w:rPr>
            </w:pPr>
          </w:p>
        </w:tc>
        <w:tc>
          <w:tcPr>
            <w:tcW w:w="580" w:type="dxa"/>
            <w:vAlign w:val="bottom"/>
            <w:gridSpan w:val="4"/>
          </w:tcPr>
          <w:p>
            <w:pPr>
              <w:jc w:val="center"/>
              <w:ind w:right="100"/>
              <w:spacing w:after="0" w:line="157" w:lineRule="exact"/>
              <w:rPr>
                <w:sz w:val="20"/>
                <w:szCs w:val="20"/>
                <w:color w:val="auto"/>
              </w:rPr>
            </w:pPr>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1**</w:t>
            </w:r>
          </w:p>
        </w:tc>
        <w:tc>
          <w:tcPr>
            <w:tcW w:w="380" w:type="dxa"/>
            <w:vAlign w:val="bottom"/>
          </w:tcPr>
          <w:p>
            <w:pPr>
              <w:spacing w:after="0"/>
              <w:rPr>
                <w:sz w:val="13"/>
                <w:szCs w:val="13"/>
                <w:color w:val="auto"/>
              </w:rPr>
            </w:pPr>
          </w:p>
        </w:tc>
        <w:tc>
          <w:tcPr>
            <w:tcW w:w="9840" w:type="dxa"/>
            <w:vAlign w:val="bottom"/>
            <w:gridSpan w:val="28"/>
          </w:tcPr>
          <w:p>
            <w:pPr>
              <w:spacing w:after="0" w:line="157" w:lineRule="exact"/>
              <w:rPr>
                <w:sz w:val="20"/>
                <w:szCs w:val="20"/>
                <w:color w:val="auto"/>
              </w:rPr>
            </w:pPr>
            <w:r>
              <w:rPr>
                <w:rFonts w:ascii="Times New Roman" w:cs="Times New Roman" w:eastAsia="Times New Roman" w:hAnsi="Times New Roman"/>
                <w:sz w:val="18"/>
                <w:szCs w:val="18"/>
                <w:color w:val="0000FF"/>
              </w:rPr>
              <w:t>Certification by Chief Executive Officer Pursuant to Section 906 of the Sarbanes-Oxley Act of 2002 – furnished herewith.</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54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440" w:type="dxa"/>
            <w:vAlign w:val="bottom"/>
            <w:gridSpan w:val="2"/>
            <w:shd w:val="clear" w:color="auto" w:fill="CCEEFF"/>
          </w:tcPr>
          <w:p>
            <w:pPr>
              <w:spacing w:after="0"/>
              <w:rPr>
                <w:sz w:val="13"/>
                <w:szCs w:val="13"/>
                <w:color w:val="auto"/>
              </w:rPr>
            </w:pPr>
          </w:p>
        </w:tc>
        <w:tc>
          <w:tcPr>
            <w:tcW w:w="580" w:type="dxa"/>
            <w:vAlign w:val="bottom"/>
            <w:gridSpan w:val="4"/>
            <w:shd w:val="clear" w:color="auto" w:fill="CCEEFF"/>
          </w:tcPr>
          <w:p>
            <w:pPr>
              <w:jc w:val="center"/>
              <w:ind w:right="100"/>
              <w:spacing w:after="0" w:line="157" w:lineRule="exact"/>
              <w:rPr>
                <w:sz w:val="20"/>
                <w:szCs w:val="20"/>
                <w:color w:val="auto"/>
              </w:rPr>
            </w:pPr>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2**</w:t>
            </w:r>
          </w:p>
        </w:tc>
        <w:tc>
          <w:tcPr>
            <w:tcW w:w="380" w:type="dxa"/>
            <w:vAlign w:val="bottom"/>
            <w:tcBorders>
              <w:right w:val="single" w:sz="8" w:color="CCEEFF"/>
            </w:tcBorders>
            <w:shd w:val="clear" w:color="auto" w:fill="CCEEFF"/>
          </w:tcPr>
          <w:p>
            <w:pPr>
              <w:spacing w:after="0"/>
              <w:rPr>
                <w:sz w:val="13"/>
                <w:szCs w:val="13"/>
                <w:color w:val="auto"/>
              </w:rPr>
            </w:pPr>
          </w:p>
        </w:tc>
        <w:tc>
          <w:tcPr>
            <w:tcW w:w="9840" w:type="dxa"/>
            <w:vAlign w:val="bottom"/>
            <w:gridSpan w:val="28"/>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0000FF"/>
              </w:rPr>
              <w:t>Certification by Chief Financial Officer Pursuant to Section 906 of the Sarbanes-Oxley Act of 2002 – furnished herewith.</w:t>
            </w:r>
          </w:p>
        </w:tc>
        <w:tc>
          <w:tcPr>
            <w:tcW w:w="0" w:type="dxa"/>
            <w:vAlign w:val="bottom"/>
          </w:tcPr>
          <w:p>
            <w:pPr>
              <w:spacing w:after="0"/>
              <w:rPr>
                <w:sz w:val="1"/>
                <w:szCs w:val="1"/>
                <w:color w:val="auto"/>
              </w:rPr>
            </w:pPr>
          </w:p>
        </w:tc>
      </w:tr>
      <w:tr>
        <w:trPr>
          <w:trHeight w:val="26"/>
        </w:trPr>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54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340" w:type="dxa"/>
            <w:vAlign w:val="bottom"/>
            <w:tcBorders>
              <w:right w:val="single" w:sz="8" w:color="CCEEFF"/>
            </w:tcBorders>
            <w:shd w:val="clear" w:color="auto" w:fill="0000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440" w:type="dxa"/>
            <w:vAlign w:val="bottom"/>
            <w:gridSpan w:val="2"/>
          </w:tcPr>
          <w:p>
            <w:pPr>
              <w:spacing w:after="0"/>
              <w:rPr>
                <w:sz w:val="13"/>
                <w:szCs w:val="13"/>
                <w:color w:val="auto"/>
              </w:rPr>
            </w:pPr>
          </w:p>
        </w:tc>
        <w:tc>
          <w:tcPr>
            <w:tcW w:w="480" w:type="dxa"/>
            <w:vAlign w:val="bottom"/>
            <w:gridSpan w:val="3"/>
          </w:tcPr>
          <w:p>
            <w:pPr>
              <w:jc w:val="center"/>
              <w:spacing w:after="0" w:line="157" w:lineRule="exact"/>
              <w:rPr>
                <w:rFonts w:ascii="Times New Roman" w:cs="Times New Roman" w:eastAsia="Times New Roman" w:hAnsi="Times New Roman"/>
                <w:sz w:val="18"/>
                <w:szCs w:val="18"/>
                <w:color w:val="0000FF"/>
                <w:w w:val="95"/>
              </w:rPr>
            </w:pPr>
            <w:hyperlink r:id="rId115">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40" w:type="dxa"/>
            <w:vAlign w:val="bottom"/>
            <w:gridSpan w:val="28"/>
          </w:tcPr>
          <w:p>
            <w:pPr>
              <w:spacing w:after="0" w:line="157"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Tile Shop Holdings, Inc. Compensation Recovery Policy (effective February 28, 2023) – incorporated by reference to Exhibit 97.1 to the</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460" w:type="dxa"/>
            <w:vAlign w:val="bottom"/>
            <w:tcBorders>
              <w:right w:val="single" w:sz="8" w:color="0000FF"/>
            </w:tcBorders>
            <w:gridSpan w:val="4"/>
            <w:shd w:val="clear" w:color="auto" w:fill="0000FF"/>
          </w:tcPr>
          <w:p>
            <w:pPr>
              <w:spacing w:after="0" w:line="20" w:lineRule="exact"/>
              <w:rPr>
                <w:sz w:val="1"/>
                <w:szCs w:val="1"/>
                <w:color w:val="auto"/>
              </w:rPr>
            </w:pPr>
          </w:p>
        </w:tc>
        <w:tc>
          <w:tcPr>
            <w:tcW w:w="3580" w:type="dxa"/>
            <w:vAlign w:val="bottom"/>
            <w:gridSpan w:val="8"/>
            <w:shd w:val="clear" w:color="auto" w:fill="0000FF"/>
          </w:tcPr>
          <w:p>
            <w:pPr>
              <w:spacing w:after="0" w:line="20" w:lineRule="exact"/>
              <w:rPr>
                <w:sz w:val="1"/>
                <w:szCs w:val="1"/>
                <w:color w:val="auto"/>
              </w:rPr>
            </w:pPr>
          </w:p>
        </w:tc>
        <w:tc>
          <w:tcPr>
            <w:tcW w:w="360" w:type="dxa"/>
            <w:vAlign w:val="bottom"/>
            <w:gridSpan w:val="9"/>
            <w:shd w:val="clear" w:color="auto" w:fill="0000FF"/>
          </w:tcPr>
          <w:p>
            <w:pPr>
              <w:spacing w:after="0" w:line="20" w:lineRule="exact"/>
              <w:rPr>
                <w:sz w:val="1"/>
                <w:szCs w:val="1"/>
                <w:color w:val="auto"/>
              </w:rPr>
            </w:pPr>
          </w:p>
        </w:tc>
        <w:tc>
          <w:tcPr>
            <w:tcW w:w="200" w:type="dxa"/>
            <w:vAlign w:val="bottom"/>
            <w:gridSpan w:val="5"/>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920" w:type="dxa"/>
            <w:vAlign w:val="bottom"/>
            <w:gridSpan w:val="5"/>
            <w:vMerge w:val="restart"/>
          </w:tcPr>
          <w:p>
            <w:pPr>
              <w:jc w:val="center"/>
              <w:ind w:left="372"/>
              <w:spacing w:after="0"/>
              <w:rPr>
                <w:rFonts w:ascii="Times New Roman" w:cs="Times New Roman" w:eastAsia="Times New Roman" w:hAnsi="Times New Roman"/>
                <w:sz w:val="18"/>
                <w:szCs w:val="18"/>
                <w:color w:val="0000EE"/>
                <w:w w:val="95"/>
              </w:rPr>
            </w:pPr>
            <w:hyperlink r:id="rId116">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40" w:type="dxa"/>
            <w:vAlign w:val="bottom"/>
            <w:gridSpan w:val="23"/>
          </w:tcPr>
          <w:p>
            <w:pPr>
              <w:spacing w:after="0" w:line="164"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Company’s Annual Report on Form 10-K for the year ended December 31, 2023.</w:t>
              </w:r>
            </w:hyperlink>
          </w:p>
        </w:tc>
        <w:tc>
          <w:tcPr>
            <w:tcW w:w="2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460" w:type="dxa"/>
            <w:vAlign w:val="bottom"/>
            <w:tcBorders>
              <w:right w:val="single" w:sz="8" w:color="0000EE"/>
            </w:tcBorders>
            <w:gridSpan w:val="4"/>
            <w:shd w:val="clear" w:color="auto" w:fill="0000FF"/>
          </w:tcPr>
          <w:p>
            <w:pPr>
              <w:spacing w:after="0" w:line="20" w:lineRule="exact"/>
              <w:rPr>
                <w:sz w:val="1"/>
                <w:szCs w:val="1"/>
                <w:color w:val="auto"/>
              </w:rPr>
            </w:pPr>
          </w:p>
        </w:tc>
        <w:tc>
          <w:tcPr>
            <w:tcW w:w="3580" w:type="dxa"/>
            <w:vAlign w:val="bottom"/>
            <w:gridSpan w:val="8"/>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9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40" w:type="dxa"/>
            <w:vAlign w:val="bottom"/>
            <w:gridSpan w:val="28"/>
          </w:tcPr>
          <w:p>
            <w:pPr>
              <w:spacing w:after="0" w:line="164"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Director Standstill Commitment – incorporated by reference to Exhibit 99.1 to the Company’s Current Report on Form 8-K filed on</w:t>
              </w:r>
            </w:hyperlink>
          </w:p>
        </w:tc>
        <w:tc>
          <w:tcPr>
            <w:tcW w:w="0" w:type="dxa"/>
            <w:vAlign w:val="bottom"/>
          </w:tcPr>
          <w:p>
            <w:pPr>
              <w:spacing w:after="0"/>
              <w:rPr>
                <w:sz w:val="1"/>
                <w:szCs w:val="1"/>
                <w:color w:val="auto"/>
              </w:rPr>
            </w:pPr>
          </w:p>
        </w:tc>
      </w:tr>
      <w:tr>
        <w:trPr>
          <w:trHeight w:val="164"/>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Borders>
              <w:top w:val="single" w:sz="8" w:color="0000EE"/>
              <w:bottom w:val="single" w:sz="8" w:color="0000EE"/>
            </w:tcBorders>
            <w:gridSpan w:val="2"/>
          </w:tcPr>
          <w:p>
            <w:pPr>
              <w:spacing w:after="0" w:line="164" w:lineRule="exact"/>
              <w:rPr>
                <w:rFonts w:ascii="Times New Roman" w:cs="Times New Roman" w:eastAsia="Times New Roman" w:hAnsi="Times New Roman"/>
                <w:sz w:val="18"/>
                <w:szCs w:val="18"/>
                <w:color w:val="0000EE"/>
                <w:w w:val="95"/>
              </w:rPr>
            </w:pPr>
            <w:hyperlink r:id="rId116">
              <w:r>
                <w:rPr>
                  <w:rFonts w:ascii="Times New Roman" w:cs="Times New Roman" w:eastAsia="Times New Roman" w:hAnsi="Times New Roman"/>
                  <w:sz w:val="18"/>
                  <w:szCs w:val="18"/>
                  <w:color w:val="0000EE"/>
                  <w:w w:val="95"/>
                </w:rPr>
                <w:t>January 13, 2020.</w:t>
              </w:r>
            </w:hyperlink>
          </w:p>
        </w:tc>
        <w:tc>
          <w:tcPr>
            <w:tcW w:w="8040" w:type="dxa"/>
            <w:vAlign w:val="bottom"/>
            <w:tcBorders>
              <w:top w:val="single" w:sz="8" w:color="0000EE"/>
            </w:tcBorders>
            <w:gridSpan w:val="12"/>
          </w:tcPr>
          <w:p>
            <w:pPr>
              <w:spacing w:after="0"/>
              <w:rPr>
                <w:sz w:val="14"/>
                <w:szCs w:val="14"/>
                <w:color w:val="auto"/>
              </w:rPr>
            </w:pPr>
          </w:p>
        </w:tc>
        <w:tc>
          <w:tcPr>
            <w:tcW w:w="56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136130" cy="2336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7136130" cy="233680"/>
                    </a:xfrm>
                    <a:prstGeom prst="rect">
                      <a:avLst/>
                    </a:prstGeom>
                    <a:noFill/>
                  </pic:spPr>
                </pic:pic>
              </a:graphicData>
            </a:graphic>
          </wp:anchor>
        </w:drawing>
      </w:r>
    </w:p>
    <w:p>
      <w:pPr>
        <w:ind w:left="1380" w:right="120" w:hanging="823"/>
        <w:spacing w:after="0" w:line="217"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Annual Report on Form 10-K for the year ended December 31, 2024 are formatted in iXBRL (Inline eXtensible Business Reporting Language): (i) Consolidated Balance Sheets, (ii) Consolidated Statements of Income, (iii) Consolidated Statements of Comprehensive Income, (iv) Consolidated Statements of Stockholders’ Equity, (v) Consolidated Statements of Cash Flows, and (vi) the Notes to Consolidated Financial Statements – filed herewith.</w:t>
      </w:r>
    </w:p>
    <w:p>
      <w:pPr>
        <w:spacing w:after="0" w:line="2" w:lineRule="exact"/>
        <w:rPr>
          <w:sz w:val="20"/>
          <w:szCs w:val="20"/>
          <w:color w:val="auto"/>
        </w:rPr>
      </w:pPr>
    </w:p>
    <w:p>
      <w:pPr>
        <w:ind w:left="560"/>
        <w:spacing w:after="0"/>
        <w:tabs>
          <w:tab w:leader="none" w:pos="13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36130" cy="1168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36130" cy="11684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compensatory plan or arrangement.</w:t>
      </w:r>
    </w:p>
    <w:p>
      <w:pPr>
        <w:spacing w:after="0" w:line="161" w:lineRule="exact"/>
        <w:rPr>
          <w:sz w:val="20"/>
          <w:szCs w:val="20"/>
          <w:color w:val="auto"/>
        </w:rPr>
      </w:pPr>
    </w:p>
    <w:p>
      <w:pPr>
        <w:ind w:right="220" w:firstLine="5"/>
        <w:spacing w:after="0" w:line="253"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not deemed filed with the Securities and Exchange Commission and are not to be incorporated by reference in any filing we make under the Securities Act of 1933, as amended, or the Exchange Act.</w:t>
      </w:r>
    </w:p>
    <w:p>
      <w:pPr>
        <w:spacing w:after="0" w:line="141" w:lineRule="exact"/>
        <w:rPr>
          <w:rFonts w:ascii="Times New Roman" w:cs="Times New Roman" w:eastAsia="Times New Roman" w:hAnsi="Times New Roman"/>
          <w:sz w:val="18"/>
          <w:szCs w:val="18"/>
          <w:color w:val="auto"/>
        </w:rPr>
      </w:pPr>
    </w:p>
    <w:p>
      <w:pPr>
        <w:ind w:right="180" w:firstLine="5"/>
        <w:spacing w:after="0" w:line="238" w:lineRule="auto"/>
        <w:tabs>
          <w:tab w:leader="none" w:pos="3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Regulation S-K, Item 601(a)(5). The Company will provide a copy of any omitted schedule or exhibit to the Securities and Exchange Commission or its staff upon request.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201295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6" w:lineRule="exact"/>
        <w:rPr>
          <w:sz w:val="20"/>
          <w:szCs w:val="20"/>
          <w:color w:val="auto"/>
        </w:rPr>
      </w:pPr>
    </w:p>
    <w:p>
      <w:pPr>
        <w:ind w:right="120" w:firstLine="631"/>
        <w:spacing w:after="0" w:line="23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TILE SHOP HOLDINGS, INC.</w:t>
            </w:r>
          </w:p>
        </w:tc>
      </w:tr>
      <w:tr>
        <w:trPr>
          <w:trHeight w:val="35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5120" w:type="dxa"/>
            <w:vAlign w:val="bottom"/>
          </w:tcPr>
          <w:p>
            <w:pPr>
              <w:spacing w:after="0"/>
              <w:rPr>
                <w:sz w:val="24"/>
                <w:szCs w:val="24"/>
                <w:color w:val="auto"/>
              </w:rPr>
            </w:pPr>
          </w:p>
        </w:tc>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CABELL H. LOLMAUGH</w:t>
            </w:r>
          </w:p>
        </w:tc>
      </w:tr>
      <w:tr>
        <w:trPr>
          <w:trHeight w:val="209"/>
        </w:trPr>
        <w:tc>
          <w:tcPr>
            <w:tcW w:w="36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Cabell H. Lolmaugh</w:t>
            </w:r>
          </w:p>
        </w:tc>
      </w:tr>
      <w:tr>
        <w:trPr>
          <w:trHeight w:val="230"/>
        </w:trPr>
        <w:tc>
          <w:tcPr>
            <w:tcW w:w="36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381"/>
        </w:trPr>
        <w:tc>
          <w:tcPr>
            <w:tcW w:w="3620" w:type="dxa"/>
            <w:vAlign w:val="bottom"/>
          </w:tcPr>
          <w:p>
            <w:pPr>
              <w:spacing w:after="0"/>
              <w:rPr>
                <w:sz w:val="24"/>
                <w:szCs w:val="24"/>
                <w:color w:val="auto"/>
              </w:rPr>
            </w:pPr>
          </w:p>
        </w:tc>
        <w:tc>
          <w:tcPr>
            <w:tcW w:w="5120" w:type="dxa"/>
            <w:vAlign w:val="bottom"/>
          </w:tcPr>
          <w:p>
            <w:pPr>
              <w:jc w:val="right"/>
              <w:ind w:right="2932"/>
              <w:spacing w:after="0"/>
              <w:rPr>
                <w:sz w:val="20"/>
                <w:szCs w:val="20"/>
                <w:color w:val="auto"/>
              </w:rPr>
            </w:pPr>
            <w:r>
              <w:rPr>
                <w:rFonts w:ascii="Times New Roman" w:cs="Times New Roman" w:eastAsia="Times New Roman" w:hAnsi="Times New Roman"/>
                <w:sz w:val="18"/>
                <w:szCs w:val="18"/>
                <w:color w:val="auto"/>
              </w:rPr>
              <w:t>62</w:t>
            </w:r>
          </w:p>
        </w:tc>
        <w:tc>
          <w:tcPr>
            <w:tcW w:w="2500" w:type="dxa"/>
            <w:vAlign w:val="bottom"/>
          </w:tcPr>
          <w:p>
            <w:pPr>
              <w:spacing w:after="0"/>
              <w:rPr>
                <w:sz w:val="24"/>
                <w:szCs w:val="24"/>
                <w:color w:val="auto"/>
              </w:rPr>
            </w:pPr>
          </w:p>
        </w:tc>
      </w:tr>
      <w:tr>
        <w:trPr>
          <w:trHeight w:val="309"/>
        </w:trPr>
        <w:tc>
          <w:tcPr>
            <w:tcW w:w="36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6" w:lineRule="exact"/>
        <w:rPr>
          <w:sz w:val="20"/>
          <w:szCs w:val="20"/>
          <w:color w:val="auto"/>
        </w:rPr>
      </w:pPr>
    </w:p>
    <w:p>
      <w:pPr>
        <w:ind w:right="40" w:firstLine="606"/>
        <w:spacing w:after="0" w:line="258" w:lineRule="auto"/>
        <w:rPr>
          <w:sz w:val="20"/>
          <w:szCs w:val="20"/>
          <w:color w:val="auto"/>
        </w:rPr>
      </w:pPr>
      <w:r>
        <w:rPr>
          <w:rFonts w:ascii="Times New Roman" w:cs="Times New Roman" w:eastAsia="Times New Roman" w:hAnsi="Times New Roman"/>
          <w:sz w:val="16"/>
          <w:szCs w:val="16"/>
          <w:color w:val="auto"/>
        </w:rPr>
        <w:t>Each person whose signature appears below constitutes CABELL H. LOLMAUGH and MARK B. DAVIS, or any of them, as his or her true and lawful attorney-in-fact and agent, with full power of substitution and resubstitution, for him or her and in his or her name, place and stead, in any and all capacities, to sign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said attorney-in-fact and agent, or his or her substitute or substitutes, may lawfully do or cause to be done by virtue thereof.</w:t>
      </w:r>
    </w:p>
    <w:p>
      <w:pPr>
        <w:spacing w:after="0" w:line="141" w:lineRule="exact"/>
        <w:rPr>
          <w:sz w:val="20"/>
          <w:szCs w:val="20"/>
          <w:color w:val="auto"/>
        </w:rPr>
      </w:pPr>
    </w:p>
    <w:p>
      <w:pPr>
        <w:ind w:right="460" w:firstLine="606"/>
        <w:spacing w:after="0" w:line="23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0" w:type="dxa"/>
            <w:vAlign w:val="bottom"/>
          </w:tcPr>
          <w:p>
            <w:pPr>
              <w:spacing w:after="0"/>
              <w:rPr>
                <w:sz w:val="18"/>
                <w:szCs w:val="18"/>
                <w:color w:val="auto"/>
              </w:rPr>
            </w:pP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8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0" w:type="dxa"/>
            <w:vAlign w:val="bottom"/>
          </w:tcPr>
          <w:p>
            <w:pPr>
              <w:spacing w:after="0"/>
              <w:rPr>
                <w:sz w:val="1"/>
                <w:szCs w:val="1"/>
                <w:color w:val="auto"/>
              </w:rPr>
            </w:pPr>
          </w:p>
        </w:tc>
      </w:tr>
      <w:tr>
        <w:trPr>
          <w:trHeight w:val="3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 CABELL H. LOLMAUGH</w:t>
            </w:r>
          </w:p>
        </w:tc>
        <w:tc>
          <w:tcPr>
            <w:tcW w:w="200" w:type="dxa"/>
            <w:vAlign w:val="bottom"/>
          </w:tcPr>
          <w:p>
            <w:pPr>
              <w:spacing w:after="0"/>
              <w:rPr>
                <w:sz w:val="24"/>
                <w:szCs w:val="24"/>
                <w:color w:val="auto"/>
              </w:rPr>
            </w:pPr>
          </w:p>
        </w:tc>
        <w:tc>
          <w:tcPr>
            <w:tcW w:w="5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Chief Executive Officer,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2025</w:t>
            </w:r>
          </w:p>
        </w:tc>
        <w:tc>
          <w:tcPr>
            <w:tcW w:w="0" w:type="dxa"/>
            <w:vAlign w:val="bottom"/>
          </w:tcPr>
          <w:p>
            <w:pPr>
              <w:spacing w:after="0"/>
              <w:rPr>
                <w:sz w:val="1"/>
                <w:szCs w:val="1"/>
                <w:color w:val="auto"/>
              </w:rPr>
            </w:pPr>
          </w:p>
        </w:tc>
      </w:tr>
      <w:tr>
        <w:trPr>
          <w:trHeight w:val="32"/>
        </w:trPr>
        <w:tc>
          <w:tcPr>
            <w:tcW w:w="338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5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7"/>
              </w:rPr>
              <w:t>(Principal Executive Officer)</w:t>
            </w: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Cabell H. Lolmaugh</w:t>
            </w:r>
          </w:p>
        </w:tc>
        <w:tc>
          <w:tcPr>
            <w:tcW w:w="200" w:type="dxa"/>
            <w:vAlign w:val="bottom"/>
            <w:vMerge w:val="continue"/>
          </w:tcPr>
          <w:p>
            <w:pPr>
              <w:spacing w:after="0"/>
              <w:rPr>
                <w:sz w:val="19"/>
                <w:szCs w:val="19"/>
                <w:color w:val="auto"/>
              </w:rPr>
            </w:pPr>
          </w:p>
        </w:tc>
        <w:tc>
          <w:tcPr>
            <w:tcW w:w="564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 MARK B. DAVIS</w:t>
            </w:r>
          </w:p>
        </w:tc>
        <w:tc>
          <w:tcPr>
            <w:tcW w:w="200" w:type="dxa"/>
            <w:vAlign w:val="bottom"/>
          </w:tcPr>
          <w:p>
            <w:pPr>
              <w:spacing w:after="0"/>
              <w:rPr>
                <w:sz w:val="24"/>
                <w:szCs w:val="24"/>
                <w:color w:val="auto"/>
              </w:rPr>
            </w:pPr>
          </w:p>
        </w:tc>
        <w:tc>
          <w:tcPr>
            <w:tcW w:w="5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Senior Vice President, Chief Financial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2025</w:t>
            </w:r>
          </w:p>
        </w:tc>
        <w:tc>
          <w:tcPr>
            <w:tcW w:w="0" w:type="dxa"/>
            <w:vAlign w:val="bottom"/>
          </w:tcPr>
          <w:p>
            <w:pPr>
              <w:spacing w:after="0"/>
              <w:rPr>
                <w:sz w:val="1"/>
                <w:szCs w:val="1"/>
                <w:color w:val="auto"/>
              </w:rPr>
            </w:pPr>
          </w:p>
        </w:tc>
      </w:tr>
      <w:tr>
        <w:trPr>
          <w:trHeight w:val="32"/>
        </w:trPr>
        <w:tc>
          <w:tcPr>
            <w:tcW w:w="338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5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7"/>
              </w:rPr>
              <w:t>(Principal Financial Officer and Principal Accounting Officer)</w:t>
            </w: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Mark B. Davis</w:t>
            </w:r>
          </w:p>
        </w:tc>
        <w:tc>
          <w:tcPr>
            <w:tcW w:w="200" w:type="dxa"/>
            <w:vAlign w:val="bottom"/>
            <w:vMerge w:val="continue"/>
          </w:tcPr>
          <w:p>
            <w:pPr>
              <w:spacing w:after="0"/>
              <w:rPr>
                <w:sz w:val="19"/>
                <w:szCs w:val="19"/>
                <w:color w:val="auto"/>
              </w:rPr>
            </w:pPr>
          </w:p>
        </w:tc>
        <w:tc>
          <w:tcPr>
            <w:tcW w:w="564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H. KAMIN</w:t>
            </w:r>
          </w:p>
        </w:tc>
        <w:tc>
          <w:tcPr>
            <w:tcW w:w="200" w:type="dxa"/>
            <w:vAlign w:val="bottom"/>
          </w:tcPr>
          <w:p>
            <w:pPr>
              <w:spacing w:after="0"/>
              <w:rPr>
                <w:sz w:val="24"/>
                <w:szCs w:val="24"/>
                <w:color w:val="auto"/>
              </w:rPr>
            </w:pPr>
          </w:p>
        </w:tc>
        <w:tc>
          <w:tcPr>
            <w:tcW w:w="5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Director and Chairman of the Board of Directors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2025</w:t>
            </w: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Peter H. Kamin</w:t>
            </w:r>
          </w:p>
        </w:tc>
        <w:tc>
          <w:tcPr>
            <w:tcW w:w="2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J. BONNEY</w:t>
            </w:r>
          </w:p>
        </w:tc>
        <w:tc>
          <w:tcPr>
            <w:tcW w:w="200" w:type="dxa"/>
            <w:vAlign w:val="bottom"/>
          </w:tcPr>
          <w:p>
            <w:pPr>
              <w:spacing w:after="0"/>
              <w:rPr>
                <w:sz w:val="24"/>
                <w:szCs w:val="24"/>
                <w:color w:val="auto"/>
              </w:rPr>
            </w:pPr>
          </w:p>
        </w:tc>
        <w:tc>
          <w:tcPr>
            <w:tcW w:w="5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2025</w:t>
            </w: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Mark J. Bonney</w:t>
            </w:r>
          </w:p>
        </w:tc>
        <w:tc>
          <w:tcPr>
            <w:tcW w:w="2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DEBORAH K. GLASSER</w:t>
            </w:r>
          </w:p>
        </w:tc>
        <w:tc>
          <w:tcPr>
            <w:tcW w:w="200" w:type="dxa"/>
            <w:vAlign w:val="bottom"/>
          </w:tcPr>
          <w:p>
            <w:pPr>
              <w:spacing w:after="0"/>
              <w:rPr>
                <w:sz w:val="24"/>
                <w:szCs w:val="24"/>
                <w:color w:val="auto"/>
              </w:rPr>
            </w:pPr>
          </w:p>
        </w:tc>
        <w:tc>
          <w:tcPr>
            <w:tcW w:w="5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2025</w:t>
            </w: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Deborah K. Glasser</w:t>
            </w:r>
          </w:p>
        </w:tc>
        <w:tc>
          <w:tcPr>
            <w:tcW w:w="2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J. JACULLO, III</w:t>
            </w:r>
          </w:p>
        </w:tc>
        <w:tc>
          <w:tcPr>
            <w:tcW w:w="200" w:type="dxa"/>
            <w:vAlign w:val="bottom"/>
          </w:tcPr>
          <w:p>
            <w:pPr>
              <w:spacing w:after="0"/>
              <w:rPr>
                <w:sz w:val="24"/>
                <w:szCs w:val="24"/>
                <w:color w:val="auto"/>
              </w:rPr>
            </w:pPr>
          </w:p>
        </w:tc>
        <w:tc>
          <w:tcPr>
            <w:tcW w:w="5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2025</w:t>
            </w: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Peter J. Jacullo, III</w:t>
            </w:r>
          </w:p>
        </w:tc>
        <w:tc>
          <w:tcPr>
            <w:tcW w:w="2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LINDA SOLHEID</w:t>
            </w:r>
          </w:p>
        </w:tc>
        <w:tc>
          <w:tcPr>
            <w:tcW w:w="200" w:type="dxa"/>
            <w:vAlign w:val="bottom"/>
          </w:tcPr>
          <w:p>
            <w:pPr>
              <w:spacing w:after="0"/>
              <w:rPr>
                <w:sz w:val="24"/>
                <w:szCs w:val="24"/>
                <w:color w:val="auto"/>
              </w:rPr>
            </w:pPr>
          </w:p>
        </w:tc>
        <w:tc>
          <w:tcPr>
            <w:tcW w:w="5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27, 2025</w:t>
            </w:r>
          </w:p>
        </w:tc>
        <w:tc>
          <w:tcPr>
            <w:tcW w:w="0" w:type="dxa"/>
            <w:vAlign w:val="bottom"/>
          </w:tcPr>
          <w:p>
            <w:pPr>
              <w:spacing w:after="0"/>
              <w:rPr>
                <w:sz w:val="1"/>
                <w:szCs w:val="1"/>
                <w:color w:val="auto"/>
              </w:rPr>
            </w:pPr>
          </w:p>
        </w:tc>
      </w:tr>
      <w:tr>
        <w:trPr>
          <w:trHeight w:val="22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Linda Solheid</w:t>
            </w:r>
          </w:p>
        </w:tc>
        <w:tc>
          <w:tcPr>
            <w:tcW w:w="2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3380" w:type="dxa"/>
            <w:vAlign w:val="bottom"/>
          </w:tcPr>
          <w:p>
            <w:pPr>
              <w:spacing w:after="0"/>
              <w:rPr>
                <w:sz w:val="24"/>
                <w:szCs w:val="24"/>
                <w:color w:val="auto"/>
              </w:rPr>
            </w:pPr>
          </w:p>
        </w:tc>
        <w:tc>
          <w:tcPr>
            <w:tcW w:w="5660" w:type="dxa"/>
            <w:vAlign w:val="bottom"/>
            <w:gridSpan w:val="2"/>
          </w:tcPr>
          <w:p>
            <w:pPr>
              <w:jc w:val="right"/>
              <w:ind w:right="3232"/>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 w:right="339" w:bottom="1440" w:gutter="0" w:footer="0" w:header="0"/>
        </w:sectPr>
      </w:pPr>
    </w:p>
    <w:bookmarkStart w:id="66" w:name="page67"/>
    <w:bookmarkEnd w:id="66"/>
    <w:p>
      <w:pPr>
        <w:ind w:left="7800"/>
        <w:spacing w:after="0"/>
        <w:rPr>
          <w:sz w:val="20"/>
          <w:szCs w:val="20"/>
          <w:color w:val="auto"/>
        </w:rPr>
      </w:pPr>
      <w:r>
        <w:rPr>
          <w:rFonts w:ascii="Times New Roman" w:cs="Times New Roman" w:eastAsia="Times New Roman" w:hAnsi="Times New Roman"/>
          <w:sz w:val="18"/>
          <w:szCs w:val="18"/>
          <w:b w:val="1"/>
          <w:bCs w:val="1"/>
          <w:color w:val="auto"/>
        </w:rPr>
        <w:t>Exhibit 10.11</w:t>
      </w:r>
    </w:p>
    <w:p>
      <w:pPr>
        <w:ind w:left="6640"/>
        <w:spacing w:after="0" w:line="213" w:lineRule="auto"/>
        <w:rPr>
          <w:sz w:val="20"/>
          <w:szCs w:val="20"/>
          <w:color w:val="auto"/>
        </w:rPr>
      </w:pPr>
      <w:r>
        <w:rPr>
          <w:rFonts w:ascii="Times New Roman" w:cs="Times New Roman" w:eastAsia="Times New Roman" w:hAnsi="Times New Roman"/>
          <w:sz w:val="18"/>
          <w:szCs w:val="18"/>
          <w:b w:val="1"/>
          <w:bCs w:val="1"/>
          <w:color w:val="auto"/>
        </w:rPr>
        <w:t>Jamie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-108585</wp:posOffset>
            </wp:positionV>
            <wp:extent cx="1844675" cy="3257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1844675" cy="325755"/>
                    </a:xfrm>
                    <a:prstGeom prst="rect">
                      <a:avLst/>
                    </a:prstGeom>
                    <a:noFill/>
                  </pic:spPr>
                </pic:pic>
              </a:graphicData>
            </a:graphic>
          </wp:anchor>
        </w:drawing>
      </w:r>
    </w:p>
    <w:p>
      <w:pPr>
        <w:jc w:val="right"/>
        <w:spacing w:after="0" w:line="198" w:lineRule="auto"/>
        <w:rPr>
          <w:sz w:val="20"/>
          <w:szCs w:val="20"/>
          <w:color w:val="auto"/>
        </w:rPr>
      </w:pPr>
      <w:r>
        <w:rPr>
          <w:rFonts w:ascii="Times New Roman" w:cs="Times New Roman" w:eastAsia="Times New Roman" w:hAnsi="Times New Roman"/>
          <w:sz w:val="18"/>
          <w:szCs w:val="18"/>
          <w:b w:val="1"/>
          <w:bCs w:val="1"/>
          <w:color w:val="auto"/>
        </w:rPr>
        <w:t>Vice President of Talent Management</w:t>
      </w:r>
    </w:p>
    <w:p>
      <w:pPr>
        <w:ind w:left="6640"/>
        <w:spacing w:after="0" w:line="198" w:lineRule="auto"/>
        <w:rPr>
          <w:sz w:val="20"/>
          <w:szCs w:val="20"/>
          <w:color w:val="auto"/>
        </w:rPr>
      </w:pPr>
      <w:r>
        <w:rPr>
          <w:rFonts w:ascii="Times New Roman" w:cs="Times New Roman" w:eastAsia="Times New Roman" w:hAnsi="Times New Roman"/>
          <w:sz w:val="18"/>
          <w:szCs w:val="18"/>
          <w:b w:val="1"/>
          <w:bCs w:val="1"/>
          <w:color w:val="auto"/>
        </w:rPr>
        <w:t>The Tile Shop</w:t>
      </w:r>
    </w:p>
    <w:p>
      <w:pPr>
        <w:ind w:left="6640"/>
        <w:spacing w:after="0" w:line="213" w:lineRule="auto"/>
        <w:rPr>
          <w:sz w:val="20"/>
          <w:szCs w:val="20"/>
          <w:color w:val="auto"/>
        </w:rPr>
      </w:pPr>
      <w:r>
        <w:rPr>
          <w:rFonts w:ascii="Times New Roman" w:cs="Times New Roman" w:eastAsia="Times New Roman" w:hAnsi="Times New Roman"/>
          <w:sz w:val="18"/>
          <w:szCs w:val="18"/>
          <w:color w:val="auto"/>
        </w:rPr>
        <w:t>Phone: [***]</w:t>
      </w:r>
    </w:p>
    <w:p>
      <w:pPr>
        <w:spacing w:after="0" w:line="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Joe Kinder</w:t>
      </w:r>
    </w:p>
    <w:p>
      <w:pPr>
        <w:spacing w:after="0"/>
        <w:rPr>
          <w:sz w:val="20"/>
          <w:szCs w:val="20"/>
          <w:color w:val="auto"/>
        </w:rPr>
      </w:pPr>
      <w:r>
        <w:rPr>
          <w:rFonts w:ascii="Times New Roman" w:cs="Times New Roman" w:eastAsia="Times New Roman" w:hAnsi="Times New Roman"/>
          <w:sz w:val="18"/>
          <w:szCs w:val="18"/>
          <w:b w:val="1"/>
          <w:bCs w:val="1"/>
          <w:color w:val="auto"/>
        </w:rPr>
        <w:t>Watertown, MN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Joe,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documents the agreed terms and conditions of your employment with Tile Shop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w:t>
      </w:r>
    </w:p>
    <w:p>
      <w:pPr>
        <w:jc w:val="both"/>
        <w:ind w:right="840"/>
        <w:spacing w:after="0" w:line="212" w:lineRule="auto"/>
        <w:rPr>
          <w:sz w:val="20"/>
          <w:szCs w:val="20"/>
          <w:color w:val="auto"/>
        </w:rPr>
      </w:pPr>
      <w:r>
        <w:rPr>
          <w:rFonts w:ascii="Times New Roman" w:cs="Times New Roman" w:eastAsia="Times New Roman" w:hAnsi="Times New Roman"/>
          <w:sz w:val="18"/>
          <w:szCs w:val="18"/>
          <w:color w:val="auto"/>
        </w:rPr>
        <w:t>a new position as Senior Vice President, Chief Merchant Officer, and your expected subsequent transition to non-executive employment as a Purchasing Advisor, all as set forth in more detail herein. This letter serves as an employment agreement and supersedes in its entirety your prior employment letter agreement dated October 16, 2020.</w:t>
      </w:r>
    </w:p>
    <w:p>
      <w:pPr>
        <w:spacing w:after="0" w:line="128" w:lineRule="exact"/>
        <w:rPr>
          <w:sz w:val="20"/>
          <w:szCs w:val="20"/>
          <w:color w:val="auto"/>
        </w:rPr>
      </w:pPr>
    </w:p>
    <w:p>
      <w:pPr>
        <w:ind w:left="860" w:hanging="315"/>
        <w:spacing w:after="0"/>
        <w:tabs>
          <w:tab w:leader="none" w:pos="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Promotion to Senior Vice President, Chief Merchant Officer</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860" w:right="720" w:hanging="315"/>
        <w:spacing w:after="0" w:line="218" w:lineRule="auto"/>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Term</w:t>
      </w:r>
      <w:r>
        <w:rPr>
          <w:rFonts w:ascii="Times New Roman" w:cs="Times New Roman" w:eastAsia="Times New Roman" w:hAnsi="Times New Roman"/>
          <w:sz w:val="18"/>
          <w:szCs w:val="18"/>
          <w:color w:val="auto"/>
        </w:rPr>
        <w:t>. Effective on February 25, 2025 and continuing through December 31, 2026 or such earlier date as your employment may be terminated for any reason (such period, the “</w:t>
      </w:r>
      <w:r>
        <w:rPr>
          <w:rFonts w:ascii="Times New Roman" w:cs="Times New Roman" w:eastAsia="Times New Roman" w:hAnsi="Times New Roman"/>
          <w:sz w:val="18"/>
          <w:szCs w:val="18"/>
          <w:u w:val="single" w:color="auto"/>
          <w:color w:val="auto"/>
        </w:rPr>
        <w:t>Officer Employment Period</w:t>
      </w:r>
      <w:r>
        <w:rPr>
          <w:rFonts w:ascii="Times New Roman" w:cs="Times New Roman" w:eastAsia="Times New Roman" w:hAnsi="Times New Roman"/>
          <w:sz w:val="18"/>
          <w:szCs w:val="18"/>
          <w:color w:val="auto"/>
        </w:rPr>
        <w:t>”), the Company will employ you as Senior Vice President, Chief Merchant Officer. This position is an executive officer of the Company, reporting directly to the President &amp; CEO.</w:t>
      </w:r>
    </w:p>
    <w:p>
      <w:pPr>
        <w:spacing w:after="0" w:line="128" w:lineRule="exact"/>
        <w:rPr>
          <w:rFonts w:ascii="Times New Roman" w:cs="Times New Roman" w:eastAsia="Times New Roman" w:hAnsi="Times New Roman"/>
          <w:sz w:val="18"/>
          <w:szCs w:val="18"/>
          <w:color w:val="auto"/>
        </w:rPr>
      </w:pPr>
    </w:p>
    <w:p>
      <w:pPr>
        <w:ind w:left="860" w:right="780" w:hanging="315"/>
        <w:spacing w:after="0" w:line="231" w:lineRule="auto"/>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During the Officer Employment Period, your compensation and benefits as Senior Vice President, Chief Merchant Officer shall include the following:</w:t>
      </w:r>
    </w:p>
    <w:p>
      <w:pPr>
        <w:spacing w:after="0" w:line="127" w:lineRule="exact"/>
        <w:rPr>
          <w:rFonts w:ascii="Times New Roman" w:cs="Times New Roman" w:eastAsia="Times New Roman" w:hAnsi="Times New Roman"/>
          <w:sz w:val="18"/>
          <w:szCs w:val="18"/>
          <w:color w:val="auto"/>
        </w:rPr>
      </w:pPr>
    </w:p>
    <w:p>
      <w:pPr>
        <w:ind w:left="1000" w:hanging="390"/>
        <w:spacing w:after="0"/>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paid an annual salary of $350,000, effective as of January 1, 2025.</w:t>
      </w:r>
    </w:p>
    <w:p>
      <w:pPr>
        <w:spacing w:after="0" w:line="134" w:lineRule="exact"/>
        <w:rPr>
          <w:rFonts w:ascii="Times New Roman" w:cs="Times New Roman" w:eastAsia="Times New Roman" w:hAnsi="Times New Roman"/>
          <w:sz w:val="18"/>
          <w:szCs w:val="18"/>
          <w:color w:val="auto"/>
        </w:rPr>
      </w:pPr>
    </w:p>
    <w:p>
      <w:pPr>
        <w:ind w:left="1000" w:right="700" w:hanging="390"/>
        <w:spacing w:after="0" w:line="238" w:lineRule="auto"/>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to participate in the Company’s corporate bonus program. Under this plan, you will have a target bonus opportunity of 50% of your annual salary based on the Company’s performance.</w:t>
      </w:r>
    </w:p>
    <w:p>
      <w:pPr>
        <w:spacing w:after="0" w:line="128" w:lineRule="exact"/>
        <w:rPr>
          <w:rFonts w:ascii="Times New Roman" w:cs="Times New Roman" w:eastAsia="Times New Roman" w:hAnsi="Times New Roman"/>
          <w:sz w:val="18"/>
          <w:szCs w:val="18"/>
          <w:color w:val="auto"/>
        </w:rPr>
      </w:pPr>
    </w:p>
    <w:p>
      <w:pPr>
        <w:ind w:left="1000" w:right="1020" w:hanging="390"/>
        <w:spacing w:after="0" w:line="220" w:lineRule="auto"/>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by the Company’s Board of Directors (or the applicable committee thereof), you will participate in the Company’s annual equity award program for executive officers, with an aggregate target annual equity award value of $200,000.</w:t>
      </w:r>
    </w:p>
    <w:p>
      <w:pPr>
        <w:spacing w:after="0" w:line="127" w:lineRule="exact"/>
        <w:rPr>
          <w:rFonts w:ascii="Times New Roman" w:cs="Times New Roman" w:eastAsia="Times New Roman" w:hAnsi="Times New Roman"/>
          <w:sz w:val="18"/>
          <w:szCs w:val="18"/>
          <w:color w:val="auto"/>
        </w:rPr>
      </w:pPr>
    </w:p>
    <w:p>
      <w:pPr>
        <w:ind w:left="1000" w:hanging="390"/>
        <w:spacing w:after="0"/>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receive paid time off per the applicable Company Policy, along with 7 paid holidays.</w:t>
      </w:r>
    </w:p>
    <w:p>
      <w:pPr>
        <w:spacing w:after="0" w:line="134" w:lineRule="exact"/>
        <w:rPr>
          <w:rFonts w:ascii="Times New Roman" w:cs="Times New Roman" w:eastAsia="Times New Roman" w:hAnsi="Times New Roman"/>
          <w:sz w:val="18"/>
          <w:szCs w:val="18"/>
          <w:color w:val="auto"/>
        </w:rPr>
      </w:pPr>
    </w:p>
    <w:p>
      <w:pPr>
        <w:ind w:left="1000" w:right="760" w:hanging="390"/>
        <w:spacing w:after="0" w:line="238" w:lineRule="auto"/>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to participate in the standard benefits program in effect for employees, including medical, dental, life, and accident insurance.</w:t>
      </w:r>
    </w:p>
    <w:p>
      <w:pPr>
        <w:spacing w:after="0" w:line="128" w:lineRule="exact"/>
        <w:rPr>
          <w:rFonts w:ascii="Times New Roman" w:cs="Times New Roman" w:eastAsia="Times New Roman" w:hAnsi="Times New Roman"/>
          <w:sz w:val="18"/>
          <w:szCs w:val="18"/>
          <w:color w:val="auto"/>
        </w:rPr>
      </w:pPr>
    </w:p>
    <w:p>
      <w:pPr>
        <w:ind w:left="1000" w:hanging="390"/>
        <w:spacing w:after="0"/>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to participate in the Company’s 401(k) Retirement Savings Plan.</w:t>
      </w:r>
    </w:p>
    <w:p>
      <w:pPr>
        <w:spacing w:after="0" w:line="134" w:lineRule="exact"/>
        <w:rPr>
          <w:rFonts w:ascii="Times New Roman" w:cs="Times New Roman" w:eastAsia="Times New Roman" w:hAnsi="Times New Roman"/>
          <w:sz w:val="18"/>
          <w:szCs w:val="18"/>
          <w:color w:val="auto"/>
        </w:rPr>
      </w:pPr>
    </w:p>
    <w:p>
      <w:pPr>
        <w:ind w:left="860" w:hanging="315"/>
        <w:spacing w:after="0"/>
        <w:tabs>
          <w:tab w:leader="none" w:pos="8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000" w:right="720" w:hanging="390"/>
        <w:spacing w:after="0" w:line="212" w:lineRule="auto"/>
        <w:tabs>
          <w:tab w:leader="none" w:pos="10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of Control (as defined in the Company’s 2021 Omnibus Equity Compensation Plan) of the Company, if (A) you are not offered employment or continued employment by the Successor Entity upon consummation of such Change of Control during the Officer Employment Period, or (B) prior to the first anniversary of such Change of Control and during the Officer Employment Period, (I) you are discharged by the Successor Entity other than for Severance Cause or (II) you resign from employment with the Successor Entity as a result of a Constructive Termination (as defined below), all of your unvested restricted stock award grants will vest and become exercisable immediately prior to such Change of Control or cessation of employment, as applicable.</w:t>
      </w:r>
    </w:p>
    <w:p>
      <w:pPr>
        <w:spacing w:after="0" w:line="3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51435</wp:posOffset>
            </wp:positionV>
            <wp:extent cx="5274945" cy="501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5274945" cy="50165"/>
                    </a:xfrm>
                    <a:prstGeom prst="rect">
                      <a:avLst/>
                    </a:prstGeom>
                    <a:noFill/>
                  </pic:spPr>
                </pic:pic>
              </a:graphicData>
            </a:graphic>
          </wp:anchor>
        </w:drawing>
      </w:r>
    </w:p>
    <w:p>
      <w:pPr>
        <w:sectPr>
          <w:pgSz w:w="11900" w:h="16838" w:orient="portrait"/>
          <w:cols w:equalWidth="0" w:num="1">
            <w:col w:w="9460"/>
          </w:cols>
          <w:pgMar w:left="1200" w:top="302" w:right="1239" w:bottom="1440" w:gutter="0" w:footer="0" w:header="0"/>
        </w:sectPr>
      </w:pPr>
    </w:p>
    <w:bookmarkStart w:id="67" w:name="page68"/>
    <w:bookmarkEnd w:id="67"/>
    <w:p>
      <w:pPr>
        <w:ind w:left="760" w:hanging="390"/>
        <w:spacing w:after="0"/>
        <w:tabs>
          <w:tab w:leader="none" w:pos="7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Constructive Termination</w:t>
      </w:r>
      <w:r>
        <w:rPr>
          <w:rFonts w:ascii="Times New Roman" w:cs="Times New Roman" w:eastAsia="Times New Roman" w:hAnsi="Times New Roman"/>
          <w:sz w:val="18"/>
          <w:szCs w:val="18"/>
          <w:color w:val="auto"/>
        </w:rPr>
        <w:t>” will occur if you resign from your employment with the Successor Entity within</w:t>
      </w:r>
    </w:p>
    <w:p>
      <w:pPr>
        <w:ind w:left="760" w:right="760"/>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following (A) a material reduction in your annual base salary or job responsibility or (B) the relocation of your principal office location to a facility or location located more than 50 miles from your principal office location on the date of the Change of Control.</w:t>
      </w:r>
    </w:p>
    <w:p>
      <w:pPr>
        <w:spacing w:after="0" w:line="115" w:lineRule="exact"/>
        <w:rPr>
          <w:rFonts w:ascii="Times New Roman" w:cs="Times New Roman" w:eastAsia="Times New Roman" w:hAnsi="Times New Roman"/>
          <w:sz w:val="18"/>
          <w:szCs w:val="18"/>
          <w:color w:val="auto"/>
        </w:rPr>
      </w:pPr>
    </w:p>
    <w:p>
      <w:pPr>
        <w:ind w:left="760" w:right="760" w:hanging="390"/>
        <w:spacing w:after="0"/>
        <w:tabs>
          <w:tab w:leader="none" w:pos="76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terminated during the Officer Employment Period without Severance Cause (as defined below) or resign for Good Reason (as defined below) due to a Change of Control, you will be entitled to receive an amount equal to your then-current base salary for a six-month period commencing with the effective date of your termination of employment with the Company (the “</w:t>
      </w:r>
      <w:r>
        <w:rPr>
          <w:rFonts w:ascii="Times New Roman" w:cs="Times New Roman" w:eastAsia="Times New Roman" w:hAnsi="Times New Roman"/>
          <w:sz w:val="16"/>
          <w:szCs w:val="16"/>
          <w:u w:val="single" w:color="auto"/>
          <w:color w:val="auto"/>
        </w:rPr>
        <w:t>Severance Period</w:t>
      </w:r>
      <w:r>
        <w:rPr>
          <w:rFonts w:ascii="Times New Roman" w:cs="Times New Roman" w:eastAsia="Times New Roman" w:hAnsi="Times New Roman"/>
          <w:sz w:val="16"/>
          <w:szCs w:val="16"/>
          <w:color w:val="auto"/>
        </w:rPr>
        <w:t>”). The foregoing amount will be payable pro rata over the Severance Period in accordance with the Company’s normal payroll practices; provided, however, that the Company will not pay any severance payments unless and until (A) you execute and deliver to the Company a general release of claims on a form provided by the Company (“</w:t>
      </w: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6"/>
          <w:szCs w:val="16"/>
          <w:color w:val="auto"/>
        </w:rPr>
        <w:t>”) (B) such Release is executed and delivered to the Company within 21 days after your termination date and (C) all time periods for revoking the Release have lapsed. If you are terminated during the month of December of any calendar year and are owed severance hereunder, no severance payments will be made prior to January 1st of the next calendar year and any amount that would have otherwise been payable to you in December of the preceding calendar year will be paid to you on the first date in January on which you would otherwise be entitled to any payment. Following your termination date, all benefits offered by the Company, including health insurance benefits, will cease. From and after such date, you may elect to continue your participation in the Company’s health insurance benefits at your expense pursuant to COBRA by notifying the Company in the time specified in the COBRA notice you will be provided and paying the monthly premium yourself.</w:t>
      </w:r>
    </w:p>
    <w:p>
      <w:pPr>
        <w:spacing w:after="0" w:line="223" w:lineRule="exact"/>
        <w:rPr>
          <w:rFonts w:ascii="Times New Roman" w:cs="Times New Roman" w:eastAsia="Times New Roman" w:hAnsi="Times New Roman"/>
          <w:sz w:val="16"/>
          <w:szCs w:val="16"/>
          <w:color w:val="auto"/>
        </w:rPr>
      </w:pPr>
    </w:p>
    <w:p>
      <w:pPr>
        <w:ind w:left="760" w:right="920" w:hanging="390"/>
        <w:spacing w:after="0" w:line="210" w:lineRule="auto"/>
        <w:tabs>
          <w:tab w:leader="none" w:pos="7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Cause</w:t>
      </w:r>
      <w:r>
        <w:rPr>
          <w:rFonts w:ascii="Times New Roman" w:cs="Times New Roman" w:eastAsia="Times New Roman" w:hAnsi="Times New Roman"/>
          <w:sz w:val="18"/>
          <w:szCs w:val="18"/>
          <w:color w:val="auto"/>
        </w:rPr>
        <w:t>” means (A) willful misconduct in connection with your employment or willful failure to perform your responsibilities in the best interests of the Company, as determined by the CFO; (B) conviction of, or plea of nolo contendere or guilty to, a felony other than an act involving a traffic related infraction; (C) any act of fraud, theft, embezzlement or other material dishonesty by you that harmed the Company; (D) intentional violation of a federal or state law or regulation applicable to the Company’s business, which violation was or is reasonably likely to be injurious to the Company; or (E) repeated failure to perform your duties and obligations of your position with the Company, which failure is not cured within 30 days after notice of such failure from the CFO to you.</w:t>
      </w:r>
    </w:p>
    <w:p>
      <w:pPr>
        <w:spacing w:after="0" w:line="128" w:lineRule="exact"/>
        <w:rPr>
          <w:rFonts w:ascii="Times New Roman" w:cs="Times New Roman" w:eastAsia="Times New Roman" w:hAnsi="Times New Roman"/>
          <w:sz w:val="18"/>
          <w:szCs w:val="18"/>
          <w:color w:val="auto"/>
        </w:rPr>
      </w:pPr>
    </w:p>
    <w:p>
      <w:pPr>
        <w:ind w:left="760" w:right="880" w:hanging="390"/>
        <w:spacing w:after="0" w:line="218" w:lineRule="auto"/>
        <w:tabs>
          <w:tab w:leader="none" w:pos="7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for your resignation will exist if you resign from your employment with the Company as a result of (A) a material reduction in your annual base salary or job responsibility or (B) the relocation of your principal office location to a facility or location located more than 50 miles from your current principal office location.</w:t>
      </w:r>
    </w:p>
    <w:p>
      <w:pPr>
        <w:spacing w:after="0" w:line="115"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 to Purchasing Advisor</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620" w:right="60" w:hanging="315"/>
        <w:spacing w:after="0" w:line="211" w:lineRule="auto"/>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Term</w:t>
      </w:r>
      <w:r>
        <w:rPr>
          <w:rFonts w:ascii="Times New Roman" w:cs="Times New Roman" w:eastAsia="Times New Roman" w:hAnsi="Times New Roman"/>
          <w:sz w:val="18"/>
          <w:szCs w:val="18"/>
          <w:color w:val="auto"/>
        </w:rPr>
        <w:t>. Provided that you remain employed by the Company as Senior Vice President, Chief Merchant Officer through December 31, 2026, then effective on January 1, 2027 and continuing through December 31, 2028 or such earlier date as your employment may be terminated for any reason (such period, the “</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the Company will employ you as a Purchasing Advisor. The Purchasing Advisor position is a non-officer employee position, and you hereby agree that you will resign all officer positions with the Company and its affiliates, effective as of the end of the Officer Employment Period.</w:t>
      </w:r>
    </w:p>
    <w:p>
      <w:pPr>
        <w:spacing w:after="0" w:line="130" w:lineRule="exact"/>
        <w:rPr>
          <w:rFonts w:ascii="Times New Roman" w:cs="Times New Roman" w:eastAsia="Times New Roman" w:hAnsi="Times New Roman"/>
          <w:sz w:val="18"/>
          <w:szCs w:val="18"/>
          <w:color w:val="auto"/>
        </w:rPr>
      </w:pPr>
    </w:p>
    <w:p>
      <w:pPr>
        <w:ind w:left="620" w:right="240" w:hanging="315"/>
        <w:spacing w:after="0" w:line="231" w:lineRule="auto"/>
        <w:tabs>
          <w:tab w:leader="none" w:pos="6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 During the Transition Period, your compensation and benefits as Purchasing Advisor shall include the following:</w:t>
      </w:r>
    </w:p>
    <w:p>
      <w:pPr>
        <w:spacing w:after="0" w:line="127" w:lineRule="exact"/>
        <w:rPr>
          <w:rFonts w:ascii="Times New Roman" w:cs="Times New Roman" w:eastAsia="Times New Roman" w:hAnsi="Times New Roman"/>
          <w:sz w:val="18"/>
          <w:szCs w:val="18"/>
          <w:color w:val="auto"/>
        </w:rPr>
      </w:pPr>
    </w:p>
    <w:p>
      <w:pPr>
        <w:ind w:left="760" w:hanging="390"/>
        <w:spacing w:after="0"/>
        <w:tabs>
          <w:tab w:leader="none" w:pos="7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paid an annual salary of $75,000.</w:t>
      </w:r>
    </w:p>
    <w:p>
      <w:pPr>
        <w:spacing w:after="0" w:line="147" w:lineRule="exact"/>
        <w:rPr>
          <w:rFonts w:ascii="Times New Roman" w:cs="Times New Roman" w:eastAsia="Times New Roman" w:hAnsi="Times New Roman"/>
          <w:sz w:val="18"/>
          <w:szCs w:val="18"/>
          <w:color w:val="auto"/>
        </w:rPr>
      </w:pPr>
    </w:p>
    <w:p>
      <w:pPr>
        <w:ind w:left="760" w:hanging="390"/>
        <w:spacing w:after="0"/>
        <w:tabs>
          <w:tab w:leader="none" w:pos="7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receive paid time off per the applicable Company policy, along with 7 paid holidays.</w:t>
      </w:r>
    </w:p>
    <w:p>
      <w:pPr>
        <w:spacing w:after="0" w:line="134" w:lineRule="exact"/>
        <w:rPr>
          <w:rFonts w:ascii="Times New Roman" w:cs="Times New Roman" w:eastAsia="Times New Roman" w:hAnsi="Times New Roman"/>
          <w:sz w:val="18"/>
          <w:szCs w:val="18"/>
          <w:color w:val="auto"/>
        </w:rPr>
      </w:pPr>
    </w:p>
    <w:p>
      <w:pPr>
        <w:ind w:left="760" w:hanging="390"/>
        <w:spacing w:after="0" w:line="231" w:lineRule="auto"/>
        <w:tabs>
          <w:tab w:leader="none" w:pos="7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to participate in the standard benefits program in effect for employees, including medical, dental, life, and accident insurance.</w:t>
      </w:r>
    </w:p>
    <w:p>
      <w:pPr>
        <w:spacing w:after="0" w:line="127" w:lineRule="exact"/>
        <w:rPr>
          <w:rFonts w:ascii="Times New Roman" w:cs="Times New Roman" w:eastAsia="Times New Roman" w:hAnsi="Times New Roman"/>
          <w:sz w:val="18"/>
          <w:szCs w:val="18"/>
          <w:color w:val="auto"/>
        </w:rPr>
      </w:pPr>
    </w:p>
    <w:p>
      <w:pPr>
        <w:ind w:left="760" w:hanging="390"/>
        <w:spacing w:after="0"/>
        <w:tabs>
          <w:tab w:leader="none" w:pos="7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to participate in the Company’s 401(k) Retirement Savings Plan.</w:t>
      </w:r>
    </w:p>
    <w:p>
      <w:pPr>
        <w:spacing w:after="0" w:line="17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274945" cy="501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5274945" cy="50165"/>
                    </a:xfrm>
                    <a:prstGeom prst="rect">
                      <a:avLst/>
                    </a:prstGeom>
                    <a:noFill/>
                  </pic:spPr>
                </pic:pic>
              </a:graphicData>
            </a:graphic>
          </wp:anchor>
        </w:drawing>
      </w:r>
    </w:p>
    <w:p>
      <w:pPr>
        <w:sectPr>
          <w:pgSz w:w="11900" w:h="16838" w:orient="portrait"/>
          <w:cols w:equalWidth="0" w:num="1">
            <w:col w:w="9300"/>
          </w:cols>
          <w:pgMar w:left="1440" w:top="92" w:right="1159" w:bottom="1440" w:gutter="0" w:footer="0" w:header="0"/>
        </w:sectPr>
      </w:pPr>
    </w:p>
    <w:bookmarkStart w:id="68" w:name="page69"/>
    <w:bookmarkEnd w:id="68"/>
    <w:p>
      <w:pPr>
        <w:ind w:left="620" w:right="40" w:hanging="315"/>
        <w:spacing w:after="0" w:line="211"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If your employment as Purchasing Advisor is terminated by the Company for any reason prior to December 31, 2028, you will be entitled to (i) continued payment of your then-current base salary through December 31, 2028, (ii) continued participation in the standard benefits program in effect for employees, including medical, dental, life, and accident insurance, through December 31, 2028, and (iii) accelerated vesting of all of your unvested restricted stock award grants, effective immediately prior to such termination of employment; in each case, provided that (x) you execute and deliver to the Company a Release, (y) such Release is executed and delivered to the Company within 21 days after your termination date and (z) all time periods for revoking the Release have lapsed.</w:t>
      </w:r>
    </w:p>
    <w:p>
      <w:pPr>
        <w:spacing w:after="0" w:line="132" w:lineRule="exact"/>
        <w:rPr>
          <w:rFonts w:ascii="Times New Roman" w:cs="Times New Roman" w:eastAsia="Times New Roman" w:hAnsi="Times New Roman"/>
          <w:sz w:val="18"/>
          <w:szCs w:val="18"/>
          <w:color w:val="auto"/>
        </w:rPr>
      </w:pPr>
    </w:p>
    <w:p>
      <w:pPr>
        <w:ind w:left="620" w:hanging="315"/>
        <w:spacing w:after="0" w:line="238" w:lineRule="auto"/>
        <w:tabs>
          <w:tab w:leader="none" w:pos="6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 of Control</w:t>
      </w:r>
      <w:r>
        <w:rPr>
          <w:rFonts w:ascii="Times New Roman" w:cs="Times New Roman" w:eastAsia="Times New Roman" w:hAnsi="Times New Roman"/>
          <w:sz w:val="16"/>
          <w:szCs w:val="16"/>
          <w:color w:val="auto"/>
        </w:rPr>
        <w:t>. In the event of a Change of Control of the Company, if (i) you are not offered employment or continued employment by the Successor Entity upon consummation of such Change of Control during the Transition Period, or (ii) prior to the first anniversary of such Change of Control and during the Transition Period, (A) you are discharged by the Successor Entity other than for Severance Cause or (B) you resign from employment with the Successor Entity as a result of a Constructive Termination (as defined above), all of your unvested restricted stock award grants will vest and become exercisable immediately prior to such Change of Control or cessation of employment, as applicable.</w:t>
      </w:r>
    </w:p>
    <w:p>
      <w:pPr>
        <w:spacing w:after="0" w:line="128" w:lineRule="exact"/>
        <w:rPr>
          <w:sz w:val="20"/>
          <w:szCs w:val="20"/>
          <w:color w:val="auto"/>
        </w:rPr>
      </w:pPr>
    </w:p>
    <w:p>
      <w:pPr>
        <w:ind w:left="620" w:right="20" w:hanging="315"/>
        <w:spacing w:after="0" w:line="210"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and Non-Disclosure Agreement</w:t>
      </w:r>
      <w:r>
        <w:rPr>
          <w:rFonts w:ascii="Times New Roman" w:cs="Times New Roman" w:eastAsia="Times New Roman" w:hAnsi="Times New Roman"/>
          <w:sz w:val="18"/>
          <w:szCs w:val="18"/>
          <w:color w:val="auto"/>
        </w:rPr>
        <w:t>. In consideration of your continued employment and the benefits to be provided pursuant to this letter agreement, you acknowledge and agree that the Nondisclosure, Confidentiality, Assignment and Noncompetition Agreement between you and the Company dated July 22, 2024, a conformed copy of which is attached hereto as Exhibit A (the “</w:t>
      </w:r>
      <w:r>
        <w:rPr>
          <w:rFonts w:ascii="Times New Roman" w:cs="Times New Roman" w:eastAsia="Times New Roman" w:hAnsi="Times New Roman"/>
          <w:sz w:val="18"/>
          <w:szCs w:val="18"/>
          <w:u w:val="single" w:color="auto"/>
          <w:color w:val="auto"/>
        </w:rPr>
        <w:t>Non-Competition and Non-Disclosure Agreement</w:t>
      </w:r>
      <w:r>
        <w:rPr>
          <w:rFonts w:ascii="Times New Roman" w:cs="Times New Roman" w:eastAsia="Times New Roman" w:hAnsi="Times New Roman"/>
          <w:sz w:val="18"/>
          <w:szCs w:val="18"/>
          <w:color w:val="auto"/>
        </w:rPr>
        <w:t>”) shall remain in full force and effect during the Officer Employment Period and the Transition Period and thereafter in accordance with its terms. You further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w:t>
      </w:r>
    </w:p>
    <w:p>
      <w:pPr>
        <w:spacing w:after="0" w:line="118"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620" w:right="360" w:hanging="315"/>
        <w:spacing w:after="0" w:line="231"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Rights</w:t>
      </w:r>
      <w:r>
        <w:rPr>
          <w:rFonts w:ascii="Times New Roman" w:cs="Times New Roman" w:eastAsia="Times New Roman" w:hAnsi="Times New Roman"/>
          <w:sz w:val="18"/>
          <w:szCs w:val="18"/>
          <w:color w:val="auto"/>
        </w:rPr>
        <w:t>. The Company reserves the right to make changes to the corporate bonus plan and other benefits outlined in the letter above.</w:t>
      </w:r>
    </w:p>
    <w:p>
      <w:pPr>
        <w:spacing w:after="0" w:line="127" w:lineRule="exact"/>
        <w:rPr>
          <w:rFonts w:ascii="Times New Roman" w:cs="Times New Roman" w:eastAsia="Times New Roman" w:hAnsi="Times New Roman"/>
          <w:sz w:val="18"/>
          <w:szCs w:val="18"/>
          <w:color w:val="auto"/>
        </w:rPr>
      </w:pPr>
    </w:p>
    <w:p>
      <w:pPr>
        <w:ind w:left="620" w:right="260" w:hanging="315"/>
        <w:spacing w:after="0" w:line="231"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We recognize that you retain the option, as does the Company, of ending your employment at any time, with or without notice and with or without cause. As such, your employment with the Company is at-will.</w:t>
      </w:r>
    </w:p>
    <w:p>
      <w:pPr>
        <w:spacing w:after="0" w:line="127" w:lineRule="exact"/>
        <w:rPr>
          <w:rFonts w:ascii="Times New Roman" w:cs="Times New Roman" w:eastAsia="Times New Roman" w:hAnsi="Times New Roman"/>
          <w:sz w:val="18"/>
          <w:szCs w:val="18"/>
          <w:color w:val="auto"/>
        </w:rPr>
      </w:pPr>
    </w:p>
    <w:p>
      <w:pPr>
        <w:ind w:left="620" w:right="40" w:hanging="315"/>
        <w:spacing w:after="0" w:line="207"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The Company may withhold from any amounts payable under this letter agreement all federal, state, local and other taxes that are required to be withheld by applicable laws or regulations. The parties intend that payments and benefits provided under this letter agreement will either be exempt from, or comply with, Section 409A of the Internal Revenue Code of 1986, as amended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and this letter agreement shall be interpreted and administered in accordance with such intent. Each amount or installment payment provided under this letter agreement shall be considered as a separate payment for purposes of Section 409A, and notwithstanding anything contained herein to the contrary, to the extent required in order to comply with Section 409A, any payments or benefits that otherwise would be provided during the six-month period immediately following your “separation from service” (within the meaning of Section 409A) shall instead be paid on the first business day after the date that is six months following your separation from service. With respect to any amounts or benefits that are conditioned on the receipt and non-revocation of a release of claims, if the period during which the Participant may execute such release of claims commences in one calendar year and ends in a subsequent calendar year, such amounts or benefits shall be paid or provided in the subsequent calendar year to the extent required to comply with Section 409A.</w:t>
      </w:r>
    </w:p>
    <w:p>
      <w:pPr>
        <w:spacing w:after="0" w:line="137" w:lineRule="exact"/>
        <w:rPr>
          <w:rFonts w:ascii="Times New Roman" w:cs="Times New Roman" w:eastAsia="Times New Roman" w:hAnsi="Times New Roman"/>
          <w:sz w:val="18"/>
          <w:szCs w:val="18"/>
          <w:color w:val="auto"/>
        </w:rPr>
      </w:pPr>
    </w:p>
    <w:p>
      <w:pPr>
        <w:ind w:left="620" w:right="20" w:hanging="315"/>
        <w:spacing w:after="0" w:line="214"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Successors and Assigns</w:t>
      </w:r>
      <w:r>
        <w:rPr>
          <w:rFonts w:ascii="Times New Roman" w:cs="Times New Roman" w:eastAsia="Times New Roman" w:hAnsi="Times New Roman"/>
          <w:sz w:val="18"/>
          <w:szCs w:val="18"/>
          <w:color w:val="auto"/>
        </w:rPr>
        <w:t>. This letter agreement may not be assigned by either party except that the Company may assign this letter agreement to any affiliate or in connection with the merger, consolidation or sale of all or substantially all of its business or assets. This letter agreement will be binding upon and will inure to the benefit of the parties hereto and their respective successors and other legal representatives and, to the extent that any assignment hereof is permitted hereunder, their assignees.</w:t>
      </w:r>
    </w:p>
    <w:p>
      <w:pPr>
        <w:spacing w:after="0" w:line="3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196850</wp:posOffset>
            </wp:positionV>
            <wp:extent cx="5274945" cy="501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5274945" cy="50165"/>
                    </a:xfrm>
                    <a:prstGeom prst="rect">
                      <a:avLst/>
                    </a:prstGeom>
                    <a:noFill/>
                  </pic:spPr>
                </pic:pic>
              </a:graphicData>
            </a:graphic>
          </wp:anchor>
        </w:drawing>
      </w:r>
    </w:p>
    <w:p>
      <w:pPr>
        <w:sectPr>
          <w:pgSz w:w="11900" w:h="16838" w:orient="portrait"/>
          <w:cols w:equalWidth="0" w:num="1">
            <w:col w:w="9340"/>
          </w:cols>
          <w:pgMar w:left="1440" w:top="279" w:right="1119" w:bottom="1440" w:gutter="0" w:footer="0" w:header="0"/>
        </w:sectPr>
      </w:pPr>
    </w:p>
    <w:bookmarkStart w:id="69" w:name="page70"/>
    <w:bookmarkEnd w:id="69"/>
    <w:p>
      <w:pPr>
        <w:ind w:left="880" w:right="100" w:hanging="315"/>
        <w:spacing w:after="0" w:line="214"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No modification of or amendment to this letter agreement, nor any waiver of any rights under this letter agreement, will be effective unless in writing and signed by the party to be charged. No delay or omission by the Company in exercising any right under this letter agreement will operate as a waiver of that or any other right. A waiver or consent given by the Company on any occasion if effective only in that instance and will not be construed as a bar to or waiver of any right on any other occasion.</w:t>
      </w:r>
    </w:p>
    <w:p>
      <w:pPr>
        <w:spacing w:after="0" w:line="127" w:lineRule="exact"/>
        <w:rPr>
          <w:rFonts w:ascii="Times New Roman" w:cs="Times New Roman" w:eastAsia="Times New Roman" w:hAnsi="Times New Roman"/>
          <w:sz w:val="18"/>
          <w:szCs w:val="18"/>
          <w:color w:val="auto"/>
        </w:rPr>
      </w:pPr>
    </w:p>
    <w:p>
      <w:pPr>
        <w:ind w:left="880" w:hanging="315"/>
        <w:spacing w:after="0" w:line="211"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letter agreement will be construed as a sealed instrument and will in all events and for all purposes be governed by, and construed in accordance with, the laws of the State of Delaware without regard to any choice of law principle that would dictate the application of the laws of another jurisdiction. Any action, suit or other legal proceeding that may be commenced to resolve any matter arising under or relating to any provision of this letter agreement will be commenced only in a court of the State of Delaware (or, if appropriate, a federal court located within the State of Delaware), and you hereby consent to the jurisdiction of such court with respect to any action, suit or proceeding commenced in such court by the Company.</w:t>
      </w:r>
    </w:p>
    <w:p>
      <w:pPr>
        <w:spacing w:after="0" w:line="133"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8"/>
          <w:szCs w:val="18"/>
          <w:color w:val="auto"/>
        </w:rPr>
        <w:t>If you agree with the terms and conditions of this letter agreement, please sign below. If you have any questions, please do not hesitate to contact Jamie Elliott at [***].</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Cabell Lolmaugh</w:t>
      </w:r>
    </w:p>
    <w:p>
      <w:pPr>
        <w:spacing w:after="0" w:line="198" w:lineRule="auto"/>
        <w:rPr>
          <w:sz w:val="20"/>
          <w:szCs w:val="20"/>
          <w:color w:val="auto"/>
        </w:rPr>
      </w:pPr>
      <w:r>
        <w:rPr>
          <w:rFonts w:ascii="Times New Roman" w:cs="Times New Roman" w:eastAsia="Times New Roman" w:hAnsi="Times New Roman"/>
          <w:sz w:val="18"/>
          <w:szCs w:val="18"/>
          <w:color w:val="auto"/>
        </w:rPr>
        <w:t>Cabell Lolmaugh</w:t>
      </w:r>
    </w:p>
    <w:p>
      <w:pPr>
        <w:spacing w:after="0" w:line="213" w:lineRule="auto"/>
        <w:rPr>
          <w:sz w:val="20"/>
          <w:szCs w:val="20"/>
          <w:color w:val="auto"/>
        </w:rPr>
      </w:pPr>
      <w:r>
        <w:rPr>
          <w:rFonts w:ascii="Times New Roman" w:cs="Times New Roman" w:eastAsia="Times New Roman" w:hAnsi="Times New Roman"/>
          <w:sz w:val="18"/>
          <w:szCs w:val="18"/>
          <w:b w:val="1"/>
          <w:bCs w:val="1"/>
          <w:i w:val="1"/>
          <w:iCs w:val="1"/>
          <w:color w:val="auto"/>
        </w:rPr>
        <w:t>President &amp; CEO</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Tile Shop Holdings, Inc.</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accept the offer of employment under the terms and conditions listed above.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w w:val="94"/>
              </w:rPr>
              <w:t>/s/ Joseph Kinder</w:t>
            </w:r>
          </w:p>
        </w:tc>
        <w:tc>
          <w:tcPr>
            <w:tcW w:w="4480" w:type="dxa"/>
            <w:vAlign w:val="bottom"/>
            <w:gridSpan w:val="3"/>
          </w:tcPr>
          <w:p>
            <w:pPr>
              <w:ind w:left="3160"/>
              <w:spacing w:after="0"/>
              <w:rPr>
                <w:sz w:val="20"/>
                <w:szCs w:val="20"/>
                <w:color w:val="auto"/>
              </w:rPr>
            </w:pPr>
            <w:r>
              <w:rPr>
                <w:rFonts w:ascii="Times New Roman" w:cs="Times New Roman" w:eastAsia="Times New Roman" w:hAnsi="Times New Roman"/>
                <w:sz w:val="18"/>
                <w:szCs w:val="18"/>
                <w:color w:val="auto"/>
                <w:w w:val="98"/>
              </w:rPr>
              <w:t>February 25, 2025</w:t>
            </w:r>
          </w:p>
        </w:tc>
      </w:tr>
      <w:tr>
        <w:trPr>
          <w:trHeight w:val="221"/>
        </w:trPr>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Joseph Kinder</w:t>
            </w:r>
          </w:p>
        </w:tc>
        <w:tc>
          <w:tcPr>
            <w:tcW w:w="3160" w:type="dxa"/>
            <w:vAlign w:val="bottom"/>
          </w:tcPr>
          <w:p>
            <w:pPr>
              <w:spacing w:after="0"/>
              <w:rPr>
                <w:sz w:val="19"/>
                <w:szCs w:val="19"/>
                <w:color w:val="auto"/>
              </w:rPr>
            </w:pPr>
          </w:p>
        </w:tc>
        <w:tc>
          <w:tcPr>
            <w:tcW w:w="13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Date</w:t>
            </w:r>
          </w:p>
        </w:tc>
        <w:tc>
          <w:tcPr>
            <w:tcW w:w="20" w:type="dxa"/>
            <w:vAlign w:val="bottom"/>
          </w:tcPr>
          <w:p>
            <w:pPr>
              <w:spacing w:after="0"/>
              <w:rPr>
                <w:sz w:val="19"/>
                <w:szCs w:val="19"/>
                <w:color w:val="auto"/>
              </w:rPr>
            </w:pPr>
          </w:p>
        </w:tc>
      </w:tr>
    </w:tbl>
    <w:p>
      <w:pPr>
        <w:spacing w:after="0" w:line="3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188595</wp:posOffset>
            </wp:positionV>
            <wp:extent cx="5575300" cy="501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5575300" cy="50165"/>
                    </a:xfrm>
                    <a:prstGeom prst="rect">
                      <a:avLst/>
                    </a:prstGeom>
                    <a:noFill/>
                  </pic:spPr>
                </pic:pic>
              </a:graphicData>
            </a:graphic>
          </wp:anchor>
        </w:drawing>
      </w:r>
    </w:p>
    <w:p>
      <w:pPr>
        <w:sectPr>
          <w:pgSz w:w="11900" w:h="16838" w:orient="portrait"/>
          <w:cols w:equalWidth="0" w:num="1">
            <w:col w:w="9580"/>
          </w:cols>
          <w:pgMar w:left="1180" w:top="110" w:right="1139" w:bottom="1440" w:gutter="0" w:footer="0" w:header="0"/>
        </w:sectPr>
      </w:pPr>
    </w:p>
    <w:bookmarkStart w:id="70" w:name="page71"/>
    <w:bookmarkEnd w:id="70"/>
    <w:p>
      <w:pPr>
        <w:ind w:left="7780"/>
        <w:spacing w:after="0"/>
        <w:rPr>
          <w:sz w:val="20"/>
          <w:szCs w:val="20"/>
          <w:color w:val="auto"/>
        </w:rPr>
      </w:pPr>
      <w:r>
        <w:rPr>
          <w:rFonts w:ascii="Times New Roman" w:cs="Times New Roman" w:eastAsia="Times New Roman" w:hAnsi="Times New Roman"/>
          <w:sz w:val="18"/>
          <w:szCs w:val="18"/>
          <w:b w:val="1"/>
          <w:bCs w:val="1"/>
          <w:color w:val="0C0C0C"/>
        </w:rPr>
        <w:t>EXHIBIT A</w:t>
      </w:r>
    </w:p>
    <w:p>
      <w:pPr>
        <w:spacing w:after="0" w:line="23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8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NONDISCLOSURE, CONFIDENTIALITY, ASSIGNMENT AND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NONCOMPETITION AGREEMENT</w:t>
      </w:r>
    </w:p>
    <w:p>
      <w:pPr>
        <w:spacing w:after="0" w:line="102" w:lineRule="exact"/>
        <w:rPr>
          <w:sz w:val="20"/>
          <w:szCs w:val="20"/>
          <w:color w:val="auto"/>
        </w:rPr>
      </w:pPr>
    </w:p>
    <w:p>
      <w:pPr>
        <w:jc w:val="both"/>
        <w:ind w:left="140" w:right="159" w:firstLine="631"/>
        <w:spacing w:after="0" w:line="252" w:lineRule="auto"/>
        <w:rPr>
          <w:sz w:val="20"/>
          <w:szCs w:val="20"/>
          <w:color w:val="auto"/>
        </w:rPr>
      </w:pPr>
      <w:r>
        <w:rPr>
          <w:rFonts w:ascii="Times New Roman" w:cs="Times New Roman" w:eastAsia="Times New Roman" w:hAnsi="Times New Roman"/>
          <w:sz w:val="16"/>
          <w:szCs w:val="16"/>
          <w:color w:val="auto"/>
        </w:rPr>
        <w:t>THIS NONDISCLOSURE, CONFIDENTIALITY, ASSIGNMENT AND NONCOMPETITION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this 22</w:t>
      </w:r>
      <w:r>
        <w:rPr>
          <w:rFonts w:ascii="Times New Roman" w:cs="Times New Roman" w:eastAsia="Times New Roman" w:hAnsi="Times New Roman"/>
          <w:sz w:val="8"/>
          <w:szCs w:val="8"/>
          <w:color w:val="auto"/>
        </w:rPr>
        <w:t>nd</w:t>
      </w:r>
      <w:r>
        <w:rPr>
          <w:rFonts w:ascii="Times New Roman" w:cs="Times New Roman" w:eastAsia="Times New Roman" w:hAnsi="Times New Roman"/>
          <w:sz w:val="16"/>
          <w:szCs w:val="16"/>
          <w:color w:val="auto"/>
        </w:rPr>
        <w:t xml:space="preserve"> day of July, 2024, by and between Tile Shop Holdings, Inc., a Delaware corporation (collectively with any predecessors, successors, and assignees,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Joe Kinder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me</w:t>
      </w:r>
      <w:r>
        <w:rPr>
          <w:rFonts w:ascii="Times New Roman" w:cs="Times New Roman" w:eastAsia="Times New Roman" w:hAnsi="Times New Roman"/>
          <w:sz w:val="16"/>
          <w:szCs w:val="16"/>
          <w:color w:val="auto"/>
        </w:rPr>
        <w:t xml:space="preserve">”), to be effective on July 22, 2024. This Agreement replaces and supersedes in its entirety that certain Nondisclosure, Confidentiality, Assignment and Noncompetition Agreement between me and the Company that was previously entered into effective as of July 31, 2020. This Agreement hereby is incorporated into the employment agreement between me and the Company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thereto, replacing and superseding in its entirety any such prior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w:t>
      </w:r>
    </w:p>
    <w:p>
      <w:pPr>
        <w:spacing w:after="0" w:line="93" w:lineRule="exact"/>
        <w:rPr>
          <w:sz w:val="20"/>
          <w:szCs w:val="20"/>
          <w:color w:val="auto"/>
        </w:rPr>
      </w:pPr>
    </w:p>
    <w:p>
      <w:pPr>
        <w:jc w:val="both"/>
        <w:ind w:left="140" w:right="159" w:firstLine="631"/>
        <w:spacing w:after="0" w:line="230" w:lineRule="auto"/>
        <w:rPr>
          <w:sz w:val="20"/>
          <w:szCs w:val="20"/>
          <w:color w:val="auto"/>
        </w:rPr>
      </w:pPr>
      <w:r>
        <w:rPr>
          <w:rFonts w:ascii="Times New Roman" w:cs="Times New Roman" w:eastAsia="Times New Roman" w:hAnsi="Times New Roman"/>
          <w:sz w:val="18"/>
          <w:szCs w:val="18"/>
          <w:color w:val="auto"/>
        </w:rPr>
        <w:t>In consideration of my engagement or continued engagement as an officer, employee, director, advisor, partner, independent contractor or consultant of the Company (an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and for other valuable consideration, the receipt and sufficiency of which is hereby acknowledged, I hereby agree as follows:</w:t>
      </w:r>
    </w:p>
    <w:p>
      <w:pPr>
        <w:spacing w:after="0" w:line="102" w:lineRule="exact"/>
        <w:rPr>
          <w:sz w:val="20"/>
          <w:szCs w:val="20"/>
          <w:color w:val="auto"/>
        </w:rPr>
      </w:pPr>
    </w:p>
    <w:p>
      <w:pPr>
        <w:ind w:left="900" w:hanging="75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108" w:lineRule="exact"/>
        <w:rPr>
          <w:sz w:val="20"/>
          <w:szCs w:val="20"/>
          <w:color w:val="auto"/>
        </w:rPr>
      </w:pPr>
    </w:p>
    <w:p>
      <w:pPr>
        <w:ind w:left="780"/>
        <w:spacing w:after="0"/>
        <w:tabs>
          <w:tab w:leader="none" w:pos="14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any direct or indirect subsidiary of the Company.</w:t>
      </w:r>
    </w:p>
    <w:p>
      <w:pPr>
        <w:spacing w:after="0" w:line="122" w:lineRule="exact"/>
        <w:rPr>
          <w:sz w:val="20"/>
          <w:szCs w:val="20"/>
          <w:color w:val="auto"/>
        </w:rPr>
      </w:pPr>
    </w:p>
    <w:p>
      <w:pPr>
        <w:jc w:val="both"/>
        <w:ind w:left="140" w:right="159" w:firstLine="631"/>
        <w:spacing w:after="0" w:line="21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and all confidential and/or proprietary knowledge, data or information concerning the business, business relationships and financial affairs of the Company or its Affiliates whether or not in writing and whether or not labeled or identified as confidential or proprietary. By way of illustration, but not limitation, Confidential Information includes (a) Inventions and (b) research and development activities of the Company or its Affiliates, services and marketing plans, business plans, budgets and unpublished financial statements, licenses, prices and costs, customer and supplier information and information disclosed to the Company or its Affiliates or to me by third parties of a proprietary or confidential nature or under an obligation of confidence. Confidential Information is contained in various media, including without limitation, patent applications, computer programs in object and/or source code, flow charts and other program documentation, manuals, plans, drawings, designs, technical specifications, laboratory notebooks, supplier and customer lists, internal financial data and other documents and records of the Company or its Affiliates. Notwithstanding the foregoing, nothing in this Agreement is intended to or will be used in any way to prevent disclosure of Confidential Information in accordance with the immunity provisions set forth in the Defend Trade Secrets Act of 2016 (18 U.S.C. § 1833(b)), meaning the disclosure is (1) in confidence to a government official or attorney solely for the purpose of reporting or investigating a suspected legal violation; or (2) under seal in connection with a lawsuit or other proceeding (including an anti-retaliation lawsuit) .</w:t>
      </w:r>
    </w:p>
    <w:p>
      <w:pPr>
        <w:spacing w:after="0" w:line="111" w:lineRule="exact"/>
        <w:rPr>
          <w:sz w:val="20"/>
          <w:szCs w:val="20"/>
          <w:color w:val="auto"/>
        </w:rPr>
      </w:pPr>
    </w:p>
    <w:p>
      <w:pPr>
        <w:jc w:val="both"/>
        <w:ind w:left="140" w:right="159" w:firstLine="631"/>
        <w:spacing w:after="0" w:line="219"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means all ideas, concepts, discoveries, inventions, developments, improvements, formulations, products, processes, know-how, designs, formulas, methods, developmental or experimental work, clinical data, original works of authorship, software programs, software and systems documentation, trade secrets, technical data, or licenses to use (whether or not patentable or registrable under copyright or similar statutes), that are or were made, conceived, devised, invented, developed or reduced to practice or tangible medium by me, either alone or jointly with others (a) during any period that I am an Associate of the Company, whether or not during normal working hours or on the premises of the Company, that relate, directly or indirectly, to the business of the Company or its Affiliates, (b) at the request of or for the benefit of the Company during any period prior to my engagement as an Associate of the Company that relate, directly or indirectly, to the business of the Company or its Affiliates, or (c) that arise out of, or are incidental to, my engagement as an Associate of the Company.</w:t>
      </w:r>
    </w:p>
    <w:p>
      <w:pPr>
        <w:spacing w:after="0" w:line="109" w:lineRule="exact"/>
        <w:rPr>
          <w:sz w:val="20"/>
          <w:szCs w:val="20"/>
          <w:color w:val="auto"/>
        </w:rPr>
      </w:pPr>
    </w:p>
    <w:p>
      <w:pPr>
        <w:jc w:val="both"/>
        <w:ind w:left="140" w:right="159" w:firstLine="631"/>
        <w:spacing w:after="0" w:line="230"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Prior Inventions</w:t>
      </w:r>
      <w:r>
        <w:rPr>
          <w:rFonts w:ascii="Times New Roman" w:cs="Times New Roman" w:eastAsia="Times New Roman" w:hAnsi="Times New Roman"/>
          <w:sz w:val="18"/>
          <w:szCs w:val="18"/>
          <w:color w:val="auto"/>
        </w:rPr>
        <w:t>” means any inventions made, conceived, devised, invented, developed or first reduced to practice by me, under my direction or jointly with others prior to the date of this Agreement and that do not constitute Inventions within the meaning of Section 1.3 above. Prior Inventions also means an invention for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313690</wp:posOffset>
            </wp:positionV>
            <wp:extent cx="5575300" cy="501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5575300" cy="50165"/>
                    </a:xfrm>
                    <a:prstGeom prst="rect">
                      <a:avLst/>
                    </a:prstGeom>
                    <a:noFill/>
                  </pic:spPr>
                </pic:pic>
              </a:graphicData>
            </a:graphic>
          </wp:anchor>
        </w:drawing>
      </w:r>
    </w:p>
    <w:p>
      <w:pPr>
        <w:sectPr>
          <w:pgSz w:w="11900" w:h="16838" w:orient="portrait"/>
          <w:cols w:equalWidth="0" w:num="1">
            <w:col w:w="9019"/>
          </w:cols>
          <w:pgMar w:left="1440" w:top="172" w:right="1440" w:bottom="1440" w:gutter="0" w:footer="0" w:header="0"/>
        </w:sectPr>
      </w:pPr>
    </w:p>
    <w:bookmarkStart w:id="71" w:name="page72"/>
    <w:bookmarkEnd w:id="71"/>
    <w:p>
      <w:pPr>
        <w:jc w:val="both"/>
        <w:ind w:left="140" w:right="159"/>
        <w:spacing w:after="0" w:line="225" w:lineRule="auto"/>
        <w:rPr>
          <w:sz w:val="20"/>
          <w:szCs w:val="20"/>
          <w:color w:val="auto"/>
        </w:rPr>
      </w:pPr>
      <w:r>
        <w:rPr>
          <w:rFonts w:ascii="Times New Roman" w:cs="Times New Roman" w:eastAsia="Times New Roman" w:hAnsi="Times New Roman"/>
          <w:sz w:val="18"/>
          <w:szCs w:val="18"/>
          <w:color w:val="auto"/>
        </w:rPr>
        <w:t>no equipment, supplies, facility or trade secret information of the Company was used and which was developed entirely on my own time, and (1) which does not relate (a) directly to the business of the Company or (b) to the Company’s actual or demonstrably anticipated research or development, or (2) which does not result from any work performed by the me for the Company.</w:t>
      </w:r>
    </w:p>
    <w:p>
      <w:pPr>
        <w:spacing w:after="0" w:line="103" w:lineRule="exact"/>
        <w:rPr>
          <w:sz w:val="20"/>
          <w:szCs w:val="20"/>
          <w:color w:val="auto"/>
        </w:rPr>
      </w:pPr>
    </w:p>
    <w:p>
      <w:pPr>
        <w:jc w:val="both"/>
        <w:ind w:left="140" w:right="159" w:firstLine="631"/>
        <w:spacing w:after="0" w:line="23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means any confidential or proprietary information received by the Company or its Affiliates from third parties.</w:t>
      </w:r>
    </w:p>
    <w:p>
      <w:pPr>
        <w:spacing w:after="0" w:line="102" w:lineRule="exact"/>
        <w:rPr>
          <w:sz w:val="20"/>
          <w:szCs w:val="20"/>
          <w:color w:val="auto"/>
        </w:rPr>
      </w:pPr>
    </w:p>
    <w:p>
      <w:pPr>
        <w:ind w:left="140"/>
        <w:spacing w:after="0"/>
        <w:tabs>
          <w:tab w:leader="none" w:pos="4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6"/>
          <w:szCs w:val="16"/>
          <w:color w:val="auto"/>
        </w:rPr>
        <w:t>CONFIDENTIALITY.</w:t>
      </w:r>
    </w:p>
    <w:p>
      <w:pPr>
        <w:spacing w:after="0" w:line="122" w:lineRule="exact"/>
        <w:rPr>
          <w:sz w:val="20"/>
          <w:szCs w:val="20"/>
          <w:color w:val="auto"/>
        </w:rPr>
      </w:pPr>
    </w:p>
    <w:p>
      <w:pPr>
        <w:jc w:val="both"/>
        <w:ind w:left="140" w:right="159" w:firstLine="631"/>
        <w:spacing w:after="0" w:line="259"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Recognition of the Company’s Rights</w:t>
      </w:r>
      <w:r>
        <w:rPr>
          <w:rFonts w:ascii="Times New Roman" w:cs="Times New Roman" w:eastAsia="Times New Roman" w:hAnsi="Times New Roman"/>
          <w:sz w:val="16"/>
          <w:szCs w:val="16"/>
          <w:color w:val="auto"/>
        </w:rPr>
        <w:t>. I understand that the Company continually obtains and develops valuable Confidential Information that may or has become known to me in connection with my engagement as an Associate of the Company. I acknowledge that all Confidential Information is and will remain the exclusive property of the Company or the third party providing such Confidential Information to myself, the Company, or the Company’s Affiliates.</w:t>
      </w:r>
    </w:p>
    <w:p>
      <w:pPr>
        <w:spacing w:after="0" w:line="86" w:lineRule="exact"/>
        <w:rPr>
          <w:sz w:val="20"/>
          <w:szCs w:val="20"/>
          <w:color w:val="auto"/>
        </w:rPr>
      </w:pPr>
    </w:p>
    <w:p>
      <w:pPr>
        <w:jc w:val="both"/>
        <w:ind w:left="140" w:right="159" w:firstLine="631"/>
        <w:spacing w:after="0" w:line="220"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Nondisclosure of Confidential Information</w:t>
      </w:r>
      <w:r>
        <w:rPr>
          <w:rFonts w:ascii="Times New Roman" w:cs="Times New Roman" w:eastAsia="Times New Roman" w:hAnsi="Times New Roman"/>
          <w:sz w:val="18"/>
          <w:szCs w:val="18"/>
          <w:color w:val="auto"/>
        </w:rPr>
        <w:t>. I agree that during the term of my engagement as an Associate of the Company and thereafter, I will hold in strictest confidence and will not disclose, use, lecture upon, publish or otherwise make available to any third party (other than personnel of the Company or its Affiliates who need to know such information in connection with their work for the Company), any Confidential Information of the Company, except as such disclosure, use or publication may be required in connection with my work for the Company, or as expressly authorized in writing by an executive officer of the Company. I agree that I will use such Confidential Information only in the performance of my duties for the Company and in accordance with any Company policies with respect to the protection of Confidential Information. I agree not to use such Confidential Information for my own benefit or for the benefit of any other person or business entity.</w:t>
      </w:r>
    </w:p>
    <w:p>
      <w:pPr>
        <w:spacing w:after="0" w:line="106" w:lineRule="exact"/>
        <w:rPr>
          <w:sz w:val="20"/>
          <w:szCs w:val="20"/>
          <w:color w:val="auto"/>
        </w:rPr>
      </w:pPr>
    </w:p>
    <w:p>
      <w:pPr>
        <w:jc w:val="both"/>
        <w:ind w:left="140" w:right="159" w:firstLine="631"/>
        <w:spacing w:after="0" w:line="22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In addition, I understand that the Company has received and in the future will receive Third Party Information subject to a duty on the Company’s part to maintain the confidentiality of such information and to use it only for certain limited purposes. During the term of my engagement as an Associate of the Company and thereafter, I will hold Third Party Information in the strictest confidence and will not disclose to anyone (other than personnel of the Company or its Affiliates who need to know such information in connection with the performance of their duties for the Company) or use any Third Party Information, except as such disclosure or use may be required in connection with the performance of my duties for the Company, or as expressly authorized in writing by an executive officer of the Company.</w:t>
      </w:r>
    </w:p>
    <w:p>
      <w:pPr>
        <w:spacing w:after="0" w:line="92" w:lineRule="exact"/>
        <w:rPr>
          <w:sz w:val="20"/>
          <w:szCs w:val="20"/>
          <w:color w:val="auto"/>
        </w:rPr>
      </w:pPr>
    </w:p>
    <w:p>
      <w:pPr>
        <w:jc w:val="both"/>
        <w:ind w:left="140" w:right="159" w:firstLine="631"/>
        <w:spacing w:after="0" w:line="250" w:lineRule="auto"/>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Exceptions</w:t>
      </w:r>
      <w:r>
        <w:rPr>
          <w:rFonts w:ascii="Times New Roman" w:cs="Times New Roman" w:eastAsia="Times New Roman" w:hAnsi="Times New Roman"/>
          <w:sz w:val="16"/>
          <w:szCs w:val="16"/>
          <w:color w:val="auto"/>
        </w:rPr>
        <w:t>. My obligations under Sections 2.2 and 2.3 hereof will not apply to the extent that certain Confidential Information (a) is or becomes generally known within the Company’s industry through no fault of mine; (b) was known to me at the time it was disclosed as evidenced by my written records at the time of disclosure; (c) is lawfully and in good faith made available to me by a third party who did not derive it from the Company or the Company’</w:t>
      </w:r>
    </w:p>
    <w:p>
      <w:pPr>
        <w:spacing w:after="0" w:line="3" w:lineRule="exact"/>
        <w:rPr>
          <w:sz w:val="20"/>
          <w:szCs w:val="20"/>
          <w:color w:val="auto"/>
        </w:rPr>
      </w:pPr>
    </w:p>
    <w:p>
      <w:pPr>
        <w:jc w:val="both"/>
        <w:ind w:left="140" w:right="159" w:firstLine="7"/>
        <w:spacing w:after="0" w:line="220" w:lineRule="auto"/>
        <w:tabs>
          <w:tab w:leader="none" w:pos="3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 and who imposes no obligation of confidence to me, the Company, or the Company’s Affiliates; or (d) is required to be disclosed by a governmental authority or by order of a court of competent jurisdiction, provided that such disclosure is subject to all applicable governmental or judicial protection available for like material and reasonable advance notice is given to the Company.</w:t>
      </w:r>
    </w:p>
    <w:p>
      <w:pPr>
        <w:spacing w:after="0" w:line="102" w:lineRule="exact"/>
        <w:rPr>
          <w:sz w:val="20"/>
          <w:szCs w:val="20"/>
          <w:color w:val="auto"/>
        </w:rPr>
      </w:pPr>
    </w:p>
    <w:p>
      <w:pPr>
        <w:jc w:val="both"/>
        <w:ind w:left="140" w:right="159" w:firstLine="631"/>
        <w:spacing w:after="0" w:line="22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Protection and Return of Confidential Information</w:t>
      </w:r>
      <w:r>
        <w:rPr>
          <w:rFonts w:ascii="Times New Roman" w:cs="Times New Roman" w:eastAsia="Times New Roman" w:hAnsi="Times New Roman"/>
          <w:sz w:val="18"/>
          <w:szCs w:val="18"/>
          <w:color w:val="auto"/>
        </w:rPr>
        <w:t>. I agree to exercise all reasonable precautions to protect the integrity and confidentiality of Confidential Information in my possession and not to remove any materials containing Confidential Information from the premises of the Company, except to the extent necessary in the performance of my duties for the Company or unless expressly authorized in writing by an executive officer of the Company. Upon the termination of my engagement as an Associate of the Company, or at any time upon the Company’s request, I will return immediately to the Company any and all notes, memoranda, specifications, devices, formulas and documents, together with copies thereof, and any other material containing or disclosing any Confidential Information of the Company or Third Party Information then in my possession or under my control.</w:t>
      </w:r>
    </w:p>
    <w:p>
      <w:pPr>
        <w:spacing w:after="0" w:line="105" w:lineRule="exact"/>
        <w:rPr>
          <w:sz w:val="20"/>
          <w:szCs w:val="20"/>
          <w:color w:val="auto"/>
        </w:rPr>
      </w:pPr>
    </w:p>
    <w:p>
      <w:pPr>
        <w:jc w:val="both"/>
        <w:ind w:left="140" w:right="159" w:firstLine="631"/>
        <w:spacing w:after="0" w:line="23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Protected Activity</w:t>
      </w:r>
      <w:r>
        <w:rPr>
          <w:rFonts w:ascii="Times New Roman" w:cs="Times New Roman" w:eastAsia="Times New Roman" w:hAnsi="Times New Roman"/>
          <w:sz w:val="18"/>
          <w:szCs w:val="18"/>
          <w:color w:val="auto"/>
        </w:rPr>
        <w:t>. Nothing contained in this Agreement, or any other agreement, policy, practice, procedure, directive or instruction maintained by the Company shall prohibit me from reporting possible violations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314325</wp:posOffset>
            </wp:positionV>
            <wp:extent cx="5575300" cy="50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5575300" cy="5016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2" w:name="page73"/>
    <w:bookmarkEnd w:id="72"/>
    <w:p>
      <w:pPr>
        <w:jc w:val="both"/>
        <w:ind w:left="140" w:right="159"/>
        <w:spacing w:after="0" w:line="226" w:lineRule="auto"/>
        <w:rPr>
          <w:sz w:val="20"/>
          <w:szCs w:val="20"/>
          <w:color w:val="auto"/>
        </w:rPr>
      </w:pPr>
      <w:r>
        <w:rPr>
          <w:rFonts w:ascii="Times New Roman" w:cs="Times New Roman" w:eastAsia="Times New Roman" w:hAnsi="Times New Roman"/>
          <w:sz w:val="18"/>
          <w:szCs w:val="18"/>
          <w:color w:val="auto"/>
        </w:rPr>
        <w:t>federal, state or local laws or regulations to any federal, state or local governmental agency or from making other disclosures that are protected under the whistleblower provisions of federal, state or local laws or regulations. I do not need prior authorization of any kind to make any such reports or disclosures to any governmental agency and I am not required to notify the Company that I have made such reports or disclosures. Nothing in this Agreement limits any right I may have to receive a whistleblower award or bounty for information provided to any governmental agency.</w:t>
      </w:r>
    </w:p>
    <w:p>
      <w:pPr>
        <w:spacing w:after="0" w:line="88" w:lineRule="exact"/>
        <w:rPr>
          <w:sz w:val="20"/>
          <w:szCs w:val="20"/>
          <w:color w:val="auto"/>
        </w:rPr>
      </w:pPr>
    </w:p>
    <w:p>
      <w:pPr>
        <w:ind w:left="140"/>
        <w:spacing w:after="0"/>
        <w:tabs>
          <w:tab w:leader="none" w:pos="4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6"/>
          <w:szCs w:val="16"/>
          <w:color w:val="auto"/>
        </w:rPr>
        <w:t>ASSIGNMENT OF INVENTIONS.</w:t>
      </w:r>
    </w:p>
    <w:p>
      <w:pPr>
        <w:spacing w:after="0" w:line="122" w:lineRule="exact"/>
        <w:rPr>
          <w:sz w:val="20"/>
          <w:szCs w:val="20"/>
          <w:color w:val="auto"/>
        </w:rPr>
      </w:pPr>
    </w:p>
    <w:p>
      <w:pPr>
        <w:jc w:val="both"/>
        <w:ind w:left="140" w:right="159" w:firstLine="631"/>
        <w:spacing w:after="0" w:line="230"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Ownership of Inventions</w:t>
      </w:r>
      <w:r>
        <w:rPr>
          <w:rFonts w:ascii="Times New Roman" w:cs="Times New Roman" w:eastAsia="Times New Roman" w:hAnsi="Times New Roman"/>
          <w:sz w:val="18"/>
          <w:szCs w:val="18"/>
          <w:color w:val="auto"/>
        </w:rPr>
        <w:t>. I acknowledge that all Inventions already existing at the date of this Agreement or that arise after the date of this Agreement, belong to and are the absolute property of the Company and will not be used by me for any purpose other than carrying out my duties as an Associate of the Company.</w:t>
      </w:r>
    </w:p>
    <w:p>
      <w:pPr>
        <w:spacing w:after="0" w:line="102" w:lineRule="exact"/>
        <w:rPr>
          <w:sz w:val="20"/>
          <w:szCs w:val="20"/>
          <w:color w:val="auto"/>
        </w:rPr>
      </w:pPr>
    </w:p>
    <w:p>
      <w:pPr>
        <w:jc w:val="both"/>
        <w:ind w:left="140" w:right="159" w:firstLine="631"/>
        <w:spacing w:after="0" w:line="21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Assignment of Inventions; Enforcement of Rights</w:t>
      </w:r>
      <w:r>
        <w:rPr>
          <w:rFonts w:ascii="Times New Roman" w:cs="Times New Roman" w:eastAsia="Times New Roman" w:hAnsi="Times New Roman"/>
          <w:sz w:val="18"/>
          <w:szCs w:val="18"/>
          <w:color w:val="auto"/>
        </w:rPr>
        <w:t>. Subject to Section 3.6, I hereby assign and agree to assign in the future to the Company all of my right, title and interest to any and all Inventions and any and all related patent rights, copyrights and applications and registrations therefore. I also agree to assign all my right, title and interest in and to any particular Inventions to a third party as directed by the Company. During and after my engagement as an Associate of the Company, I will cooperate with the Company, at the Company’s expense, in obtaining proprietary protection for the Inventions and I will execute all documents that the Company reasonably requests in order to perfect the Company’s rights in the Inventions. I hereby appoint the Company my attorney to execute and deliver any such documents on my behalf in the event I should fail or refuse to do so within a reasonable period following the Company’s request. I understand that, to the extent this Agreement is construed in accordance with the laws of any country or state that limits the assignability to the Company of certain inventions, this Agreement will be interpreted not to apply to any such invention that a court rules or the Company agrees is subject to such limitation.</w:t>
      </w:r>
    </w:p>
    <w:p>
      <w:pPr>
        <w:spacing w:after="0" w:line="104" w:lineRule="exact"/>
        <w:rPr>
          <w:sz w:val="20"/>
          <w:szCs w:val="20"/>
          <w:color w:val="auto"/>
        </w:rPr>
      </w:pPr>
    </w:p>
    <w:p>
      <w:pPr>
        <w:jc w:val="both"/>
        <w:ind w:left="140" w:right="159" w:firstLine="631"/>
        <w:spacing w:after="0" w:line="220"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Works for Hire</w:t>
      </w:r>
      <w:r>
        <w:rPr>
          <w:rFonts w:ascii="Times New Roman" w:cs="Times New Roman" w:eastAsia="Times New Roman" w:hAnsi="Times New Roman"/>
          <w:sz w:val="18"/>
          <w:szCs w:val="18"/>
          <w:color w:val="auto"/>
        </w:rPr>
        <w:t>. I acknowledge that all original works of authorship made by me (solely or jointly with others) within the scope of my engagement as an Associate of the Company or any prior engagement by the Company, that are protectable by copyright are intended to be “works made for hire”, as that term is defined in Section 101 of the United States Copyright Act of 1976 (the “Act”), and will be the property of the Company and the Company will be the sole author within the meaning of the Act. If the copyright to any such copyrightable work is not the property of the Company by operation of law, I will, without further consideration, assign to the Company all of my right, title and interest in such copyrightable work and will cooperate with the Company and its designees, at the Company’s expense, to secure, maintain and defend for the Company’s benefit copyrights and any extensions and renewals thereof on any and all such work. I hereby waive all claims to moral rights in any Inventions.</w:t>
      </w:r>
    </w:p>
    <w:p>
      <w:pPr>
        <w:spacing w:after="0" w:line="106" w:lineRule="exact"/>
        <w:rPr>
          <w:sz w:val="20"/>
          <w:szCs w:val="20"/>
          <w:color w:val="auto"/>
        </w:rPr>
      </w:pPr>
    </w:p>
    <w:p>
      <w:pPr>
        <w:jc w:val="both"/>
        <w:ind w:left="140" w:right="159" w:firstLine="631"/>
        <w:spacing w:after="0" w:line="22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I agree to keep and maintain adequate and current records (in the form of notes, sketches, drawings and in any other form that may be required by the Company) of all Inventions made by me during the period of my engagement as an Associate of the Company or any prior engagement by the Company, which records will be available to and remain the sole property of the Company at all times.</w:t>
      </w:r>
    </w:p>
    <w:p>
      <w:pPr>
        <w:spacing w:after="0" w:line="101" w:lineRule="exact"/>
        <w:rPr>
          <w:sz w:val="20"/>
          <w:szCs w:val="20"/>
          <w:color w:val="auto"/>
        </w:rPr>
      </w:pPr>
    </w:p>
    <w:p>
      <w:pPr>
        <w:jc w:val="both"/>
        <w:ind w:left="140" w:right="159" w:firstLine="631"/>
        <w:spacing w:after="0" w:line="22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Obligation to Keep Company Informed</w:t>
      </w:r>
      <w:r>
        <w:rPr>
          <w:rFonts w:ascii="Times New Roman" w:cs="Times New Roman" w:eastAsia="Times New Roman" w:hAnsi="Times New Roman"/>
          <w:sz w:val="18"/>
          <w:szCs w:val="18"/>
          <w:color w:val="auto"/>
        </w:rPr>
        <w:t>. During the period of my engagement as an Associate of the Company, and for six months after termination of my engagement as an Associate of the Company, I agree to promptly disclose to the Company fully and in writing all Inventions authored, conceived or reduced to practice by me, either alone or jointly with others. In addition, I will promptly disclose to the Company all patent applications filed by me or on my behalf within one year after termination of my engagement as an Associate of the Company.</w:t>
      </w:r>
    </w:p>
    <w:p>
      <w:pPr>
        <w:spacing w:after="0" w:line="90" w:lineRule="exact"/>
        <w:rPr>
          <w:sz w:val="20"/>
          <w:szCs w:val="20"/>
          <w:color w:val="auto"/>
        </w:rPr>
      </w:pPr>
    </w:p>
    <w:p>
      <w:pPr>
        <w:jc w:val="both"/>
        <w:ind w:left="140" w:right="159" w:firstLine="631"/>
        <w:spacing w:after="0" w:line="220"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Prior Inventions</w:t>
      </w:r>
      <w:r>
        <w:rPr>
          <w:rFonts w:ascii="Times New Roman" w:cs="Times New Roman" w:eastAsia="Times New Roman" w:hAnsi="Times New Roman"/>
          <w:sz w:val="18"/>
          <w:szCs w:val="18"/>
          <w:color w:val="auto"/>
        </w:rPr>
        <w:t>. I further represent that the attached Schedule A contains a complete list of all Prior Inventions. I agree to update and/or amend Schedule A during my employment as may be necessary and to promptly notify the Company of the same. Such Prior Inventions are considered to be my property or the property of third parties and are not assigned to the Company hereunder. If there is no such Schedule A attached hereto, I represent that there are no such Prior Inventions. If I am claiming any Prior Inventions on Schedule A, I agree that, if in the course of my engagement as an Associate of the Company or any prior engagement by the Company, I incorporate any Prior Invention into a Company product, process or machine, the Company will automatically be granted and will have a non-exclusive, royalty-free, irrevocable, transferable, perpetual, world-wide license (with rights to sublicense) to make, have made, modify, use and sell such Prior Invention as part of, or in connection with, such product,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316865</wp:posOffset>
            </wp:positionV>
            <wp:extent cx="5575300" cy="501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5575300" cy="5016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3" w:name="page74"/>
    <w:bookmarkEnd w:id="73"/>
    <w:p>
      <w:pPr>
        <w:jc w:val="both"/>
        <w:ind w:left="140" w:right="159"/>
        <w:spacing w:after="0" w:line="238" w:lineRule="auto"/>
        <w:rPr>
          <w:sz w:val="20"/>
          <w:szCs w:val="20"/>
          <w:color w:val="auto"/>
        </w:rPr>
      </w:pPr>
      <w:r>
        <w:rPr>
          <w:rFonts w:ascii="Times New Roman" w:cs="Times New Roman" w:eastAsia="Times New Roman" w:hAnsi="Times New Roman"/>
          <w:sz w:val="18"/>
          <w:szCs w:val="18"/>
          <w:color w:val="auto"/>
        </w:rPr>
        <w:t>or machine. Notwithstanding the foregoing, I agree that I will not incorporate, or permit to be incorporated, Prior Inventions in any Company Inventions without the Company’ s prior written consent.</w:t>
      </w:r>
    </w:p>
    <w:p>
      <w:pPr>
        <w:spacing w:after="0" w:line="101" w:lineRule="exact"/>
        <w:rPr>
          <w:sz w:val="20"/>
          <w:szCs w:val="20"/>
          <w:color w:val="auto"/>
        </w:rPr>
      </w:pPr>
    </w:p>
    <w:p>
      <w:pPr>
        <w:ind w:left="140"/>
        <w:spacing w:after="0"/>
        <w:tabs>
          <w:tab w:leader="none" w:pos="44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6"/>
          <w:szCs w:val="16"/>
          <w:color w:val="auto"/>
        </w:rPr>
        <w:t>OTHER AGREEMENTS.</w:t>
      </w:r>
    </w:p>
    <w:p>
      <w:pPr>
        <w:spacing w:after="0" w:line="122" w:lineRule="exact"/>
        <w:rPr>
          <w:sz w:val="20"/>
          <w:szCs w:val="20"/>
          <w:color w:val="auto"/>
        </w:rPr>
      </w:pPr>
    </w:p>
    <w:p>
      <w:pPr>
        <w:jc w:val="both"/>
        <w:ind w:left="140" w:right="159" w:firstLine="631"/>
        <w:spacing w:after="0" w:line="22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No Conflicting Obligations</w:t>
      </w:r>
      <w:r>
        <w:rPr>
          <w:rFonts w:ascii="Times New Roman" w:cs="Times New Roman" w:eastAsia="Times New Roman" w:hAnsi="Times New Roman"/>
          <w:sz w:val="18"/>
          <w:szCs w:val="18"/>
          <w:color w:val="auto"/>
        </w:rPr>
        <w:t>. I hereby represent to the Company that, except as identified on Schedule B, I am not bound by any agreement or any other previous or existing business relationship that conflicts with or prevents the full performance of my duties and obligations to the Company (including my duties and obligations under this or any other agreement with the Company) during my engagement as an Associate of the Company. I agree I will not enter into any agreement, either written or oral, that conflicts with this Agreement.</w:t>
      </w:r>
    </w:p>
    <w:p>
      <w:pPr>
        <w:spacing w:after="0" w:line="103" w:lineRule="exact"/>
        <w:rPr>
          <w:sz w:val="20"/>
          <w:szCs w:val="20"/>
          <w:color w:val="auto"/>
        </w:rPr>
      </w:pPr>
    </w:p>
    <w:p>
      <w:pPr>
        <w:jc w:val="both"/>
        <w:ind w:left="140" w:right="159" w:firstLine="631"/>
        <w:spacing w:after="0" w:line="22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Improper Use of Information of Prior Employers or Others</w:t>
      </w:r>
      <w:r>
        <w:rPr>
          <w:rFonts w:ascii="Times New Roman" w:cs="Times New Roman" w:eastAsia="Times New Roman" w:hAnsi="Times New Roman"/>
          <w:sz w:val="18"/>
          <w:szCs w:val="18"/>
          <w:color w:val="auto"/>
        </w:rPr>
        <w:t>. I understand that the Company does not desire to acquire from me any trade secrets, know-how or confidential business information I may have acquired from others. Therefore, I agree during my engagement as an Associate of the Company, I will not improperly use or disclose any proprietary information or trade secrets of any former or concurrent employer, or any other person or entity with whom I have an agreement or to whom I owe a duty to keep such information in confidence. Those persons or entities with whom I have such agreements or to whom I owe such a duty are identified on Schedule B.</w:t>
      </w:r>
    </w:p>
    <w:p>
      <w:pPr>
        <w:spacing w:after="0" w:line="90" w:lineRule="exact"/>
        <w:rPr>
          <w:sz w:val="20"/>
          <w:szCs w:val="20"/>
          <w:color w:val="auto"/>
        </w:rPr>
      </w:pPr>
    </w:p>
    <w:p>
      <w:pPr>
        <w:jc w:val="both"/>
        <w:ind w:left="140" w:right="159" w:firstLine="7"/>
        <w:spacing w:after="0" w:line="221" w:lineRule="auto"/>
        <w:tabs>
          <w:tab w:leader="none" w:pos="9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I agree that while I am engaged as an Associate of the Company and for a period of one year after termination or cessation of such engagement for any reason, I will not, without the Company’s prior written consent, directly or indirectly, as a principal, employee, consultant, partner, or stockholder of, or in any other capacity with, any business enterprise (other than in my capacity as a holder of not more than 1% of the combined voting power of the outstanding stock of a publicly held company) (a) engage in direct or indirect competition with the Company or its Affiliates, (b) conduct a business of the type or character engaged in by the Company or its Affiliates at the time of termination or cessation of my engagement as an Associate of the Company, or (c) develop products or services competitive with those of the Company or its Affiliates.</w:t>
      </w:r>
    </w:p>
    <w:p>
      <w:pPr>
        <w:spacing w:after="0" w:line="105" w:lineRule="exact"/>
        <w:rPr>
          <w:rFonts w:ascii="Times New Roman" w:cs="Times New Roman" w:eastAsia="Times New Roman" w:hAnsi="Times New Roman"/>
          <w:sz w:val="18"/>
          <w:szCs w:val="18"/>
          <w:color w:val="auto"/>
        </w:rPr>
      </w:pPr>
    </w:p>
    <w:p>
      <w:pPr>
        <w:jc w:val="both"/>
        <w:ind w:left="140" w:right="159" w:firstLine="7"/>
        <w:spacing w:after="0" w:line="226" w:lineRule="auto"/>
        <w:tabs>
          <w:tab w:leader="none" w:pos="9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NON-SOLICITATION. I agree that while I am engaged as an Associate of the Company and for a period of one year after termination or cessation of such engagement for any reason, I will not solicit, divert or take away, or attempt to divert or take away, the business or patronage of any of the clients, customers or accounts, or prospective clients, customers or accounts, of the Company or its Affiliates that were contacted, solicited or served by me while I was engaged as an Associate of the Company or any Affiliate.</w:t>
      </w:r>
    </w:p>
    <w:p>
      <w:pPr>
        <w:spacing w:after="0" w:line="90" w:lineRule="exact"/>
        <w:rPr>
          <w:rFonts w:ascii="Times New Roman" w:cs="Times New Roman" w:eastAsia="Times New Roman" w:hAnsi="Times New Roman"/>
          <w:sz w:val="18"/>
          <w:szCs w:val="18"/>
          <w:color w:val="auto"/>
        </w:rPr>
      </w:pPr>
    </w:p>
    <w:p>
      <w:pPr>
        <w:jc w:val="both"/>
        <w:ind w:left="140" w:right="159" w:firstLine="7"/>
        <w:spacing w:after="0" w:line="226" w:lineRule="auto"/>
        <w:tabs>
          <w:tab w:leader="none" w:pos="9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NON-SOLICITATION OF EMPLOYEES AND CONSULTANTS. I agree that while I am engaged as an Associate of the Company and for a period of one year after termination or cessation of such engagement for any reason, I will not directly or indirectly hire, recruit, or solicit any employee, independent contractor or consultant of the Company or its Affiliates, or induce or attempt to induce any employee independent contractor or consultant of the Company or its Affiliates to discontinue his or her relationship with the Company or its Affiliates.</w:t>
      </w:r>
    </w:p>
    <w:p>
      <w:pPr>
        <w:spacing w:after="0" w:line="103" w:lineRule="exact"/>
        <w:rPr>
          <w:rFonts w:ascii="Times New Roman" w:cs="Times New Roman" w:eastAsia="Times New Roman" w:hAnsi="Times New Roman"/>
          <w:sz w:val="18"/>
          <w:szCs w:val="18"/>
          <w:color w:val="auto"/>
        </w:rPr>
      </w:pPr>
    </w:p>
    <w:p>
      <w:pPr>
        <w:jc w:val="both"/>
        <w:ind w:left="140" w:right="159" w:firstLine="7"/>
        <w:spacing w:after="0" w:line="226" w:lineRule="auto"/>
        <w:tabs>
          <w:tab w:leader="none" w:pos="9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SUBSEQUENT EMPLOYMENT OR ENGAGEMENT. I will, for a period of one year after the termination or cessation of my engagement as an Associate of the Company, notify the Company of any change of address, and of any subsequent employment or engagement (stating the name and address of the employer and the nature of the position) or any other business activity.</w:t>
      </w:r>
    </w:p>
    <w:p>
      <w:pPr>
        <w:spacing w:after="0" w:line="100" w:lineRule="exact"/>
        <w:rPr>
          <w:rFonts w:ascii="Times New Roman" w:cs="Times New Roman" w:eastAsia="Times New Roman" w:hAnsi="Times New Roman"/>
          <w:sz w:val="18"/>
          <w:szCs w:val="18"/>
          <w:color w:val="auto"/>
        </w:rPr>
      </w:pPr>
    </w:p>
    <w:p>
      <w:pPr>
        <w:ind w:left="900" w:hanging="75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w:t>
      </w:r>
    </w:p>
    <w:p>
      <w:pPr>
        <w:spacing w:after="0" w:line="122" w:lineRule="exact"/>
        <w:rPr>
          <w:sz w:val="20"/>
          <w:szCs w:val="20"/>
          <w:color w:val="auto"/>
        </w:rPr>
      </w:pPr>
    </w:p>
    <w:p>
      <w:pPr>
        <w:jc w:val="both"/>
        <w:ind w:left="140" w:right="159" w:firstLine="631"/>
        <w:spacing w:after="0" w:line="223"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Assignment; Successors and Assigns</w:t>
      </w:r>
      <w:r>
        <w:rPr>
          <w:rFonts w:ascii="Times New Roman" w:cs="Times New Roman" w:eastAsia="Times New Roman" w:hAnsi="Times New Roman"/>
          <w:sz w:val="18"/>
          <w:szCs w:val="18"/>
          <w:color w:val="auto"/>
        </w:rPr>
        <w:t>. This Agreement may not be assigned by either party except that the Company may assign this Agreement to any Affiliate or in connection with the merger, consolidation or sale of all or substantially all of its business or assets. This Agreement will be binding upon and will inure to the benefit of the parties hereto and their respective successors and other legal representatives and, to the extent that any assignment hereof is permitted hereunder, their assignees.</w:t>
      </w:r>
    </w:p>
    <w:p>
      <w:pPr>
        <w:spacing w:after="0" w:line="103" w:lineRule="exact"/>
        <w:rPr>
          <w:sz w:val="20"/>
          <w:szCs w:val="20"/>
          <w:color w:val="auto"/>
        </w:rPr>
      </w:pPr>
    </w:p>
    <w:p>
      <w:pPr>
        <w:jc w:val="both"/>
        <w:ind w:left="140" w:right="159" w:firstLine="631"/>
        <w:spacing w:after="0" w:line="230"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obligations pursuant to Sections 2 and 3 of this Agreement will apply to any time during which I was previously engaged as an Associate of the Company, or am in the future engaged as an Associate of the Company or any Affiliate if no other agreement governs nondisclosure and assignment of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313690</wp:posOffset>
            </wp:positionV>
            <wp:extent cx="5575300" cy="50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5575300" cy="5016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4" w:name="page75"/>
    <w:bookmarkEnd w:id="74"/>
    <w:p>
      <w:pPr>
        <w:jc w:val="both"/>
        <w:ind w:left="140" w:right="159"/>
        <w:spacing w:after="0" w:line="238" w:lineRule="auto"/>
        <w:rPr>
          <w:sz w:val="20"/>
          <w:szCs w:val="20"/>
          <w:color w:val="auto"/>
        </w:rPr>
      </w:pPr>
      <w:r>
        <w:rPr>
          <w:rFonts w:ascii="Times New Roman" w:cs="Times New Roman" w:eastAsia="Times New Roman" w:hAnsi="Times New Roman"/>
          <w:sz w:val="18"/>
          <w:szCs w:val="18"/>
          <w:color w:val="auto"/>
        </w:rPr>
        <w:t>during such period. This Agreement supersedes all prior agreements, written or oral, with respect to the subject matter of this Agreement.</w:t>
      </w:r>
    </w:p>
    <w:p>
      <w:pPr>
        <w:spacing w:after="0" w:line="101" w:lineRule="exact"/>
        <w:rPr>
          <w:sz w:val="20"/>
          <w:szCs w:val="20"/>
          <w:color w:val="auto"/>
        </w:rPr>
      </w:pPr>
    </w:p>
    <w:p>
      <w:pPr>
        <w:jc w:val="both"/>
        <w:ind w:left="140" w:right="159" w:firstLine="631"/>
        <w:spacing w:after="0" w:line="223"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of the provisions contained herein is, for any reason, held to be invalid, illegal, or unenforceable in any respect, such invalidity, illegality, or unenforceability will not affect any other provisions of this Agreement, and all other provisions will remain in full force and effect. If any of the provisions of this Agreement is held to be excessively broad, it will be reformed and construed by limiting and reducing it so as to be enforceable to the maximum extent permitted by law.</w:t>
      </w:r>
    </w:p>
    <w:p>
      <w:pPr>
        <w:spacing w:after="0" w:line="103" w:lineRule="exact"/>
        <w:rPr>
          <w:sz w:val="20"/>
          <w:szCs w:val="20"/>
          <w:color w:val="auto"/>
        </w:rPr>
      </w:pPr>
    </w:p>
    <w:p>
      <w:pPr>
        <w:jc w:val="both"/>
        <w:ind w:left="140" w:right="159" w:firstLine="631"/>
        <w:spacing w:after="0" w:line="22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No modification of or amendment to this Agreement, nor any waiver of any rights under this Agreement, will be effective unless in writing and signed by the party to be charged. No delay or omission by the Company in exercising any right under this Agreement will operate as a waiver of that or any other right. A waiver or consent given by the Company on any occasion if effective only in that instance and will not be construed as a bar to or waiver of any right on any other occasion.</w:t>
      </w:r>
    </w:p>
    <w:p>
      <w:pPr>
        <w:spacing w:after="0" w:line="90" w:lineRule="exact"/>
        <w:rPr>
          <w:sz w:val="20"/>
          <w:szCs w:val="20"/>
          <w:color w:val="auto"/>
        </w:rPr>
      </w:pPr>
    </w:p>
    <w:p>
      <w:pPr>
        <w:jc w:val="both"/>
        <w:ind w:left="140" w:right="159" w:firstLine="631"/>
        <w:spacing w:after="0" w:line="22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I understand that this Agreement does not constitute a contract of employment or create an obligation on the part of the Company to continue my employment (if any) with the Company. I understand that my employment (if any) is “at will” and that my obligations under this Agreement will not be affected by any change in my position, title or function with, or compensation, by the Company. Any subsequent change or changes in my duties, salary or compensation will not affect the validity or scope of this Agreement.</w:t>
      </w:r>
    </w:p>
    <w:p>
      <w:pPr>
        <w:spacing w:after="0" w:line="103" w:lineRule="exact"/>
        <w:rPr>
          <w:sz w:val="20"/>
          <w:szCs w:val="20"/>
          <w:color w:val="auto"/>
        </w:rPr>
      </w:pPr>
    </w:p>
    <w:p>
      <w:pPr>
        <w:jc w:val="both"/>
        <w:ind w:left="140" w:right="159" w:firstLine="631"/>
        <w:spacing w:after="0" w:line="218"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Legal and Equitable Remedies</w:t>
      </w:r>
      <w:r>
        <w:rPr>
          <w:rFonts w:ascii="Times New Roman" w:cs="Times New Roman" w:eastAsia="Times New Roman" w:hAnsi="Times New Roman"/>
          <w:sz w:val="18"/>
          <w:szCs w:val="18"/>
          <w:color w:val="auto"/>
        </w:rPr>
        <w:t>. I acknowledge that (a) the business of the Company and its Affiliates is global in scope and its services may be marketed and sold throughout the world; (b) the Company and its Affiliates compete with other businesses that are or could be located in any part of the world; (c) the Company has required that I make the covenants contained in this Agreement as a condition to my engagement as an Associate of the Company; and (d) the restrictions contained in this Agreement are necessary for the protection of the business and goodwill of the Company and its Affiliates and are reasonable for such purpose. I agree that any breach of this Agreement by me will cause irreparable damage to the Company and its Affiliates and that in the event of such breach, the Company will be entitled, in addition to monetary damages and to any other remedies available to the Company under this Agreement and at law, to equitable relief, including injunctive relief, and to payment by myself of all costs incurred by the Company in enforcing of the provisions of this Agreement, including reasonable attorneys’ fees. I agree that should I violate any obligation imposed on me in this Agreement, I will continue to be bound by the obligation until a period equal to the term of such obligation has expired without violation of such obligation.</w:t>
      </w:r>
    </w:p>
    <w:p>
      <w:pPr>
        <w:spacing w:after="0" w:line="110" w:lineRule="exact"/>
        <w:rPr>
          <w:sz w:val="20"/>
          <w:szCs w:val="20"/>
          <w:color w:val="auto"/>
        </w:rPr>
      </w:pPr>
    </w:p>
    <w:p>
      <w:pPr>
        <w:jc w:val="both"/>
        <w:ind w:left="140" w:right="159" w:firstLine="631"/>
        <w:spacing w:after="0" w:line="22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construed as a sealed instrument and will in all events and for all purposes be governed by, and construed in accordance with, the laws of the State of Delaware without regard to any choice of law principle that would dictate the application of the laws of another jurisdiction. Any action, suit or other legal proceeding that I may commence to resolve any matter arising under or relating to any provision of this Agreement will be commenced only in a court of the State of Delaware (or, if appropriate, a federal court located within the State of Delaware), and I hereby consent to the jurisdiction of such court with respect to any action, suit or proceeding commenced in such court by the Company.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[Next Page is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334645</wp:posOffset>
            </wp:positionV>
            <wp:extent cx="5575300" cy="501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5575300" cy="5016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5" w:name="page76"/>
    <w:bookmarkEnd w:id="75"/>
    <w:p>
      <w:pPr>
        <w:ind w:left="780"/>
        <w:spacing w:after="0"/>
        <w:rPr>
          <w:sz w:val="20"/>
          <w:szCs w:val="20"/>
          <w:color w:val="auto"/>
        </w:rPr>
      </w:pPr>
      <w:r>
        <w:rPr>
          <w:rFonts w:ascii="Times New Roman" w:cs="Times New Roman" w:eastAsia="Times New Roman" w:hAnsi="Times New Roman"/>
          <w:sz w:val="16"/>
          <w:szCs w:val="16"/>
          <w:color w:val="auto"/>
        </w:rPr>
        <w:t>IN WITNESS WHEREOF, the parties hereto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u w:val="single" w:color="auto"/>
          <w:color w:val="auto"/>
        </w:rPr>
        <w:t>/s/ Joe Kinder</w:t>
      </w:r>
    </w:p>
    <w:p>
      <w:pPr>
        <w:ind w:left="140"/>
        <w:spacing w:after="0"/>
        <w:rPr>
          <w:sz w:val="20"/>
          <w:szCs w:val="20"/>
          <w:color w:val="auto"/>
        </w:rPr>
      </w:pPr>
      <w:r>
        <w:rPr>
          <w:rFonts w:ascii="Times New Roman" w:cs="Times New Roman" w:eastAsia="Times New Roman" w:hAnsi="Times New Roman"/>
          <w:sz w:val="18"/>
          <w:szCs w:val="18"/>
          <w:color w:val="auto"/>
        </w:rPr>
        <w:t>Joe Kinder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TILE SHOP HOLDINGS, INC.</w:t>
      </w:r>
    </w:p>
    <w:p>
      <w:pPr>
        <w:spacing w:after="0" w:line="200" w:lineRule="exact"/>
        <w:rPr>
          <w:sz w:val="20"/>
          <w:szCs w:val="20"/>
          <w:color w:val="auto"/>
        </w:rPr>
      </w:pP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:_/s/ Cabell Lolmaugh</w:t>
      </w:r>
    </w:p>
    <w:p>
      <w:pPr>
        <w:ind w:left="140"/>
        <w:spacing w:after="0" w:line="213" w:lineRule="auto"/>
        <w:rPr>
          <w:sz w:val="20"/>
          <w:szCs w:val="20"/>
          <w:color w:val="auto"/>
        </w:rPr>
      </w:pPr>
      <w:r>
        <w:rPr>
          <w:rFonts w:ascii="Times New Roman" w:cs="Times New Roman" w:eastAsia="Times New Roman" w:hAnsi="Times New Roman"/>
          <w:sz w:val="18"/>
          <w:szCs w:val="18"/>
          <w:color w:val="auto"/>
        </w:rPr>
        <w:t>Name: Cabell Lolmaugh</w:t>
      </w:r>
    </w:p>
    <w:p>
      <w:pPr>
        <w:ind w:left="1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305435</wp:posOffset>
            </wp:positionV>
            <wp:extent cx="5575300" cy="501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5575300" cy="5016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76" w:name="page77"/>
    <w:bookmarkEnd w:id="76"/>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Exhibit 21.1</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Subsidiaries of the Company (all of which are 100% owned, either directly or indirectly)</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Tile Shop, LLC, a Delaware limited liability company</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Tile Shop of Michigan, LLC, a Michigan limited liability company</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Tile Shop of Oklahoma, LLC, a Delaware limited liability company</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Tile Shop Lending,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134620</wp:posOffset>
            </wp:positionV>
            <wp:extent cx="5575300" cy="501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5575300" cy="5016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7" w:name="page78"/>
    <w:bookmarkEnd w:id="77"/>
    <w:p>
      <w:pPr>
        <w:jc w:val="right"/>
        <w:ind w:right="1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995045</wp:posOffset>
            </wp:positionH>
            <wp:positionV relativeFrom="page">
              <wp:posOffset>2237740</wp:posOffset>
            </wp:positionV>
            <wp:extent cx="5575300" cy="501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5575300" cy="50165"/>
                    </a:xfrm>
                    <a:prstGeom prst="rect">
                      <a:avLst/>
                    </a:prstGeom>
                    <a:noFill/>
                  </pic:spPr>
                </pic:pic>
              </a:graphicData>
            </a:graphic>
          </wp:anchor>
        </w:drawing>
        <w:t>Exhibit 23.1</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left="140" w:right="439"/>
        <w:spacing w:after="0" w:line="293"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Statements No. 333-183455, No. 333-190088 and No. 333-258070 on Form S-8 of our reports dated February 27, 2025, relating to the consolidated financial statements and the effectiveness of internal control over financial reporting of Tile Shop Holdings, Inc. and Subsidiaries, appearing in the Annual Report on Form 10-K of Tile Shop Holdings, Inc. and Subsidiaries for the year ended December 31, 2024.</w:t>
      </w:r>
    </w:p>
    <w:p>
      <w:pPr>
        <w:spacing w:after="0" w:line="1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RSM US LLP</w:t>
      </w: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9019"/>
          </w:cols>
          <w:pgMar w:left="1440" w:top="110" w:right="1440" w:bottom="1440" w:gutter="0" w:footer="0" w:header="0"/>
        </w:sectPr>
      </w:pPr>
    </w:p>
    <w:bookmarkStart w:id="78" w:name="page79"/>
    <w:bookmarkEnd w:id="78"/>
    <w:p>
      <w:pPr>
        <w:jc w:val="right"/>
        <w:ind w:right="1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995045</wp:posOffset>
            </wp:positionH>
            <wp:positionV relativeFrom="page">
              <wp:posOffset>2371090</wp:posOffset>
            </wp:positionV>
            <wp:extent cx="5575300" cy="50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5575300" cy="50165"/>
                    </a:xfrm>
                    <a:prstGeom prst="rect">
                      <a:avLst/>
                    </a:prstGeom>
                    <a:noFill/>
                  </pic:spPr>
                </pic:pic>
              </a:graphicData>
            </a:graphic>
          </wp:anchor>
        </w:drawing>
        <w:t>Exhibit 23.2</w:t>
      </w:r>
    </w:p>
    <w:p>
      <w:pPr>
        <w:spacing w:after="0" w:line="200" w:lineRule="exact"/>
        <w:rPr>
          <w:sz w:val="20"/>
          <w:szCs w:val="20"/>
          <w:color w:val="auto"/>
        </w:rPr>
      </w:pPr>
    </w:p>
    <w:p>
      <w:pPr>
        <w:spacing w:after="0" w:line="28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4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 (Form S-8 Nos. 333-183455, 333-190088 and</w:t>
      </w:r>
    </w:p>
    <w:p>
      <w:pPr>
        <w:ind w:left="140" w:right="179"/>
        <w:spacing w:after="0" w:line="228" w:lineRule="auto"/>
        <w:rPr>
          <w:sz w:val="20"/>
          <w:szCs w:val="20"/>
          <w:color w:val="auto"/>
        </w:rPr>
      </w:pPr>
      <w:r>
        <w:rPr>
          <w:rFonts w:ascii="Times New Roman" w:cs="Times New Roman" w:eastAsia="Times New Roman" w:hAnsi="Times New Roman"/>
          <w:sz w:val="16"/>
          <w:szCs w:val="16"/>
          <w:color w:val="auto"/>
        </w:rPr>
        <w:t>333-258070) pertaining to the 2012 Omnibus Award Plan and the 2021 Equity Compensation Plan of Tile Shop Holdings, Inc. of our report dated March 2, 2023, with respect to the consolidated financial statements of Tile Shop Holdings, Inc. and Subsidiaries included in this Annual Report (Form 10-K) filed with the Securities and Exchange Commission on February</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27, 2025.</w:t>
      </w:r>
    </w:p>
    <w:p>
      <w:pPr>
        <w:spacing w:after="0" w:line="1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/s/Ernst &amp; Young LLP</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9019"/>
          </w:cols>
          <w:pgMar w:left="1440" w:top="110" w:right="1440" w:bottom="1440" w:gutter="0" w:footer="0" w:header="0"/>
        </w:sectPr>
      </w:pPr>
    </w:p>
    <w:bookmarkStart w:id="79" w:name="page80"/>
    <w:bookmarkEnd w:id="79"/>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8" w:lineRule="exact"/>
        <w:rPr>
          <w:sz w:val="20"/>
          <w:szCs w:val="20"/>
          <w:color w:val="auto"/>
        </w:rPr>
      </w:pPr>
    </w:p>
    <w:p>
      <w:pPr>
        <w:ind w:left="140" w:right="2259" w:firstLine="2096"/>
        <w:spacing w:after="0" w:line="405" w:lineRule="auto"/>
        <w:rPr>
          <w:sz w:val="20"/>
          <w:szCs w:val="20"/>
          <w:color w:val="auto"/>
        </w:rPr>
      </w:pPr>
      <w:r>
        <w:rPr>
          <w:rFonts w:ascii="Times New Roman" w:cs="Times New Roman" w:eastAsia="Times New Roman" w:hAnsi="Times New Roman"/>
          <w:sz w:val="18"/>
          <w:szCs w:val="18"/>
          <w:b w:val="1"/>
          <w:bCs w:val="1"/>
          <w:color w:val="auto"/>
        </w:rPr>
        <w:t xml:space="preserve">302 CERTIFICATION OF CHIEF EXECUTIVE OFFICER </w:t>
      </w:r>
      <w:r>
        <w:rPr>
          <w:rFonts w:ascii="Times New Roman" w:cs="Times New Roman" w:eastAsia="Times New Roman" w:hAnsi="Times New Roman"/>
          <w:sz w:val="18"/>
          <w:szCs w:val="18"/>
          <w:color w:val="auto"/>
        </w:rPr>
        <w:t>I, Cabell H. Lolmaugh, certify that:</w:t>
      </w:r>
    </w:p>
    <w:p>
      <w:pPr>
        <w:ind w:left="460" w:hanging="313"/>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Tile Shop Holdings, Inc.;</w:t>
      </w:r>
    </w:p>
    <w:p>
      <w:pPr>
        <w:spacing w:after="0" w:line="134" w:lineRule="exact"/>
        <w:rPr>
          <w:rFonts w:ascii="Times New Roman" w:cs="Times New Roman" w:eastAsia="Times New Roman" w:hAnsi="Times New Roman"/>
          <w:sz w:val="18"/>
          <w:szCs w:val="18"/>
          <w:color w:val="auto"/>
        </w:rPr>
      </w:pPr>
    </w:p>
    <w:p>
      <w:pPr>
        <w:jc w:val="both"/>
        <w:ind w:left="460" w:right="239" w:hanging="313"/>
        <w:spacing w:after="0" w:line="225"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8"/>
          <w:szCs w:val="18"/>
          <w:color w:val="auto"/>
        </w:rPr>
      </w:pPr>
    </w:p>
    <w:p>
      <w:pPr>
        <w:ind w:left="460" w:right="219" w:hanging="313"/>
        <w:spacing w:after="0" w:line="220"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Times New Roman" w:cs="Times New Roman" w:eastAsia="Times New Roman" w:hAnsi="Times New Roman"/>
          <w:sz w:val="18"/>
          <w:szCs w:val="18"/>
          <w:color w:val="auto"/>
        </w:rPr>
      </w:pPr>
    </w:p>
    <w:p>
      <w:pPr>
        <w:jc w:val="both"/>
        <w:ind w:left="460" w:right="359" w:hanging="313"/>
        <w:spacing w:after="0" w:line="225"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14" w:lineRule="exact"/>
        <w:rPr>
          <w:rFonts w:ascii="Times New Roman" w:cs="Times New Roman" w:eastAsia="Times New Roman" w:hAnsi="Times New Roman"/>
          <w:sz w:val="18"/>
          <w:szCs w:val="18"/>
          <w:color w:val="auto"/>
        </w:rPr>
      </w:pPr>
    </w:p>
    <w:p>
      <w:pPr>
        <w:ind w:left="760" w:right="499" w:hanging="298"/>
        <w:spacing w:after="0" w:line="218" w:lineRule="auto"/>
        <w:tabs>
          <w:tab w:leader="none" w:pos="7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8"/>
          <w:szCs w:val="18"/>
          <w:color w:val="auto"/>
        </w:rPr>
      </w:pPr>
    </w:p>
    <w:p>
      <w:pPr>
        <w:ind w:left="760" w:right="219" w:hanging="298"/>
        <w:spacing w:after="0" w:line="218" w:lineRule="auto"/>
        <w:tabs>
          <w:tab w:leader="none" w:pos="7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8"/>
          <w:szCs w:val="18"/>
          <w:color w:val="auto"/>
        </w:rPr>
      </w:pPr>
    </w:p>
    <w:p>
      <w:pPr>
        <w:jc w:val="both"/>
        <w:ind w:left="760" w:right="339" w:hanging="298"/>
        <w:spacing w:after="0" w:line="225" w:lineRule="auto"/>
        <w:tabs>
          <w:tab w:leader="none" w:pos="7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18"/>
          <w:szCs w:val="18"/>
          <w:color w:val="auto"/>
        </w:rPr>
      </w:pPr>
    </w:p>
    <w:p>
      <w:pPr>
        <w:ind w:left="760" w:right="239" w:hanging="298"/>
        <w:spacing w:after="0" w:line="218" w:lineRule="auto"/>
        <w:tabs>
          <w:tab w:leader="none" w:pos="7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8"/>
          <w:szCs w:val="18"/>
          <w:color w:val="auto"/>
        </w:rPr>
      </w:pPr>
    </w:p>
    <w:p>
      <w:pPr>
        <w:jc w:val="both"/>
        <w:ind w:left="460" w:right="439" w:hanging="313"/>
        <w:spacing w:after="0" w:line="220"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Times New Roman" w:cs="Times New Roman" w:eastAsia="Times New Roman" w:hAnsi="Times New Roman"/>
          <w:sz w:val="18"/>
          <w:szCs w:val="18"/>
          <w:color w:val="auto"/>
        </w:rPr>
      </w:pPr>
    </w:p>
    <w:p>
      <w:pPr>
        <w:ind w:left="760" w:right="299" w:hanging="298"/>
        <w:spacing w:after="0" w:line="225" w:lineRule="auto"/>
        <w:tabs>
          <w:tab w:leader="none" w:pos="7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Times New Roman" w:cs="Times New Roman" w:eastAsia="Times New Roman" w:hAnsi="Times New Roman"/>
          <w:sz w:val="18"/>
          <w:szCs w:val="18"/>
          <w:color w:val="auto"/>
        </w:rPr>
      </w:pPr>
    </w:p>
    <w:p>
      <w:pPr>
        <w:ind w:left="760" w:right="379" w:hanging="298"/>
        <w:spacing w:after="0" w:line="238" w:lineRule="auto"/>
        <w:tabs>
          <w:tab w:leader="none" w:pos="7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ind w:left="140"/>
        <w:spacing w:after="0"/>
        <w:tabs>
          <w:tab w:leader="none" w:pos="45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6"/>
          <w:szCs w:val="16"/>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-2540</wp:posOffset>
            </wp:positionV>
            <wp:extent cx="27628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2762885" cy="8255"/>
                    </a:xfrm>
                    <a:prstGeom prst="rect">
                      <a:avLst/>
                    </a:prstGeom>
                    <a:noFill/>
                  </pic:spPr>
                </pic:pic>
              </a:graphicData>
            </a:graphic>
          </wp:anchor>
        </w:drawing>
      </w:r>
    </w:p>
    <w:p>
      <w:pPr>
        <w:spacing w:after="0" w:line="1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Cabell H. Lolmaugh</w:t>
      </w:r>
    </w:p>
    <w:p>
      <w:pPr>
        <w:ind w:left="4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213995</wp:posOffset>
            </wp:positionV>
            <wp:extent cx="5575300" cy="501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5575300" cy="5016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0" w:name="page81"/>
    <w:bookmarkEnd w:id="80"/>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302 CERTIFICATION OF CHIEF FINANCIAL OFFICER</w:t>
      </w:r>
    </w:p>
    <w:p>
      <w:pPr>
        <w:spacing w:after="0" w:line="1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 Mark B. Davis, certify that:</w:t>
      </w:r>
    </w:p>
    <w:p>
      <w:pPr>
        <w:spacing w:after="0" w:line="148" w:lineRule="exact"/>
        <w:rPr>
          <w:sz w:val="20"/>
          <w:szCs w:val="20"/>
          <w:color w:val="auto"/>
        </w:rPr>
      </w:pPr>
    </w:p>
    <w:p>
      <w:pPr>
        <w:ind w:left="460" w:hanging="313"/>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Tile Shop Holdings, Inc.;</w:t>
      </w:r>
    </w:p>
    <w:p>
      <w:pPr>
        <w:spacing w:after="0" w:line="134" w:lineRule="exact"/>
        <w:rPr>
          <w:rFonts w:ascii="Times New Roman" w:cs="Times New Roman" w:eastAsia="Times New Roman" w:hAnsi="Times New Roman"/>
          <w:sz w:val="18"/>
          <w:szCs w:val="18"/>
          <w:color w:val="auto"/>
        </w:rPr>
      </w:pPr>
    </w:p>
    <w:p>
      <w:pPr>
        <w:jc w:val="both"/>
        <w:ind w:left="460" w:right="239" w:hanging="313"/>
        <w:spacing w:after="0" w:line="225"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Times New Roman" w:cs="Times New Roman" w:eastAsia="Times New Roman" w:hAnsi="Times New Roman"/>
          <w:sz w:val="18"/>
          <w:szCs w:val="18"/>
          <w:color w:val="auto"/>
        </w:rPr>
      </w:pPr>
    </w:p>
    <w:p>
      <w:pPr>
        <w:ind w:left="460" w:right="219" w:hanging="313"/>
        <w:spacing w:after="0" w:line="220"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Times New Roman" w:cs="Times New Roman" w:eastAsia="Times New Roman" w:hAnsi="Times New Roman"/>
          <w:sz w:val="18"/>
          <w:szCs w:val="18"/>
          <w:color w:val="auto"/>
        </w:rPr>
      </w:pPr>
    </w:p>
    <w:p>
      <w:pPr>
        <w:jc w:val="both"/>
        <w:ind w:left="460" w:right="359" w:hanging="313"/>
        <w:spacing w:after="0" w:line="225"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14" w:lineRule="exact"/>
        <w:rPr>
          <w:rFonts w:ascii="Times New Roman" w:cs="Times New Roman" w:eastAsia="Times New Roman" w:hAnsi="Times New Roman"/>
          <w:sz w:val="18"/>
          <w:szCs w:val="18"/>
          <w:color w:val="auto"/>
        </w:rPr>
      </w:pPr>
    </w:p>
    <w:p>
      <w:pPr>
        <w:ind w:left="760" w:right="499" w:hanging="298"/>
        <w:spacing w:after="0" w:line="218" w:lineRule="auto"/>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8"/>
          <w:szCs w:val="18"/>
          <w:color w:val="auto"/>
        </w:rPr>
      </w:pPr>
    </w:p>
    <w:p>
      <w:pPr>
        <w:ind w:left="760" w:right="219" w:hanging="298"/>
        <w:spacing w:after="0" w:line="218" w:lineRule="auto"/>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8"/>
          <w:szCs w:val="18"/>
          <w:color w:val="auto"/>
        </w:rPr>
      </w:pPr>
    </w:p>
    <w:p>
      <w:pPr>
        <w:jc w:val="both"/>
        <w:ind w:left="760" w:right="339" w:hanging="298"/>
        <w:spacing w:after="0" w:line="225" w:lineRule="auto"/>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18"/>
          <w:szCs w:val="18"/>
          <w:color w:val="auto"/>
        </w:rPr>
      </w:pPr>
    </w:p>
    <w:p>
      <w:pPr>
        <w:ind w:left="760" w:right="239" w:hanging="298"/>
        <w:spacing w:after="0" w:line="218" w:lineRule="auto"/>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Times New Roman" w:cs="Times New Roman" w:eastAsia="Times New Roman" w:hAnsi="Times New Roman"/>
          <w:sz w:val="18"/>
          <w:szCs w:val="18"/>
          <w:color w:val="auto"/>
        </w:rPr>
      </w:pPr>
    </w:p>
    <w:p>
      <w:pPr>
        <w:jc w:val="both"/>
        <w:ind w:left="460" w:right="439" w:hanging="313"/>
        <w:spacing w:after="0" w:line="220"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Times New Roman" w:cs="Times New Roman" w:eastAsia="Times New Roman" w:hAnsi="Times New Roman"/>
          <w:sz w:val="18"/>
          <w:szCs w:val="18"/>
          <w:color w:val="auto"/>
        </w:rPr>
      </w:pPr>
    </w:p>
    <w:p>
      <w:pPr>
        <w:ind w:left="760" w:right="299" w:hanging="298"/>
        <w:spacing w:after="0" w:line="225" w:lineRule="auto"/>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Times New Roman" w:cs="Times New Roman" w:eastAsia="Times New Roman" w:hAnsi="Times New Roman"/>
          <w:sz w:val="18"/>
          <w:szCs w:val="18"/>
          <w:color w:val="auto"/>
        </w:rPr>
      </w:pPr>
    </w:p>
    <w:p>
      <w:pPr>
        <w:ind w:left="760" w:right="379" w:hanging="298"/>
        <w:spacing w:after="0" w:line="238" w:lineRule="auto"/>
        <w:tabs>
          <w:tab w:leader="none" w:pos="7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140"/>
        <w:spacing w:after="0"/>
        <w:tabs>
          <w:tab w:leader="none" w:pos="45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6"/>
          <w:szCs w:val="16"/>
          <w:color w:val="auto"/>
        </w:rPr>
        <w:t>/s/ MARK B.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-2540</wp:posOffset>
            </wp:positionV>
            <wp:extent cx="27628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2762885" cy="8255"/>
                    </a:xfrm>
                    <a:prstGeom prst="rect">
                      <a:avLst/>
                    </a:prstGeom>
                    <a:noFill/>
                  </pic:spPr>
                </pic:pic>
              </a:graphicData>
            </a:graphic>
          </wp:anchor>
        </w:drawing>
      </w:r>
    </w:p>
    <w:p>
      <w:pPr>
        <w:spacing w:after="0" w:line="1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Mark B. Davis,</w:t>
      </w:r>
    </w:p>
    <w:p>
      <w:pPr>
        <w:ind w:left="4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213995</wp:posOffset>
            </wp:positionV>
            <wp:extent cx="5575300" cy="501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5575300" cy="5016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1" w:name="page82"/>
    <w:bookmarkEnd w:id="81"/>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99" w:lineRule="exact"/>
        <w:rPr>
          <w:sz w:val="20"/>
          <w:szCs w:val="20"/>
          <w:color w:val="auto"/>
        </w:rPr>
      </w:pPr>
    </w:p>
    <w:p>
      <w:pPr>
        <w:ind w:left="140" w:right="199" w:firstLine="631"/>
        <w:spacing w:after="0" w:line="244" w:lineRule="auto"/>
        <w:rPr>
          <w:sz w:val="20"/>
          <w:szCs w:val="20"/>
          <w:color w:val="auto"/>
        </w:rPr>
      </w:pPr>
      <w:r>
        <w:rPr>
          <w:rFonts w:ascii="Times New Roman" w:cs="Times New Roman" w:eastAsia="Times New Roman" w:hAnsi="Times New Roman"/>
          <w:sz w:val="16"/>
          <w:szCs w:val="16"/>
          <w:color w:val="auto"/>
        </w:rPr>
        <w:t>Pursuant to 18 U.S.C. §1350 (as adopted pursuant to §906 of the Sarbanes-Oxley Act of 2002), I, Cabell H. Lolmaugh, the Chief Executive Officer of Tile Shop Holdings, Inc. (the “Company”), hereby certify that the Annual Report</w:t>
      </w:r>
    </w:p>
    <w:p>
      <w:pPr>
        <w:spacing w:after="0" w:line="1" w:lineRule="exact"/>
        <w:rPr>
          <w:sz w:val="20"/>
          <w:szCs w:val="20"/>
          <w:color w:val="auto"/>
        </w:rPr>
      </w:pPr>
    </w:p>
    <w:p>
      <w:pPr>
        <w:ind w:left="140" w:right="299"/>
        <w:spacing w:after="0" w:line="212" w:lineRule="auto"/>
        <w:rPr>
          <w:sz w:val="20"/>
          <w:szCs w:val="20"/>
          <w:color w:val="auto"/>
        </w:rPr>
      </w:pPr>
      <w:r>
        <w:rPr>
          <w:rFonts w:ascii="Times New Roman" w:cs="Times New Roman" w:eastAsia="Times New Roman" w:hAnsi="Times New Roman"/>
          <w:sz w:val="18"/>
          <w:szCs w:val="18"/>
          <w:color w:val="auto"/>
        </w:rPr>
        <w:t>on Form 10-K of the Company for the year ended December 31, 2024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28" w:lineRule="exact"/>
        <w:rPr>
          <w:sz w:val="20"/>
          <w:szCs w:val="20"/>
          <w:color w:val="auto"/>
        </w:rPr>
      </w:pPr>
    </w:p>
    <w:p>
      <w:pPr>
        <w:ind w:left="140" w:right="259" w:firstLine="631"/>
        <w:spacing w:after="0" w:line="23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140" w:lineRule="exact"/>
        <w:rPr>
          <w:sz w:val="20"/>
          <w:szCs w:val="20"/>
          <w:color w:val="auto"/>
        </w:rPr>
      </w:pPr>
    </w:p>
    <w:p>
      <w:pPr>
        <w:ind w:left="140"/>
        <w:spacing w:after="0"/>
        <w:tabs>
          <w:tab w:leader="none" w:pos="45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6"/>
          <w:szCs w:val="16"/>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-2540</wp:posOffset>
            </wp:positionV>
            <wp:extent cx="27628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2762885" cy="8255"/>
                    </a:xfrm>
                    <a:prstGeom prst="rect">
                      <a:avLst/>
                    </a:prstGeom>
                    <a:noFill/>
                  </pic:spPr>
                </pic:pic>
              </a:graphicData>
            </a:graphic>
          </wp:anchor>
        </w:drawing>
      </w:r>
    </w:p>
    <w:p>
      <w:pPr>
        <w:spacing w:after="0" w:line="1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Cabell H. Lolmaugh</w:t>
      </w:r>
    </w:p>
    <w:p>
      <w:pPr>
        <w:ind w:left="4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213995</wp:posOffset>
            </wp:positionV>
            <wp:extent cx="5575300" cy="501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5575300" cy="5016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2" w:name="page83"/>
    <w:bookmarkEnd w:id="82"/>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99" w:lineRule="exact"/>
        <w:rPr>
          <w:sz w:val="20"/>
          <w:szCs w:val="20"/>
          <w:color w:val="auto"/>
        </w:rPr>
      </w:pPr>
    </w:p>
    <w:p>
      <w:pPr>
        <w:ind w:left="140" w:right="299" w:firstLine="631"/>
        <w:spacing w:after="0" w:line="244" w:lineRule="auto"/>
        <w:rPr>
          <w:sz w:val="20"/>
          <w:szCs w:val="20"/>
          <w:color w:val="auto"/>
        </w:rPr>
      </w:pPr>
      <w:r>
        <w:rPr>
          <w:rFonts w:ascii="Times New Roman" w:cs="Times New Roman" w:eastAsia="Times New Roman" w:hAnsi="Times New Roman"/>
          <w:sz w:val="16"/>
          <w:szCs w:val="16"/>
          <w:color w:val="auto"/>
        </w:rPr>
        <w:t>Pursuant to 18 U.S.C. §1350 (as adopted pursuant to §906 of the Sarbanes-Oxley Act of 2002), I, Mark B. Davis, the Chief Financial Officer of Tile Shop Holdings, Inc. (the “Company”), hereby certify that the Annual Report on Form</w:t>
      </w:r>
    </w:p>
    <w:p>
      <w:pPr>
        <w:spacing w:after="0" w:line="1" w:lineRule="exact"/>
        <w:rPr>
          <w:sz w:val="20"/>
          <w:szCs w:val="20"/>
          <w:color w:val="auto"/>
        </w:rPr>
      </w:pPr>
    </w:p>
    <w:p>
      <w:pPr>
        <w:ind w:left="140" w:right="199"/>
        <w:spacing w:after="0" w:line="212" w:lineRule="auto"/>
        <w:rPr>
          <w:sz w:val="20"/>
          <w:szCs w:val="20"/>
          <w:color w:val="auto"/>
        </w:rPr>
      </w:pPr>
      <w:r>
        <w:rPr>
          <w:rFonts w:ascii="Times New Roman" w:cs="Times New Roman" w:eastAsia="Times New Roman" w:hAnsi="Times New Roman"/>
          <w:sz w:val="18"/>
          <w:szCs w:val="18"/>
          <w:color w:val="auto"/>
        </w:rPr>
        <w:t>10-K of the Company for the year ended December 31, 2024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28" w:lineRule="exact"/>
        <w:rPr>
          <w:sz w:val="20"/>
          <w:szCs w:val="20"/>
          <w:color w:val="auto"/>
        </w:rPr>
      </w:pPr>
    </w:p>
    <w:p>
      <w:pPr>
        <w:ind w:left="140" w:right="259" w:firstLine="631"/>
        <w:spacing w:after="0" w:line="23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140" w:lineRule="exact"/>
        <w:rPr>
          <w:sz w:val="20"/>
          <w:szCs w:val="20"/>
          <w:color w:val="auto"/>
        </w:rPr>
      </w:pPr>
    </w:p>
    <w:p>
      <w:pPr>
        <w:ind w:left="140"/>
        <w:spacing w:after="0"/>
        <w:tabs>
          <w:tab w:leader="none" w:pos="45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6"/>
          <w:szCs w:val="16"/>
          <w:color w:val="auto"/>
        </w:rPr>
        <w:t>/s/ MARK B.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-2540</wp:posOffset>
            </wp:positionV>
            <wp:extent cx="27628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2762885" cy="8255"/>
                    </a:xfrm>
                    <a:prstGeom prst="rect">
                      <a:avLst/>
                    </a:prstGeom>
                    <a:noFill/>
                  </pic:spPr>
                </pic:pic>
              </a:graphicData>
            </a:graphic>
          </wp:anchor>
        </w:drawing>
      </w:r>
    </w:p>
    <w:p>
      <w:pPr>
        <w:spacing w:after="0" w:line="1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Mark B. Davis,</w:t>
      </w:r>
    </w:p>
    <w:p>
      <w:pPr>
        <w:ind w:left="45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213995</wp:posOffset>
            </wp:positionV>
            <wp:extent cx="5575300" cy="501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5575300" cy="50165"/>
                    </a:xfrm>
                    <a:prstGeom prst="rect">
                      <a:avLst/>
                    </a:prstGeom>
                    <a:noFill/>
                  </pic:spPr>
                </pic:pic>
              </a:graphicData>
            </a:graphic>
          </wp:anchor>
        </w:drawing>
      </w:r>
    </w:p>
    <w:sectPr>
      <w:pgSz w:w="11900" w:h="16838" w:orient="portrait"/>
      <w:cols w:equalWidth="0" w:num="1">
        <w:col w:w="9019"/>
      </w:cols>
      <w:pgMar w:left="1440" w:top="1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
      <w:numFmt w:val="bullet"/>
      <w:start w:val="1"/>
    </w:lvl>
  </w:abstractNum>
  <w:abstractNum w:abstractNumId="3">
    <w:nsid w:val="6763845E"/>
    <w:multiLevelType w:val="hybridMultilevel"/>
    <w:lvl w:ilvl="0">
      <w:lvlJc w:val="left"/>
      <w:lvlText w:val=" "/>
      <w:numFmt w:val="bullet"/>
      <w:start w:val="1"/>
    </w:lvl>
  </w:abstractNum>
  <w:abstractNum w:abstractNumId="4">
    <w:nsid w:val="75A2A8D4"/>
    <w:multiLevelType w:val="hybridMultilevel"/>
    <w:lvl w:ilvl="0">
      <w:lvlJc w:val="left"/>
      <w:lvlText w:val=" "/>
      <w:numFmt w:val="bullet"/>
      <w:start w:val="1"/>
    </w:lvl>
  </w:abstractNum>
  <w:abstractNum w:abstractNumId="5">
    <w:nsid w:val="8EDBDAB"/>
    <w:multiLevelType w:val="hybridMultilevel"/>
    <w:lvl w:ilvl="0">
      <w:lvlJc w:val="left"/>
      <w:lvlText w:val=" "/>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
      <w:numFmt w:val="bullet"/>
      <w:start w:val="1"/>
    </w:lvl>
  </w:abstractNum>
  <w:abstractNum w:abstractNumId="12">
    <w:nsid w:val="2CA88611"/>
    <w:multiLevelType w:val="hybridMultilevel"/>
    <w:lvl w:ilvl="0">
      <w:lvlJc w:val="left"/>
      <w:lvlText w:val=" "/>
      <w:numFmt w:val="bullet"/>
      <w:start w:val="1"/>
    </w:lvl>
  </w:abstractNum>
  <w:abstractNum w:abstractNumId="13">
    <w:nsid w:val="836C40E"/>
    <w:multiLevelType w:val="hybridMultilevel"/>
    <w:lvl w:ilvl="0">
      <w:lvlJc w:val="left"/>
      <w:lvlText w:val=" "/>
      <w:numFmt w:val="bullet"/>
      <w:start w:val="1"/>
    </w:lvl>
  </w:abstractNum>
  <w:abstractNum w:abstractNumId="14">
    <w:nsid w:val="2901D82"/>
    <w:multiLevelType w:val="hybridMultilevel"/>
    <w:lvl w:ilvl="0">
      <w:lvlJc w:val="left"/>
      <w:lvlText w:val=" "/>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
      <w:numFmt w:val="bullet"/>
      <w:start w:val="1"/>
    </w:lvl>
  </w:abstractNum>
  <w:abstractNum w:abstractNumId="17">
    <w:nsid w:val="1E7FF521"/>
    <w:multiLevelType w:val="hybridMultilevel"/>
    <w:lvl w:ilvl="0">
      <w:lvlJc w:val="left"/>
      <w:lvlText w:val=" "/>
      <w:numFmt w:val="bullet"/>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 "/>
      <w:numFmt w:val="bullet"/>
      <w:start w:val="1"/>
    </w:lvl>
  </w:abstractNum>
  <w:abstractNum w:abstractNumId="20">
    <w:nsid w:val="6CEAF087"/>
    <w:multiLevelType w:val="hybridMultilevel"/>
    <w:lvl w:ilvl="0">
      <w:lvlJc w:val="left"/>
      <w:lvlText w:val=" "/>
      <w:numFmt w:val="bullet"/>
      <w:start w:val="1"/>
    </w:lvl>
  </w:abstractNum>
  <w:abstractNum w:abstractNumId="21">
    <w:nsid w:val="22221A70"/>
    <w:multiLevelType w:val="hybridMultilevel"/>
    <w:lvl w:ilvl="0">
      <w:lvlJc w:val="left"/>
      <w:lvlText w:val=" "/>
      <w:numFmt w:val="bullet"/>
      <w:start w:val="1"/>
    </w:lvl>
  </w:abstractNum>
  <w:abstractNum w:abstractNumId="22">
    <w:nsid w:val="4516DDE9"/>
    <w:multiLevelType w:val="hybridMultilevel"/>
    <w:lvl w:ilvl="0">
      <w:lvlJc w:val="left"/>
      <w:lvlText w:val=" "/>
      <w:numFmt w:val="bullet"/>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0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lowerLetter"/>
      <w:start w:val="1"/>
    </w:lvl>
    <w:lvl w:ilvl="1">
      <w:lvlJc w:val="left"/>
      <w:lvlText w:val="(%2)"/>
      <w:numFmt w:val="lowerRoman"/>
      <w:start w:val="1"/>
    </w:lvl>
  </w:abstractNum>
  <w:abstractNum w:abstractNumId="31">
    <w:nsid w:val="7724C67E"/>
    <w:multiLevelType w:val="hybridMultilevel"/>
    <w:lvl w:ilvl="0">
      <w:lvlJc w:val="left"/>
      <w:lvlText w:val="%1"/>
      <w:numFmt w:val="decimal"/>
      <w:start w:val="1"/>
    </w:lvl>
    <w:lvl w:ilvl="1">
      <w:lvlJc w:val="left"/>
      <w:lvlText w:val="(%2)"/>
      <w:numFmt w:val="lowerRoman"/>
      <w:start w:val="2"/>
    </w:lvl>
  </w:abstractNum>
  <w:abstractNum w:abstractNumId="32">
    <w:nsid w:val="5C482A97"/>
    <w:multiLevelType w:val="hybridMultilevel"/>
    <w:lvl w:ilvl="0">
      <w:lvlJc w:val="left"/>
      <w:lvlText w:val="%1."/>
      <w:numFmt w:val="decimal"/>
      <w:start w:val="2"/>
    </w:lvl>
    <w:lvl w:ilvl="1">
      <w:lvlJc w:val="left"/>
      <w:lvlText w:val="%2"/>
      <w:numFmt w:val="lowerRoman"/>
      <w:start w:val="1"/>
    </w:lvl>
  </w:abstractNum>
  <w:abstractNum w:abstractNumId="33">
    <w:nsid w:val="2463B9EA"/>
    <w:multiLevelType w:val="hybridMultilevel"/>
    <w:lvl w:ilvl="0">
      <w:lvlJc w:val="left"/>
      <w:lvlText w:val="(%1)"/>
      <w:numFmt w:val="lowerLetter"/>
      <w:start w:val="1"/>
    </w:lvl>
    <w:lvl w:ilvl="1">
      <w:lvlJc w:val="left"/>
      <w:lvlText w:val="(%2)"/>
      <w:numFmt w:val="lowerRoman"/>
      <w:start w:val="1"/>
    </w:lvl>
  </w:abstractNum>
  <w:abstractNum w:abstractNumId="34">
    <w:nsid w:val="5E884ADC"/>
    <w:multiLevelType w:val="hybridMultilevel"/>
    <w:lvl w:ilvl="0">
      <w:lvlJc w:val="left"/>
      <w:lvlText w:val="(%1)"/>
      <w:numFmt w:val="lowerLetter"/>
      <w:start w:val="3"/>
    </w:lvl>
  </w:abstractNum>
  <w:abstractNum w:abstractNumId="35">
    <w:nsid w:val="51EAD36B"/>
    <w:multiLevelType w:val="hybridMultilevel"/>
    <w:lvl w:ilvl="0">
      <w:lvlJc w:val="left"/>
      <w:lvlText w:val="%1."/>
      <w:numFmt w:val="decimal"/>
      <w:start w:val="3"/>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5"/>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s"/>
      <w:numFmt w:val="bullet"/>
      <w:start w:val="1"/>
    </w:lvl>
  </w:abstractNum>
  <w:abstractNum w:abstractNumId="40">
    <w:nsid w:val="70A64E2A"/>
    <w:multiLevelType w:val="hybridMultilevel"/>
    <w:lvl w:ilvl="0">
      <w:lvlJc w:val="left"/>
      <w:lvlText w:val="%1."/>
      <w:numFmt w:val="decimal"/>
      <w:start w:val="5"/>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jpe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42" Type="http://schemas.openxmlformats.org/officeDocument/2006/relationships/hyperlink" Target="https://www.sec.gov/ix?doc=/Archives/edgar/data/1552800/000155280024000005/ttsh-20231231x10k.htm" TargetMode="External"/><Relationship Id="rId83" Type="http://schemas.openxmlformats.org/officeDocument/2006/relationships/hyperlink" Target="http://www.sec.gov/Archives/edgar/data/1552800/000114420412037509/v316486_ex3-1.htm" TargetMode="External"/><Relationship Id="rId84" Type="http://schemas.openxmlformats.org/officeDocument/2006/relationships/hyperlink" Target="http://www.sec.gov/Archives/edgar/data/0001552800/000110465921094416/tm2122262d1_ex3-2.htm" TargetMode="External"/><Relationship Id="rId85" Type="http://schemas.openxmlformats.org/officeDocument/2006/relationships/hyperlink" Target="http://www.sec.gov/Archives/edgar/data/1552800/000114420412037509/v316486_ex3-2.htm" TargetMode="External"/><Relationship Id="rId86" Type="http://schemas.openxmlformats.org/officeDocument/2006/relationships/hyperlink" Target="http://www.sec.gov/Archives/edgar/data/1552800/000114420412040584/v318344_ex4-1.htm" TargetMode="External"/><Relationship Id="rId87" Type="http://schemas.openxmlformats.org/officeDocument/2006/relationships/hyperlink" Target="http://www.sec.gov/Archives/edgar/data/1552800/000155280023000003/ttsh-20221231xex4_2.htm" TargetMode="External"/><Relationship Id="rId88" Type="http://schemas.openxmlformats.org/officeDocument/2006/relationships/hyperlink" Target="http://www.sec.gov/Archives/edgar/data/1552800/000114420413041320/v350939_ex10-1.htm" TargetMode="External"/><Relationship Id="rId89" Type="http://schemas.openxmlformats.org/officeDocument/2006/relationships/hyperlink" Target="http://www.sec.gov/Archives/edgar/data/1552800/000114420413041320/v350939_ex10-2.htm" TargetMode="External"/><Relationship Id="rId90" Type="http://schemas.openxmlformats.org/officeDocument/2006/relationships/hyperlink" Target="http://www.sec.gov/Archives/edgar/data/1552800/000114420412040584/v318344_ex10-13.htm" TargetMode="External"/><Relationship Id="rId91" Type="http://schemas.openxmlformats.org/officeDocument/2006/relationships/hyperlink" Target="http://www.sec.gov/Archives/edgar/data/1552800/000114420413041320/v350939_ex10-3.htm" TargetMode="External"/><Relationship Id="rId92" Type="http://schemas.openxmlformats.org/officeDocument/2006/relationships/hyperlink" Target="http://www.sec.gov/Archives/edgar/data/1552800/000114420413041320/v350939_ex10-4.htm" TargetMode="External"/><Relationship Id="rId93" Type="http://schemas.openxmlformats.org/officeDocument/2006/relationships/hyperlink" Target="http://www.sec.gov/Archives/edgar/data/1552800/000114420413041320/v350939_ex10-5.htm" TargetMode="External"/><Relationship Id="rId94" Type="http://schemas.openxmlformats.org/officeDocument/2006/relationships/hyperlink" Target="http://www.sec.gov/Archives/edgar/data/1552800/000155280017000057/tts-20170930xex10_2.htm" TargetMode="External"/><Relationship Id="rId95" Type="http://schemas.openxmlformats.org/officeDocument/2006/relationships/hyperlink" Target="http://www.sec.gov/Archives/edgar/data/1552800/000155280018000003/tts-20180219xex10_1.htm" TargetMode="External"/><Relationship Id="rId96" Type="http://schemas.openxmlformats.org/officeDocument/2006/relationships/hyperlink" Target="http://www.sec.gov/Archives/edgar/data/1552800/000155280019000029/tts-20190930xex10_2.htm" TargetMode="External"/><Relationship Id="rId97" Type="http://schemas.openxmlformats.org/officeDocument/2006/relationships/hyperlink" Target="http://www.sec.gov/Archives/edgar/data/1552800/000110465924035170/tm248262d1_ex10-1.htm" TargetMode="External"/><Relationship Id="rId98" Type="http://schemas.openxmlformats.org/officeDocument/2006/relationships/hyperlink" Target="http://www.sec.gov/Archives/edgar/data/0001552800/000155280021000005/ttsh-20201231xex10_20.htm" TargetMode="External"/><Relationship Id="rId99" Type="http://schemas.openxmlformats.org/officeDocument/2006/relationships/hyperlink" Target="http://www.sec.gov/Archives/edgar/data/0001552800/000110465921094416/tm2122262d1_ex10-1.htm" TargetMode="External"/><Relationship Id="rId100" Type="http://schemas.openxmlformats.org/officeDocument/2006/relationships/hyperlink" Target="http://www.sec.gov/Archives/edgar/data/0001552800/000110465921094416/tm2122262d1_ex10-2.htm" TargetMode="External"/><Relationship Id="rId101" Type="http://schemas.openxmlformats.org/officeDocument/2006/relationships/hyperlink" Target="http://www.sec.gov/Archives/edgar/data/0001552800/000110465921094416/tm2122262d1_ex10-3.htm" TargetMode="External"/><Relationship Id="rId102" Type="http://schemas.openxmlformats.org/officeDocument/2006/relationships/hyperlink" Target="http://www.sec.gov/Archives/edgar/data/0001552800/000110465921094416/tm2122262d1_ex10-4.htm" TargetMode="External"/><Relationship Id="rId103" Type="http://schemas.openxmlformats.org/officeDocument/2006/relationships/hyperlink" Target="http://www.sec.gov/Archives/edgar/data/0001552800/000110465921094416/tm2122262d1_ex10-5.htm" TargetMode="External"/><Relationship Id="rId104" Type="http://schemas.openxmlformats.org/officeDocument/2006/relationships/hyperlink" Target="http://www.sec.gov/Archives/edgar/data/1552800/000155280023000003/ttsh-20221231xex10_19.htm" TargetMode="External"/><Relationship Id="rId105" Type="http://schemas.openxmlformats.org/officeDocument/2006/relationships/hyperlink" Target="http://www.sec.gov/Archives/edgar/data/1552800/000155280023000003/ttsh-20221231xex10_20.htm" TargetMode="External"/><Relationship Id="rId108" Type="http://schemas.openxmlformats.org/officeDocument/2006/relationships/hyperlink" Target="http://www.sec.gov/Archives/edgar/data/1552800/000155280024000012/ttsh-20240630xex10_1.htm" TargetMode="External"/><Relationship Id="rId109" Type="http://schemas.openxmlformats.org/officeDocument/2006/relationships/hyperlink" Target="http://www.sec.gov/Archives/edgar/data/1552800/000155280024000012/ttsh-20240630xex10_2.htm" TargetMode="External"/><Relationship Id="rId110" Type="http://schemas.openxmlformats.org/officeDocument/2006/relationships/hyperlink" Target="http://www.sec.gov/Archives/edgar/data/1552800/000155280024000012/ttsh-20240630xex10_3.htm" TargetMode="External"/><Relationship Id="rId111" Type="http://schemas.openxmlformats.org/officeDocument/2006/relationships/hyperlink" Target="http://www.sec.gov/Archives/edgar/data/1552800/000110465922104593/tm2227017d1_ex10-1.htm" TargetMode="External"/><Relationship Id="rId112" Type="http://schemas.openxmlformats.org/officeDocument/2006/relationships/hyperlink" Target="http://www.sec.gov/Archives/edgar/data/1552800/000110465922104593/tm2227017d1_ex10-2.htm" TargetMode="External"/><Relationship Id="rId113" Type="http://schemas.openxmlformats.org/officeDocument/2006/relationships/hyperlink" Target="http://www.sec.gov/Archives/edgar/data/1552800/000110465923064637/tm2316950d1_ex16-1.htm" TargetMode="External"/><Relationship Id="rId114" Type="http://schemas.openxmlformats.org/officeDocument/2006/relationships/hyperlink" Target="http://www.sec.gov/Archives/edgar/data/1552800/000155280024000005/ttsh-20231231xex19_1.htm" TargetMode="External"/><Relationship Id="rId115" Type="http://schemas.openxmlformats.org/officeDocument/2006/relationships/hyperlink" Target="http://www.sec.gov/Archives/edgar/data/1552800/000155280024000005/ttsh-20231231xex97_1.htm" TargetMode="External"/><Relationship Id="rId116" Type="http://schemas.openxmlformats.org/officeDocument/2006/relationships/hyperlink" Target="http://www.sec.gov/Archives/edgar/data/1552800/000110465920003488/tm203308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2025-02-27T15:39:12Z</dcterms:created>
  <dcterms:modified xsi:type="dcterms:W3CDTF">2025-02-27T15:39:12Z</dcterms:modified>
</cp:coreProperties>
</file>