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6183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183630"/>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KINDER JOSEPH</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1200" w:type="dxa"/>
            <w:vAlign w:val="bottom"/>
          </w:tcPr>
          <w:p>
            <w:pPr>
              <w:ind w:left="140"/>
              <w:spacing w:after="0"/>
              <w:rPr>
                <w:sz w:val="20"/>
                <w:szCs w:val="20"/>
                <w:color w:val="auto"/>
              </w:rPr>
            </w:pPr>
            <w:r>
              <w:rPr>
                <w:rFonts w:ascii="Arial" w:cs="Arial" w:eastAsia="Arial" w:hAnsi="Arial"/>
                <w:sz w:val="13"/>
                <w:szCs w:val="13"/>
                <w:color w:val="auto"/>
              </w:rPr>
              <w:t>(First)</w:t>
            </w:r>
          </w:p>
        </w:tc>
        <w:tc>
          <w:tcPr>
            <w:tcW w:w="1340" w:type="dxa"/>
            <w:vAlign w:val="bottom"/>
          </w:tcPr>
          <w:p>
            <w:pPr>
              <w:ind w:left="1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TILE SHOP HOLDINGS, INC.</w:t>
            </w:r>
          </w:p>
        </w:tc>
      </w:tr>
      <w:tr>
        <w:trPr>
          <w:trHeight w:val="260"/>
        </w:trPr>
        <w:tc>
          <w:tcPr>
            <w:tcW w:w="20" w:type="dxa"/>
            <w:vAlign w:val="bottom"/>
          </w:tcPr>
          <w:p>
            <w:pPr>
              <w:spacing w:after="0"/>
              <w:rPr>
                <w:sz w:val="22"/>
                <w:szCs w:val="22"/>
                <w:color w:val="auto"/>
              </w:rPr>
            </w:pP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14000 CARLSON PARKWAY</w:t>
            </w:r>
          </w:p>
        </w:tc>
        <w:tc>
          <w:tcPr>
            <w:tcW w:w="134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263"/>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PLYMOUTH</w:t>
            </w:r>
          </w:p>
        </w:tc>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MN</w:t>
            </w:r>
          </w:p>
        </w:tc>
        <w:tc>
          <w:tcPr>
            <w:tcW w:w="13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55441</w:t>
            </w: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1200" w:type="dxa"/>
            <w:vAlign w:val="bottom"/>
          </w:tcPr>
          <w:p>
            <w:pPr>
              <w:ind w:left="140"/>
              <w:spacing w:after="0"/>
              <w:rPr>
                <w:sz w:val="20"/>
                <w:szCs w:val="20"/>
                <w:color w:val="auto"/>
              </w:rPr>
            </w:pPr>
            <w:r>
              <w:rPr>
                <w:rFonts w:ascii="Arial" w:cs="Arial" w:eastAsia="Arial" w:hAnsi="Arial"/>
                <w:sz w:val="13"/>
                <w:szCs w:val="13"/>
                <w:color w:val="auto"/>
              </w:rPr>
              <w:t>(State)</w:t>
            </w:r>
          </w:p>
        </w:tc>
        <w:tc>
          <w:tcPr>
            <w:tcW w:w="134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TILE SHOP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TTSH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520" w:type="dxa"/>
            <w:vAlign w:val="bottom"/>
            <w:tcBorders>
              <w:top w:val="single" w:sz="8" w:color="0000EE"/>
            </w:tcBorders>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2"/>
        </w:trPr>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5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0"/>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7"/>
                <w:szCs w:val="17"/>
                <w:color w:val="0000FF"/>
              </w:rPr>
              <w:t>SVP, Chief Merchant Officer</w:t>
            </w:r>
          </w:p>
        </w:tc>
        <w:tc>
          <w:tcPr>
            <w:tcW w:w="0" w:type="dxa"/>
            <w:vAlign w:val="bottom"/>
          </w:tcPr>
          <w:p>
            <w:pPr>
              <w:spacing w:after="0"/>
              <w:rPr>
                <w:sz w:val="1"/>
                <w:szCs w:val="1"/>
                <w:color w:val="auto"/>
              </w:rPr>
            </w:pPr>
          </w:p>
        </w:tc>
      </w:tr>
      <w:tr>
        <w:trPr>
          <w:trHeight w:val="219"/>
        </w:trPr>
        <w:tc>
          <w:tcPr>
            <w:tcW w:w="27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03/03/2026</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0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2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03/03/2026</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ind w:right="299"/>
              <w:spacing w:after="0"/>
              <w:rPr>
                <w:sz w:val="20"/>
                <w:szCs w:val="20"/>
                <w:color w:val="auto"/>
              </w:rPr>
            </w:pPr>
            <w:r>
              <w:rPr>
                <w:rFonts w:ascii="Times New Roman" w:cs="Times New Roman" w:eastAsia="Times New Roman" w:hAnsi="Times New Roman"/>
                <w:sz w:val="13"/>
                <w:szCs w:val="13"/>
                <w:color w:val="0000FF"/>
              </w:rPr>
              <w:t>F</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1,081</w:t>
            </w:r>
            <w:r>
              <w:rPr>
                <w:rFonts w:ascii="Times New Roman" w:cs="Times New Roman" w:eastAsia="Times New Roman" w:hAnsi="Times New Roman"/>
                <w:sz w:val="21"/>
                <w:szCs w:val="21"/>
                <w:color w:val="008000"/>
                <w:vertAlign w:val="superscript"/>
              </w:rPr>
              <w:t>(1)</w:t>
            </w:r>
          </w:p>
        </w:tc>
        <w:tc>
          <w:tcPr>
            <w:tcW w:w="5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3.42</w:t>
            </w:r>
          </w:p>
        </w:tc>
        <w:tc>
          <w:tcPr>
            <w:tcW w:w="1300" w:type="dxa"/>
            <w:vAlign w:val="bottom"/>
            <w:tcBorders>
              <w:bottom w:val="single" w:sz="8" w:color="2C2C2C"/>
            </w:tcBorders>
            <w:gridSpan w:val="3"/>
          </w:tcPr>
          <w:p>
            <w:pPr>
              <w:jc w:val="right"/>
              <w:ind w:right="320"/>
              <w:spacing w:after="0"/>
              <w:rPr>
                <w:sz w:val="20"/>
                <w:szCs w:val="20"/>
                <w:color w:val="auto"/>
              </w:rPr>
            </w:pPr>
            <w:r>
              <w:rPr>
                <w:rFonts w:ascii="Times New Roman" w:cs="Times New Roman" w:eastAsia="Times New Roman" w:hAnsi="Times New Roman"/>
                <w:sz w:val="17"/>
                <w:szCs w:val="17"/>
                <w:color w:val="0000FF"/>
              </w:rPr>
              <w:t>88,398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03/04/2026</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ind w:right="299"/>
              <w:spacing w:after="0"/>
              <w:rPr>
                <w:sz w:val="20"/>
                <w:szCs w:val="20"/>
                <w:color w:val="auto"/>
              </w:rPr>
            </w:pPr>
            <w:r>
              <w:rPr>
                <w:rFonts w:ascii="Times New Roman" w:cs="Times New Roman" w:eastAsia="Times New Roman" w:hAnsi="Times New Roman"/>
                <w:sz w:val="13"/>
                <w:szCs w:val="13"/>
                <w:color w:val="0000FF"/>
              </w:rPr>
              <w:t>F</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906</w:t>
            </w:r>
            <w:r>
              <w:rPr>
                <w:rFonts w:ascii="Times New Roman" w:cs="Times New Roman" w:eastAsia="Times New Roman" w:hAnsi="Times New Roman"/>
                <w:sz w:val="21"/>
                <w:szCs w:val="21"/>
                <w:color w:val="008000"/>
                <w:vertAlign w:val="superscript"/>
              </w:rPr>
              <w:t>(1)</w:t>
            </w:r>
          </w:p>
        </w:tc>
        <w:tc>
          <w:tcPr>
            <w:tcW w:w="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3.42</w:t>
            </w:r>
          </w:p>
        </w:tc>
        <w:tc>
          <w:tcPr>
            <w:tcW w:w="1300" w:type="dxa"/>
            <w:vAlign w:val="bottom"/>
            <w:tcBorders>
              <w:bottom w:val="single" w:sz="8" w:color="2C2C2C"/>
            </w:tcBorders>
            <w:gridSpan w:val="3"/>
          </w:tcPr>
          <w:p>
            <w:pPr>
              <w:jc w:val="center"/>
              <w:ind w:right="180"/>
              <w:spacing w:after="0"/>
              <w:rPr>
                <w:sz w:val="20"/>
                <w:szCs w:val="20"/>
                <w:color w:val="auto"/>
              </w:rPr>
            </w:pPr>
            <w:r>
              <w:rPr>
                <w:rFonts w:ascii="Times New Roman" w:cs="Times New Roman" w:eastAsia="Times New Roman" w:hAnsi="Times New Roman"/>
                <w:sz w:val="17"/>
                <w:szCs w:val="17"/>
                <w:color w:val="0000FF"/>
              </w:rPr>
              <w:t>87,492</w:t>
            </w:r>
            <w:r>
              <w:rPr>
                <w:rFonts w:ascii="Times New Roman" w:cs="Times New Roman" w:eastAsia="Times New Roman" w:hAnsi="Times New Roman"/>
                <w:sz w:val="21"/>
                <w:szCs w:val="21"/>
                <w:color w:val="008000"/>
                <w:vertAlign w:val="superscript"/>
              </w:rPr>
              <w:t>(2)(3)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8.5</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tcPr>
          <w:p>
            <w:pPr>
              <w:jc w:val="right"/>
              <w:ind w:right="299"/>
              <w:spacing w:after="0"/>
              <w:rPr>
                <w:sz w:val="20"/>
                <w:szCs w:val="20"/>
                <w:color w:val="auto"/>
              </w:rPr>
            </w:pPr>
            <w:r>
              <w:rPr>
                <w:rFonts w:ascii="Times New Roman" w:cs="Times New Roman" w:eastAsia="Times New Roman" w:hAnsi="Times New Roman"/>
                <w:sz w:val="11"/>
                <w:szCs w:val="11"/>
                <w:color w:val="008000"/>
              </w:rPr>
              <w:t>(5)</w:t>
            </w: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11/06/2027</w:t>
            </w:r>
          </w:p>
        </w:tc>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26,900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26,900</w:t>
            </w:r>
          </w:p>
        </w:tc>
        <w:tc>
          <w:tcPr>
            <w:tcW w:w="260" w:type="dxa"/>
            <w:vAlign w:val="bottom"/>
          </w:tcPr>
          <w:p>
            <w:pPr>
              <w:spacing w:after="0"/>
              <w:rPr>
                <w:sz w:val="16"/>
                <w:szCs w:val="16"/>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8.8</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tcPr>
          <w:p>
            <w:pPr>
              <w:jc w:val="right"/>
              <w:ind w:right="299"/>
              <w:spacing w:after="0"/>
              <w:rPr>
                <w:sz w:val="20"/>
                <w:szCs w:val="20"/>
                <w:color w:val="auto"/>
              </w:rPr>
            </w:pPr>
            <w:r>
              <w:rPr>
                <w:rFonts w:ascii="Times New Roman" w:cs="Times New Roman" w:eastAsia="Times New Roman" w:hAnsi="Times New Roman"/>
                <w:sz w:val="11"/>
                <w:szCs w:val="11"/>
                <w:color w:val="008000"/>
              </w:rPr>
              <w:t>(5)</w:t>
            </w: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07/20/2028</w:t>
            </w:r>
          </w:p>
        </w:tc>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50,000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50,000</w:t>
            </w:r>
          </w:p>
        </w:tc>
        <w:tc>
          <w:tcPr>
            <w:tcW w:w="260" w:type="dxa"/>
            <w:vAlign w:val="bottom"/>
          </w:tcPr>
          <w:p>
            <w:pPr>
              <w:spacing w:after="0"/>
              <w:rPr>
                <w:sz w:val="16"/>
                <w:szCs w:val="16"/>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3.41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tcPr>
          <w:p>
            <w:pPr>
              <w:jc w:val="right"/>
              <w:ind w:right="299"/>
              <w:spacing w:after="0"/>
              <w:rPr>
                <w:sz w:val="20"/>
                <w:szCs w:val="20"/>
                <w:color w:val="auto"/>
              </w:rPr>
            </w:pPr>
            <w:r>
              <w:rPr>
                <w:rFonts w:ascii="Times New Roman" w:cs="Times New Roman" w:eastAsia="Times New Roman" w:hAnsi="Times New Roman"/>
                <w:sz w:val="11"/>
                <w:szCs w:val="11"/>
                <w:color w:val="008000"/>
              </w:rPr>
              <w:t>(4)</w:t>
            </w: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03/02/2036</w:t>
            </w:r>
          </w:p>
        </w:tc>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80,000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80,000</w:t>
            </w:r>
          </w:p>
        </w:tc>
        <w:tc>
          <w:tcPr>
            <w:tcW w:w="260" w:type="dxa"/>
            <w:vAlign w:val="bottom"/>
          </w:tcPr>
          <w:p>
            <w:pPr>
              <w:spacing w:after="0"/>
              <w:rPr>
                <w:sz w:val="16"/>
                <w:szCs w:val="16"/>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4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has elected to satisfy his tax withholding obligation in connection with the vesting of a prior restricted stock grant by directing the Issuer to withhold shares otherwise issuable upon vesting of the previously reported grant.</w:t>
      </w:r>
    </w:p>
    <w:p>
      <w:pPr>
        <w:spacing w:after="0" w:line="15" w:lineRule="exact"/>
        <w:rPr>
          <w:rFonts w:ascii="Times New Roman" w:cs="Times New Roman" w:eastAsia="Times New Roman" w:hAnsi="Times New Roman"/>
          <w:sz w:val="13"/>
          <w:szCs w:val="13"/>
          <w:color w:val="008000"/>
        </w:rPr>
      </w:pPr>
    </w:p>
    <w:p>
      <w:pPr>
        <w:ind w:left="40" w:right="2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3,086 shares of restricted stock for which the risks of forfeiture will lapse on 3/6/26; (ii) 2,520 shares of restricted stock for which the risks of forfeiture will lapse on 3/4/27; (iii) 6,018 shares of restricted stock for which the risks of forfeiture will lapse in equal annual installments on each of 3/3/27 and 3/3/28; and</w:t>
      </w:r>
    </w:p>
    <w:p>
      <w:pPr>
        <w:spacing w:after="0" w:line="15" w:lineRule="exact"/>
        <w:rPr>
          <w:rFonts w:ascii="Times New Roman" w:cs="Times New Roman" w:eastAsia="Times New Roman" w:hAnsi="Times New Roman"/>
          <w:sz w:val="13"/>
          <w:szCs w:val="13"/>
          <w:color w:val="008000"/>
        </w:rPr>
      </w:pPr>
    </w:p>
    <w:p>
      <w:pPr>
        <w:ind w:left="40" w:right="26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(iv) the following shares of performance-based restricted stock, which are, in each case, subject to Mr. Kinder remaining in continuous employment with the Issuer through December 31 of the year preceding the applicable vesting date and the Issuer achieving its performance target for each respective year: (A) 6,049 shares for which the risks of forfeiture will lapse on the date the Issuer releases its annual financial statements for the 2026 fiscal year; and (B) 12,638 shares for which the risks of forfeiture will lapse as to 30% and 40% of the initial number of shares granted on each of the dates the Issuer releases its annual financial statements for the 2026 and 2027 fiscal years, respectively. The Issuer's Form 10-K for the year ended December 31, 2025 contains additional information regarding the applicable performance targets.</w:t>
      </w:r>
    </w:p>
    <w:p>
      <w:pPr>
        <w:spacing w:after="0" w:line="28"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 in three substantially equal installments on each of 3/2/2027, 3/2/2028 and 3/2/2029, subject to continuous employment as of the applicable vesting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Fully exercisable.</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Mark B. Davis, as Attorney- </w:t>
      </w:r>
      <w:r>
        <w:rPr>
          <w:rFonts w:ascii="Times New Roman" w:cs="Times New Roman" w:eastAsia="Times New Roman" w:hAnsi="Times New Roman"/>
          <w:sz w:val="33"/>
          <w:szCs w:val="33"/>
          <w:color w:val="0000FF"/>
          <w:vertAlign w:val="subscript"/>
        </w:rPr>
        <w:t>03/05/2026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500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304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416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55217" TargetMode="External"/><Relationship Id="rId14" Type="http://schemas.openxmlformats.org/officeDocument/2006/relationships/hyperlink" Target="http://www.sec.gov/cgi-bin/browse-edgar?action=getcompany&amp;CIK=00015528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2026-03-05T17:02:34Z</dcterms:created>
  <dcterms:modified xsi:type="dcterms:W3CDTF">2026-03-05T17:02:34Z</dcterms:modified>
</cp:coreProperties>
</file>