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79"/>
        <w:spacing w:after="0" w:line="237" w:lineRule="auto"/>
        <w:rPr>
          <w:sz w:val="20"/>
          <w:szCs w:val="20"/>
          <w:color w:val="auto"/>
        </w:rPr>
      </w:pPr>
      <w:r>
        <w:rPr>
          <w:rFonts w:ascii="Arial" w:cs="Arial" w:eastAsia="Arial" w:hAnsi="Arial"/>
          <w:sz w:val="18"/>
          <w:szCs w:val="18"/>
          <w:b w:val="1"/>
          <w:bCs w:val="1"/>
          <w:color w:val="auto"/>
        </w:rPr>
        <w:t>SECURITIES AND EXCHANGE COMMISSION</w:t>
      </w:r>
    </w:p>
    <w:p>
      <w:pPr>
        <w:jc w:val="center"/>
        <w:ind w:right="-119"/>
        <w:spacing w:after="0" w:line="225" w:lineRule="auto"/>
        <w:rPr>
          <w:sz w:val="20"/>
          <w:szCs w:val="20"/>
          <w:color w:val="auto"/>
        </w:rPr>
      </w:pPr>
      <w:r>
        <w:rPr>
          <w:rFonts w:ascii="Arial" w:cs="Arial" w:eastAsia="Arial" w:hAnsi="Arial"/>
          <w:sz w:val="18"/>
          <w:szCs w:val="18"/>
          <w:b w:val="1"/>
          <w:bCs w:val="1"/>
          <w:color w:val="auto"/>
        </w:rPr>
        <w:t>Washington, D.C. 20549</w:t>
      </w:r>
    </w:p>
    <w:p>
      <w:pPr>
        <w:ind w:left="4580"/>
        <w:spacing w:after="0"/>
        <w:rPr>
          <w:sz w:val="20"/>
          <w:szCs w:val="20"/>
          <w:color w:val="auto"/>
        </w:rPr>
      </w:pPr>
      <w:r>
        <w:rPr>
          <w:rFonts w:ascii="Arial" w:cs="Arial" w:eastAsia="Arial" w:hAnsi="Arial"/>
          <w:sz w:val="14"/>
          <w:szCs w:val="14"/>
          <w:color w:val="auto"/>
        </w:rPr>
        <w:t>_____________________________</w:t>
      </w:r>
    </w:p>
    <w:p>
      <w:pPr>
        <w:spacing w:after="0" w:line="12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10-Q</w:t>
      </w:r>
    </w:p>
    <w:p>
      <w:pPr>
        <w:spacing w:after="0" w:line="3" w:lineRule="exact"/>
        <w:rPr>
          <w:sz w:val="24"/>
          <w:szCs w:val="24"/>
          <w:color w:val="auto"/>
        </w:rPr>
      </w:pPr>
    </w:p>
    <w:p>
      <w:pPr>
        <w:ind w:left="4580"/>
        <w:spacing w:after="0"/>
        <w:rPr>
          <w:sz w:val="20"/>
          <w:szCs w:val="20"/>
          <w:color w:val="auto"/>
        </w:rPr>
      </w:pPr>
      <w:r>
        <w:rPr>
          <w:rFonts w:ascii="Arial" w:cs="Arial" w:eastAsia="Arial" w:hAnsi="Arial"/>
          <w:sz w:val="14"/>
          <w:szCs w:val="14"/>
          <w:color w:val="auto"/>
        </w:rPr>
        <w:t>_____________________________</w:t>
      </w:r>
    </w:p>
    <w:p>
      <w:pPr>
        <w:ind w:left="60"/>
        <w:spacing w:after="0" w:line="234" w:lineRule="auto"/>
        <w:rPr>
          <w:sz w:val="20"/>
          <w:szCs w:val="20"/>
          <w:color w:val="auto"/>
        </w:rPr>
      </w:pPr>
      <w:r>
        <w:rPr>
          <w:rFonts w:ascii="Arial" w:cs="Arial" w:eastAsia="Arial" w:hAnsi="Arial"/>
          <w:sz w:val="18"/>
          <w:szCs w:val="18"/>
          <w:color w:val="auto"/>
        </w:rPr>
        <w:t>(Mark One)</w:t>
      </w:r>
    </w:p>
    <w:p>
      <w:pPr>
        <w:spacing w:after="0" w:line="1" w:lineRule="exact"/>
        <w:rPr>
          <w:sz w:val="24"/>
          <w:szCs w:val="24"/>
          <w:color w:val="auto"/>
        </w:rPr>
      </w:pPr>
    </w:p>
    <w:p>
      <w:pPr>
        <w:ind w:left="320" w:hanging="299"/>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6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4220" w:right="1640" w:hanging="4199"/>
        <w:spacing w:after="0" w:line="406" w:lineRule="auto"/>
        <w:tabs>
          <w:tab w:leader="none" w:pos="305"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 to –</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001-35629</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4"/>
          <w:szCs w:val="14"/>
          <w:color w:val="auto"/>
        </w:rPr>
        <w:t>_____________________________</w:t>
      </w:r>
    </w:p>
    <w:p>
      <w:pPr>
        <w:spacing w:after="0" w:line="1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TILE SHOP HOLDINGS, INC.</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4580"/>
        <w:spacing w:after="0"/>
        <w:rPr>
          <w:sz w:val="20"/>
          <w:szCs w:val="20"/>
          <w:color w:val="auto"/>
        </w:rPr>
      </w:pPr>
      <w:r>
        <w:rPr>
          <w:rFonts w:ascii="Arial" w:cs="Arial" w:eastAsia="Arial" w:hAnsi="Arial"/>
          <w:sz w:val="14"/>
          <w:szCs w:val="14"/>
          <w:color w:val="auto"/>
        </w:rPr>
        <w:t>_____________________________</w:t>
      </w:r>
    </w:p>
    <w:p>
      <w:pPr>
        <w:spacing w:after="0" w:line="120" w:lineRule="exact"/>
        <w:rPr>
          <w:sz w:val="24"/>
          <w:szCs w:val="24"/>
          <w:color w:val="auto"/>
        </w:rPr>
      </w:pPr>
    </w:p>
    <w:tbl>
      <w:tblPr>
        <w:tblLayout w:type="fixed"/>
        <w:tblInd w:w="500" w:type="dxa"/>
        <w:tblCellMar>
          <w:top w:w="0" w:type="dxa"/>
          <w:left w:w="0" w:type="dxa"/>
          <w:bottom w:w="0" w:type="dxa"/>
          <w:right w:w="0" w:type="dxa"/>
        </w:tblCellMar>
      </w:tblPr>
      <w:tr>
        <w:trPr>
          <w:trHeight w:val="207"/>
        </w:trPr>
        <w:tc>
          <w:tcPr>
            <w:tcW w:w="5600" w:type="dxa"/>
            <w:vAlign w:val="bottom"/>
          </w:tcPr>
          <w:p>
            <w:pPr>
              <w:jc w:val="center"/>
              <w:ind w:right="970"/>
              <w:spacing w:after="0"/>
              <w:rPr>
                <w:sz w:val="20"/>
                <w:szCs w:val="20"/>
                <w:color w:val="auto"/>
              </w:rPr>
            </w:pPr>
            <w:r>
              <w:rPr>
                <w:rFonts w:ascii="Arial" w:cs="Arial" w:eastAsia="Arial" w:hAnsi="Arial"/>
                <w:sz w:val="18"/>
                <w:szCs w:val="18"/>
                <w:b w:val="1"/>
                <w:bCs w:val="1"/>
                <w:color w:val="auto"/>
                <w:w w:val="93"/>
              </w:rPr>
              <w:t>Delaware</w:t>
            </w:r>
          </w:p>
        </w:tc>
        <w:tc>
          <w:tcPr>
            <w:tcW w:w="3700" w:type="dxa"/>
            <w:vAlign w:val="bottom"/>
          </w:tcPr>
          <w:p>
            <w:pPr>
              <w:jc w:val="right"/>
              <w:ind w:right="850"/>
              <w:spacing w:after="0"/>
              <w:rPr>
                <w:sz w:val="20"/>
                <w:szCs w:val="20"/>
                <w:color w:val="auto"/>
              </w:rPr>
            </w:pPr>
            <w:r>
              <w:rPr>
                <w:rFonts w:ascii="Arial" w:cs="Arial" w:eastAsia="Arial" w:hAnsi="Arial"/>
                <w:sz w:val="18"/>
                <w:szCs w:val="18"/>
                <w:b w:val="1"/>
                <w:bCs w:val="1"/>
                <w:color w:val="auto"/>
              </w:rPr>
              <w:t>45-5538095</w:t>
            </w:r>
          </w:p>
        </w:tc>
      </w:tr>
      <w:tr>
        <w:trPr>
          <w:trHeight w:val="234"/>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0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360"/>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14000 Carlson Parkway</w:t>
            </w:r>
          </w:p>
        </w:tc>
        <w:tc>
          <w:tcPr>
            <w:tcW w:w="3700" w:type="dxa"/>
            <w:vAlign w:val="bottom"/>
          </w:tcPr>
          <w:p>
            <w:pPr>
              <w:spacing w:after="0"/>
              <w:rPr>
                <w:sz w:val="24"/>
                <w:szCs w:val="24"/>
                <w:color w:val="auto"/>
              </w:rPr>
            </w:pPr>
          </w:p>
        </w:tc>
      </w:tr>
      <w:tr>
        <w:trPr>
          <w:trHeight w:val="189"/>
        </w:trPr>
        <w:tc>
          <w:tcPr>
            <w:tcW w:w="5600" w:type="dxa"/>
            <w:vAlign w:val="bottom"/>
          </w:tcPr>
          <w:p>
            <w:pPr>
              <w:jc w:val="center"/>
              <w:ind w:right="930"/>
              <w:spacing w:after="0" w:line="189" w:lineRule="exact"/>
              <w:rPr>
                <w:sz w:val="20"/>
                <w:szCs w:val="20"/>
                <w:color w:val="auto"/>
              </w:rPr>
            </w:pPr>
            <w:r>
              <w:rPr>
                <w:rFonts w:ascii="Arial" w:cs="Arial" w:eastAsia="Arial" w:hAnsi="Arial"/>
                <w:sz w:val="18"/>
                <w:szCs w:val="18"/>
                <w:b w:val="1"/>
                <w:bCs w:val="1"/>
                <w:color w:val="auto"/>
                <w:w w:val="91"/>
              </w:rPr>
              <w:t>Plymouth, Minnesota</w:t>
            </w:r>
          </w:p>
        </w:tc>
        <w:tc>
          <w:tcPr>
            <w:tcW w:w="3700" w:type="dxa"/>
            <w:vAlign w:val="bottom"/>
          </w:tcPr>
          <w:p>
            <w:pPr>
              <w:jc w:val="right"/>
              <w:ind w:right="1050"/>
              <w:spacing w:after="0" w:line="189" w:lineRule="exact"/>
              <w:rPr>
                <w:sz w:val="20"/>
                <w:szCs w:val="20"/>
                <w:color w:val="auto"/>
              </w:rPr>
            </w:pPr>
            <w:r>
              <w:rPr>
                <w:rFonts w:ascii="Arial" w:cs="Arial" w:eastAsia="Arial" w:hAnsi="Arial"/>
                <w:sz w:val="18"/>
                <w:szCs w:val="18"/>
                <w:b w:val="1"/>
                <w:bCs w:val="1"/>
                <w:color w:val="auto"/>
              </w:rPr>
              <w:t>55441</w:t>
            </w:r>
          </w:p>
        </w:tc>
      </w:tr>
      <w:tr>
        <w:trPr>
          <w:trHeight w:val="234"/>
        </w:trPr>
        <w:tc>
          <w:tcPr>
            <w:tcW w:w="5600" w:type="dxa"/>
            <w:vAlign w:val="bottom"/>
          </w:tcPr>
          <w:p>
            <w:pPr>
              <w:jc w:val="center"/>
              <w:ind w:right="9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0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(Zip Code)</w:t>
            </w:r>
          </w:p>
        </w:tc>
      </w:tr>
    </w:tbl>
    <w:p>
      <w:pPr>
        <w:spacing w:after="0" w:line="15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(763) 852-2950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w:t>
      </w:r>
    </w:p>
    <w:p>
      <w:pPr>
        <w:ind w:left="4580"/>
        <w:spacing w:after="0" w:line="214" w:lineRule="auto"/>
        <w:rPr>
          <w:sz w:val="20"/>
          <w:szCs w:val="20"/>
          <w:color w:val="auto"/>
        </w:rPr>
      </w:pPr>
      <w:r>
        <w:rPr>
          <w:rFonts w:ascii="Arial" w:cs="Arial" w:eastAsia="Arial" w:hAnsi="Arial"/>
          <w:sz w:val="14"/>
          <w:szCs w:val="14"/>
          <w:color w:val="auto"/>
        </w:rPr>
        <w:t>_____________________________</w:t>
      </w: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20"/>
          </w:cols>
          <w:pgMar w:left="320" w:top="675" w:right="459" w:bottom="1440" w:gutter="0" w:footer="0" w:header="0"/>
        </w:sectPr>
      </w:pPr>
    </w:p>
    <w:p>
      <w:pPr>
        <w:spacing w:after="0" w:line="182" w:lineRule="exact"/>
        <w:rPr>
          <w:sz w:val="24"/>
          <w:szCs w:val="24"/>
          <w:color w:val="auto"/>
        </w:rPr>
      </w:pPr>
    </w:p>
    <w:p>
      <w:pPr>
        <w:ind w:left="124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35" w:lineRule="exact"/>
        <w:rPr>
          <w:sz w:val="24"/>
          <w:szCs w:val="24"/>
          <w:color w:val="auto"/>
        </w:rPr>
      </w:pPr>
    </w:p>
    <w:p>
      <w:pPr>
        <w:sectPr>
          <w:pgSz w:w="11900" w:h="16838" w:orient="portrait"/>
          <w:cols w:equalWidth="0" w:num="3">
            <w:col w:w="3960" w:space="720"/>
            <w:col w:w="2100" w:space="720"/>
            <w:col w:w="3620"/>
          </w:cols>
          <w:pgMar w:left="320" w:top="675" w:right="459" w:bottom="1440" w:gutter="0" w:footer="0" w:header="0"/>
          <w:type w:val="continuous"/>
        </w:sectPr>
      </w:pPr>
    </w:p>
    <w:p>
      <w:pPr>
        <w:spacing w:after="0" w:line="11" w:lineRule="exact"/>
        <w:rPr>
          <w:sz w:val="24"/>
          <w:szCs w:val="24"/>
          <w:color w:val="auto"/>
        </w:rPr>
      </w:pPr>
    </w:p>
    <w:p>
      <w:pPr>
        <w:ind w:left="840"/>
        <w:spacing w:after="0"/>
        <w:rPr>
          <w:sz w:val="20"/>
          <w:szCs w:val="20"/>
          <w:color w:val="auto"/>
        </w:rPr>
      </w:pPr>
      <w:r>
        <w:rPr>
          <w:rFonts w:ascii="Arial" w:cs="Arial" w:eastAsia="Arial" w:hAnsi="Arial"/>
          <w:sz w:val="12"/>
          <w:szCs w:val="12"/>
          <w:b w:val="1"/>
          <w:bCs w:val="1"/>
          <w:color w:val="auto"/>
        </w:rPr>
        <w:t>Common Stock, $0.0001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TTSH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160" w:lineRule="exact"/>
        <w:rPr>
          <w:sz w:val="24"/>
          <w:szCs w:val="24"/>
          <w:color w:val="auto"/>
        </w:rPr>
      </w:pPr>
    </w:p>
    <w:p>
      <w:pPr>
        <w:sectPr>
          <w:pgSz w:w="11900" w:h="16838" w:orient="portrait"/>
          <w:cols w:equalWidth="0" w:num="3">
            <w:col w:w="4440" w:space="720"/>
            <w:col w:w="2240" w:space="720"/>
            <w:col w:w="3000"/>
          </w:cols>
          <w:pgMar w:left="320" w:top="675" w:right="459" w:bottom="1440" w:gutter="0" w:footer="0" w:header="0"/>
          <w:type w:val="continuous"/>
        </w:sectPr>
      </w:pPr>
    </w:p>
    <w:p>
      <w:pPr>
        <w:ind w:right="18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1" w:lineRule="exact"/>
        <w:rPr>
          <w:sz w:val="24"/>
          <w:szCs w:val="24"/>
          <w:color w:val="auto"/>
        </w:rPr>
      </w:pPr>
    </w:p>
    <w:p>
      <w:pPr>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1" w:lineRule="exact"/>
        <w:rPr>
          <w:sz w:val="24"/>
          <w:szCs w:val="24"/>
          <w:color w:val="auto"/>
        </w:rPr>
      </w:pPr>
    </w:p>
    <w:p>
      <w:pPr>
        <w:ind w:right="20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80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rPr>
                <w:sz w:val="20"/>
                <w:szCs w:val="20"/>
                <w:color w:val="auto"/>
              </w:rPr>
            </w:pPr>
            <w:r>
              <w:rPr>
                <w:rFonts w:ascii="Arial" w:cs="Arial" w:eastAsia="Arial" w:hAnsi="Arial"/>
                <w:sz w:val="18"/>
                <w:szCs w:val="18"/>
                <w:color w:val="auto"/>
              </w:rPr>
              <w:t>x</w:t>
            </w:r>
          </w:p>
        </w:tc>
      </w:tr>
      <w:tr>
        <w:trPr>
          <w:trHeight w:val="189"/>
        </w:trPr>
        <w:tc>
          <w:tcPr>
            <w:tcW w:w="1840" w:type="dxa"/>
            <w:vAlign w:val="bottom"/>
          </w:tcPr>
          <w:p>
            <w:pPr>
              <w:spacing w:after="0" w:line="189" w:lineRule="exact"/>
              <w:rPr>
                <w:sz w:val="20"/>
                <w:szCs w:val="20"/>
                <w:color w:val="auto"/>
              </w:rPr>
            </w:pPr>
            <w:r>
              <w:rPr>
                <w:rFonts w:ascii="Arial" w:cs="Arial" w:eastAsia="Arial" w:hAnsi="Arial"/>
                <w:sz w:val="18"/>
                <w:szCs w:val="18"/>
                <w:color w:val="auto"/>
              </w:rPr>
              <w:t>Non-accelerated filer</w:t>
            </w:r>
          </w:p>
        </w:tc>
        <w:tc>
          <w:tcPr>
            <w:tcW w:w="21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800"/>
              <w:spacing w:after="0" w:line="189" w:lineRule="exact"/>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9" w:lineRule="exact"/>
              <w:rPr>
                <w:sz w:val="20"/>
                <w:szCs w:val="20"/>
                <w:color w:val="auto"/>
              </w:rPr>
            </w:pPr>
            <w:r>
              <w:rPr>
                <w:rFonts w:ascii="Arial" w:cs="Arial" w:eastAsia="Arial" w:hAnsi="Arial"/>
                <w:sz w:val="18"/>
                <w:szCs w:val="18"/>
                <w:color w:val="auto"/>
              </w:rPr>
              <w:t>x</w:t>
            </w:r>
          </w:p>
        </w:tc>
      </w:tr>
      <w:tr>
        <w:trPr>
          <w:trHeight w:val="283"/>
        </w:trPr>
        <w:tc>
          <w:tcPr>
            <w:tcW w:w="1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80" w:type="dxa"/>
            <w:vAlign w:val="bottom"/>
          </w:tcPr>
          <w:p>
            <w:pPr>
              <w:ind w:left="180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7" w:lineRule="exact"/>
        <w:rPr>
          <w:sz w:val="24"/>
          <w:szCs w:val="24"/>
          <w:color w:val="auto"/>
        </w:rPr>
      </w:pPr>
    </w:p>
    <w:p>
      <w:pPr>
        <w:ind w:right="4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6" w:lineRule="exact"/>
        <w:rPr>
          <w:sz w:val="24"/>
          <w:szCs w:val="24"/>
          <w:color w:val="auto"/>
        </w:rPr>
      </w:pPr>
    </w:p>
    <w:p>
      <w:pPr>
        <w:ind w:right="1760"/>
        <w:spacing w:after="0" w:line="30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 As of October 31, 2022, there were 44,362,399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622300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75"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00" w:type="dxa"/>
            <w:vAlign w:val="bottom"/>
            <w:gridSpan w:val="22"/>
          </w:tcPr>
          <w:p>
            <w:pPr>
              <w:spacing w:after="0"/>
              <w:rPr>
                <w:sz w:val="20"/>
                <w:szCs w:val="20"/>
                <w:color w:val="auto"/>
              </w:rPr>
            </w:pPr>
            <w:r>
              <w:rPr>
                <w:rFonts w:ascii="Arial" w:cs="Arial" w:eastAsia="Arial" w:hAnsi="Arial"/>
                <w:sz w:val="18"/>
                <w:szCs w:val="18"/>
                <w:b w:val="1"/>
                <w:bCs w:val="1"/>
                <w:color w:val="0563C1"/>
              </w:rPr>
              <w:t>Table of Contents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9"/>
        </w:trPr>
        <w:tc>
          <w:tcPr>
            <w:tcW w:w="5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380" w:type="dxa"/>
            <w:vAlign w:val="bottom"/>
            <w:tcBorders>
              <w:top w:val="single" w:sz="8" w:color="0563C1"/>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80" w:type="dxa"/>
            <w:vAlign w:val="bottom"/>
            <w:gridSpan w:val="6"/>
          </w:tcPr>
          <w:p>
            <w:pPr>
              <w:jc w:val="center"/>
              <w:ind w:right="3480"/>
              <w:spacing w:after="0"/>
              <w:rPr>
                <w:sz w:val="20"/>
                <w:szCs w:val="20"/>
                <w:color w:val="auto"/>
              </w:rPr>
            </w:pPr>
            <w:r>
              <w:rPr>
                <w:rFonts w:ascii="Arial" w:cs="Arial" w:eastAsia="Arial" w:hAnsi="Arial"/>
                <w:sz w:val="18"/>
                <w:szCs w:val="18"/>
                <w:b w:val="1"/>
                <w:bCs w:val="1"/>
                <w:color w:val="auto"/>
              </w:rPr>
              <w:t>TILE SHOP HOLDINGS, INC.</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80" w:type="dxa"/>
            <w:vAlign w:val="bottom"/>
            <w:gridSpan w:val="4"/>
          </w:tcPr>
          <w:p>
            <w:pPr>
              <w:jc w:val="center"/>
              <w:ind w:right="4080"/>
              <w:spacing w:after="0"/>
              <w:rPr>
                <w:sz w:val="20"/>
                <w:szCs w:val="20"/>
                <w:color w:val="auto"/>
              </w:rPr>
            </w:pPr>
            <w:r>
              <w:rPr>
                <w:rFonts w:ascii="Arial" w:cs="Arial" w:eastAsia="Arial" w:hAnsi="Arial"/>
                <w:sz w:val="18"/>
                <w:szCs w:val="18"/>
                <w:b w:val="1"/>
                <w:bCs w:val="1"/>
                <w:color w:val="auto"/>
                <w:w w:val="89"/>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3"/>
        </w:trPr>
        <w:tc>
          <w:tcPr>
            <w:tcW w:w="3080" w:type="dxa"/>
            <w:vAlign w:val="bottom"/>
            <w:tcBorders>
              <w:top w:val="single" w:sz="8" w:color="CCEEFF"/>
              <w:bottom w:val="single" w:sz="8" w:color="0563C1"/>
            </w:tcBorders>
            <w:gridSpan w:val="12"/>
            <w:shd w:val="clear" w:color="auto" w:fill="CCEEFF"/>
          </w:tcPr>
          <w:p>
            <w:pPr>
              <w:spacing w:after="0" w:line="142" w:lineRule="exact"/>
              <w:rPr>
                <w:sz w:val="20"/>
                <w:szCs w:val="20"/>
                <w:color w:val="auto"/>
              </w:rPr>
            </w:pPr>
            <w:r>
              <w:rPr>
                <w:rFonts w:ascii="Arial" w:cs="Arial" w:eastAsia="Arial" w:hAnsi="Arial"/>
                <w:sz w:val="16"/>
                <w:szCs w:val="16"/>
                <w:b w:val="1"/>
                <w:bCs w:val="1"/>
                <w:color w:val="0563C1"/>
              </w:rPr>
              <w:t>PART I. FINANCIAL INFORMATION</w:t>
            </w:r>
          </w:p>
        </w:tc>
        <w:tc>
          <w:tcPr>
            <w:tcW w:w="7520" w:type="dxa"/>
            <w:vAlign w:val="bottom"/>
            <w:tcBorders>
              <w:top w:val="single" w:sz="8" w:color="CCEEFF"/>
              <w:bottom w:val="single" w:sz="8" w:color="CCEEFF"/>
            </w:tcBorders>
            <w:gridSpan w:val="10"/>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line="162" w:lineRule="exact"/>
              <w:rPr>
                <w:sz w:val="20"/>
                <w:szCs w:val="20"/>
                <w:color w:val="auto"/>
              </w:rPr>
            </w:pPr>
            <w:r>
              <w:rPr>
                <w:rFonts w:ascii="Arial" w:cs="Arial" w:eastAsia="Arial" w:hAnsi="Arial"/>
                <w:sz w:val="18"/>
                <w:szCs w:val="18"/>
                <w:color w:val="0563C1"/>
                <w:w w:val="90"/>
              </w:rPr>
              <w:t>Item 1.</w:t>
            </w:r>
          </w:p>
        </w:tc>
        <w:tc>
          <w:tcPr>
            <w:tcW w:w="460" w:type="dxa"/>
            <w:vAlign w:val="bottom"/>
            <w:gridSpan w:val="3"/>
          </w:tcPr>
          <w:p>
            <w:pPr>
              <w:spacing w:after="0"/>
              <w:rPr>
                <w:sz w:val="14"/>
                <w:szCs w:val="14"/>
                <w:color w:val="auto"/>
              </w:rPr>
            </w:pPr>
          </w:p>
        </w:tc>
        <w:tc>
          <w:tcPr>
            <w:tcW w:w="9620" w:type="dxa"/>
            <w:vAlign w:val="bottom"/>
            <w:gridSpan w:val="18"/>
          </w:tcPr>
          <w:p>
            <w:pPr>
              <w:spacing w:after="0" w:line="162" w:lineRule="exact"/>
              <w:rPr>
                <w:sz w:val="20"/>
                <w:szCs w:val="20"/>
                <w:color w:val="auto"/>
              </w:rPr>
            </w:pPr>
            <w:r>
              <w:rPr>
                <w:rFonts w:ascii="Arial" w:cs="Arial" w:eastAsia="Arial" w:hAnsi="Arial"/>
                <w:sz w:val="18"/>
                <w:szCs w:val="18"/>
                <w:color w:val="0563C1"/>
              </w:rPr>
              <w:t>Financial Statements</w:t>
            </w: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0563C1"/>
            </w:tcBorders>
            <w:gridSpan w:val="9"/>
            <w:shd w:val="clear" w:color="auto" w:fill="CCEEFF"/>
          </w:tcPr>
          <w:p>
            <w:pPr>
              <w:spacing w:after="0" w:line="162" w:lineRule="exact"/>
              <w:rPr>
                <w:sz w:val="20"/>
                <w:szCs w:val="20"/>
                <w:color w:val="auto"/>
              </w:rPr>
            </w:pPr>
            <w:r>
              <w:rPr>
                <w:rFonts w:ascii="Arial" w:cs="Arial" w:eastAsia="Arial" w:hAnsi="Arial"/>
                <w:sz w:val="18"/>
                <w:szCs w:val="18"/>
                <w:color w:val="0563C1"/>
                <w:w w:val="89"/>
              </w:rPr>
              <w:t>Consolidated Balance Sheets</w:t>
            </w:r>
          </w:p>
        </w:tc>
        <w:tc>
          <w:tcPr>
            <w:tcW w:w="7480" w:type="dxa"/>
            <w:vAlign w:val="bottom"/>
            <w:tcBorders>
              <w:bottom w:val="single" w:sz="8" w:color="CCEEFF"/>
            </w:tcBorders>
            <w:gridSpan w:val="9"/>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tcBorders>
              <w:bottom w:val="single" w:sz="8" w:color="0563C1"/>
            </w:tcBorders>
            <w:gridSpan w:val="11"/>
          </w:tcPr>
          <w:p>
            <w:pPr>
              <w:spacing w:after="0" w:line="162" w:lineRule="exact"/>
              <w:rPr>
                <w:sz w:val="20"/>
                <w:szCs w:val="20"/>
                <w:color w:val="auto"/>
              </w:rPr>
            </w:pPr>
            <w:r>
              <w:rPr>
                <w:rFonts w:ascii="Arial" w:cs="Arial" w:eastAsia="Arial" w:hAnsi="Arial"/>
                <w:sz w:val="18"/>
                <w:szCs w:val="18"/>
                <w:color w:val="0563C1"/>
                <w:w w:val="90"/>
              </w:rPr>
              <w:t>Consolidated Statements of Operations</w:t>
            </w:r>
          </w:p>
        </w:tc>
        <w:tc>
          <w:tcPr>
            <w:tcW w:w="6760" w:type="dxa"/>
            <w:vAlign w:val="bottom"/>
            <w:gridSpan w:val="7"/>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740" w:type="dxa"/>
            <w:vAlign w:val="bottom"/>
            <w:tcBorders>
              <w:bottom w:val="single" w:sz="8" w:color="0563C1"/>
            </w:tcBorders>
            <w:gridSpan w:val="14"/>
            <w:shd w:val="clear" w:color="auto" w:fill="CCEEFF"/>
          </w:tcPr>
          <w:p>
            <w:pPr>
              <w:spacing w:after="0" w:line="162" w:lineRule="exact"/>
              <w:rPr>
                <w:sz w:val="20"/>
                <w:szCs w:val="20"/>
                <w:color w:val="auto"/>
              </w:rPr>
            </w:pPr>
            <w:r>
              <w:rPr>
                <w:rFonts w:ascii="Arial" w:cs="Arial" w:eastAsia="Arial" w:hAnsi="Arial"/>
                <w:sz w:val="18"/>
                <w:szCs w:val="18"/>
                <w:color w:val="0563C1"/>
                <w:w w:val="89"/>
              </w:rPr>
              <w:t>Consolidated Statements of Comprehensive Income</w:t>
            </w:r>
          </w:p>
        </w:tc>
        <w:tc>
          <w:tcPr>
            <w:tcW w:w="5880" w:type="dxa"/>
            <w:vAlign w:val="bottom"/>
            <w:tcBorders>
              <w:bottom w:val="single" w:sz="8" w:color="CCEEFF"/>
            </w:tcBorders>
            <w:gridSpan w:val="4"/>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20" w:type="dxa"/>
            <w:vAlign w:val="bottom"/>
            <w:gridSpan w:val="18"/>
          </w:tcPr>
          <w:p>
            <w:pPr>
              <w:spacing w:after="0" w:line="162" w:lineRule="exact"/>
              <w:rPr>
                <w:sz w:val="20"/>
                <w:szCs w:val="20"/>
                <w:color w:val="auto"/>
              </w:rPr>
            </w:pPr>
            <w:r>
              <w:rPr>
                <w:rFonts w:ascii="Arial" w:cs="Arial" w:eastAsia="Arial" w:hAnsi="Arial"/>
                <w:sz w:val="18"/>
                <w:szCs w:val="18"/>
                <w:color w:val="0563C1"/>
              </w:rPr>
              <w:t>Consolidated Statements of Stockholders’ Equity</w:t>
            </w: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540" w:type="dxa"/>
            <w:vAlign w:val="bottom"/>
            <w:tcBorders>
              <w:top w:val="single" w:sz="8" w:color="0563C1"/>
            </w:tcBorders>
            <w:gridSpan w:val="13"/>
            <w:shd w:val="clear" w:color="auto" w:fill="CCEEFF"/>
          </w:tcPr>
          <w:p>
            <w:pPr>
              <w:spacing w:after="0" w:line="162" w:lineRule="exact"/>
              <w:rPr>
                <w:sz w:val="20"/>
                <w:szCs w:val="20"/>
                <w:color w:val="auto"/>
              </w:rPr>
            </w:pPr>
            <w:r>
              <w:rPr>
                <w:rFonts w:ascii="Arial" w:cs="Arial" w:eastAsia="Arial" w:hAnsi="Arial"/>
                <w:sz w:val="18"/>
                <w:szCs w:val="18"/>
                <w:color w:val="0563C1"/>
              </w:rPr>
              <w:t>Consolidated Statements of Cash Flows</w:t>
            </w:r>
          </w:p>
        </w:tc>
        <w:tc>
          <w:tcPr>
            <w:tcW w:w="6080" w:type="dxa"/>
            <w:vAlign w:val="bottom"/>
            <w:gridSpan w:val="5"/>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0563C1"/>
            </w:tcBorders>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540" w:type="dxa"/>
            <w:vAlign w:val="bottom"/>
            <w:shd w:val="clear" w:color="auto" w:fill="0563C1"/>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20" w:type="dxa"/>
            <w:vAlign w:val="bottom"/>
            <w:gridSpan w:val="18"/>
          </w:tcPr>
          <w:p>
            <w:pPr>
              <w:spacing w:after="0" w:line="162" w:lineRule="exact"/>
              <w:rPr>
                <w:sz w:val="20"/>
                <w:szCs w:val="20"/>
                <w:color w:val="auto"/>
              </w:rPr>
            </w:pPr>
            <w:r>
              <w:rPr>
                <w:rFonts w:ascii="Arial" w:cs="Arial" w:eastAsia="Arial" w:hAnsi="Arial"/>
                <w:sz w:val="18"/>
                <w:szCs w:val="18"/>
                <w:color w:val="0563C1"/>
              </w:rPr>
              <w:t>Notes to Consolidated Financial Statements</w:t>
            </w: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0563C1"/>
            </w:tcBorders>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540" w:type="dxa"/>
            <w:vAlign w:val="bottom"/>
            <w:shd w:val="clear" w:color="auto" w:fill="0563C1"/>
          </w:tcPr>
          <w:p>
            <w:pPr>
              <w:spacing w:after="0"/>
              <w:rPr>
                <w:sz w:val="2"/>
                <w:szCs w:val="2"/>
                <w:color w:val="auto"/>
              </w:rPr>
            </w:pPr>
          </w:p>
        </w:tc>
        <w:tc>
          <w:tcPr>
            <w:tcW w:w="280" w:type="dxa"/>
            <w:vAlign w:val="bottom"/>
            <w:shd w:val="clear" w:color="auto" w:fill="0563C1"/>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sz w:val="20"/>
                <w:szCs w:val="20"/>
                <w:color w:val="auto"/>
              </w:rPr>
            </w:pPr>
            <w:r>
              <w:rPr>
                <w:rFonts w:ascii="Arial" w:cs="Arial" w:eastAsia="Arial" w:hAnsi="Arial"/>
                <w:sz w:val="18"/>
                <w:szCs w:val="18"/>
                <w:color w:val="0563C1"/>
                <w:w w:val="90"/>
              </w:rPr>
              <w:t>Item 2.</w:t>
            </w:r>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6460" w:type="dxa"/>
            <w:vAlign w:val="bottom"/>
            <w:tcBorders>
              <w:bottom w:val="single" w:sz="8" w:color="0563C1"/>
            </w:tcBorders>
            <w:gridSpan w:val="17"/>
            <w:shd w:val="clear" w:color="auto" w:fill="CCEEFF"/>
          </w:tcPr>
          <w:p>
            <w:pPr>
              <w:spacing w:after="0" w:line="162" w:lineRule="exact"/>
              <w:rPr>
                <w:sz w:val="20"/>
                <w:szCs w:val="20"/>
                <w:color w:val="auto"/>
              </w:rPr>
            </w:pPr>
            <w:r>
              <w:rPr>
                <w:rFonts w:ascii="Arial" w:cs="Arial" w:eastAsia="Arial" w:hAnsi="Arial"/>
                <w:sz w:val="18"/>
                <w:szCs w:val="18"/>
                <w:color w:val="0563C1"/>
                <w:w w:val="90"/>
              </w:rPr>
              <w:t>Management’s Discussion and Analysis of Financial Condition and Results of Operations</w:t>
            </w:r>
          </w:p>
        </w:tc>
        <w:tc>
          <w:tcPr>
            <w:tcW w:w="31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tcPr>
          <w:p>
            <w:pPr>
              <w:spacing w:after="0" w:line="162" w:lineRule="exact"/>
              <w:rPr>
                <w:sz w:val="20"/>
                <w:szCs w:val="20"/>
                <w:color w:val="auto"/>
              </w:rPr>
            </w:pPr>
            <w:r>
              <w:rPr>
                <w:rFonts w:ascii="Arial" w:cs="Arial" w:eastAsia="Arial" w:hAnsi="Arial"/>
                <w:sz w:val="18"/>
                <w:szCs w:val="18"/>
                <w:color w:val="0563C1"/>
                <w:w w:val="90"/>
              </w:rPr>
              <w:t>Item 3.</w:t>
            </w:r>
          </w:p>
        </w:tc>
        <w:tc>
          <w:tcPr>
            <w:tcW w:w="460" w:type="dxa"/>
            <w:vAlign w:val="bottom"/>
            <w:gridSpan w:val="3"/>
          </w:tcPr>
          <w:p>
            <w:pPr>
              <w:spacing w:after="0"/>
              <w:rPr>
                <w:sz w:val="14"/>
                <w:szCs w:val="14"/>
                <w:color w:val="auto"/>
              </w:rPr>
            </w:pPr>
          </w:p>
        </w:tc>
        <w:tc>
          <w:tcPr>
            <w:tcW w:w="4360" w:type="dxa"/>
            <w:vAlign w:val="bottom"/>
            <w:tcBorders>
              <w:bottom w:val="single" w:sz="8" w:color="0563C1"/>
            </w:tcBorders>
            <w:gridSpan w:val="16"/>
          </w:tcPr>
          <w:p>
            <w:pPr>
              <w:spacing w:after="0" w:line="162" w:lineRule="exact"/>
              <w:rPr>
                <w:sz w:val="20"/>
                <w:szCs w:val="20"/>
                <w:color w:val="auto"/>
              </w:rPr>
            </w:pPr>
            <w:r>
              <w:rPr>
                <w:rFonts w:ascii="Arial" w:cs="Arial" w:eastAsia="Arial" w:hAnsi="Arial"/>
                <w:sz w:val="18"/>
                <w:szCs w:val="18"/>
                <w:color w:val="0563C1"/>
                <w:w w:val="92"/>
              </w:rPr>
              <w:t>Quantitative and Qualitative Disclosures About Market Risk</w:t>
            </w:r>
          </w:p>
        </w:tc>
        <w:tc>
          <w:tcPr>
            <w:tcW w:w="5260" w:type="dxa"/>
            <w:vAlign w:val="bottom"/>
            <w:gridSpan w:val="2"/>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shd w:val="clear" w:color="auto" w:fill="CCEEFF"/>
          </w:tcPr>
          <w:p>
            <w:pPr>
              <w:spacing w:after="0" w:line="162" w:lineRule="exact"/>
              <w:rPr>
                <w:sz w:val="20"/>
                <w:szCs w:val="20"/>
                <w:color w:val="auto"/>
              </w:rPr>
            </w:pPr>
            <w:r>
              <w:rPr>
                <w:rFonts w:ascii="Arial" w:cs="Arial" w:eastAsia="Arial" w:hAnsi="Arial"/>
                <w:sz w:val="18"/>
                <w:szCs w:val="18"/>
                <w:color w:val="0563C1"/>
                <w:w w:val="90"/>
              </w:rPr>
              <w:t>Item 4.</w:t>
            </w:r>
          </w:p>
        </w:tc>
        <w:tc>
          <w:tcPr>
            <w:tcW w:w="460" w:type="dxa"/>
            <w:vAlign w:val="bottom"/>
            <w:gridSpan w:val="3"/>
            <w:shd w:val="clear" w:color="auto" w:fill="CCEEFF"/>
          </w:tcPr>
          <w:p>
            <w:pPr>
              <w:spacing w:after="0"/>
              <w:rPr>
                <w:sz w:val="14"/>
                <w:szCs w:val="14"/>
                <w:color w:val="auto"/>
              </w:rPr>
            </w:pPr>
          </w:p>
        </w:tc>
        <w:tc>
          <w:tcPr>
            <w:tcW w:w="9620" w:type="dxa"/>
            <w:vAlign w:val="bottom"/>
            <w:gridSpan w:val="18"/>
            <w:shd w:val="clear" w:color="auto" w:fill="CCEEFF"/>
          </w:tcPr>
          <w:p>
            <w:pPr>
              <w:spacing w:after="0" w:line="162" w:lineRule="exact"/>
              <w:rPr>
                <w:sz w:val="20"/>
                <w:szCs w:val="20"/>
                <w:color w:val="auto"/>
              </w:rPr>
            </w:pPr>
            <w:r>
              <w:rPr>
                <w:rFonts w:ascii="Arial" w:cs="Arial" w:eastAsia="Arial" w:hAnsi="Arial"/>
                <w:sz w:val="18"/>
                <w:szCs w:val="18"/>
                <w:color w:val="0563C1"/>
              </w:rPr>
              <w:t>Controls and Procedures</w:t>
            </w: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CCEEFF"/>
            </w:tcBorders>
            <w:shd w:val="clear" w:color="auto" w:fill="0563C1"/>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780" w:type="dxa"/>
            <w:vAlign w:val="bottom"/>
            <w:tcBorders>
              <w:bottom w:val="single" w:sz="8" w:color="0563C1"/>
            </w:tcBorders>
            <w:gridSpan w:val="11"/>
          </w:tcPr>
          <w:p>
            <w:pPr>
              <w:spacing w:after="0" w:line="162" w:lineRule="exact"/>
              <w:rPr>
                <w:sz w:val="20"/>
                <w:szCs w:val="20"/>
                <w:color w:val="auto"/>
              </w:rPr>
            </w:pPr>
            <w:r>
              <w:rPr>
                <w:rFonts w:ascii="Arial" w:cs="Arial" w:eastAsia="Arial" w:hAnsi="Arial"/>
                <w:sz w:val="18"/>
                <w:szCs w:val="18"/>
                <w:b w:val="1"/>
                <w:bCs w:val="1"/>
                <w:color w:val="0563C1"/>
              </w:rPr>
              <w:t>PART II. OTHER INFORMATION</w:t>
            </w:r>
          </w:p>
        </w:tc>
        <w:tc>
          <w:tcPr>
            <w:tcW w:w="7820" w:type="dxa"/>
            <w:vAlign w:val="bottom"/>
            <w:gridSpan w:val="11"/>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sz w:val="20"/>
                <w:szCs w:val="20"/>
                <w:color w:val="auto"/>
              </w:rPr>
            </w:pPr>
            <w:r>
              <w:rPr>
                <w:rFonts w:ascii="Arial" w:cs="Arial" w:eastAsia="Arial" w:hAnsi="Arial"/>
                <w:sz w:val="18"/>
                <w:szCs w:val="18"/>
                <w:color w:val="0563C1"/>
                <w:w w:val="90"/>
              </w:rPr>
              <w:t>Item 1.</w:t>
            </w:r>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1340" w:type="dxa"/>
            <w:vAlign w:val="bottom"/>
            <w:tcBorders>
              <w:bottom w:val="single" w:sz="8" w:color="0563C1"/>
            </w:tcBorders>
            <w:gridSpan w:val="5"/>
            <w:shd w:val="clear" w:color="auto" w:fill="CCEEFF"/>
          </w:tcPr>
          <w:p>
            <w:pPr>
              <w:spacing w:after="0" w:line="162" w:lineRule="exact"/>
              <w:rPr>
                <w:sz w:val="20"/>
                <w:szCs w:val="20"/>
                <w:color w:val="auto"/>
              </w:rPr>
            </w:pPr>
            <w:r>
              <w:rPr>
                <w:rFonts w:ascii="Arial" w:cs="Arial" w:eastAsia="Arial" w:hAnsi="Arial"/>
                <w:sz w:val="18"/>
                <w:szCs w:val="18"/>
                <w:color w:val="0563C1"/>
                <w:w w:val="88"/>
              </w:rPr>
              <w:t>Legal Proceedings</w:t>
            </w:r>
          </w:p>
        </w:tc>
        <w:tc>
          <w:tcPr>
            <w:tcW w:w="8280" w:type="dxa"/>
            <w:vAlign w:val="bottom"/>
            <w:tcBorders>
              <w:bottom w:val="single" w:sz="8" w:color="CCEEFF"/>
            </w:tcBorders>
            <w:gridSpan w:val="13"/>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4"/>
          </w:tcPr>
          <w:p>
            <w:pPr>
              <w:spacing w:after="0" w:line="162" w:lineRule="exact"/>
              <w:rPr>
                <w:sz w:val="20"/>
                <w:szCs w:val="20"/>
                <w:color w:val="auto"/>
              </w:rPr>
            </w:pPr>
            <w:r>
              <w:rPr>
                <w:rFonts w:ascii="Arial" w:cs="Arial" w:eastAsia="Arial" w:hAnsi="Arial"/>
                <w:sz w:val="18"/>
                <w:szCs w:val="18"/>
                <w:color w:val="0563C1"/>
              </w:rPr>
              <w:t>Item 1A.</w:t>
            </w:r>
          </w:p>
        </w:tc>
        <w:tc>
          <w:tcPr>
            <w:tcW w:w="9620" w:type="dxa"/>
            <w:vAlign w:val="bottom"/>
            <w:gridSpan w:val="18"/>
          </w:tcPr>
          <w:p>
            <w:pPr>
              <w:spacing w:after="0" w:line="162" w:lineRule="exact"/>
              <w:rPr>
                <w:sz w:val="20"/>
                <w:szCs w:val="20"/>
                <w:color w:val="auto"/>
              </w:rPr>
            </w:pPr>
            <w:r>
              <w:rPr>
                <w:rFonts w:ascii="Arial" w:cs="Arial" w:eastAsia="Arial" w:hAnsi="Arial"/>
                <w:sz w:val="18"/>
                <w:szCs w:val="18"/>
                <w:color w:val="0563C1"/>
              </w:rPr>
              <w:t>Risk Factors</w:t>
            </w: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shd w:val="clear" w:color="auto" w:fill="0563C1"/>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shd w:val="clear" w:color="auto" w:fill="CCEEFF"/>
          </w:tcPr>
          <w:p>
            <w:pPr>
              <w:spacing w:after="0" w:line="162" w:lineRule="exact"/>
              <w:rPr>
                <w:sz w:val="20"/>
                <w:szCs w:val="20"/>
                <w:color w:val="auto"/>
              </w:rPr>
            </w:pPr>
            <w:r>
              <w:rPr>
                <w:rFonts w:ascii="Arial" w:cs="Arial" w:eastAsia="Arial" w:hAnsi="Arial"/>
                <w:sz w:val="18"/>
                <w:szCs w:val="18"/>
                <w:color w:val="0563C1"/>
                <w:w w:val="90"/>
              </w:rPr>
              <w:t>Item 2.</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spacing w:after="0"/>
              <w:rPr>
                <w:sz w:val="14"/>
                <w:szCs w:val="14"/>
                <w:color w:val="auto"/>
              </w:rPr>
            </w:pPr>
          </w:p>
        </w:tc>
        <w:tc>
          <w:tcPr>
            <w:tcW w:w="9620" w:type="dxa"/>
            <w:vAlign w:val="bottom"/>
            <w:gridSpan w:val="18"/>
            <w:shd w:val="clear" w:color="auto" w:fill="CCEEFF"/>
          </w:tcPr>
          <w:p>
            <w:pPr>
              <w:spacing w:after="0" w:line="162" w:lineRule="exact"/>
              <w:rPr>
                <w:sz w:val="20"/>
                <w:szCs w:val="20"/>
                <w:color w:val="auto"/>
              </w:rPr>
            </w:pPr>
            <w:r>
              <w:rPr>
                <w:rFonts w:ascii="Arial" w:cs="Arial" w:eastAsia="Arial" w:hAnsi="Arial"/>
                <w:sz w:val="18"/>
                <w:szCs w:val="18"/>
                <w:color w:val="0563C1"/>
              </w:rPr>
              <w:t>Unregistered Sales of Equity Securities and Use of Proceeds</w:t>
            </w: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tcBorders>
          </w:tcPr>
          <w:p>
            <w:pPr>
              <w:spacing w:after="0" w:line="162" w:lineRule="exact"/>
              <w:rPr>
                <w:sz w:val="20"/>
                <w:szCs w:val="20"/>
                <w:color w:val="auto"/>
              </w:rPr>
            </w:pPr>
            <w:r>
              <w:rPr>
                <w:rFonts w:ascii="Arial" w:cs="Arial" w:eastAsia="Arial" w:hAnsi="Arial"/>
                <w:sz w:val="18"/>
                <w:szCs w:val="18"/>
                <w:color w:val="0563C1"/>
                <w:w w:val="90"/>
              </w:rPr>
              <w:t>Item 3.</w:t>
            </w:r>
          </w:p>
        </w:tc>
        <w:tc>
          <w:tcPr>
            <w:tcW w:w="460" w:type="dxa"/>
            <w:vAlign w:val="bottom"/>
            <w:tcBorders>
              <w:top w:val="single" w:sz="8" w:color="CCEEFF"/>
            </w:tcBorders>
            <w:gridSpan w:val="3"/>
          </w:tcPr>
          <w:p>
            <w:pPr>
              <w:spacing w:after="0"/>
              <w:rPr>
                <w:sz w:val="14"/>
                <w:szCs w:val="14"/>
                <w:color w:val="auto"/>
              </w:rPr>
            </w:pPr>
          </w:p>
        </w:tc>
        <w:tc>
          <w:tcPr>
            <w:tcW w:w="4340" w:type="dxa"/>
            <w:vAlign w:val="bottom"/>
            <w:tcBorders>
              <w:top w:val="single" w:sz="8" w:color="0563C1"/>
            </w:tcBorders>
            <w:gridSpan w:val="15"/>
          </w:tcPr>
          <w:p>
            <w:pPr>
              <w:spacing w:after="0" w:line="162" w:lineRule="exact"/>
              <w:rPr>
                <w:sz w:val="20"/>
                <w:szCs w:val="20"/>
                <w:color w:val="auto"/>
              </w:rPr>
            </w:pPr>
            <w:r>
              <w:rPr>
                <w:rFonts w:ascii="Arial" w:cs="Arial" w:eastAsia="Arial" w:hAnsi="Arial"/>
                <w:sz w:val="18"/>
                <w:szCs w:val="18"/>
                <w:color w:val="0563C1"/>
              </w:rPr>
              <w:t>Defaults Upon Senior Securities</w:t>
            </w:r>
          </w:p>
        </w:tc>
        <w:tc>
          <w:tcPr>
            <w:tcW w:w="5280" w:type="dxa"/>
            <w:vAlign w:val="bottom"/>
            <w:tcBorders>
              <w:top w:val="single" w:sz="8" w:color="CCEEFF"/>
            </w:tcBorders>
            <w:gridSpan w:val="3"/>
          </w:tcPr>
          <w:p>
            <w:pPr>
              <w:spacing w:after="0"/>
              <w:rPr>
                <w:sz w:val="14"/>
                <w:szCs w:val="14"/>
                <w:color w:val="auto"/>
              </w:rPr>
            </w:pPr>
          </w:p>
        </w:tc>
        <w:tc>
          <w:tcPr>
            <w:tcW w:w="640" w:type="dxa"/>
            <w:vAlign w:val="bottom"/>
            <w:tcBorders>
              <w:top w:val="single" w:sz="8" w:color="CCEEFF"/>
            </w:tcBorders>
          </w:tcPr>
          <w:p>
            <w:pPr>
              <w:jc w:val="right"/>
              <w:spacing w:after="0" w:line="162"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tcBorders>
            <w:shd w:val="clear" w:color="auto" w:fill="CCEEFF"/>
          </w:tcPr>
          <w:p>
            <w:pPr>
              <w:spacing w:after="0" w:line="162" w:lineRule="exact"/>
              <w:rPr>
                <w:sz w:val="20"/>
                <w:szCs w:val="20"/>
                <w:color w:val="auto"/>
              </w:rPr>
            </w:pPr>
            <w:r>
              <w:rPr>
                <w:rFonts w:ascii="Arial" w:cs="Arial" w:eastAsia="Arial" w:hAnsi="Arial"/>
                <w:sz w:val="18"/>
                <w:szCs w:val="18"/>
                <w:color w:val="0563C1"/>
                <w:w w:val="90"/>
              </w:rPr>
              <w:t>Item 4.</w:t>
            </w:r>
          </w:p>
        </w:tc>
        <w:tc>
          <w:tcPr>
            <w:tcW w:w="460" w:type="dxa"/>
            <w:vAlign w:val="bottom"/>
            <w:gridSpan w:val="3"/>
            <w:shd w:val="clear" w:color="auto" w:fill="CCEEFF"/>
          </w:tcPr>
          <w:p>
            <w:pPr>
              <w:spacing w:after="0"/>
              <w:rPr>
                <w:sz w:val="14"/>
                <w:szCs w:val="14"/>
                <w:color w:val="auto"/>
              </w:rPr>
            </w:pPr>
          </w:p>
        </w:tc>
        <w:tc>
          <w:tcPr>
            <w:tcW w:w="2320" w:type="dxa"/>
            <w:vAlign w:val="bottom"/>
            <w:tcBorders>
              <w:top w:val="single" w:sz="8" w:color="0563C1"/>
            </w:tcBorders>
            <w:gridSpan w:val="10"/>
            <w:shd w:val="clear" w:color="auto" w:fill="CCEEFF"/>
          </w:tcPr>
          <w:p>
            <w:pPr>
              <w:spacing w:after="0" w:line="162" w:lineRule="exact"/>
              <w:rPr>
                <w:sz w:val="20"/>
                <w:szCs w:val="20"/>
                <w:color w:val="auto"/>
              </w:rPr>
            </w:pPr>
            <w:r>
              <w:rPr>
                <w:rFonts w:ascii="Arial" w:cs="Arial" w:eastAsia="Arial" w:hAnsi="Arial"/>
                <w:sz w:val="18"/>
                <w:szCs w:val="18"/>
                <w:color w:val="0563C1"/>
              </w:rPr>
              <w:t>Mine Safety Disclosures</w:t>
            </w:r>
          </w:p>
        </w:tc>
        <w:tc>
          <w:tcPr>
            <w:tcW w:w="7300" w:type="dxa"/>
            <w:vAlign w:val="bottom"/>
            <w:gridSpan w:val="8"/>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bottom w:val="single" w:sz="8" w:color="0563C1"/>
            </w:tcBorders>
          </w:tcPr>
          <w:p>
            <w:pPr>
              <w:spacing w:after="0" w:line="162" w:lineRule="exact"/>
              <w:rPr>
                <w:sz w:val="20"/>
                <w:szCs w:val="20"/>
                <w:color w:val="auto"/>
              </w:rPr>
            </w:pPr>
            <w:r>
              <w:rPr>
                <w:rFonts w:ascii="Arial" w:cs="Arial" w:eastAsia="Arial" w:hAnsi="Arial"/>
                <w:sz w:val="18"/>
                <w:szCs w:val="18"/>
                <w:color w:val="0563C1"/>
                <w:w w:val="90"/>
              </w:rPr>
              <w:t>Item 5.</w:t>
            </w:r>
          </w:p>
        </w:tc>
        <w:tc>
          <w:tcPr>
            <w:tcW w:w="460" w:type="dxa"/>
            <w:vAlign w:val="bottom"/>
            <w:tcBorders>
              <w:top w:val="single" w:sz="8" w:color="CCEEFF"/>
            </w:tcBorders>
            <w:gridSpan w:val="3"/>
          </w:tcPr>
          <w:p>
            <w:pPr>
              <w:spacing w:after="0"/>
              <w:rPr>
                <w:sz w:val="14"/>
                <w:szCs w:val="14"/>
                <w:color w:val="auto"/>
              </w:rPr>
            </w:pPr>
          </w:p>
        </w:tc>
        <w:tc>
          <w:tcPr>
            <w:tcW w:w="1320" w:type="dxa"/>
            <w:vAlign w:val="bottom"/>
            <w:tcBorders>
              <w:top w:val="single" w:sz="8" w:color="0563C1"/>
              <w:bottom w:val="single" w:sz="8" w:color="0563C1"/>
            </w:tcBorders>
            <w:gridSpan w:val="4"/>
          </w:tcPr>
          <w:p>
            <w:pPr>
              <w:spacing w:after="0" w:line="162" w:lineRule="exact"/>
              <w:rPr>
                <w:sz w:val="20"/>
                <w:szCs w:val="20"/>
                <w:color w:val="auto"/>
              </w:rPr>
            </w:pPr>
            <w:r>
              <w:rPr>
                <w:rFonts w:ascii="Arial" w:cs="Arial" w:eastAsia="Arial" w:hAnsi="Arial"/>
                <w:sz w:val="18"/>
                <w:szCs w:val="18"/>
                <w:color w:val="0563C1"/>
                <w:w w:val="92"/>
              </w:rPr>
              <w:t>Other Information</w:t>
            </w:r>
          </w:p>
        </w:tc>
        <w:tc>
          <w:tcPr>
            <w:tcW w:w="480" w:type="dxa"/>
            <w:vAlign w:val="bottom"/>
            <w:tcBorders>
              <w:top w:val="single" w:sz="8" w:color="0563C1"/>
            </w:tcBorders>
            <w:gridSpan w:val="3"/>
          </w:tcPr>
          <w:p>
            <w:pPr>
              <w:spacing w:after="0"/>
              <w:rPr>
                <w:sz w:val="14"/>
                <w:szCs w:val="14"/>
                <w:color w:val="auto"/>
              </w:rPr>
            </w:pPr>
          </w:p>
        </w:tc>
        <w:tc>
          <w:tcPr>
            <w:tcW w:w="7820" w:type="dxa"/>
            <w:vAlign w:val="bottom"/>
            <w:tcBorders>
              <w:top w:val="single" w:sz="8" w:color="CCEEFF"/>
            </w:tcBorders>
            <w:gridSpan w:val="11"/>
          </w:tcPr>
          <w:p>
            <w:pPr>
              <w:spacing w:after="0"/>
              <w:rPr>
                <w:sz w:val="14"/>
                <w:szCs w:val="14"/>
                <w:color w:val="auto"/>
              </w:rPr>
            </w:pPr>
          </w:p>
        </w:tc>
        <w:tc>
          <w:tcPr>
            <w:tcW w:w="640" w:type="dxa"/>
            <w:vAlign w:val="bottom"/>
            <w:tcBorders>
              <w:top w:val="single" w:sz="8" w:color="CCEEFF"/>
            </w:tcBorders>
          </w:tcPr>
          <w:p>
            <w:pPr>
              <w:jc w:val="right"/>
              <w:spacing w:after="0" w:line="162"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sz w:val="20"/>
                <w:szCs w:val="20"/>
                <w:color w:val="auto"/>
              </w:rPr>
            </w:pPr>
            <w:r>
              <w:rPr>
                <w:rFonts w:ascii="Arial" w:cs="Arial" w:eastAsia="Arial" w:hAnsi="Arial"/>
                <w:sz w:val="18"/>
                <w:szCs w:val="18"/>
                <w:color w:val="0563C1"/>
                <w:w w:val="90"/>
              </w:rPr>
              <w:t>Item 6.</w:t>
            </w:r>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600" w:type="dxa"/>
            <w:vAlign w:val="bottom"/>
            <w:tcBorders>
              <w:bottom w:val="single" w:sz="8" w:color="0563C1"/>
            </w:tcBorders>
            <w:gridSpan w:val="2"/>
            <w:shd w:val="clear" w:color="auto" w:fill="CCEEFF"/>
          </w:tcPr>
          <w:p>
            <w:pPr>
              <w:spacing w:after="0" w:line="162" w:lineRule="exact"/>
              <w:rPr>
                <w:sz w:val="20"/>
                <w:szCs w:val="20"/>
                <w:color w:val="auto"/>
              </w:rPr>
            </w:pPr>
            <w:r>
              <w:rPr>
                <w:rFonts w:ascii="Arial" w:cs="Arial" w:eastAsia="Arial" w:hAnsi="Arial"/>
                <w:sz w:val="18"/>
                <w:szCs w:val="18"/>
                <w:color w:val="0563C1"/>
                <w:w w:val="91"/>
              </w:rPr>
              <w:t>Exhibits</w:t>
            </w:r>
          </w:p>
        </w:tc>
        <w:tc>
          <w:tcPr>
            <w:tcW w:w="9020" w:type="dxa"/>
            <w:vAlign w:val="bottom"/>
            <w:tcBorders>
              <w:bottom w:val="single" w:sz="8" w:color="CCEEFF"/>
            </w:tcBorders>
            <w:gridSpan w:val="16"/>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4"/>
          </w:tcPr>
          <w:p>
            <w:pPr>
              <w:spacing w:after="0" w:line="162" w:lineRule="exact"/>
              <w:rPr>
                <w:sz w:val="20"/>
                <w:szCs w:val="20"/>
                <w:color w:val="auto"/>
              </w:rPr>
            </w:pPr>
            <w:r>
              <w:rPr>
                <w:rFonts w:ascii="Arial" w:cs="Arial" w:eastAsia="Arial" w:hAnsi="Arial"/>
                <w:sz w:val="18"/>
                <w:szCs w:val="18"/>
                <w:color w:val="0563C1"/>
              </w:rPr>
              <w:t>Signatures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sz w:val="20"/>
                <w:szCs w:val="20"/>
                <w:color w:val="auto"/>
              </w:rPr>
            </w:pPr>
            <w:r>
              <w:rPr>
                <w:rFonts w:ascii="Arial" w:cs="Arial" w:eastAsia="Arial" w:hAnsi="Arial"/>
                <w:sz w:val="18"/>
                <w:szCs w:val="18"/>
                <w:b w:val="1"/>
                <w:bCs w:val="1"/>
                <w:color w:val="0563C1"/>
              </w:rPr>
              <w:t>Table of Contents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1360" w:type="dxa"/>
            <w:vAlign w:val="bottom"/>
            <w:shd w:val="clear" w:color="auto" w:fill="0563C1"/>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26"/>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50"/>
        </w:trPr>
        <w:tc>
          <w:tcPr>
            <w:tcW w:w="1360" w:type="dxa"/>
            <w:vAlign w:val="bottom"/>
          </w:tcPr>
          <w:p>
            <w:pPr>
              <w:spacing w:after="0"/>
              <w:rPr>
                <w:sz w:val="24"/>
                <w:szCs w:val="24"/>
                <w:color w:val="auto"/>
              </w:rPr>
            </w:pPr>
          </w:p>
        </w:tc>
        <w:tc>
          <w:tcPr>
            <w:tcW w:w="7000" w:type="dxa"/>
            <w:vAlign w:val="bottom"/>
          </w:tcPr>
          <w:p>
            <w:pPr>
              <w:ind w:left="2680"/>
              <w:spacing w:after="0"/>
              <w:rPr>
                <w:sz w:val="20"/>
                <w:szCs w:val="20"/>
                <w:color w:val="auto"/>
              </w:rPr>
            </w:pPr>
            <w:r>
              <w:rPr>
                <w:rFonts w:ascii="Arial" w:cs="Arial" w:eastAsia="Arial" w:hAnsi="Arial"/>
                <w:sz w:val="18"/>
                <w:szCs w:val="18"/>
                <w:b w:val="1"/>
                <w:bCs w:val="1"/>
                <w:color w:val="auto"/>
              </w:rPr>
              <w:t>Tile Shop Holdings, Inc. and Subsidiaries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3"/>
        </w:trPr>
        <w:tc>
          <w:tcPr>
            <w:tcW w:w="1360" w:type="dxa"/>
            <w:vAlign w:val="bottom"/>
          </w:tcPr>
          <w:p>
            <w:pPr>
              <w:spacing w:after="0"/>
              <w:rPr>
                <w:sz w:val="17"/>
                <w:szCs w:val="17"/>
                <w:color w:val="auto"/>
              </w:rPr>
            </w:pPr>
          </w:p>
        </w:tc>
        <w:tc>
          <w:tcPr>
            <w:tcW w:w="7000" w:type="dxa"/>
            <w:vAlign w:val="bottom"/>
          </w:tcPr>
          <w:p>
            <w:pPr>
              <w:ind w:left="3220"/>
              <w:spacing w:after="0" w:line="202" w:lineRule="exact"/>
              <w:rPr>
                <w:sz w:val="20"/>
                <w:szCs w:val="20"/>
                <w:color w:val="auto"/>
              </w:rPr>
            </w:pPr>
            <w:r>
              <w:rPr>
                <w:rFonts w:ascii="Arial" w:cs="Arial" w:eastAsia="Arial" w:hAnsi="Arial"/>
                <w:sz w:val="18"/>
                <w:szCs w:val="18"/>
                <w:color w:val="auto"/>
              </w:rPr>
              <w:t>Consolidated Balance Sheets</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0"/>
        </w:trPr>
        <w:tc>
          <w:tcPr>
            <w:tcW w:w="1360" w:type="dxa"/>
            <w:vAlign w:val="bottom"/>
          </w:tcPr>
          <w:p>
            <w:pPr>
              <w:spacing w:after="0"/>
              <w:rPr>
                <w:sz w:val="20"/>
                <w:szCs w:val="20"/>
                <w:color w:val="auto"/>
              </w:rPr>
            </w:pPr>
          </w:p>
        </w:tc>
        <w:tc>
          <w:tcPr>
            <w:tcW w:w="7000" w:type="dxa"/>
            <w:vAlign w:val="bottom"/>
          </w:tcPr>
          <w:p>
            <w:pPr>
              <w:ind w:left="2660"/>
              <w:spacing w:after="0"/>
              <w:rPr>
                <w:sz w:val="20"/>
                <w:szCs w:val="20"/>
                <w:color w:val="auto"/>
              </w:rPr>
            </w:pPr>
            <w:r>
              <w:rPr>
                <w:rFonts w:ascii="Arial" w:cs="Arial" w:eastAsia="Arial" w:hAnsi="Arial"/>
                <w:sz w:val="18"/>
                <w:szCs w:val="18"/>
                <w:color w:val="auto"/>
              </w:rPr>
              <w:t>(dollars in thousands, except per share data)</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04"/>
        </w:trPr>
        <w:tc>
          <w:tcPr>
            <w:tcW w:w="13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8"/>
              </w:rPr>
              <w:t>December 31,</w:t>
            </w:r>
          </w:p>
        </w:tc>
      </w:tr>
      <w:tr>
        <w:trPr>
          <w:trHeight w:val="189"/>
        </w:trPr>
        <w:tc>
          <w:tcPr>
            <w:tcW w:w="136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30"/>
              <w:spacing w:after="0" w:line="189" w:lineRule="exact"/>
              <w:rPr>
                <w:sz w:val="20"/>
                <w:szCs w:val="20"/>
                <w:color w:val="auto"/>
              </w:rPr>
            </w:pPr>
            <w:r>
              <w:rPr>
                <w:rFonts w:ascii="Arial" w:cs="Arial" w:eastAsia="Arial" w:hAnsi="Arial"/>
                <w:sz w:val="18"/>
                <w:szCs w:val="18"/>
                <w:color w:val="auto"/>
                <w:w w:val="89"/>
              </w:rPr>
              <w:t>2022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89"/>
              </w:rPr>
              <w:t>2021</w:t>
            </w:r>
          </w:p>
        </w:tc>
      </w:tr>
      <w:tr>
        <w:trPr>
          <w:trHeight w:val="217"/>
        </w:trPr>
        <w:tc>
          <w:tcPr>
            <w:tcW w:w="136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0"/>
              </w:rPr>
              <w:t>(audited)</w:t>
            </w:r>
          </w:p>
        </w:tc>
      </w:tr>
      <w:tr>
        <w:trPr>
          <w:trHeight w:val="183"/>
        </w:trPr>
        <w:tc>
          <w:tcPr>
            <w:tcW w:w="83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12,423</w:t>
            </w:r>
          </w:p>
        </w:tc>
        <w:tc>
          <w:tcPr>
            <w:tcW w:w="16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9,358</w:t>
            </w:r>
          </w:p>
        </w:tc>
      </w:tr>
      <w:tr>
        <w:trPr>
          <w:trHeight w:val="189"/>
        </w:trPr>
        <w:tc>
          <w:tcPr>
            <w:tcW w:w="83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3,131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655</w:t>
            </w: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Receivables, net</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4,104</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3,202</w:t>
            </w:r>
          </w:p>
        </w:tc>
      </w:tr>
      <w:tr>
        <w:trPr>
          <w:trHeight w:val="189"/>
        </w:trPr>
        <w:tc>
          <w:tcPr>
            <w:tcW w:w="83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121,481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97,175</w:t>
            </w: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Income tax receivable</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6,923</w:t>
            </w:r>
          </w:p>
        </w:tc>
      </w:tr>
      <w:tr>
        <w:trPr>
          <w:trHeight w:val="189"/>
        </w:trPr>
        <w:tc>
          <w:tcPr>
            <w:tcW w:w="836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Other current assets, net</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11,600</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9,769</w:t>
            </w:r>
          </w:p>
        </w:tc>
      </w:tr>
      <w:tr>
        <w:trPr>
          <w:trHeight w:val="183"/>
        </w:trPr>
        <w:tc>
          <w:tcPr>
            <w:tcW w:w="83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152,845</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127,082</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73,368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82,285</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Right of use asset</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116,103</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123,101</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6,633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6,953</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Long-term income tax receivable</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9,060</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36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2,974</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1,337</w:t>
            </w:r>
          </w:p>
        </w:tc>
      </w:tr>
      <w:tr>
        <w:trPr>
          <w:trHeight w:val="183"/>
        </w:trPr>
        <w:tc>
          <w:tcPr>
            <w:tcW w:w="836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360,983</w:t>
            </w:r>
          </w:p>
        </w:tc>
        <w:tc>
          <w:tcPr>
            <w:tcW w:w="1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340,758</w:t>
            </w:r>
          </w:p>
        </w:tc>
      </w:tr>
      <w:tr>
        <w:trPr>
          <w:trHeight w:val="20"/>
        </w:trPr>
        <w:tc>
          <w:tcPr>
            <w:tcW w:w="13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0"/>
        </w:trPr>
        <w:tc>
          <w:tcPr>
            <w:tcW w:w="136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32,809</w:t>
            </w:r>
          </w:p>
        </w:tc>
        <w:tc>
          <w:tcPr>
            <w:tcW w:w="16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30,884</w:t>
            </w:r>
          </w:p>
        </w:tc>
      </w:tr>
      <w:tr>
        <w:trPr>
          <w:trHeight w:val="189"/>
        </w:trPr>
        <w:tc>
          <w:tcPr>
            <w:tcW w:w="83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Income tax payable</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2,371</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390</w:t>
            </w: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Current portion of lease liability</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27,826</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28,190</w:t>
            </w:r>
          </w:p>
        </w:tc>
      </w:tr>
      <w:tr>
        <w:trPr>
          <w:trHeight w:val="189"/>
        </w:trPr>
        <w:tc>
          <w:tcPr>
            <w:tcW w:w="8360" w:type="dxa"/>
            <w:vAlign w:val="bottom"/>
            <w:tcBorders>
              <w:bottom w:val="single" w:sz="8" w:color="CCEEFF"/>
            </w:tcBorders>
            <w:gridSpan w:val="2"/>
          </w:tcPr>
          <w:p>
            <w:pPr>
              <w:ind w:left="120"/>
              <w:spacing w:after="0" w:line="189" w:lineRule="exact"/>
              <w:rPr>
                <w:sz w:val="20"/>
                <w:szCs w:val="20"/>
                <w:color w:val="auto"/>
              </w:rPr>
            </w:pPr>
            <w:r>
              <w:rPr>
                <w:rFonts w:ascii="Arial" w:cs="Arial" w:eastAsia="Arial" w:hAnsi="Arial"/>
                <w:sz w:val="18"/>
                <w:szCs w:val="18"/>
                <w:color w:val="auto"/>
              </w:rPr>
              <w:t>Other accrued liabilities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40,121</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38,249</w:t>
            </w:r>
          </w:p>
        </w:tc>
      </w:tr>
      <w:tr>
        <w:trPr>
          <w:trHeight w:val="183"/>
        </w:trPr>
        <w:tc>
          <w:tcPr>
            <w:tcW w:w="83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103,127</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97,713</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30,400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5,000</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Long-term lease liability, net</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101,571</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110,261</w:t>
            </w:r>
          </w:p>
        </w:tc>
      </w:tr>
      <w:tr>
        <w:trPr>
          <w:trHeight w:val="189"/>
        </w:trPr>
        <w:tc>
          <w:tcPr>
            <w:tcW w:w="836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4,150</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5,560</w:t>
            </w:r>
          </w:p>
        </w:tc>
      </w:tr>
      <w:tr>
        <w:trPr>
          <w:trHeight w:val="183"/>
        </w:trPr>
        <w:tc>
          <w:tcPr>
            <w:tcW w:w="83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239,248</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218,534</w:t>
            </w:r>
          </w:p>
        </w:tc>
      </w:tr>
      <w:tr>
        <w:trPr>
          <w:trHeight w:val="183"/>
        </w:trPr>
        <w:tc>
          <w:tcPr>
            <w:tcW w:w="1360" w:type="dxa"/>
            <w:vAlign w:val="bottom"/>
          </w:tcPr>
          <w:p>
            <w:pPr>
              <w:spacing w:after="0"/>
              <w:rPr>
                <w:sz w:val="15"/>
                <w:szCs w:val="15"/>
                <w:color w:val="auto"/>
              </w:rPr>
            </w:pPr>
          </w:p>
        </w:tc>
        <w:tc>
          <w:tcPr>
            <w:tcW w:w="7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61"/>
        </w:trPr>
        <w:tc>
          <w:tcPr>
            <w:tcW w:w="8360" w:type="dxa"/>
            <w:vAlign w:val="bottom"/>
            <w:gridSpan w:val="2"/>
          </w:tcPr>
          <w:p>
            <w:pPr>
              <w:spacing w:after="0" w:line="161" w:lineRule="exact"/>
              <w:rPr>
                <w:sz w:val="20"/>
                <w:szCs w:val="20"/>
                <w:color w:val="auto"/>
              </w:rPr>
            </w:pPr>
            <w:r>
              <w:rPr>
                <w:rFonts w:ascii="Arial" w:cs="Arial" w:eastAsia="Arial" w:hAnsi="Arial"/>
                <w:sz w:val="18"/>
                <w:szCs w:val="18"/>
                <w:color w:val="auto"/>
                <w:w w:val="96"/>
              </w:rPr>
              <w:t>Common stock, par value $0.0001; authorized: 100,000,000 shares; issued and outstanding: 48,084,360 and</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51,963,377 shares, respectively</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Preferred stock, par value $0.0001; authorized: 10,000,000 shares; issued and outstanding: 0 shares</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127,813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126,920</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(6,008)</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(4,713)</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Accumulated other comprehensive (loss) income</w:t>
            </w:r>
          </w:p>
        </w:tc>
        <w:tc>
          <w:tcPr>
            <w:tcW w:w="120" w:type="dxa"/>
            <w:vAlign w:val="bottom"/>
          </w:tcPr>
          <w:p>
            <w:pPr>
              <w:spacing w:after="0"/>
              <w:rPr>
                <w:sz w:val="16"/>
                <w:szCs w:val="16"/>
                <w:color w:val="auto"/>
              </w:rPr>
            </w:pPr>
          </w:p>
        </w:tc>
        <w:tc>
          <w:tcPr>
            <w:tcW w:w="14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(75)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12</w:t>
            </w:r>
          </w:p>
        </w:tc>
      </w:tr>
      <w:tr>
        <w:trPr>
          <w:trHeight w:val="183"/>
        </w:trPr>
        <w:tc>
          <w:tcPr>
            <w:tcW w:w="83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121,735</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122,224</w:t>
            </w:r>
          </w:p>
        </w:tc>
      </w:tr>
      <w:tr>
        <w:trPr>
          <w:trHeight w:val="183"/>
        </w:trPr>
        <w:tc>
          <w:tcPr>
            <w:tcW w:w="83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360,983</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340,758</w:t>
            </w:r>
          </w:p>
        </w:tc>
      </w:tr>
      <w:tr>
        <w:trPr>
          <w:trHeight w:val="20"/>
        </w:trPr>
        <w:tc>
          <w:tcPr>
            <w:tcW w:w="13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620" w:type="dxa"/>
            <w:vAlign w:val="bottom"/>
            <w:gridSpan w:val="2"/>
          </w:tcPr>
          <w:p>
            <w:pPr>
              <w:spacing w:after="0"/>
              <w:rPr>
                <w:sz w:val="20"/>
                <w:szCs w:val="20"/>
                <w:color w:val="auto"/>
              </w:rPr>
            </w:pPr>
            <w:r>
              <w:rPr>
                <w:rFonts w:ascii="Arial" w:cs="Arial" w:eastAsia="Arial" w:hAnsi="Arial"/>
                <w:sz w:val="18"/>
                <w:szCs w:val="18"/>
                <w:b w:val="1"/>
                <w:bCs w:val="1"/>
                <w:color w:val="0563C1"/>
              </w:rPr>
              <w:t>Table of Contents</w:t>
            </w:r>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533"/>
        </w:trPr>
        <w:tc>
          <w:tcPr>
            <w:tcW w:w="1360" w:type="dxa"/>
            <w:vAlign w:val="bottom"/>
            <w:tcBorders>
              <w:top w:val="single" w:sz="8" w:color="0563C1"/>
            </w:tcBorders>
          </w:tcPr>
          <w:p>
            <w:pPr>
              <w:spacing w:after="0"/>
              <w:rPr>
                <w:sz w:val="24"/>
                <w:szCs w:val="24"/>
                <w:color w:val="auto"/>
              </w:rPr>
            </w:pPr>
          </w:p>
        </w:tc>
        <w:tc>
          <w:tcPr>
            <w:tcW w:w="2260" w:type="dxa"/>
            <w:vAlign w:val="bottom"/>
          </w:tcPr>
          <w:p>
            <w:pPr>
              <w:spacing w:after="0"/>
              <w:rPr>
                <w:sz w:val="24"/>
                <w:szCs w:val="24"/>
                <w:color w:val="auto"/>
              </w:rPr>
            </w:pPr>
          </w:p>
        </w:tc>
        <w:tc>
          <w:tcPr>
            <w:tcW w:w="3740" w:type="dxa"/>
            <w:vAlign w:val="bottom"/>
            <w:gridSpan w:val="5"/>
          </w:tcPr>
          <w:p>
            <w:pPr>
              <w:jc w:val="center"/>
              <w:ind w:left="190"/>
              <w:spacing w:after="0"/>
              <w:rPr>
                <w:sz w:val="20"/>
                <w:szCs w:val="20"/>
                <w:color w:val="auto"/>
              </w:rPr>
            </w:pPr>
            <w:r>
              <w:rPr>
                <w:rFonts w:ascii="Arial" w:cs="Arial" w:eastAsia="Arial" w:hAnsi="Arial"/>
                <w:sz w:val="18"/>
                <w:szCs w:val="18"/>
                <w:b w:val="1"/>
                <w:bCs w:val="1"/>
                <w:color w:val="auto"/>
                <w:w w:val="90"/>
              </w:rPr>
              <w:t>Tile Shop Holdings, Inc. and Subsidiaries</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460" w:type="dxa"/>
            <w:vAlign w:val="bottom"/>
            <w:gridSpan w:val="4"/>
          </w:tcPr>
          <w:p>
            <w:pPr>
              <w:jc w:val="center"/>
              <w:ind w:left="470"/>
              <w:spacing w:after="0" w:line="189" w:lineRule="exact"/>
              <w:rPr>
                <w:sz w:val="20"/>
                <w:szCs w:val="20"/>
                <w:color w:val="auto"/>
              </w:rPr>
            </w:pPr>
            <w:r>
              <w:rPr>
                <w:rFonts w:ascii="Arial" w:cs="Arial" w:eastAsia="Arial" w:hAnsi="Arial"/>
                <w:sz w:val="18"/>
                <w:szCs w:val="18"/>
                <w:color w:val="auto"/>
                <w:w w:val="89"/>
              </w:rPr>
              <w:t>Consolidated Statements of Operations</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740" w:type="dxa"/>
            <w:vAlign w:val="bottom"/>
            <w:gridSpan w:val="5"/>
          </w:tcPr>
          <w:p>
            <w:pPr>
              <w:jc w:val="center"/>
              <w:ind w:left="130"/>
              <w:spacing w:after="0" w:line="189" w:lineRule="exact"/>
              <w:rPr>
                <w:sz w:val="20"/>
                <w:szCs w:val="20"/>
                <w:color w:val="auto"/>
              </w:rPr>
            </w:pPr>
            <w:r>
              <w:rPr>
                <w:rFonts w:ascii="Arial" w:cs="Arial" w:eastAsia="Arial" w:hAnsi="Arial"/>
                <w:sz w:val="18"/>
                <w:szCs w:val="18"/>
                <w:color w:val="auto"/>
                <w:w w:val="88"/>
              </w:rPr>
              <w:t>(dollars in thousands, except per share data)</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0"/>
        </w:trPr>
        <w:tc>
          <w:tcPr>
            <w:tcW w:w="1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420" w:type="dxa"/>
            <w:vAlign w:val="bottom"/>
            <w:gridSpan w:val="2"/>
          </w:tcPr>
          <w:p>
            <w:pPr>
              <w:jc w:val="center"/>
              <w:ind w:left="1490"/>
              <w:spacing w:after="0"/>
              <w:rPr>
                <w:sz w:val="20"/>
                <w:szCs w:val="20"/>
                <w:color w:val="auto"/>
              </w:rPr>
            </w:pPr>
            <w:r>
              <w:rPr>
                <w:rFonts w:ascii="Arial" w:cs="Arial" w:eastAsia="Arial" w:hAnsi="Arial"/>
                <w:sz w:val="18"/>
                <w:szCs w:val="18"/>
                <w:color w:val="auto"/>
                <w:w w:val="92"/>
              </w:rPr>
              <w:t>(unaudited)</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1"/>
        </w:trPr>
        <w:tc>
          <w:tcPr>
            <w:tcW w:w="1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00" w:type="dxa"/>
            <w:vAlign w:val="bottom"/>
            <w:gridSpan w:val="5"/>
          </w:tcPr>
          <w:p>
            <w:pPr>
              <w:jc w:val="center"/>
              <w:ind w:right="580"/>
              <w:spacing w:after="0"/>
              <w:rPr>
                <w:sz w:val="20"/>
                <w:szCs w:val="20"/>
                <w:color w:val="auto"/>
              </w:rPr>
            </w:pPr>
            <w:r>
              <w:rPr>
                <w:rFonts w:ascii="Arial" w:cs="Arial" w:eastAsia="Arial" w:hAnsi="Arial"/>
                <w:sz w:val="18"/>
                <w:szCs w:val="18"/>
                <w:color w:val="auto"/>
                <w:w w:val="90"/>
              </w:rPr>
              <w:t>Three Months Ended</w:t>
            </w:r>
          </w:p>
        </w:tc>
        <w:tc>
          <w:tcPr>
            <w:tcW w:w="260" w:type="dxa"/>
            <w:vAlign w:val="bottom"/>
          </w:tcPr>
          <w:p>
            <w:pPr>
              <w:spacing w:after="0"/>
              <w:rPr>
                <w:sz w:val="24"/>
                <w:szCs w:val="24"/>
                <w:color w:val="auto"/>
              </w:rPr>
            </w:pPr>
          </w:p>
        </w:tc>
        <w:tc>
          <w:tcPr>
            <w:tcW w:w="2440" w:type="dxa"/>
            <w:vAlign w:val="bottom"/>
            <w:gridSpan w:val="4"/>
          </w:tcPr>
          <w:p>
            <w:pPr>
              <w:jc w:val="right"/>
              <w:ind w:right="530"/>
              <w:spacing w:after="0"/>
              <w:rPr>
                <w:sz w:val="20"/>
                <w:szCs w:val="20"/>
                <w:color w:val="auto"/>
              </w:rPr>
            </w:pPr>
            <w:r>
              <w:rPr>
                <w:rFonts w:ascii="Arial" w:cs="Arial" w:eastAsia="Arial" w:hAnsi="Arial"/>
                <w:sz w:val="18"/>
                <w:szCs w:val="18"/>
                <w:color w:val="auto"/>
              </w:rPr>
              <w:t>Nine Months Ended</w:t>
            </w:r>
          </w:p>
        </w:tc>
      </w:tr>
      <w:tr>
        <w:trPr>
          <w:trHeight w:val="217"/>
        </w:trPr>
        <w:tc>
          <w:tcPr>
            <w:tcW w:w="1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500" w:type="dxa"/>
            <w:vAlign w:val="bottom"/>
            <w:gridSpan w:val="5"/>
          </w:tcPr>
          <w:p>
            <w:pPr>
              <w:jc w:val="center"/>
              <w:ind w:right="580"/>
              <w:spacing w:after="0"/>
              <w:rPr>
                <w:sz w:val="20"/>
                <w:szCs w:val="20"/>
                <w:color w:val="auto"/>
              </w:rPr>
            </w:pPr>
            <w:r>
              <w:rPr>
                <w:rFonts w:ascii="Arial" w:cs="Arial" w:eastAsia="Arial" w:hAnsi="Arial"/>
                <w:sz w:val="18"/>
                <w:szCs w:val="18"/>
                <w:color w:val="auto"/>
                <w:w w:val="88"/>
              </w:rPr>
              <w:t>September 30,</w:t>
            </w:r>
          </w:p>
        </w:tc>
        <w:tc>
          <w:tcPr>
            <w:tcW w:w="260" w:type="dxa"/>
            <w:vAlign w:val="bottom"/>
          </w:tcPr>
          <w:p>
            <w:pPr>
              <w:spacing w:after="0"/>
              <w:rPr>
                <w:sz w:val="18"/>
                <w:szCs w:val="18"/>
                <w:color w:val="auto"/>
              </w:rPr>
            </w:pPr>
          </w:p>
        </w:tc>
        <w:tc>
          <w:tcPr>
            <w:tcW w:w="2440" w:type="dxa"/>
            <w:vAlign w:val="bottom"/>
            <w:gridSpan w:val="4"/>
          </w:tcPr>
          <w:p>
            <w:pPr>
              <w:jc w:val="right"/>
              <w:ind w:right="750"/>
              <w:spacing w:after="0"/>
              <w:rPr>
                <w:sz w:val="20"/>
                <w:szCs w:val="20"/>
                <w:color w:val="auto"/>
              </w:rPr>
            </w:pPr>
            <w:r>
              <w:rPr>
                <w:rFonts w:ascii="Arial" w:cs="Arial" w:eastAsia="Arial" w:hAnsi="Arial"/>
                <w:sz w:val="18"/>
                <w:szCs w:val="18"/>
                <w:color w:val="auto"/>
              </w:rPr>
              <w:t>September 30,</w:t>
            </w:r>
          </w:p>
        </w:tc>
      </w:tr>
      <w:tr>
        <w:trPr>
          <w:trHeight w:val="183"/>
        </w:trPr>
        <w:tc>
          <w:tcPr>
            <w:tcW w:w="1360" w:type="dxa"/>
            <w:vAlign w:val="bottom"/>
            <w:tcBorders>
              <w:bottom w:val="single" w:sz="8" w:color="CCEEFF"/>
            </w:tcBorders>
          </w:tcPr>
          <w:p>
            <w:pPr>
              <w:spacing w:after="0"/>
              <w:rPr>
                <w:sz w:val="15"/>
                <w:szCs w:val="15"/>
                <w:color w:val="auto"/>
              </w:rPr>
            </w:pPr>
          </w:p>
        </w:tc>
        <w:tc>
          <w:tcPr>
            <w:tcW w:w="2260" w:type="dxa"/>
            <w:vAlign w:val="bottom"/>
            <w:tcBorders>
              <w:bottom w:val="single" w:sz="8" w:color="CCEEFF"/>
            </w:tcBorders>
          </w:tcPr>
          <w:p>
            <w:pPr>
              <w:spacing w:after="0"/>
              <w:rPr>
                <w:sz w:val="15"/>
                <w:szCs w:val="15"/>
                <w:color w:val="auto"/>
              </w:rPr>
            </w:pPr>
          </w:p>
        </w:tc>
        <w:tc>
          <w:tcPr>
            <w:tcW w:w="200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w w:val="99"/>
              </w:rPr>
              <w:t>2022</w:t>
            </w:r>
          </w:p>
        </w:tc>
        <w:tc>
          <w:tcPr>
            <w:tcW w:w="14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2022</w:t>
            </w:r>
          </w:p>
        </w:tc>
        <w:tc>
          <w:tcPr>
            <w:tcW w:w="14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70"/>
              <w:spacing w:after="0" w:line="182" w:lineRule="exact"/>
              <w:rPr>
                <w:sz w:val="20"/>
                <w:szCs w:val="20"/>
                <w:color w:val="auto"/>
              </w:rPr>
            </w:pPr>
            <w:r>
              <w:rPr>
                <w:rFonts w:ascii="Arial" w:cs="Arial" w:eastAsia="Arial" w:hAnsi="Arial"/>
                <w:sz w:val="18"/>
                <w:szCs w:val="18"/>
                <w:color w:val="auto"/>
              </w:rPr>
              <w:t>2021</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97,154</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92,240</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307,230</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280,517</w:t>
            </w:r>
          </w:p>
        </w:tc>
      </w:tr>
      <w:tr>
        <w:trPr>
          <w:trHeight w:val="189"/>
        </w:trPr>
        <w:tc>
          <w:tcPr>
            <w:tcW w:w="362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Cost of sales</w:t>
            </w:r>
          </w:p>
        </w:tc>
        <w:tc>
          <w:tcPr>
            <w:tcW w:w="20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32,542</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29,291</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104,754</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86,957</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64,612</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62,949</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202,476</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193,560</w:t>
            </w:r>
          </w:p>
        </w:tc>
      </w:tr>
      <w:tr>
        <w:trPr>
          <w:trHeight w:val="189"/>
        </w:trPr>
        <w:tc>
          <w:tcPr>
            <w:tcW w:w="362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20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59,109</w:t>
            </w: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59,791</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182,459</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175,880</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w:t>
            </w: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5,503</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3,158</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20,017</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17,680</w:t>
            </w:r>
          </w:p>
        </w:tc>
      </w:tr>
      <w:tr>
        <w:trPr>
          <w:trHeight w:val="189"/>
        </w:trPr>
        <w:tc>
          <w:tcPr>
            <w:tcW w:w="3620" w:type="dxa"/>
            <w:vAlign w:val="bottom"/>
            <w:gridSpan w:val="2"/>
          </w:tcPr>
          <w:p>
            <w:pPr>
              <w:spacing w:after="0" w:line="189" w:lineRule="exact"/>
              <w:rPr>
                <w:sz w:val="20"/>
                <w:szCs w:val="20"/>
                <w:color w:val="auto"/>
              </w:rPr>
            </w:pPr>
            <w:r>
              <w:rPr>
                <w:rFonts w:ascii="Arial" w:cs="Arial" w:eastAsia="Arial" w:hAnsi="Arial"/>
                <w:sz w:val="18"/>
                <w:szCs w:val="18"/>
                <w:color w:val="auto"/>
              </w:rPr>
              <w:t>Interest expense</w:t>
            </w: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(319)</w:t>
            </w:r>
          </w:p>
        </w:tc>
        <w:tc>
          <w:tcPr>
            <w:tcW w:w="280" w:type="dxa"/>
            <w:vAlign w:val="bottom"/>
          </w:tcPr>
          <w:p>
            <w:pPr>
              <w:spacing w:after="0"/>
              <w:rPr>
                <w:sz w:val="16"/>
                <w:szCs w:val="16"/>
                <w:color w:val="auto"/>
              </w:rPr>
            </w:pPr>
          </w:p>
        </w:tc>
        <w:tc>
          <w:tcPr>
            <w:tcW w:w="11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(204)</w:t>
            </w:r>
          </w:p>
        </w:tc>
        <w:tc>
          <w:tcPr>
            <w:tcW w:w="260" w:type="dxa"/>
            <w:vAlign w:val="bottom"/>
          </w:tcPr>
          <w:p>
            <w:pPr>
              <w:spacing w:after="0"/>
              <w:rPr>
                <w:sz w:val="16"/>
                <w:szCs w:val="16"/>
                <w:color w:val="auto"/>
              </w:rPr>
            </w:pPr>
          </w:p>
        </w:tc>
        <w:tc>
          <w:tcPr>
            <w:tcW w:w="11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(786)</w:t>
            </w:r>
          </w:p>
        </w:tc>
        <w:tc>
          <w:tcPr>
            <w:tcW w:w="2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(517)</w:t>
            </w:r>
          </w:p>
        </w:tc>
      </w:tr>
      <w:tr>
        <w:trPr>
          <w:trHeight w:val="183"/>
        </w:trPr>
        <w:tc>
          <w:tcPr>
            <w:tcW w:w="36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before income taxes</w:t>
            </w:r>
          </w:p>
        </w:tc>
        <w:tc>
          <w:tcPr>
            <w:tcW w:w="20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5,184</w:t>
            </w: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2,954</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19,231</w:t>
            </w: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17,163</w:t>
            </w:r>
          </w:p>
        </w:tc>
      </w:tr>
      <w:tr>
        <w:trPr>
          <w:trHeight w:val="189"/>
        </w:trPr>
        <w:tc>
          <w:tcPr>
            <w:tcW w:w="3620" w:type="dxa"/>
            <w:vAlign w:val="bottom"/>
            <w:gridSpan w:val="2"/>
          </w:tcPr>
          <w:p>
            <w:pPr>
              <w:spacing w:after="0" w:line="189" w:lineRule="exact"/>
              <w:rPr>
                <w:sz w:val="20"/>
                <w:szCs w:val="20"/>
                <w:color w:val="auto"/>
              </w:rPr>
            </w:pPr>
            <w:r>
              <w:rPr>
                <w:rFonts w:ascii="Arial" w:cs="Arial" w:eastAsia="Arial" w:hAnsi="Arial"/>
                <w:sz w:val="18"/>
                <w:szCs w:val="18"/>
                <w:color w:val="auto"/>
              </w:rPr>
              <w:t>Provision for income taxes</w:t>
            </w: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(1,361)</w:t>
            </w:r>
          </w:p>
        </w:tc>
        <w:tc>
          <w:tcPr>
            <w:tcW w:w="280" w:type="dxa"/>
            <w:vAlign w:val="bottom"/>
          </w:tcPr>
          <w:p>
            <w:pPr>
              <w:spacing w:after="0"/>
              <w:rPr>
                <w:sz w:val="16"/>
                <w:szCs w:val="16"/>
                <w:color w:val="auto"/>
              </w:rPr>
            </w:pPr>
          </w:p>
        </w:tc>
        <w:tc>
          <w:tcPr>
            <w:tcW w:w="11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(779)</w:t>
            </w:r>
          </w:p>
        </w:tc>
        <w:tc>
          <w:tcPr>
            <w:tcW w:w="260" w:type="dxa"/>
            <w:vAlign w:val="bottom"/>
          </w:tcPr>
          <w:p>
            <w:pPr>
              <w:spacing w:after="0"/>
              <w:rPr>
                <w:sz w:val="16"/>
                <w:szCs w:val="16"/>
                <w:color w:val="auto"/>
              </w:rPr>
            </w:pPr>
          </w:p>
        </w:tc>
        <w:tc>
          <w:tcPr>
            <w:tcW w:w="11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(4,981)</w:t>
            </w:r>
          </w:p>
        </w:tc>
        <w:tc>
          <w:tcPr>
            <w:tcW w:w="2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(4,197)</w:t>
            </w:r>
          </w:p>
        </w:tc>
      </w:tr>
      <w:tr>
        <w:trPr>
          <w:trHeight w:val="183"/>
        </w:trPr>
        <w:tc>
          <w:tcPr>
            <w:tcW w:w="362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Net income</w:t>
            </w:r>
          </w:p>
        </w:tc>
        <w:tc>
          <w:tcPr>
            <w:tcW w:w="20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3,823</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2,175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14,250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12,966</w:t>
            </w:r>
          </w:p>
        </w:tc>
      </w:tr>
      <w:tr>
        <w:trPr>
          <w:trHeight w:val="20"/>
        </w:trPr>
        <w:tc>
          <w:tcPr>
            <w:tcW w:w="1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0"/>
        </w:trPr>
        <w:tc>
          <w:tcPr>
            <w:tcW w:w="1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9"/>
        </w:trPr>
        <w:tc>
          <w:tcPr>
            <w:tcW w:w="3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Income per common share:</w:t>
            </w:r>
          </w:p>
        </w:tc>
        <w:tc>
          <w:tcPr>
            <w:tcW w:w="2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9"/>
        </w:trPr>
        <w:tc>
          <w:tcPr>
            <w:tcW w:w="36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Basic</w:t>
            </w:r>
          </w:p>
        </w:tc>
        <w:tc>
          <w:tcPr>
            <w:tcW w:w="2420" w:type="dxa"/>
            <w:vAlign w:val="bottom"/>
            <w:gridSpan w:val="2"/>
          </w:tcPr>
          <w:p>
            <w:pPr>
              <w:jc w:val="right"/>
              <w:ind w:right="230"/>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0.08</w:t>
            </w:r>
          </w:p>
        </w:tc>
        <w:tc>
          <w:tcPr>
            <w:tcW w:w="140" w:type="dxa"/>
            <w:vAlign w:val="bottom"/>
          </w:tcPr>
          <w:p>
            <w:pPr>
              <w:spacing w:after="0"/>
              <w:rPr>
                <w:sz w:val="16"/>
                <w:szCs w:val="16"/>
                <w:color w:val="auto"/>
              </w:rPr>
            </w:pPr>
          </w:p>
        </w:tc>
        <w:tc>
          <w:tcPr>
            <w:tcW w:w="280" w:type="dxa"/>
            <w:vAlign w:val="bottom"/>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0.04</w:t>
            </w:r>
          </w:p>
        </w:tc>
        <w:tc>
          <w:tcPr>
            <w:tcW w:w="140" w:type="dxa"/>
            <w:vAlign w:val="bottom"/>
          </w:tcPr>
          <w:p>
            <w:pPr>
              <w:spacing w:after="0"/>
              <w:rPr>
                <w:sz w:val="16"/>
                <w:szCs w:val="16"/>
                <w:color w:val="auto"/>
              </w:rPr>
            </w:pPr>
          </w:p>
        </w:tc>
        <w:tc>
          <w:tcPr>
            <w:tcW w:w="260" w:type="dxa"/>
            <w:vAlign w:val="bottom"/>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0.28</w:t>
            </w:r>
          </w:p>
        </w:tc>
        <w:tc>
          <w:tcPr>
            <w:tcW w:w="14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0.26</w:t>
            </w:r>
          </w:p>
        </w:tc>
      </w:tr>
      <w:tr>
        <w:trPr>
          <w:trHeight w:val="189"/>
        </w:trPr>
        <w:tc>
          <w:tcPr>
            <w:tcW w:w="36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w:t>
            </w:r>
          </w:p>
        </w:tc>
        <w:tc>
          <w:tcPr>
            <w:tcW w:w="2420" w:type="dxa"/>
            <w:vAlign w:val="bottom"/>
            <w:gridSpan w:val="2"/>
            <w:shd w:val="clear" w:color="auto" w:fill="CCEEFF"/>
          </w:tcPr>
          <w:p>
            <w:pPr>
              <w:jc w:val="right"/>
              <w:ind w:right="230"/>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0.08</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0.28</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0.25</w:t>
            </w: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3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Weighted average shares outstanding:</w:t>
            </w:r>
          </w:p>
        </w:tc>
        <w:tc>
          <w:tcPr>
            <w:tcW w:w="2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9"/>
        </w:trPr>
        <w:tc>
          <w:tcPr>
            <w:tcW w:w="36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Basic</w:t>
            </w: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w w:val="88"/>
              </w:rPr>
              <w:t>50,423,923</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50,545,761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50,674,870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50,305,455</w:t>
            </w:r>
          </w:p>
        </w:tc>
      </w:tr>
      <w:tr>
        <w:trPr>
          <w:trHeight w:val="189"/>
        </w:trPr>
        <w:tc>
          <w:tcPr>
            <w:tcW w:w="36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w:t>
            </w:r>
          </w:p>
        </w:tc>
        <w:tc>
          <w:tcPr>
            <w:tcW w:w="20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8"/>
              </w:rPr>
              <w:t>50,717,426</w:t>
            </w: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51,384,034</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51,080,404</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51,069,853</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37" w:lineRule="auto"/>
        <w:rPr>
          <w:sz w:val="20"/>
          <w:szCs w:val="20"/>
          <w:color w:val="auto"/>
        </w:rPr>
      </w:pPr>
      <w:r>
        <w:rPr>
          <w:rFonts w:ascii="Arial" w:cs="Arial" w:eastAsia="Arial" w:hAnsi="Arial"/>
          <w:sz w:val="18"/>
          <w:szCs w:val="18"/>
          <w:color w:val="auto"/>
        </w:rPr>
        <w:t>Consolidated Statements of Comprehensive Income</w:t>
      </w:r>
    </w:p>
    <w:p>
      <w:pPr>
        <w:jc w:val="center"/>
        <w:spacing w:after="0" w:line="219" w:lineRule="auto"/>
        <w:rPr>
          <w:sz w:val="20"/>
          <w:szCs w:val="20"/>
          <w:color w:val="auto"/>
        </w:rPr>
      </w:pPr>
      <w:r>
        <w:rPr>
          <w:rFonts w:ascii="Arial" w:cs="Arial" w:eastAsia="Arial" w:hAnsi="Arial"/>
          <w:sz w:val="18"/>
          <w:szCs w:val="18"/>
          <w:color w:val="auto"/>
        </w:rPr>
        <w:t>(dollars in thousands)</w:t>
      </w:r>
    </w:p>
    <w:p>
      <w:pPr>
        <w:jc w:val="center"/>
        <w:spacing w:after="0"/>
        <w:rPr>
          <w:sz w:val="20"/>
          <w:szCs w:val="20"/>
          <w:color w:val="auto"/>
        </w:rPr>
      </w:pPr>
      <w:r>
        <w:rPr>
          <w:rFonts w:ascii="Arial" w:cs="Arial" w:eastAsia="Arial" w:hAnsi="Arial"/>
          <w:sz w:val="18"/>
          <w:szCs w:val="18"/>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80" w:type="dxa"/>
            <w:vAlign w:val="bottom"/>
            <w:gridSpan w:val="5"/>
          </w:tcPr>
          <w:p>
            <w:pPr>
              <w:jc w:val="right"/>
              <w:ind w:right="167"/>
              <w:spacing w:after="0"/>
              <w:rPr>
                <w:sz w:val="20"/>
                <w:szCs w:val="20"/>
                <w:color w:val="auto"/>
              </w:rPr>
            </w:pPr>
            <w:r>
              <w:rPr>
                <w:rFonts w:ascii="Arial" w:cs="Arial" w:eastAsia="Arial" w:hAnsi="Arial"/>
                <w:sz w:val="18"/>
                <w:szCs w:val="18"/>
                <w:color w:val="auto"/>
              </w:rPr>
              <w:t>Three Months Ended</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80" w:type="dxa"/>
            <w:vAlign w:val="bottom"/>
            <w:gridSpan w:val="5"/>
          </w:tcPr>
          <w:p>
            <w:pPr>
              <w:jc w:val="right"/>
              <w:ind w:right="670"/>
              <w:spacing w:after="0"/>
              <w:rPr>
                <w:sz w:val="20"/>
                <w:szCs w:val="20"/>
                <w:color w:val="auto"/>
              </w:rPr>
            </w:pPr>
            <w:r>
              <w:rPr>
                <w:rFonts w:ascii="Arial" w:cs="Arial" w:eastAsia="Arial" w:hAnsi="Arial"/>
                <w:sz w:val="18"/>
                <w:szCs w:val="18"/>
                <w:color w:val="auto"/>
              </w:rPr>
              <w:t>Nine Months Ended</w:t>
            </w:r>
          </w:p>
        </w:tc>
      </w:tr>
      <w:tr>
        <w:trPr>
          <w:trHeight w:val="217"/>
        </w:trPr>
        <w:tc>
          <w:tcPr>
            <w:tcW w:w="3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right"/>
              <w:ind w:right="407"/>
              <w:spacing w:after="0"/>
              <w:rPr>
                <w:sz w:val="20"/>
                <w:szCs w:val="20"/>
                <w:color w:val="auto"/>
              </w:rPr>
            </w:pPr>
            <w:r>
              <w:rPr>
                <w:rFonts w:ascii="Arial" w:cs="Arial" w:eastAsia="Arial" w:hAnsi="Arial"/>
                <w:sz w:val="18"/>
                <w:szCs w:val="18"/>
                <w:color w:val="auto"/>
                <w:w w:val="89"/>
              </w:rPr>
              <w:t>September 30,</w:t>
            </w:r>
          </w:p>
        </w:tc>
        <w:tc>
          <w:tcPr>
            <w:tcW w:w="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940" w:type="dxa"/>
            <w:vAlign w:val="bottom"/>
            <w:tcBorders>
              <w:bottom w:val="single" w:sz="8" w:color="auto"/>
            </w:tcBorders>
          </w:tcPr>
          <w:p>
            <w:pPr>
              <w:spacing w:after="0"/>
              <w:rPr>
                <w:sz w:val="18"/>
                <w:szCs w:val="18"/>
                <w:color w:val="auto"/>
              </w:rPr>
            </w:pPr>
          </w:p>
        </w:tc>
      </w:tr>
      <w:tr>
        <w:trPr>
          <w:trHeight w:val="183"/>
        </w:trPr>
        <w:tc>
          <w:tcPr>
            <w:tcW w:w="38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2022</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2021</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ind w:right="430"/>
              <w:spacing w:after="0" w:line="182" w:lineRule="exact"/>
              <w:rPr>
                <w:sz w:val="20"/>
                <w:szCs w:val="20"/>
                <w:color w:val="auto"/>
              </w:rPr>
            </w:pPr>
            <w:r>
              <w:rPr>
                <w:rFonts w:ascii="Arial" w:cs="Arial" w:eastAsia="Arial" w:hAnsi="Arial"/>
                <w:sz w:val="18"/>
                <w:szCs w:val="18"/>
                <w:color w:val="auto"/>
              </w:rPr>
              <w:t>2022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jc w:val="right"/>
              <w:ind w:right="430"/>
              <w:spacing w:after="0" w:line="182" w:lineRule="exact"/>
              <w:rPr>
                <w:sz w:val="20"/>
                <w:szCs w:val="20"/>
                <w:color w:val="auto"/>
              </w:rPr>
            </w:pPr>
            <w:r>
              <w:rPr>
                <w:rFonts w:ascii="Arial" w:cs="Arial" w:eastAsia="Arial" w:hAnsi="Arial"/>
                <w:sz w:val="18"/>
                <w:szCs w:val="18"/>
                <w:color w:val="auto"/>
                <w:w w:val="99"/>
              </w:rPr>
              <w:t>2021</w:t>
            </w:r>
          </w:p>
        </w:tc>
      </w:tr>
      <w:tr>
        <w:trPr>
          <w:trHeight w:val="183"/>
        </w:trPr>
        <w:tc>
          <w:tcPr>
            <w:tcW w:w="38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12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30"/>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8"/>
              </w:rPr>
              <w:t>3,823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8"/>
              </w:rPr>
              <w:t>2,175</w:t>
            </w: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14,250</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12,966</w:t>
            </w:r>
          </w:p>
        </w:tc>
      </w:tr>
      <w:tr>
        <w:trPr>
          <w:trHeight w:val="189"/>
        </w:trPr>
        <w:tc>
          <w:tcPr>
            <w:tcW w:w="3840" w:type="dxa"/>
            <w:vAlign w:val="bottom"/>
          </w:tcPr>
          <w:p>
            <w:pPr>
              <w:spacing w:after="0" w:line="189" w:lineRule="exact"/>
              <w:rPr>
                <w:sz w:val="20"/>
                <w:szCs w:val="20"/>
                <w:color w:val="auto"/>
              </w:rPr>
            </w:pPr>
            <w:r>
              <w:rPr>
                <w:rFonts w:ascii="Arial" w:cs="Arial" w:eastAsia="Arial" w:hAnsi="Arial"/>
                <w:sz w:val="18"/>
                <w:szCs w:val="18"/>
                <w:color w:val="auto"/>
              </w:rPr>
              <w:t>Currency translation adjustment</w:t>
            </w:r>
          </w:p>
        </w:tc>
        <w:tc>
          <w:tcPr>
            <w:tcW w:w="1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(46)</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(87)</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12</w:t>
            </w:r>
          </w:p>
        </w:tc>
      </w:tr>
      <w:tr>
        <w:trPr>
          <w:trHeight w:val="183"/>
        </w:trPr>
        <w:tc>
          <w:tcPr>
            <w:tcW w:w="38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Other comprehensive (loss) income</w:t>
            </w:r>
          </w:p>
        </w:tc>
        <w:tc>
          <w:tcPr>
            <w:tcW w:w="12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(87)</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w:t>
            </w:r>
          </w:p>
        </w:tc>
      </w:tr>
      <w:tr>
        <w:trPr>
          <w:trHeight w:val="183"/>
        </w:trPr>
        <w:tc>
          <w:tcPr>
            <w:tcW w:w="3840" w:type="dxa"/>
            <w:vAlign w:val="bottom"/>
          </w:tcPr>
          <w:p>
            <w:pPr>
              <w:spacing w:after="0" w:line="182" w:lineRule="exact"/>
              <w:rPr>
                <w:sz w:val="20"/>
                <w:szCs w:val="20"/>
                <w:color w:val="auto"/>
              </w:rPr>
            </w:pPr>
            <w:r>
              <w:rPr>
                <w:rFonts w:ascii="Arial" w:cs="Arial" w:eastAsia="Arial" w:hAnsi="Arial"/>
                <w:sz w:val="18"/>
                <w:szCs w:val="18"/>
                <w:b w:val="1"/>
                <w:bCs w:val="1"/>
                <w:color w:val="auto"/>
              </w:rPr>
              <w:t>Comprehensive income</w:t>
            </w:r>
          </w:p>
        </w:tc>
        <w:tc>
          <w:tcPr>
            <w:tcW w:w="1280" w:type="dxa"/>
            <w:vAlign w:val="bottom"/>
          </w:tcPr>
          <w:p>
            <w:pPr>
              <w:spacing w:after="0"/>
              <w:rPr>
                <w:sz w:val="15"/>
                <w:szCs w:val="15"/>
                <w:color w:val="auto"/>
              </w:rPr>
            </w:pPr>
          </w:p>
        </w:tc>
        <w:tc>
          <w:tcPr>
            <w:tcW w:w="920" w:type="dxa"/>
            <w:vAlign w:val="bottom"/>
            <w:tcBorders>
              <w:bottom w:val="single" w:sz="8" w:color="auto"/>
            </w:tcBorders>
          </w:tcPr>
          <w:p>
            <w:pPr>
              <w:jc w:val="right"/>
              <w:ind w:right="730"/>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8"/>
              </w:rPr>
              <w:t>3,777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8"/>
              </w:rPr>
              <w:t>2,175</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14,163</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12,978</w:t>
            </w:r>
          </w:p>
        </w:tc>
      </w:tr>
      <w:tr>
        <w:trPr>
          <w:trHeight w:val="20"/>
        </w:trPr>
        <w:tc>
          <w:tcPr>
            <w:tcW w:w="3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37" w:lineRule="auto"/>
        <w:rPr>
          <w:sz w:val="20"/>
          <w:szCs w:val="20"/>
          <w:color w:val="auto"/>
        </w:rPr>
      </w:pPr>
      <w:r>
        <w:rPr>
          <w:rFonts w:ascii="Arial" w:cs="Arial" w:eastAsia="Arial" w:hAnsi="Arial"/>
          <w:sz w:val="18"/>
          <w:szCs w:val="18"/>
          <w:color w:val="auto"/>
        </w:rPr>
        <w:t>Consolidated Statements of Stockholders’ Equity</w:t>
      </w:r>
    </w:p>
    <w:p>
      <w:pPr>
        <w:ind w:left="4820"/>
        <w:spacing w:after="0" w:line="219" w:lineRule="auto"/>
        <w:rPr>
          <w:sz w:val="20"/>
          <w:szCs w:val="20"/>
          <w:color w:val="auto"/>
        </w:rPr>
      </w:pPr>
      <w:r>
        <w:rPr>
          <w:rFonts w:ascii="Arial" w:cs="Arial" w:eastAsia="Arial" w:hAnsi="Arial"/>
          <w:sz w:val="18"/>
          <w:szCs w:val="18"/>
          <w:color w:val="auto"/>
        </w:rPr>
        <w:t>(dollars in thousands)</w:t>
      </w:r>
    </w:p>
    <w:p>
      <w:pPr>
        <w:ind w:left="5200"/>
        <w:spacing w:after="0"/>
        <w:rPr>
          <w:sz w:val="20"/>
          <w:szCs w:val="20"/>
          <w:color w:val="auto"/>
        </w:rPr>
      </w:pPr>
      <w:r>
        <w:rPr>
          <w:rFonts w:ascii="Arial" w:cs="Arial" w:eastAsia="Arial" w:hAnsi="Arial"/>
          <w:sz w:val="18"/>
          <w:szCs w:val="18"/>
          <w:color w:val="auto"/>
        </w:rPr>
        <w:t>(unaudited)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0" w:type="dxa"/>
            <w:vAlign w:val="bottom"/>
          </w:tcPr>
          <w:p>
            <w:pPr>
              <w:spacing w:after="0"/>
              <w:rPr>
                <w:sz w:val="15"/>
                <w:szCs w:val="15"/>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Common stock</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vMerge w:val="restart"/>
          </w:tcPr>
          <w:p>
            <w:pPr>
              <w:jc w:val="center"/>
              <w:ind w:right="200"/>
              <w:spacing w:after="0"/>
              <w:rPr>
                <w:sz w:val="20"/>
                <w:szCs w:val="20"/>
                <w:color w:val="auto"/>
              </w:rPr>
            </w:pPr>
            <w:r>
              <w:rPr>
                <w:rFonts w:ascii="Arial" w:cs="Arial" w:eastAsia="Arial" w:hAnsi="Arial"/>
                <w:sz w:val="14"/>
                <w:szCs w:val="14"/>
                <w:color w:val="auto"/>
                <w:w w:val="93"/>
              </w:rPr>
              <w:t>Accumulated</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42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3"/>
              </w:rPr>
              <w:t>other‎</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paid‎-in</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Accumulated</w:t>
            </w:r>
          </w:p>
        </w:tc>
        <w:tc>
          <w:tcPr>
            <w:tcW w:w="140" w:type="dxa"/>
            <w:vAlign w:val="bottom"/>
          </w:tcPr>
          <w:p>
            <w:pPr>
              <w:spacing w:after="0"/>
              <w:rPr>
                <w:sz w:val="14"/>
                <w:szCs w:val="14"/>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color w:val="auto"/>
                <w:w w:val="92"/>
              </w:rPr>
              <w:t>comprehensive‎</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200" w:type="dxa"/>
            <w:vAlign w:val="bottom"/>
          </w:tcPr>
          <w:p>
            <w:pPr>
              <w:spacing w:after="0"/>
              <w:rPr>
                <w:sz w:val="15"/>
                <w:szCs w:val="15"/>
                <w:color w:val="auto"/>
              </w:rPr>
            </w:pPr>
          </w:p>
        </w:tc>
        <w:tc>
          <w:tcPr>
            <w:tcW w:w="1460" w:type="dxa"/>
            <w:vAlign w:val="bottom"/>
            <w:gridSpan w:val="2"/>
          </w:tcPr>
          <w:p>
            <w:pPr>
              <w:ind w:left="52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71"/>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capital‎</w:t>
            </w:r>
          </w:p>
        </w:tc>
        <w:tc>
          <w:tcPr>
            <w:tcW w:w="10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deficit‎</w:t>
            </w:r>
          </w:p>
        </w:tc>
        <w:tc>
          <w:tcPr>
            <w:tcW w:w="140" w:type="dxa"/>
            <w:vAlign w:val="bottom"/>
          </w:tcPr>
          <w:p>
            <w:pPr>
              <w:spacing w:after="0"/>
              <w:rPr>
                <w:sz w:val="15"/>
                <w:szCs w:val="15"/>
                <w:color w:val="auto"/>
              </w:rPr>
            </w:pPr>
          </w:p>
        </w:tc>
        <w:tc>
          <w:tcPr>
            <w:tcW w:w="560" w:type="dxa"/>
            <w:vAlign w:val="bottom"/>
          </w:tcPr>
          <w:p>
            <w:pPr>
              <w:ind w:left="120"/>
              <w:spacing w:after="0"/>
              <w:rPr>
                <w:sz w:val="20"/>
                <w:szCs w:val="20"/>
                <w:color w:val="auto"/>
              </w:rPr>
            </w:pPr>
            <w:r>
              <w:rPr>
                <w:rFonts w:ascii="Arial" w:cs="Arial" w:eastAsia="Arial" w:hAnsi="Arial"/>
                <w:sz w:val="14"/>
                <w:szCs w:val="14"/>
                <w:color w:val="auto"/>
                <w:w w:val="92"/>
              </w:rPr>
              <w:t>income‎</w:t>
            </w:r>
          </w:p>
        </w:tc>
        <w:tc>
          <w:tcPr>
            <w:tcW w:w="640" w:type="dxa"/>
            <w:vAlign w:val="bottom"/>
            <w:gridSpan w:val="2"/>
          </w:tcPr>
          <w:p>
            <w:pPr>
              <w:ind w:left="20"/>
              <w:spacing w:after="0"/>
              <w:rPr>
                <w:sz w:val="20"/>
                <w:szCs w:val="20"/>
                <w:color w:val="auto"/>
              </w:rPr>
            </w:pPr>
            <w:r>
              <w:rPr>
                <w:rFonts w:ascii="Arial" w:cs="Arial" w:eastAsia="Arial" w:hAnsi="Arial"/>
                <w:sz w:val="14"/>
                <w:szCs w:val="14"/>
                <w:color w:val="auto"/>
              </w:rPr>
              <w:t>(loss)</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7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42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June 30, 2021</w:t>
            </w:r>
          </w:p>
        </w:tc>
        <w:tc>
          <w:tcPr>
            <w:tcW w:w="14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51,912,689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159,149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(8,696)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150,458</w:t>
            </w:r>
          </w:p>
        </w:tc>
        <w:tc>
          <w:tcPr>
            <w:tcW w:w="0" w:type="dxa"/>
            <w:vAlign w:val="bottom"/>
          </w:tcPr>
          <w:p>
            <w:pPr>
              <w:spacing w:after="0"/>
              <w:rPr>
                <w:sz w:val="1"/>
                <w:szCs w:val="1"/>
                <w:color w:val="auto"/>
              </w:rPr>
            </w:pPr>
          </w:p>
        </w:tc>
      </w:tr>
      <w:tr>
        <w:trPr>
          <w:trHeight w:val="176"/>
        </w:trPr>
        <w:tc>
          <w:tcPr>
            <w:tcW w:w="4200" w:type="dxa"/>
            <w:vAlign w:val="bottom"/>
          </w:tcPr>
          <w:p>
            <w:pPr>
              <w:spacing w:after="0" w:line="176" w:lineRule="exact"/>
              <w:rPr>
                <w:sz w:val="20"/>
                <w:szCs w:val="20"/>
                <w:color w:val="auto"/>
              </w:rPr>
            </w:pPr>
            <w:r>
              <w:rPr>
                <w:rFonts w:ascii="Arial" w:cs="Arial" w:eastAsia="Arial" w:hAnsi="Arial"/>
                <w:sz w:val="18"/>
                <w:szCs w:val="18"/>
                <w:color w:val="auto"/>
              </w:rPr>
              <w:t>Issuance of restricted shares</w:t>
            </w:r>
          </w:p>
        </w:tc>
        <w:tc>
          <w:tcPr>
            <w:tcW w:w="1420" w:type="dxa"/>
            <w:vAlign w:val="bottom"/>
          </w:tcPr>
          <w:p>
            <w:pPr>
              <w:jc w:val="right"/>
              <w:spacing w:after="0" w:line="176" w:lineRule="exact"/>
              <w:rPr>
                <w:sz w:val="20"/>
                <w:szCs w:val="20"/>
                <w:color w:val="auto"/>
              </w:rPr>
            </w:pPr>
            <w:r>
              <w:rPr>
                <w:rFonts w:ascii="Arial" w:cs="Arial" w:eastAsia="Arial" w:hAnsi="Arial"/>
                <w:sz w:val="18"/>
                <w:szCs w:val="18"/>
                <w:color w:val="auto"/>
              </w:rPr>
              <w:t>99,523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4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(12,632)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8"/>
                <w:szCs w:val="18"/>
                <w:color w:val="auto"/>
              </w:rPr>
              <w:t>Stock based compensation</w:t>
            </w: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560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161"/>
        </w:trPr>
        <w:tc>
          <w:tcPr>
            <w:tcW w:w="420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Tax withholdings related to net share settlements of</w:t>
            </w:r>
          </w:p>
        </w:tc>
        <w:tc>
          <w:tcPr>
            <w:tcW w:w="1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awards</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(15,311)</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2,175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Balance at September 30, 2021</w:t>
            </w:r>
          </w:p>
        </w:tc>
        <w:tc>
          <w:tcPr>
            <w:tcW w:w="1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51,984,269</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159,594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(6,521)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153,078</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Balance at June 30, 2022</w:t>
            </w:r>
          </w:p>
        </w:tc>
        <w:tc>
          <w:tcPr>
            <w:tcW w:w="14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52,270,922</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127,298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5,714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132,988</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(77,292)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8"/>
                <w:szCs w:val="18"/>
                <w:color w:val="auto"/>
              </w:rPr>
              <w:t>Stock based compensation</w:t>
            </w: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563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161"/>
        </w:trPr>
        <w:tc>
          <w:tcPr>
            <w:tcW w:w="420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Tax withholdings related to net share settlements of</w:t>
            </w:r>
          </w:p>
        </w:tc>
        <w:tc>
          <w:tcPr>
            <w:tcW w:w="1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awards</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(14,678)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9"/>
        </w:trPr>
        <w:tc>
          <w:tcPr>
            <w:tcW w:w="4200" w:type="dxa"/>
            <w:vAlign w:val="bottom"/>
          </w:tcPr>
          <w:p>
            <w:pPr>
              <w:spacing w:after="0" w:line="189" w:lineRule="exact"/>
              <w:rPr>
                <w:sz w:val="20"/>
                <w:szCs w:val="20"/>
                <w:color w:val="auto"/>
              </w:rPr>
            </w:pPr>
            <w:r>
              <w:rPr>
                <w:rFonts w:ascii="Arial" w:cs="Arial" w:eastAsia="Arial" w:hAnsi="Arial"/>
                <w:sz w:val="18"/>
                <w:szCs w:val="18"/>
                <w:color w:val="auto"/>
              </w:rPr>
              <w:t>Repurchases of common stock</w:t>
            </w:r>
          </w:p>
        </w:tc>
        <w:tc>
          <w:tcPr>
            <w:tcW w:w="146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(4,094,592)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(15,545)</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(15,545)</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(46)</w:t>
            </w: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Net income</w:t>
            </w:r>
          </w:p>
        </w:tc>
        <w:tc>
          <w:tcPr>
            <w:tcW w:w="14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3,823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September 30, 2022</w:t>
            </w:r>
          </w:p>
        </w:tc>
        <w:tc>
          <w:tcPr>
            <w:tcW w:w="14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48,084,360</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127,813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(6,008)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(75)</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121,735</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37" w:lineRule="auto"/>
        <w:rPr>
          <w:sz w:val="20"/>
          <w:szCs w:val="20"/>
          <w:color w:val="auto"/>
        </w:rPr>
      </w:pPr>
      <w:r>
        <w:rPr>
          <w:rFonts w:ascii="Arial" w:cs="Arial" w:eastAsia="Arial" w:hAnsi="Arial"/>
          <w:sz w:val="18"/>
          <w:szCs w:val="18"/>
          <w:color w:val="auto"/>
        </w:rPr>
        <w:t>Consolidated Statements of Stockholders’ Equity</w:t>
      </w:r>
    </w:p>
    <w:p>
      <w:pPr>
        <w:ind w:left="4820"/>
        <w:spacing w:after="0" w:line="219" w:lineRule="auto"/>
        <w:rPr>
          <w:sz w:val="20"/>
          <w:szCs w:val="20"/>
          <w:color w:val="auto"/>
        </w:rPr>
      </w:pPr>
      <w:r>
        <w:rPr>
          <w:rFonts w:ascii="Arial" w:cs="Arial" w:eastAsia="Arial" w:hAnsi="Arial"/>
          <w:sz w:val="18"/>
          <w:szCs w:val="18"/>
          <w:color w:val="auto"/>
        </w:rPr>
        <w:t>(dollars in thousands)</w:t>
      </w:r>
    </w:p>
    <w:p>
      <w:pPr>
        <w:ind w:left="5200"/>
        <w:spacing w:after="0"/>
        <w:rPr>
          <w:sz w:val="20"/>
          <w:szCs w:val="20"/>
          <w:color w:val="auto"/>
        </w:rPr>
      </w:pPr>
      <w:r>
        <w:rPr>
          <w:rFonts w:ascii="Arial" w:cs="Arial" w:eastAsia="Arial" w:hAnsi="Arial"/>
          <w:sz w:val="18"/>
          <w:szCs w:val="18"/>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20" w:type="dxa"/>
            <w:vAlign w:val="bottom"/>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Common stock</w:t>
            </w: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3"/>
            <w:vMerge w:val="restart"/>
          </w:tcPr>
          <w:p>
            <w:pPr>
              <w:jc w:val="center"/>
              <w:ind w:right="240"/>
              <w:spacing w:after="0"/>
              <w:rPr>
                <w:sz w:val="20"/>
                <w:szCs w:val="20"/>
                <w:color w:val="auto"/>
              </w:rPr>
            </w:pPr>
            <w:r>
              <w:rPr>
                <w:rFonts w:ascii="Arial" w:cs="Arial" w:eastAsia="Arial" w:hAnsi="Arial"/>
                <w:sz w:val="14"/>
                <w:szCs w:val="14"/>
                <w:color w:val="auto"/>
                <w:w w:val="93"/>
              </w:rPr>
              <w:t>Accumulated</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43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rPr>
              <w:t>Additional</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87"/>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paid‎-in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Accumulated</w:t>
            </w:r>
          </w:p>
        </w:tc>
        <w:tc>
          <w:tcPr>
            <w:tcW w:w="160" w:type="dxa"/>
            <w:vAlign w:val="bottom"/>
          </w:tcPr>
          <w:p>
            <w:pPr>
              <w:spacing w:after="0"/>
              <w:rPr>
                <w:sz w:val="12"/>
                <w:szCs w:val="12"/>
                <w:color w:val="auto"/>
              </w:rPr>
            </w:pPr>
          </w:p>
        </w:tc>
        <w:tc>
          <w:tcPr>
            <w:tcW w:w="1240" w:type="dxa"/>
            <w:vAlign w:val="bottom"/>
            <w:gridSpan w:val="3"/>
          </w:tcPr>
          <w:p>
            <w:pPr>
              <w:jc w:val="center"/>
              <w:ind w:right="240"/>
              <w:spacing w:after="0" w:line="149" w:lineRule="exact"/>
              <w:rPr>
                <w:sz w:val="20"/>
                <w:szCs w:val="20"/>
                <w:color w:val="auto"/>
              </w:rPr>
            </w:pPr>
            <w:r>
              <w:rPr>
                <w:rFonts w:ascii="Arial" w:cs="Arial" w:eastAsia="Arial" w:hAnsi="Arial"/>
                <w:sz w:val="14"/>
                <w:szCs w:val="14"/>
                <w:color w:val="auto"/>
                <w:w w:val="92"/>
              </w:rPr>
              <w:t>comprehensive‎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20" w:type="dxa"/>
            <w:vAlign w:val="bottom"/>
          </w:tcPr>
          <w:p>
            <w:pPr>
              <w:spacing w:after="0"/>
              <w:rPr>
                <w:sz w:val="15"/>
                <w:szCs w:val="15"/>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capital‎</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‎deficit</w:t>
            </w:r>
          </w:p>
        </w:tc>
        <w:tc>
          <w:tcPr>
            <w:tcW w:w="160" w:type="dxa"/>
            <w:vAlign w:val="bottom"/>
          </w:tcPr>
          <w:p>
            <w:pPr>
              <w:spacing w:after="0"/>
              <w:rPr>
                <w:sz w:val="15"/>
                <w:szCs w:val="15"/>
                <w:color w:val="auto"/>
              </w:rPr>
            </w:pPr>
          </w:p>
        </w:tc>
        <w:tc>
          <w:tcPr>
            <w:tcW w:w="560" w:type="dxa"/>
            <w:vAlign w:val="bottom"/>
          </w:tcPr>
          <w:p>
            <w:pPr>
              <w:ind w:left="100"/>
              <w:spacing w:after="0"/>
              <w:rPr>
                <w:sz w:val="20"/>
                <w:szCs w:val="20"/>
                <w:color w:val="auto"/>
              </w:rPr>
            </w:pPr>
            <w:r>
              <w:rPr>
                <w:rFonts w:ascii="Arial" w:cs="Arial" w:eastAsia="Arial" w:hAnsi="Arial"/>
                <w:sz w:val="14"/>
                <w:szCs w:val="14"/>
                <w:color w:val="auto"/>
                <w:w w:val="97"/>
              </w:rPr>
              <w:t>income‎</w:t>
            </w:r>
          </w:p>
        </w:tc>
        <w:tc>
          <w:tcPr>
            <w:tcW w:w="680" w:type="dxa"/>
            <w:vAlign w:val="bottom"/>
            <w:gridSpan w:val="2"/>
          </w:tcPr>
          <w:p>
            <w:pPr>
              <w:spacing w:after="0"/>
              <w:rPr>
                <w:sz w:val="20"/>
                <w:szCs w:val="20"/>
                <w:color w:val="auto"/>
              </w:rPr>
            </w:pPr>
            <w:r>
              <w:rPr>
                <w:rFonts w:ascii="Arial" w:cs="Arial" w:eastAsia="Arial" w:hAnsi="Arial"/>
                <w:sz w:val="14"/>
                <w:szCs w:val="14"/>
                <w:color w:val="auto"/>
              </w:rPr>
              <w:t>(loss)</w:t>
            </w:r>
          </w:p>
        </w:tc>
        <w:tc>
          <w:tcPr>
            <w:tcW w:w="220" w:type="dxa"/>
            <w:vAlign w:val="bottom"/>
          </w:tcPr>
          <w:p>
            <w:pPr>
              <w:spacing w:after="0"/>
              <w:rPr>
                <w:sz w:val="15"/>
                <w:szCs w:val="15"/>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43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December 31, 2020</w:t>
            </w:r>
          </w:p>
        </w:tc>
        <w:tc>
          <w:tcPr>
            <w:tcW w:w="1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51,701,080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158,556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(19,487)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139,062</w:t>
            </w:r>
          </w:p>
        </w:tc>
        <w:tc>
          <w:tcPr>
            <w:tcW w:w="0" w:type="dxa"/>
            <w:vAlign w:val="bottom"/>
          </w:tcPr>
          <w:p>
            <w:pPr>
              <w:spacing w:after="0"/>
              <w:rPr>
                <w:sz w:val="1"/>
                <w:szCs w:val="1"/>
                <w:color w:val="auto"/>
              </w:rPr>
            </w:pPr>
          </w:p>
        </w:tc>
      </w:tr>
      <w:tr>
        <w:trPr>
          <w:trHeight w:val="176"/>
        </w:trPr>
        <w:tc>
          <w:tcPr>
            <w:tcW w:w="4320" w:type="dxa"/>
            <w:vAlign w:val="bottom"/>
          </w:tcPr>
          <w:p>
            <w:pPr>
              <w:spacing w:after="0" w:line="176" w:lineRule="exact"/>
              <w:rPr>
                <w:sz w:val="20"/>
                <w:szCs w:val="20"/>
                <w:color w:val="auto"/>
              </w:rPr>
            </w:pPr>
            <w:r>
              <w:rPr>
                <w:rFonts w:ascii="Arial" w:cs="Arial" w:eastAsia="Arial" w:hAnsi="Arial"/>
                <w:sz w:val="18"/>
                <w:szCs w:val="18"/>
                <w:color w:val="auto"/>
              </w:rPr>
              <w:t>Issuance of restricted shares</w:t>
            </w:r>
          </w:p>
        </w:tc>
        <w:tc>
          <w:tcPr>
            <w:tcW w:w="1380" w:type="dxa"/>
            <w:vAlign w:val="bottom"/>
          </w:tcPr>
          <w:p>
            <w:pPr>
              <w:jc w:val="right"/>
              <w:spacing w:after="0" w:line="176" w:lineRule="exact"/>
              <w:rPr>
                <w:sz w:val="20"/>
                <w:szCs w:val="20"/>
                <w:color w:val="auto"/>
              </w:rPr>
            </w:pPr>
            <w:r>
              <w:rPr>
                <w:rFonts w:ascii="Arial" w:cs="Arial" w:eastAsia="Arial" w:hAnsi="Arial"/>
                <w:sz w:val="18"/>
                <w:szCs w:val="18"/>
                <w:color w:val="auto"/>
              </w:rPr>
              <w:t>421,547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4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(19,687)</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Stock based compensation</w:t>
            </w: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1,859</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w w:val="93"/>
              </w:rPr>
              <w:t>Tax withholdings related to net share settlements of stock</w:t>
            </w: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based compensation awards</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(118,671)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12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12,966</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12,966</w:t>
            </w:r>
          </w:p>
        </w:tc>
        <w:tc>
          <w:tcPr>
            <w:tcW w:w="0" w:type="dxa"/>
            <w:vAlign w:val="bottom"/>
          </w:tcPr>
          <w:p>
            <w:pPr>
              <w:spacing w:after="0"/>
              <w:rPr>
                <w:sz w:val="1"/>
                <w:szCs w:val="1"/>
                <w:color w:val="auto"/>
              </w:rPr>
            </w:pPr>
          </w:p>
        </w:tc>
      </w:tr>
      <w:tr>
        <w:trPr>
          <w:trHeight w:val="189"/>
        </w:trPr>
        <w:tc>
          <w:tcPr>
            <w:tcW w:w="432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Balance at September 30, 2021</w:t>
            </w: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51,984,269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159,594</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(6,521)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153,078</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2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Balance at December 31, 2021</w:t>
            </w: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51,963,377</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126,920</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(4,713)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122,224</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Issuance of restricted shares</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592,396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4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(258,038)</w:t>
            </w: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3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1,617</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175"/>
        </w:trPr>
        <w:tc>
          <w:tcPr>
            <w:tcW w:w="4320" w:type="dxa"/>
            <w:vAlign w:val="bottom"/>
          </w:tcPr>
          <w:p>
            <w:pPr>
              <w:spacing w:after="0" w:line="175" w:lineRule="exact"/>
              <w:rPr>
                <w:sz w:val="20"/>
                <w:szCs w:val="20"/>
                <w:color w:val="auto"/>
              </w:rPr>
            </w:pPr>
            <w:r>
              <w:rPr>
                <w:rFonts w:ascii="Arial" w:cs="Arial" w:eastAsia="Arial" w:hAnsi="Arial"/>
                <w:sz w:val="18"/>
                <w:szCs w:val="18"/>
                <w:color w:val="auto"/>
                <w:w w:val="93"/>
              </w:rPr>
              <w:t>Tax withholdings related to net share settlements of stock</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320" w:type="dxa"/>
            <w:vAlign w:val="bottom"/>
          </w:tcPr>
          <w:p>
            <w:pPr>
              <w:spacing w:after="0"/>
              <w:rPr>
                <w:sz w:val="20"/>
                <w:szCs w:val="20"/>
                <w:color w:val="auto"/>
              </w:rPr>
            </w:pPr>
            <w:r>
              <w:rPr>
                <w:rFonts w:ascii="Arial" w:cs="Arial" w:eastAsia="Arial" w:hAnsi="Arial"/>
                <w:sz w:val="18"/>
                <w:szCs w:val="18"/>
                <w:color w:val="auto"/>
              </w:rPr>
              <w:t>based compensation awards</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(118,783)</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(724)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Repurchases of common stock</w:t>
            </w:r>
          </w:p>
        </w:tc>
        <w:tc>
          <w:tcPr>
            <w:tcW w:w="14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(4,094,592)</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(15,545)</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(15,545)</w:t>
            </w:r>
          </w:p>
        </w:tc>
        <w:tc>
          <w:tcPr>
            <w:tcW w:w="0" w:type="dxa"/>
            <w:vAlign w:val="bottom"/>
          </w:tcPr>
          <w:p>
            <w:pPr>
              <w:spacing w:after="0"/>
              <w:rPr>
                <w:sz w:val="1"/>
                <w:szCs w:val="1"/>
                <w:color w:val="auto"/>
              </w:rPr>
            </w:pP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3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(87)</w:t>
            </w:r>
          </w:p>
        </w:tc>
        <w:tc>
          <w:tcPr>
            <w:tcW w:w="22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14,250</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14,250</w:t>
            </w:r>
          </w:p>
        </w:tc>
        <w:tc>
          <w:tcPr>
            <w:tcW w:w="0" w:type="dxa"/>
            <w:vAlign w:val="bottom"/>
          </w:tcPr>
          <w:p>
            <w:pPr>
              <w:spacing w:after="0"/>
              <w:rPr>
                <w:sz w:val="1"/>
                <w:szCs w:val="1"/>
                <w:color w:val="auto"/>
              </w:rPr>
            </w:pPr>
          </w:p>
        </w:tc>
      </w:tr>
      <w:tr>
        <w:trPr>
          <w:trHeight w:val="189"/>
        </w:trPr>
        <w:tc>
          <w:tcPr>
            <w:tcW w:w="4320" w:type="dxa"/>
            <w:vAlign w:val="bottom"/>
          </w:tcPr>
          <w:p>
            <w:pPr>
              <w:spacing w:after="0" w:line="182" w:lineRule="exact"/>
              <w:rPr>
                <w:sz w:val="20"/>
                <w:szCs w:val="20"/>
                <w:color w:val="auto"/>
              </w:rPr>
            </w:pPr>
            <w:r>
              <w:rPr>
                <w:rFonts w:ascii="Arial" w:cs="Arial" w:eastAsia="Arial" w:hAnsi="Arial"/>
                <w:sz w:val="18"/>
                <w:szCs w:val="18"/>
                <w:b w:val="1"/>
                <w:bCs w:val="1"/>
                <w:color w:val="auto"/>
              </w:rPr>
              <w:t>Balance at September 30, 2022</w:t>
            </w:r>
          </w:p>
        </w:tc>
        <w:tc>
          <w:tcPr>
            <w:tcW w:w="13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48,084,360</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127,813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(6,008)</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(75)</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121,735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360" w:type="dxa"/>
            <w:vAlign w:val="bottom"/>
            <w:gridSpan w:val="2"/>
          </w:tcPr>
          <w:p>
            <w:pPr>
              <w:spacing w:after="0"/>
              <w:rPr>
                <w:sz w:val="20"/>
                <w:szCs w:val="20"/>
                <w:color w:val="auto"/>
              </w:rPr>
            </w:pPr>
            <w:r>
              <w:rPr>
                <w:rFonts w:ascii="Arial" w:cs="Arial" w:eastAsia="Arial" w:hAnsi="Arial"/>
                <w:sz w:val="18"/>
                <w:szCs w:val="18"/>
                <w:b w:val="1"/>
                <w:bCs w:val="1"/>
                <w:color w:val="0563C1"/>
              </w:rPr>
              <w:t>Table of Contents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30"/>
        </w:trPr>
        <w:tc>
          <w:tcPr>
            <w:tcW w:w="1360" w:type="dxa"/>
            <w:vAlign w:val="bottom"/>
            <w:tcBorders>
              <w:top w:val="single" w:sz="8" w:color="0563C1"/>
            </w:tcBorders>
          </w:tcPr>
          <w:p>
            <w:pPr>
              <w:spacing w:after="0"/>
              <w:rPr>
                <w:sz w:val="24"/>
                <w:szCs w:val="24"/>
                <w:color w:val="auto"/>
              </w:rPr>
            </w:pPr>
          </w:p>
        </w:tc>
        <w:tc>
          <w:tcPr>
            <w:tcW w:w="7000" w:type="dxa"/>
            <w:vAlign w:val="bottom"/>
          </w:tcPr>
          <w:p>
            <w:pPr>
              <w:jc w:val="center"/>
              <w:ind w:left="1430"/>
              <w:spacing w:after="0"/>
              <w:rPr>
                <w:sz w:val="20"/>
                <w:szCs w:val="20"/>
                <w:color w:val="auto"/>
              </w:rPr>
            </w:pPr>
            <w:r>
              <w:rPr>
                <w:rFonts w:ascii="Arial" w:cs="Arial" w:eastAsia="Arial" w:hAnsi="Arial"/>
                <w:sz w:val="18"/>
                <w:szCs w:val="18"/>
                <w:b w:val="1"/>
                <w:bCs w:val="1"/>
                <w:color w:val="auto"/>
                <w:w w:val="89"/>
              </w:rPr>
              <w:t>Tile Shop Holdings, Inc. and Subsidiaries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1360" w:type="dxa"/>
            <w:vAlign w:val="bottom"/>
          </w:tcPr>
          <w:p>
            <w:pPr>
              <w:spacing w:after="0"/>
              <w:rPr>
                <w:sz w:val="17"/>
                <w:szCs w:val="17"/>
                <w:color w:val="auto"/>
              </w:rPr>
            </w:pPr>
          </w:p>
        </w:tc>
        <w:tc>
          <w:tcPr>
            <w:tcW w:w="7000" w:type="dxa"/>
            <w:vAlign w:val="bottom"/>
          </w:tcPr>
          <w:p>
            <w:pPr>
              <w:ind w:left="2800"/>
              <w:spacing w:after="0" w:line="202" w:lineRule="exact"/>
              <w:rPr>
                <w:sz w:val="20"/>
                <w:szCs w:val="20"/>
                <w:color w:val="auto"/>
              </w:rPr>
            </w:pPr>
            <w:r>
              <w:rPr>
                <w:rFonts w:ascii="Arial" w:cs="Arial" w:eastAsia="Arial" w:hAnsi="Arial"/>
                <w:sz w:val="18"/>
                <w:szCs w:val="18"/>
                <w:color w:val="auto"/>
              </w:rPr>
              <w:t>Consolidated Statements of Cash Flows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9"/>
        </w:trPr>
        <w:tc>
          <w:tcPr>
            <w:tcW w:w="1360" w:type="dxa"/>
            <w:vAlign w:val="bottom"/>
          </w:tcPr>
          <w:p>
            <w:pPr>
              <w:spacing w:after="0"/>
              <w:rPr>
                <w:sz w:val="16"/>
                <w:szCs w:val="16"/>
                <w:color w:val="auto"/>
              </w:rPr>
            </w:pPr>
          </w:p>
        </w:tc>
        <w:tc>
          <w:tcPr>
            <w:tcW w:w="7000" w:type="dxa"/>
            <w:vAlign w:val="bottom"/>
          </w:tcPr>
          <w:p>
            <w:pPr>
              <w:jc w:val="center"/>
              <w:ind w:left="1430"/>
              <w:spacing w:after="0" w:line="189" w:lineRule="exact"/>
              <w:rPr>
                <w:sz w:val="20"/>
                <w:szCs w:val="20"/>
                <w:color w:val="auto"/>
              </w:rPr>
            </w:pPr>
            <w:r>
              <w:rPr>
                <w:rFonts w:ascii="Arial" w:cs="Arial" w:eastAsia="Arial" w:hAnsi="Arial"/>
                <w:sz w:val="18"/>
                <w:szCs w:val="18"/>
                <w:color w:val="auto"/>
                <w:w w:val="90"/>
              </w:rPr>
              <w:t>(dollars in thousands)</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0"/>
        </w:trPr>
        <w:tc>
          <w:tcPr>
            <w:tcW w:w="1360" w:type="dxa"/>
            <w:vAlign w:val="bottom"/>
          </w:tcPr>
          <w:p>
            <w:pPr>
              <w:spacing w:after="0"/>
              <w:rPr>
                <w:sz w:val="20"/>
                <w:szCs w:val="20"/>
                <w:color w:val="auto"/>
              </w:rPr>
            </w:pPr>
          </w:p>
        </w:tc>
        <w:tc>
          <w:tcPr>
            <w:tcW w:w="7000" w:type="dxa"/>
            <w:vAlign w:val="bottom"/>
          </w:tcPr>
          <w:p>
            <w:pPr>
              <w:jc w:val="center"/>
              <w:ind w:left="1430"/>
              <w:spacing w:after="0"/>
              <w:rPr>
                <w:sz w:val="20"/>
                <w:szCs w:val="20"/>
                <w:color w:val="auto"/>
              </w:rPr>
            </w:pPr>
            <w:r>
              <w:rPr>
                <w:rFonts w:ascii="Arial" w:cs="Arial" w:eastAsia="Arial" w:hAnsi="Arial"/>
                <w:sz w:val="18"/>
                <w:szCs w:val="18"/>
                <w:color w:val="auto"/>
                <w:w w:val="92"/>
              </w:rPr>
              <w:t>(unaudited)</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04"/>
        </w:trPr>
        <w:tc>
          <w:tcPr>
            <w:tcW w:w="136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5"/>
          </w:tcPr>
          <w:p>
            <w:pPr>
              <w:jc w:val="right"/>
              <w:ind w:right="630"/>
              <w:spacing w:after="0"/>
              <w:rPr>
                <w:sz w:val="20"/>
                <w:szCs w:val="20"/>
                <w:color w:val="auto"/>
              </w:rPr>
            </w:pPr>
            <w:r>
              <w:rPr>
                <w:rFonts w:ascii="Arial" w:cs="Arial" w:eastAsia="Arial" w:hAnsi="Arial"/>
                <w:sz w:val="18"/>
                <w:szCs w:val="18"/>
                <w:color w:val="auto"/>
              </w:rPr>
              <w:t>Nine Months Ended</w:t>
            </w:r>
          </w:p>
        </w:tc>
      </w:tr>
      <w:tr>
        <w:trPr>
          <w:trHeight w:val="217"/>
        </w:trPr>
        <w:tc>
          <w:tcPr>
            <w:tcW w:w="136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900" w:type="dxa"/>
            <w:vAlign w:val="bottom"/>
            <w:tcBorders>
              <w:bottom w:val="single" w:sz="8" w:color="auto"/>
            </w:tcBorders>
          </w:tcPr>
          <w:p>
            <w:pPr>
              <w:spacing w:after="0"/>
              <w:rPr>
                <w:sz w:val="18"/>
                <w:szCs w:val="18"/>
                <w:color w:val="auto"/>
              </w:rPr>
            </w:pPr>
          </w:p>
        </w:tc>
      </w:tr>
      <w:tr>
        <w:trPr>
          <w:trHeight w:val="183"/>
        </w:trPr>
        <w:tc>
          <w:tcPr>
            <w:tcW w:w="1360" w:type="dxa"/>
            <w:vAlign w:val="bottom"/>
            <w:tcBorders>
              <w:bottom w:val="single" w:sz="8" w:color="CCEEFF"/>
            </w:tcBorders>
          </w:tcPr>
          <w:p>
            <w:pPr>
              <w:spacing w:after="0"/>
              <w:rPr>
                <w:sz w:val="15"/>
                <w:szCs w:val="15"/>
                <w:color w:val="auto"/>
              </w:rPr>
            </w:pPr>
          </w:p>
        </w:tc>
        <w:tc>
          <w:tcPr>
            <w:tcW w:w="70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w w:val="94"/>
              </w:rPr>
              <w:t>2021</w:t>
            </w:r>
          </w:p>
        </w:tc>
      </w:tr>
      <w:tr>
        <w:trPr>
          <w:trHeight w:val="183"/>
        </w:trPr>
        <w:tc>
          <w:tcPr>
            <w:tcW w:w="83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9"/>
        </w:trPr>
        <w:tc>
          <w:tcPr>
            <w:tcW w:w="83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14,250</w:t>
            </w:r>
          </w:p>
        </w:tc>
        <w:tc>
          <w:tcPr>
            <w:tcW w:w="80" w:type="dxa"/>
            <w:vAlign w:val="bottom"/>
          </w:tcPr>
          <w:p>
            <w:pPr>
              <w:spacing w:after="0"/>
              <w:rPr>
                <w:sz w:val="16"/>
                <w:szCs w:val="16"/>
                <w:color w:val="auto"/>
              </w:rPr>
            </w:pPr>
          </w:p>
        </w:tc>
        <w:tc>
          <w:tcPr>
            <w:tcW w:w="540" w:type="dxa"/>
            <w:vAlign w:val="bottom"/>
            <w:gridSpan w:val="2"/>
          </w:tcPr>
          <w:p>
            <w:pPr>
              <w:jc w:val="right"/>
              <w:ind w:right="307"/>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12,966</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9"/>
        </w:trPr>
        <w:tc>
          <w:tcPr>
            <w:tcW w:w="83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19,011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20,948</w:t>
            </w: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debt issuance costs</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227</w:t>
            </w:r>
          </w:p>
        </w:tc>
      </w:tr>
      <w:tr>
        <w:trPr>
          <w:trHeight w:val="189"/>
        </w:trPr>
        <w:tc>
          <w:tcPr>
            <w:tcW w:w="83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Loss on disposals of property, plant and equipment</w:t>
            </w: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14</w:t>
            </w: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Impairment charges</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10"/>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720</w:t>
            </w:r>
          </w:p>
        </w:tc>
      </w:tr>
      <w:tr>
        <w:trPr>
          <w:trHeight w:val="189"/>
        </w:trPr>
        <w:tc>
          <w:tcPr>
            <w:tcW w:w="83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Non-cash lease expense</w:t>
            </w: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19,418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18,605</w:t>
            </w: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Stock based compensation</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1,617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1,859</w:t>
            </w:r>
          </w:p>
        </w:tc>
      </w:tr>
      <w:tr>
        <w:trPr>
          <w:trHeight w:val="189"/>
        </w:trPr>
        <w:tc>
          <w:tcPr>
            <w:tcW w:w="83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320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(836)</w:t>
            </w: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9"/>
        </w:trPr>
        <w:tc>
          <w:tcPr>
            <w:tcW w:w="83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Receivables, net</w:t>
            </w:r>
          </w:p>
        </w:tc>
        <w:tc>
          <w:tcPr>
            <w:tcW w:w="140" w:type="dxa"/>
            <w:vAlign w:val="bottom"/>
          </w:tcPr>
          <w:p>
            <w:pPr>
              <w:spacing w:after="0"/>
              <w:rPr>
                <w:sz w:val="16"/>
                <w:szCs w:val="16"/>
                <w:color w:val="auto"/>
              </w:rPr>
            </w:pPr>
          </w:p>
        </w:tc>
        <w:tc>
          <w:tcPr>
            <w:tcW w:w="13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(902)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(356)</w:t>
            </w:r>
          </w:p>
        </w:tc>
      </w:tr>
      <w:tr>
        <w:trPr>
          <w:trHeight w:val="189"/>
        </w:trPr>
        <w:tc>
          <w:tcPr>
            <w:tcW w:w="83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(24,305)</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(2,401)</w:t>
            </w:r>
          </w:p>
        </w:tc>
      </w:tr>
      <w:tr>
        <w:trPr>
          <w:trHeight w:val="189"/>
        </w:trPr>
        <w:tc>
          <w:tcPr>
            <w:tcW w:w="83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Other current assets, net</w:t>
            </w:r>
          </w:p>
        </w:tc>
        <w:tc>
          <w:tcPr>
            <w:tcW w:w="140" w:type="dxa"/>
            <w:vAlign w:val="bottom"/>
          </w:tcPr>
          <w:p>
            <w:pPr>
              <w:spacing w:after="0"/>
              <w:rPr>
                <w:sz w:val="16"/>
                <w:szCs w:val="16"/>
                <w:color w:val="auto"/>
              </w:rPr>
            </w:pPr>
          </w:p>
        </w:tc>
        <w:tc>
          <w:tcPr>
            <w:tcW w:w="13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(3,479)</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1,051</w:t>
            </w:r>
          </w:p>
        </w:tc>
      </w:tr>
      <w:tr>
        <w:trPr>
          <w:trHeight w:val="189"/>
        </w:trPr>
        <w:tc>
          <w:tcPr>
            <w:tcW w:w="83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1,831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4,304</w:t>
            </w:r>
          </w:p>
        </w:tc>
      </w:tr>
      <w:tr>
        <w:trPr>
          <w:trHeight w:val="189"/>
        </w:trPr>
        <w:tc>
          <w:tcPr>
            <w:tcW w:w="83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Income tax receivable / payable</w:t>
            </w:r>
          </w:p>
        </w:tc>
        <w:tc>
          <w:tcPr>
            <w:tcW w:w="140" w:type="dxa"/>
            <w:vAlign w:val="bottom"/>
          </w:tcPr>
          <w:p>
            <w:pPr>
              <w:spacing w:after="0"/>
              <w:rPr>
                <w:sz w:val="16"/>
                <w:szCs w:val="16"/>
                <w:color w:val="auto"/>
              </w:rPr>
            </w:pPr>
          </w:p>
        </w:tc>
        <w:tc>
          <w:tcPr>
            <w:tcW w:w="13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(263)</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(56)</w:t>
            </w:r>
          </w:p>
        </w:tc>
      </w:tr>
      <w:tr>
        <w:trPr>
          <w:trHeight w:val="189"/>
        </w:trPr>
        <w:tc>
          <w:tcPr>
            <w:tcW w:w="83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Accrued expenses and other liabilities</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(20,676)</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(12,655)</w:t>
            </w:r>
          </w:p>
        </w:tc>
      </w:tr>
      <w:tr>
        <w:trPr>
          <w:trHeight w:val="183"/>
        </w:trPr>
        <w:tc>
          <w:tcPr>
            <w:tcW w:w="8360" w:type="dxa"/>
            <w:vAlign w:val="bottom"/>
            <w:tcBorders>
              <w:bottom w:val="single" w:sz="8" w:color="CCEEFF"/>
            </w:tcBorders>
            <w:gridSpan w:val="2"/>
          </w:tcPr>
          <w:p>
            <w:pPr>
              <w:ind w:left="440"/>
              <w:spacing w:after="0" w:line="182" w:lineRule="exact"/>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7,185</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44,390</w:t>
            </w:r>
          </w:p>
        </w:tc>
      </w:tr>
      <w:tr>
        <w:trPr>
          <w:trHeight w:val="183"/>
        </w:trPr>
        <w:tc>
          <w:tcPr>
            <w:tcW w:w="83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9"/>
        </w:trPr>
        <w:tc>
          <w:tcPr>
            <w:tcW w:w="83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Purchases of property, plant and equipment</w:t>
            </w:r>
          </w:p>
        </w:tc>
        <w:tc>
          <w:tcPr>
            <w:tcW w:w="140" w:type="dxa"/>
            <w:vAlign w:val="bottom"/>
          </w:tcPr>
          <w:p>
            <w:pPr>
              <w:spacing w:after="0"/>
              <w:rPr>
                <w:sz w:val="16"/>
                <w:szCs w:val="16"/>
                <w:color w:val="auto"/>
              </w:rPr>
            </w:pPr>
          </w:p>
        </w:tc>
        <w:tc>
          <w:tcPr>
            <w:tcW w:w="13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(10,340)</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(8,933)</w:t>
            </w:r>
          </w:p>
        </w:tc>
      </w:tr>
      <w:tr>
        <w:trPr>
          <w:trHeight w:val="183"/>
        </w:trPr>
        <w:tc>
          <w:tcPr>
            <w:tcW w:w="8360" w:type="dxa"/>
            <w:vAlign w:val="bottom"/>
            <w:tcBorders>
              <w:top w:val="single" w:sz="8" w:color="CCEEFF"/>
            </w:tcBorders>
            <w:gridSpan w:val="2"/>
            <w:shd w:val="clear" w:color="auto" w:fill="CCEEFF"/>
          </w:tcPr>
          <w:p>
            <w:pPr>
              <w:ind w:left="440"/>
              <w:spacing w:after="0" w:line="182" w:lineRule="exact"/>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(10,340)</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(8,933)</w:t>
            </w:r>
          </w:p>
        </w:tc>
      </w:tr>
      <w:tr>
        <w:trPr>
          <w:trHeight w:val="183"/>
        </w:trPr>
        <w:tc>
          <w:tcPr>
            <w:tcW w:w="83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Payments of long-term debt</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(45,000)</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3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Advances on line of credit</w:t>
            </w: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70,400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Employee taxes paid for shares withheld</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(724)</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(821)</w:t>
            </w:r>
          </w:p>
        </w:tc>
      </w:tr>
      <w:tr>
        <w:trPr>
          <w:trHeight w:val="189"/>
        </w:trPr>
        <w:tc>
          <w:tcPr>
            <w:tcW w:w="83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Repurchases of common stock</w:t>
            </w:r>
          </w:p>
        </w:tc>
        <w:tc>
          <w:tcPr>
            <w:tcW w:w="140" w:type="dxa"/>
            <w:vAlign w:val="bottom"/>
          </w:tcPr>
          <w:p>
            <w:pPr>
              <w:spacing w:after="0"/>
              <w:rPr>
                <w:sz w:val="16"/>
                <w:szCs w:val="16"/>
                <w:color w:val="auto"/>
              </w:rPr>
            </w:pPr>
          </w:p>
        </w:tc>
        <w:tc>
          <w:tcPr>
            <w:tcW w:w="130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(15,545)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Debt issuance costs</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(360)</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3"/>
        </w:trPr>
        <w:tc>
          <w:tcPr>
            <w:tcW w:w="8360" w:type="dxa"/>
            <w:vAlign w:val="bottom"/>
            <w:tcBorders>
              <w:bottom w:val="single" w:sz="8" w:color="CCEEFF"/>
            </w:tcBorders>
            <w:gridSpan w:val="2"/>
          </w:tcPr>
          <w:p>
            <w:pPr>
              <w:ind w:left="440"/>
              <w:spacing w:after="0" w:line="182"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14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8,771</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(821)</w:t>
            </w:r>
          </w:p>
        </w:tc>
      </w:tr>
      <w:tr>
        <w:trPr>
          <w:trHeight w:val="183"/>
        </w:trPr>
        <w:tc>
          <w:tcPr>
            <w:tcW w:w="83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Effect of exchange rate changes on cash</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11</w:t>
            </w: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Net change in cash, cash equivalents and restricted cash</w:t>
            </w: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5,541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34,647</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cash equivalents and restricted cash beginning of period</w:t>
            </w: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10,013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10,272</w:t>
            </w:r>
          </w:p>
        </w:tc>
      </w:tr>
      <w:tr>
        <w:trPr>
          <w:trHeight w:val="223"/>
        </w:trPr>
        <w:tc>
          <w:tcPr>
            <w:tcW w:w="83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15,554</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44,919</w:t>
            </w:r>
          </w:p>
        </w:tc>
      </w:tr>
      <w:tr>
        <w:trPr>
          <w:trHeight w:val="170"/>
        </w:trPr>
        <w:tc>
          <w:tcPr>
            <w:tcW w:w="1360" w:type="dxa"/>
            <w:vAlign w:val="bottom"/>
            <w:shd w:val="clear" w:color="auto" w:fill="CCEEFF"/>
          </w:tcPr>
          <w:p>
            <w:pPr>
              <w:spacing w:after="0"/>
              <w:rPr>
                <w:sz w:val="14"/>
                <w:szCs w:val="14"/>
                <w:color w:val="auto"/>
              </w:rPr>
            </w:pPr>
          </w:p>
        </w:tc>
        <w:tc>
          <w:tcPr>
            <w:tcW w:w="7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12,423</w:t>
            </w:r>
          </w:p>
        </w:tc>
        <w:tc>
          <w:tcPr>
            <w:tcW w:w="80" w:type="dxa"/>
            <w:vAlign w:val="bottom"/>
          </w:tcPr>
          <w:p>
            <w:pPr>
              <w:spacing w:after="0"/>
              <w:rPr>
                <w:sz w:val="16"/>
                <w:szCs w:val="16"/>
                <w:color w:val="auto"/>
              </w:rPr>
            </w:pPr>
          </w:p>
        </w:tc>
        <w:tc>
          <w:tcPr>
            <w:tcW w:w="540" w:type="dxa"/>
            <w:vAlign w:val="bottom"/>
            <w:gridSpan w:val="2"/>
          </w:tcPr>
          <w:p>
            <w:pPr>
              <w:jc w:val="right"/>
              <w:ind w:right="307"/>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44,264</w:t>
            </w:r>
          </w:p>
        </w:tc>
      </w:tr>
      <w:tr>
        <w:trPr>
          <w:trHeight w:val="189"/>
        </w:trPr>
        <w:tc>
          <w:tcPr>
            <w:tcW w:w="8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3,131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655</w:t>
            </w:r>
          </w:p>
        </w:tc>
      </w:tr>
      <w:tr>
        <w:trPr>
          <w:trHeight w:val="223"/>
        </w:trPr>
        <w:tc>
          <w:tcPr>
            <w:tcW w:w="83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15,554</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44,919</w:t>
            </w:r>
          </w:p>
        </w:tc>
      </w:tr>
      <w:tr>
        <w:trPr>
          <w:trHeight w:val="170"/>
        </w:trPr>
        <w:tc>
          <w:tcPr>
            <w:tcW w:w="1360" w:type="dxa"/>
            <w:vAlign w:val="bottom"/>
            <w:shd w:val="clear" w:color="auto" w:fill="CCEEFF"/>
          </w:tcPr>
          <w:p>
            <w:pPr>
              <w:spacing w:after="0"/>
              <w:rPr>
                <w:sz w:val="14"/>
                <w:szCs w:val="14"/>
                <w:color w:val="auto"/>
              </w:rPr>
            </w:pPr>
          </w:p>
        </w:tc>
        <w:tc>
          <w:tcPr>
            <w:tcW w:w="7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9"/>
        </w:trPr>
        <w:tc>
          <w:tcPr>
            <w:tcW w:w="83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83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Purchases of property, plant and equipment included in 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307"/>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237</w:t>
            </w:r>
          </w:p>
        </w:tc>
      </w:tr>
      <w:tr>
        <w:trPr>
          <w:trHeight w:val="189"/>
        </w:trPr>
        <w:tc>
          <w:tcPr>
            <w:tcW w:w="836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Cash paid for interest</w:t>
            </w:r>
          </w:p>
        </w:tc>
        <w:tc>
          <w:tcPr>
            <w:tcW w:w="14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882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565</w:t>
            </w:r>
          </w:p>
        </w:tc>
      </w:tr>
      <w:tr>
        <w:trPr>
          <w:trHeight w:val="189"/>
        </w:trPr>
        <w:tc>
          <w:tcPr>
            <w:tcW w:w="83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Cash paid for income taxes, net</w:t>
            </w: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4,922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5,088</w:t>
            </w:r>
          </w:p>
        </w:tc>
      </w:tr>
    </w:tbl>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563C1"/>
        </w:rPr>
        <w:t>Table of Contents</w:t>
      </w:r>
    </w:p>
    <w:p>
      <w:pPr>
        <w:jc w:val="center"/>
        <w:spacing w:after="0" w:line="237"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Tile Shop Holdings, Inc. (“Holdings,” and together with its wholly owned subsidiaries, the “Company”) was incorporated in Delaware in June 2012.</w:t>
      </w:r>
    </w:p>
    <w:p>
      <w:pPr>
        <w:spacing w:after="0" w:line="196"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color w:val="auto"/>
        </w:rPr>
        <w:t>The Company is a specialty retailer of natural stone and man-made tiles, setting and maintenance materials, and related accessories in the United States. The Company manufactures its own setting and maintenance materials, such as thinset, grout, and sealers. The Company’s primary market is retail sales to consumers, contractors, designers and home builders. As of September 30, 2022, the Company had 143 stores in 31 states and the District of Columbia, with an average size of approximately 20,000 square feet. The Company has distribution centers located in Michigan, New Jersey, Oklahoma, Virginia and Wisconsin. The Company also has a sourcing office located in China.</w:t>
      </w:r>
    </w:p>
    <w:p>
      <w:pPr>
        <w:spacing w:after="0" w:line="165"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The accompanying Consolidated Financial Statements of the Company have been prepared in accordance with accounting principles generally accepted in the United States for interim financial information and with the rules and regulations for reporting on Form 10-Q.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and nine months ended September 30, 2022 are not necessarily indicative of the results that may be expected for the fiscal year ending December 31, 2022.</w:t>
      </w:r>
    </w:p>
    <w:p>
      <w:pPr>
        <w:spacing w:after="0" w:line="163"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These statements should be read in conjunction with the Consolidated Financial Statements and footnotes included in the Company’s Annual Report on Form 10-K for the fiscal year ended December 31, 2021. The accounting policies used in preparing these Consolidated Financial Statements are the same as those described in Note 1 to the Consolidated Financial Statements in such Form 10-K.</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Revenues</w:t>
      </w:r>
    </w:p>
    <w:p>
      <w:pPr>
        <w:spacing w:after="0" w:line="175"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Revenues are recognized when control of the promised goods or services is transferred to the Company’s customers, in an amount that reflects the consideration received in exchange for those goods or services. Sales taxes are excluded from revenues.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disaggregated by product category: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8"/>
                <w:szCs w:val="18"/>
                <w:color w:val="auto"/>
              </w:rPr>
            </w:pPr>
          </w:p>
        </w:tc>
        <w:tc>
          <w:tcPr>
            <w:tcW w:w="3540" w:type="dxa"/>
            <w:vAlign w:val="bottom"/>
            <w:gridSpan w:val="5"/>
          </w:tcPr>
          <w:p>
            <w:pPr>
              <w:jc w:val="center"/>
              <w:ind w:right="180"/>
              <w:spacing w:after="0"/>
              <w:rPr>
                <w:sz w:val="20"/>
                <w:szCs w:val="20"/>
                <w:color w:val="auto"/>
              </w:rPr>
            </w:pPr>
            <w:r>
              <w:rPr>
                <w:rFonts w:ascii="Arial" w:cs="Arial" w:eastAsia="Arial" w:hAnsi="Arial"/>
                <w:sz w:val="18"/>
                <w:szCs w:val="18"/>
                <w:color w:val="auto"/>
                <w:w w:val="88"/>
              </w:rPr>
              <w:t>For the three months ended</w:t>
            </w:r>
          </w:p>
        </w:tc>
        <w:tc>
          <w:tcPr>
            <w:tcW w:w="3380" w:type="dxa"/>
            <w:vAlign w:val="bottom"/>
            <w:gridSpan w:val="4"/>
          </w:tcPr>
          <w:p>
            <w:pPr>
              <w:jc w:val="center"/>
              <w:spacing w:after="0"/>
              <w:rPr>
                <w:sz w:val="20"/>
                <w:szCs w:val="20"/>
                <w:color w:val="auto"/>
              </w:rPr>
            </w:pPr>
            <w:r>
              <w:rPr>
                <w:rFonts w:ascii="Arial" w:cs="Arial" w:eastAsia="Arial" w:hAnsi="Arial"/>
                <w:sz w:val="18"/>
                <w:szCs w:val="18"/>
                <w:color w:val="auto"/>
                <w:w w:val="89"/>
              </w:rPr>
              <w:t>For the nine months ended</w:t>
            </w:r>
          </w:p>
        </w:tc>
      </w:tr>
      <w:tr>
        <w:trPr>
          <w:trHeight w:val="217"/>
        </w:trPr>
        <w:tc>
          <w:tcPr>
            <w:tcW w:w="4320" w:type="dxa"/>
            <w:vAlign w:val="bottom"/>
          </w:tcPr>
          <w:p>
            <w:pPr>
              <w:spacing w:after="0"/>
              <w:rPr>
                <w:sz w:val="18"/>
                <w:szCs w:val="18"/>
                <w:color w:val="auto"/>
              </w:rPr>
            </w:pPr>
          </w:p>
        </w:tc>
        <w:tc>
          <w:tcPr>
            <w:tcW w:w="230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color w:val="auto"/>
                <w:w w:val="88"/>
              </w:rPr>
              <w:t>September 30,</w:t>
            </w:r>
          </w:p>
        </w:tc>
        <w:tc>
          <w:tcPr>
            <w:tcW w:w="10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color w:val="auto"/>
                <w:w w:val="88"/>
              </w:rPr>
              <w:t>September 30,</w:t>
            </w:r>
          </w:p>
        </w:tc>
        <w:tc>
          <w:tcPr>
            <w:tcW w:w="1080" w:type="dxa"/>
            <w:vAlign w:val="bottom"/>
            <w:tcBorders>
              <w:bottom w:val="single" w:sz="8" w:color="auto"/>
            </w:tcBorders>
          </w:tcPr>
          <w:p>
            <w:pPr>
              <w:spacing w:after="0"/>
              <w:rPr>
                <w:sz w:val="18"/>
                <w:szCs w:val="18"/>
                <w:color w:val="auto"/>
              </w:rPr>
            </w:pPr>
          </w:p>
        </w:tc>
      </w:tr>
      <w:tr>
        <w:trPr>
          <w:trHeight w:val="183"/>
        </w:trPr>
        <w:tc>
          <w:tcPr>
            <w:tcW w:w="432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10"/>
              <w:spacing w:after="0" w:line="182" w:lineRule="exact"/>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30"/>
              <w:spacing w:after="0" w:line="182" w:lineRule="exact"/>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30"/>
              <w:spacing w:after="0" w:line="182" w:lineRule="exact"/>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0"/>
              <w:spacing w:after="0" w:line="182" w:lineRule="exact"/>
              <w:rPr>
                <w:sz w:val="20"/>
                <w:szCs w:val="20"/>
                <w:color w:val="auto"/>
              </w:rPr>
            </w:pPr>
            <w:r>
              <w:rPr>
                <w:rFonts w:ascii="Arial" w:cs="Arial" w:eastAsia="Arial" w:hAnsi="Arial"/>
                <w:sz w:val="18"/>
                <w:szCs w:val="18"/>
                <w:color w:val="auto"/>
              </w:rPr>
              <w:t>2021</w:t>
            </w:r>
          </w:p>
        </w:tc>
      </w:tr>
      <w:tr>
        <w:trPr>
          <w:trHeight w:val="183"/>
        </w:trPr>
        <w:tc>
          <w:tcPr>
            <w:tcW w:w="43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Man-made tiles</w:t>
            </w:r>
          </w:p>
        </w:tc>
        <w:tc>
          <w:tcPr>
            <w:tcW w:w="158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51 %</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49 %</w:t>
            </w:r>
          </w:p>
        </w:tc>
        <w:tc>
          <w:tcPr>
            <w:tcW w:w="18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50 %</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47 %</w:t>
            </w: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Natural stone tiles</w:t>
            </w:r>
          </w:p>
        </w:tc>
        <w:tc>
          <w:tcPr>
            <w:tcW w:w="15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25</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27</w:t>
            </w:r>
          </w:p>
        </w:tc>
        <w:tc>
          <w:tcPr>
            <w:tcW w:w="180" w:type="dxa"/>
            <w:vAlign w:val="bottom"/>
          </w:tcPr>
          <w:p>
            <w:pPr>
              <w:spacing w:after="0"/>
              <w:rPr>
                <w:sz w:val="16"/>
                <w:szCs w:val="16"/>
                <w:color w:val="auto"/>
              </w:rPr>
            </w:pPr>
          </w:p>
        </w:tc>
        <w:tc>
          <w:tcPr>
            <w:tcW w:w="15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25</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ind w:right="290"/>
              <w:spacing w:after="0" w:line="189" w:lineRule="exact"/>
              <w:rPr>
                <w:sz w:val="20"/>
                <w:szCs w:val="20"/>
                <w:color w:val="auto"/>
              </w:rPr>
            </w:pPr>
            <w:r>
              <w:rPr>
                <w:rFonts w:ascii="Arial" w:cs="Arial" w:eastAsia="Arial" w:hAnsi="Arial"/>
                <w:sz w:val="18"/>
                <w:szCs w:val="18"/>
                <w:color w:val="auto"/>
              </w:rPr>
              <w:t>28</w:t>
            </w: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Setting and maintenance materials</w:t>
            </w:r>
          </w:p>
        </w:tc>
        <w:tc>
          <w:tcPr>
            <w:tcW w:w="158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rPr>
              <w:t>14</w:t>
            </w: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Accessories</w:t>
            </w:r>
          </w:p>
        </w:tc>
        <w:tc>
          <w:tcPr>
            <w:tcW w:w="15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6"/>
                <w:szCs w:val="16"/>
                <w:color w:val="auto"/>
              </w:rPr>
            </w:pPr>
          </w:p>
        </w:tc>
        <w:tc>
          <w:tcPr>
            <w:tcW w:w="15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ind w:right="290"/>
              <w:spacing w:after="0" w:line="189" w:lineRule="exact"/>
              <w:rPr>
                <w:sz w:val="20"/>
                <w:szCs w:val="20"/>
                <w:color w:val="auto"/>
              </w:rPr>
            </w:pPr>
            <w:r>
              <w:rPr>
                <w:rFonts w:ascii="Arial" w:cs="Arial" w:eastAsia="Arial" w:hAnsi="Arial"/>
                <w:sz w:val="18"/>
                <w:szCs w:val="18"/>
                <w:color w:val="auto"/>
              </w:rPr>
              <w:t>8</w:t>
            </w: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Delivery service</w:t>
            </w:r>
          </w:p>
        </w:tc>
        <w:tc>
          <w:tcPr>
            <w:tcW w:w="1580" w:type="dxa"/>
            <w:vAlign w:val="bottom"/>
            <w:tcBorders>
              <w:bottom w:val="single" w:sz="8" w:color="auto"/>
            </w:tcBorders>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rPr>
              <w:t>3</w:t>
            </w:r>
          </w:p>
        </w:tc>
      </w:tr>
      <w:tr>
        <w:trPr>
          <w:trHeight w:val="183"/>
        </w:trPr>
        <w:tc>
          <w:tcPr>
            <w:tcW w:w="432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100 %</w:t>
            </w:r>
          </w:p>
        </w:tc>
        <w:tc>
          <w:tcPr>
            <w:tcW w:w="1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100 %</w:t>
            </w:r>
          </w:p>
        </w:tc>
        <w:tc>
          <w:tcPr>
            <w:tcW w:w="180" w:type="dxa"/>
            <w:vAlign w:val="bottom"/>
          </w:tcPr>
          <w:p>
            <w:pPr>
              <w:spacing w:after="0"/>
              <w:rPr>
                <w:sz w:val="15"/>
                <w:szCs w:val="15"/>
                <w:color w:val="auto"/>
              </w:rPr>
            </w:pPr>
          </w:p>
        </w:tc>
        <w:tc>
          <w:tcPr>
            <w:tcW w:w="158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100 %</w:t>
            </w:r>
          </w:p>
        </w:tc>
        <w:tc>
          <w:tcPr>
            <w:tcW w:w="1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100 %</w:t>
            </w:r>
          </w:p>
        </w:tc>
      </w:tr>
      <w:tr>
        <w:trPr>
          <w:trHeight w:val="20"/>
        </w:trPr>
        <w:tc>
          <w:tcPr>
            <w:tcW w:w="4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Company generates revenues by selling tile products, setting and maintenance materials, accessories, and delivery services to its customers through its store locations and online. The timing of revenue recognition coincides with the transfer of control of goods and services ordered by the customer, which falls into one of three categories described below:</w:t>
      </w:r>
    </w:p>
    <w:p>
      <w:pPr>
        <w:spacing w:after="0" w:line="162" w:lineRule="exact"/>
        <w:rPr>
          <w:sz w:val="20"/>
          <w:szCs w:val="20"/>
          <w:color w:val="auto"/>
        </w:rPr>
      </w:pPr>
    </w:p>
    <w:p>
      <w:pPr>
        <w:ind w:left="660" w:right="180"/>
        <w:spacing w:after="0" w:line="246" w:lineRule="auto"/>
        <w:rPr>
          <w:sz w:val="20"/>
          <w:szCs w:val="20"/>
          <w:color w:val="auto"/>
        </w:rPr>
      </w:pPr>
      <w:r>
        <w:rPr>
          <w:rFonts w:ascii="Arial" w:cs="Arial" w:eastAsia="Arial" w:hAnsi="Arial"/>
          <w:sz w:val="18"/>
          <w:szCs w:val="18"/>
          <w:color w:val="auto"/>
        </w:rPr>
        <w:t>Revenue recognized when an order is placed – If a customer places an order in a store and the contents of their order are available, the Company recognizes revenue concurrent with the exchange of goods for consideration from the customer.</w:t>
      </w:r>
    </w:p>
    <w:p>
      <w:pPr>
        <w:spacing w:after="0" w:line="156" w:lineRule="exact"/>
        <w:rPr>
          <w:sz w:val="20"/>
          <w:szCs w:val="20"/>
          <w:color w:val="auto"/>
        </w:rPr>
      </w:pPr>
    </w:p>
    <w:p>
      <w:pPr>
        <w:ind w:left="660" w:right="60"/>
        <w:spacing w:after="0" w:line="235" w:lineRule="auto"/>
        <w:rPr>
          <w:sz w:val="20"/>
          <w:szCs w:val="20"/>
          <w:color w:val="auto"/>
        </w:rPr>
      </w:pPr>
      <w:r>
        <w:rPr>
          <w:rFonts w:ascii="Arial" w:cs="Arial" w:eastAsia="Arial" w:hAnsi="Arial"/>
          <w:sz w:val="18"/>
          <w:szCs w:val="18"/>
          <w:color w:val="auto"/>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spacing w:after="0" w:line="161" w:lineRule="exact"/>
        <w:rPr>
          <w:sz w:val="20"/>
          <w:szCs w:val="20"/>
          <w:color w:val="auto"/>
        </w:rPr>
      </w:pPr>
    </w:p>
    <w:p>
      <w:pPr>
        <w:ind w:left="660" w:right="160"/>
        <w:spacing w:after="0" w:line="307" w:lineRule="auto"/>
        <w:rPr>
          <w:sz w:val="20"/>
          <w:szCs w:val="20"/>
          <w:color w:val="auto"/>
        </w:rPr>
      </w:pPr>
      <w:r>
        <w:rPr>
          <w:rFonts w:ascii="Arial" w:cs="Arial" w:eastAsia="Arial" w:hAnsi="Arial"/>
          <w:sz w:val="16"/>
          <w:szCs w:val="16"/>
          <w:color w:val="auto"/>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563C1"/>
        </w:rPr>
        <w:t>Table of Contents</w:t>
      </w:r>
    </w:p>
    <w:p>
      <w:pPr>
        <w:jc w:val="center"/>
        <w:spacing w:after="0" w:line="237"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7"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as of the end of a reporting period, revenue will be recognized based on the transaction price allocated to the goods delivered and services rendered. The customer deposit balance was $13.2 million and $13.8 million as of September 30, 2022 and December 31, 2021, respectively. Revenues recognized during the nine months ended September 30, 2022 that were included in the customer deposit balance as of the beginning of the period were $13.4 million.</w:t>
      </w:r>
    </w:p>
    <w:p>
      <w:pPr>
        <w:spacing w:after="0" w:line="159"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The Company extends financing to qualified professional customers who apply for credit. Customers who qualify for an account receive 30-day payment terms. The accounts receivable balance was $4.1 million and $3.2 million at September 30, 2022 and December 31, 2021, respectively. The Company expects that the customer will pay for the goods and services ordered within one year from the date the order is placed. Accordingly, the Company does not adjust the promised amount of consideration for the effects of the financing component.</w:t>
      </w:r>
    </w:p>
    <w:p>
      <w:pPr>
        <w:spacing w:after="0" w:line="154" w:lineRule="exact"/>
        <w:rPr>
          <w:sz w:val="20"/>
          <w:szCs w:val="20"/>
          <w:color w:val="auto"/>
        </w:rPr>
      </w:pPr>
    </w:p>
    <w:p>
      <w:pPr>
        <w:ind w:right="280"/>
        <w:spacing w:after="0" w:line="248" w:lineRule="auto"/>
        <w:rPr>
          <w:sz w:val="20"/>
          <w:szCs w:val="20"/>
          <w:color w:val="auto"/>
        </w:rPr>
      </w:pPr>
      <w:r>
        <w:rPr>
          <w:rFonts w:ascii="Arial" w:cs="Arial" w:eastAsia="Arial" w:hAnsi="Arial"/>
          <w:sz w:val="17"/>
          <w:szCs w:val="17"/>
          <w:color w:val="auto"/>
        </w:rPr>
        <w:t>Customers may return purchased items for an exchange or refund. The Company records a reserve for estimated product returns based on the historical returns trends and the current product sales performance. The Company presents the sales returns reserve as an other accrued liability and the estimated value of the inventory that will be returned as an other current asset in the Consolidated Balance Sheet. The components of the sales returns reserve reflected in the Consolidated Balance Sheets as of September 30, 2022 and December 31, 2021 were as follows:</w:t>
      </w:r>
    </w:p>
    <w:tbl>
      <w:tblPr>
        <w:tblLayout w:type="fixed"/>
        <w:tblInd w:w="0" w:type="dxa"/>
        <w:tblCellMar>
          <w:top w:w="0" w:type="dxa"/>
          <w:left w:w="0" w:type="dxa"/>
          <w:bottom w:w="0" w:type="dxa"/>
          <w:right w:w="0" w:type="dxa"/>
        </w:tblCellMar>
      </w:tblPr>
      <w:tr>
        <w:trPr>
          <w:trHeight w:val="191"/>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4"/>
          </w:tcPr>
          <w:p>
            <w:pPr>
              <w:jc w:val="right"/>
              <w:ind w:right="850"/>
              <w:spacing w:after="0" w:line="191" w:lineRule="exact"/>
              <w:rPr>
                <w:sz w:val="20"/>
                <w:szCs w:val="20"/>
                <w:color w:val="auto"/>
              </w:rPr>
            </w:pPr>
            <w:r>
              <w:rPr>
                <w:rFonts w:ascii="Arial" w:cs="Arial" w:eastAsia="Arial" w:hAnsi="Arial"/>
                <w:sz w:val="18"/>
                <w:szCs w:val="18"/>
                <w:color w:val="auto"/>
              </w:rPr>
              <w:t>(in thousands)</w:t>
            </w:r>
          </w:p>
        </w:tc>
      </w:tr>
      <w:tr>
        <w:trPr>
          <w:trHeight w:val="189"/>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70"/>
              <w:spacing w:after="0" w:line="189" w:lineRule="exact"/>
              <w:rPr>
                <w:sz w:val="20"/>
                <w:szCs w:val="20"/>
                <w:color w:val="auto"/>
              </w:rPr>
            </w:pPr>
            <w:r>
              <w:rPr>
                <w:rFonts w:ascii="Arial" w:cs="Arial" w:eastAsia="Arial" w:hAnsi="Arial"/>
                <w:sz w:val="18"/>
                <w:szCs w:val="18"/>
                <w:color w:val="auto"/>
                <w:w w:val="89"/>
              </w:rPr>
              <w:t>September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89" w:lineRule="exact"/>
              <w:rPr>
                <w:sz w:val="20"/>
                <w:szCs w:val="20"/>
                <w:color w:val="auto"/>
              </w:rPr>
            </w:pPr>
            <w:r>
              <w:rPr>
                <w:rFonts w:ascii="Arial" w:cs="Arial" w:eastAsia="Arial" w:hAnsi="Arial"/>
                <w:sz w:val="18"/>
                <w:szCs w:val="18"/>
                <w:color w:val="auto"/>
                <w:w w:val="90"/>
              </w:rPr>
              <w:t>December 31,</w:t>
            </w:r>
          </w:p>
        </w:tc>
      </w:tr>
      <w:tr>
        <w:trPr>
          <w:trHeight w:val="217"/>
        </w:trPr>
        <w:tc>
          <w:tcPr>
            <w:tcW w:w="8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r>
      <w:tr>
        <w:trPr>
          <w:trHeight w:val="182"/>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Other accrued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5,781</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5,202</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1,849</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1,658</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Sales returns reserve,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3,932</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3,544</w:t>
            </w: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189" w:lineRule="exact"/>
        <w:rPr>
          <w:sz w:val="20"/>
          <w:szCs w:val="20"/>
          <w:color w:val="auto"/>
        </w:rPr>
      </w:pPr>
    </w:p>
    <w:p>
      <w:pPr>
        <w:ind w:right="480"/>
        <w:spacing w:after="0" w:line="274" w:lineRule="auto"/>
        <w:rPr>
          <w:sz w:val="20"/>
          <w:szCs w:val="20"/>
          <w:color w:val="auto"/>
        </w:rPr>
      </w:pPr>
      <w:r>
        <w:rPr>
          <w:rFonts w:ascii="Arial" w:cs="Arial" w:eastAsia="Arial" w:hAnsi="Arial"/>
          <w:sz w:val="17"/>
          <w:szCs w:val="17"/>
          <w:color w:val="auto"/>
        </w:rPr>
        <w:t>Inventories are stated at the lower of cost (determined using the moving average cost method) or net realizable value. Inventories consist primarily of merchandise held for sale. Inventories were comprised of the following as of September 30, 2022 and December 31,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gridSpan w:val="4"/>
          </w:tcPr>
          <w:p>
            <w:pPr>
              <w:jc w:val="right"/>
              <w:ind w:right="850"/>
              <w:spacing w:after="0"/>
              <w:rPr>
                <w:sz w:val="20"/>
                <w:szCs w:val="20"/>
                <w:color w:val="auto"/>
              </w:rPr>
            </w:pPr>
            <w:r>
              <w:rPr>
                <w:rFonts w:ascii="Arial" w:cs="Arial" w:eastAsia="Arial" w:hAnsi="Arial"/>
                <w:sz w:val="18"/>
                <w:szCs w:val="18"/>
                <w:color w:val="auto"/>
              </w:rPr>
              <w:t>(in thousands)</w:t>
            </w:r>
          </w:p>
        </w:tc>
      </w:tr>
      <w:tr>
        <w:trPr>
          <w:trHeight w:val="189"/>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70"/>
              <w:spacing w:after="0" w:line="189" w:lineRule="exact"/>
              <w:rPr>
                <w:sz w:val="20"/>
                <w:szCs w:val="20"/>
                <w:color w:val="auto"/>
              </w:rPr>
            </w:pPr>
            <w:r>
              <w:rPr>
                <w:rFonts w:ascii="Arial" w:cs="Arial" w:eastAsia="Arial" w:hAnsi="Arial"/>
                <w:sz w:val="18"/>
                <w:szCs w:val="18"/>
                <w:color w:val="auto"/>
                <w:w w:val="89"/>
              </w:rPr>
              <w:t>September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89" w:lineRule="exact"/>
              <w:rPr>
                <w:sz w:val="20"/>
                <w:szCs w:val="20"/>
                <w:color w:val="auto"/>
              </w:rPr>
            </w:pPr>
            <w:r>
              <w:rPr>
                <w:rFonts w:ascii="Arial" w:cs="Arial" w:eastAsia="Arial" w:hAnsi="Arial"/>
                <w:sz w:val="18"/>
                <w:szCs w:val="18"/>
                <w:color w:val="auto"/>
                <w:w w:val="90"/>
              </w:rPr>
              <w:t>December 31,</w:t>
            </w:r>
          </w:p>
        </w:tc>
      </w:tr>
      <w:tr>
        <w:trPr>
          <w:trHeight w:val="217"/>
        </w:trPr>
        <w:tc>
          <w:tcPr>
            <w:tcW w:w="8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119,991</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95,869</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Raw materials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1,490</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1,306</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121,481</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97,175</w:t>
            </w: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The Company provides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$0.6 million and $0.5 million as of September 30, 2022 and December 31, 2021,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Income Taxes</w:t>
      </w:r>
    </w:p>
    <w:p>
      <w:pPr>
        <w:spacing w:after="0" w:line="175"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The Company's effective tax rate on net income before taxes for the three months ended September 30, 2022 and 2021 was 26.3% and 26.4%, respectively. The Company’s effective tax rate for the nine months ended September 30, 2022 and 2021 was 25.9% and 24.5%, respectively. For the three months ended September 30, 2022 and 2021, the Company recorded a provision for income taxes of $1.4 million and $0.8 million, respectively. The increase in the provision for income taxes was due to higher pretax earnings in the quarter. For the nine months ended September 30, 2022 and 2021, the Company recorded a provision for income taxes of $5.0 million and $4.2 million, respectively. The increase in the provision for income taxes was due to higher pretax earnings and a decrease in the tax benefits recognized with respect to restricted stock vesting.</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563C1"/>
        </w:rPr>
        <w:t>Table of Contents</w:t>
      </w:r>
    </w:p>
    <w:p>
      <w:pPr>
        <w:jc w:val="center"/>
        <w:spacing w:after="0" w:line="237"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7"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The Coronavirus Aid, Relief and Economic Security Act (the “CARES Act”), enacted on March 27, 2020, modified the rules associated with net operating losses (“NOLs”) and technical corrections to tax depreciation methods for qualified property improvements. The Company adopted the applicable provisions outlined in the CARES Act and filed a quick refund claim in 2020. Due to administrative challenges, the Internal Revenue Service (“IRS”) was unable to process the Company’s refund. After repeated attempts to retransmit the Company’s refund claim to the IRS, the Company refiled its refund claim using Form 1120X during the three months ended September 30, 2022. The refund claim filed on Form 1120X will require a review by the Congressional Joint Committee on Taxation and the Company anticipates that the likelihood of receiving the tax refund within the next 12 months is remote. Accordingly, the Company classified the $9.1 million refund claim as a Long-Term Income Tax Receivable in the Consolidated Balance Sheet as of September 30, 2022.</w:t>
      </w:r>
    </w:p>
    <w:p>
      <w:pPr>
        <w:spacing w:after="0" w:line="161" w:lineRule="exact"/>
        <w:rPr>
          <w:sz w:val="20"/>
          <w:szCs w:val="20"/>
          <w:color w:val="auto"/>
        </w:rPr>
      </w:pPr>
    </w:p>
    <w:p>
      <w:pPr>
        <w:ind w:right="540"/>
        <w:spacing w:after="0" w:line="307" w:lineRule="auto"/>
        <w:rPr>
          <w:sz w:val="20"/>
          <w:szCs w:val="20"/>
          <w:color w:val="auto"/>
        </w:rPr>
      </w:pPr>
      <w:r>
        <w:rPr>
          <w:rFonts w:ascii="Arial" w:cs="Arial" w:eastAsia="Arial" w:hAnsi="Arial"/>
          <w:sz w:val="16"/>
          <w:szCs w:val="16"/>
          <w:color w:val="auto"/>
        </w:rPr>
        <w:t>The Company records interest and penalties relating to uncertain tax positions in income tax expense. As of both September 30, 2022 and 2021, the Company had not recognized any liabilities for uncertain tax positions, nor had interest and penalties related to uncertain tax positions been accrued.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Earnings Per Share</w:t>
      </w:r>
    </w:p>
    <w:p>
      <w:pPr>
        <w:spacing w:after="0" w:line="189"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Basic and diluted earnings per share were calculated as follows: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2"/>
        </w:trPr>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60" w:type="dxa"/>
            <w:vAlign w:val="bottom"/>
            <w:gridSpan w:val="13"/>
          </w:tcPr>
          <w:p>
            <w:pPr>
              <w:jc w:val="right"/>
              <w:ind w:right="87"/>
              <w:spacing w:after="0" w:line="201" w:lineRule="exact"/>
              <w:rPr>
                <w:sz w:val="20"/>
                <w:szCs w:val="20"/>
                <w:color w:val="auto"/>
              </w:rPr>
            </w:pPr>
            <w:r>
              <w:rPr>
                <w:rFonts w:ascii="Arial" w:cs="Arial" w:eastAsia="Arial" w:hAnsi="Arial"/>
                <w:sz w:val="18"/>
                <w:szCs w:val="18"/>
                <w:color w:val="auto"/>
              </w:rPr>
              <w:t>(dollars in thousands, except per share data)</w:t>
            </w:r>
          </w:p>
        </w:tc>
        <w:tc>
          <w:tcPr>
            <w:tcW w:w="900" w:type="dxa"/>
            <w:vAlign w:val="bottom"/>
          </w:tcPr>
          <w:p>
            <w:pPr>
              <w:spacing w:after="0"/>
              <w:rPr>
                <w:sz w:val="17"/>
                <w:szCs w:val="17"/>
                <w:color w:val="auto"/>
              </w:rPr>
            </w:pPr>
          </w:p>
        </w:tc>
      </w:tr>
      <w:tr>
        <w:trPr>
          <w:trHeight w:val="189"/>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20" w:type="dxa"/>
            <w:vAlign w:val="bottom"/>
            <w:gridSpan w:val="6"/>
          </w:tcPr>
          <w:p>
            <w:pPr>
              <w:jc w:val="center"/>
              <w:ind w:right="340"/>
              <w:spacing w:after="0" w:line="189" w:lineRule="exact"/>
              <w:rPr>
                <w:sz w:val="20"/>
                <w:szCs w:val="20"/>
                <w:color w:val="auto"/>
              </w:rPr>
            </w:pPr>
            <w:r>
              <w:rPr>
                <w:rFonts w:ascii="Arial" w:cs="Arial" w:eastAsia="Arial" w:hAnsi="Arial"/>
                <w:sz w:val="18"/>
                <w:szCs w:val="18"/>
                <w:color w:val="auto"/>
                <w:w w:val="89"/>
              </w:rPr>
              <w:t>For the three months ended</w:t>
            </w:r>
          </w:p>
        </w:tc>
        <w:tc>
          <w:tcPr>
            <w:tcW w:w="120" w:type="dxa"/>
            <w:vAlign w:val="bottom"/>
          </w:tcPr>
          <w:p>
            <w:pPr>
              <w:spacing w:after="0"/>
              <w:rPr>
                <w:sz w:val="16"/>
                <w:szCs w:val="16"/>
                <w:color w:val="auto"/>
              </w:rPr>
            </w:pPr>
          </w:p>
        </w:tc>
        <w:tc>
          <w:tcPr>
            <w:tcW w:w="2420" w:type="dxa"/>
            <w:vAlign w:val="bottom"/>
            <w:gridSpan w:val="7"/>
          </w:tcPr>
          <w:p>
            <w:pPr>
              <w:jc w:val="right"/>
              <w:ind w:right="210"/>
              <w:spacing w:after="0" w:line="189" w:lineRule="exact"/>
              <w:rPr>
                <w:sz w:val="20"/>
                <w:szCs w:val="20"/>
                <w:color w:val="auto"/>
              </w:rPr>
            </w:pPr>
            <w:r>
              <w:rPr>
                <w:rFonts w:ascii="Arial" w:cs="Arial" w:eastAsia="Arial" w:hAnsi="Arial"/>
                <w:sz w:val="18"/>
                <w:szCs w:val="18"/>
                <w:color w:val="auto"/>
                <w:w w:val="97"/>
              </w:rPr>
              <w:t>For the nine months ended</w:t>
            </w:r>
          </w:p>
        </w:tc>
      </w:tr>
      <w:tr>
        <w:trPr>
          <w:trHeight w:val="217"/>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6"/>
          </w:tcPr>
          <w:p>
            <w:pPr>
              <w:jc w:val="center"/>
              <w:ind w:right="32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8"/>
                <w:szCs w:val="18"/>
                <w:color w:val="auto"/>
              </w:rPr>
            </w:pPr>
          </w:p>
        </w:tc>
        <w:tc>
          <w:tcPr>
            <w:tcW w:w="2420" w:type="dxa"/>
            <w:vAlign w:val="bottom"/>
            <w:gridSpan w:val="7"/>
          </w:tcPr>
          <w:p>
            <w:pPr>
              <w:jc w:val="right"/>
              <w:ind w:right="650"/>
              <w:spacing w:after="0"/>
              <w:rPr>
                <w:sz w:val="20"/>
                <w:szCs w:val="20"/>
                <w:color w:val="auto"/>
              </w:rPr>
            </w:pPr>
            <w:r>
              <w:rPr>
                <w:rFonts w:ascii="Arial" w:cs="Arial" w:eastAsia="Arial" w:hAnsi="Arial"/>
                <w:sz w:val="18"/>
                <w:szCs w:val="18"/>
                <w:color w:val="auto"/>
              </w:rPr>
              <w:t>September 30,</w:t>
            </w:r>
          </w:p>
        </w:tc>
      </w:tr>
      <w:tr>
        <w:trPr>
          <w:trHeight w:val="183"/>
        </w:trPr>
        <w:tc>
          <w:tcPr>
            <w:tcW w:w="59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50"/>
              <w:spacing w:after="0" w:line="182" w:lineRule="exact"/>
              <w:rPr>
                <w:sz w:val="20"/>
                <w:szCs w:val="20"/>
                <w:color w:val="auto"/>
              </w:rPr>
            </w:pPr>
            <w:r>
              <w:rPr>
                <w:rFonts w:ascii="Arial" w:cs="Arial" w:eastAsia="Arial" w:hAnsi="Arial"/>
                <w:sz w:val="18"/>
                <w:szCs w:val="18"/>
                <w:color w:val="auto"/>
              </w:rPr>
              <w:t>2022</w:t>
            </w:r>
          </w:p>
        </w:tc>
        <w:tc>
          <w:tcPr>
            <w:tcW w:w="14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rPr>
              <w:t>2021</w:t>
            </w:r>
          </w:p>
        </w:tc>
        <w:tc>
          <w:tcPr>
            <w:tcW w:w="220" w:type="dxa"/>
            <w:vAlign w:val="bottom"/>
            <w:tcBorders>
              <w:top w:val="single" w:sz="8" w:color="auto"/>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rPr>
              <w:t>2022</w:t>
            </w:r>
          </w:p>
        </w:tc>
        <w:tc>
          <w:tcPr>
            <w:tcW w:w="1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30"/>
              <w:spacing w:after="0" w:line="182" w:lineRule="exact"/>
              <w:rPr>
                <w:sz w:val="20"/>
                <w:szCs w:val="20"/>
                <w:color w:val="auto"/>
              </w:rPr>
            </w:pPr>
            <w:r>
              <w:rPr>
                <w:rFonts w:ascii="Arial" w:cs="Arial" w:eastAsia="Arial" w:hAnsi="Arial"/>
                <w:sz w:val="18"/>
                <w:szCs w:val="18"/>
                <w:color w:val="auto"/>
              </w:rPr>
              <w:t>2021</w:t>
            </w:r>
          </w:p>
        </w:tc>
      </w:tr>
      <w:tr>
        <w:trPr>
          <w:trHeight w:val="183"/>
        </w:trPr>
        <w:tc>
          <w:tcPr>
            <w:tcW w:w="5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3,823</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2,175</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spacing w:after="0" w:line="182" w:lineRule="exact"/>
              <w:rPr>
                <w:sz w:val="20"/>
                <w:szCs w:val="20"/>
                <w:color w:val="auto"/>
              </w:rPr>
            </w:pPr>
            <w:r>
              <w:rPr>
                <w:rFonts w:ascii="Arial" w:cs="Arial" w:eastAsia="Arial" w:hAnsi="Arial"/>
                <w:sz w:val="18"/>
                <w:szCs w:val="18"/>
                <w:color w:val="auto"/>
              </w:rPr>
              <w:t>14,250</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12,966</w:t>
            </w: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8"/>
                <w:szCs w:val="18"/>
                <w:color w:val="auto"/>
              </w:rPr>
              <w:t>Weighted average shares outstanding - basic</w:t>
            </w:r>
          </w:p>
        </w:tc>
        <w:tc>
          <w:tcPr>
            <w:tcW w:w="20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50,423,923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50,545,761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50,674,870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w w:val="90"/>
              </w:rPr>
              <w:t>50,305,455</w:t>
            </w:r>
          </w:p>
        </w:tc>
      </w:tr>
      <w:tr>
        <w:trPr>
          <w:trHeight w:val="189"/>
        </w:trPr>
        <w:tc>
          <w:tcPr>
            <w:tcW w:w="59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Effect of dilutive securities attributable to stock based awards</w:t>
            </w: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293,503</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838,273</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405,534</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764,398</w:t>
            </w:r>
          </w:p>
        </w:tc>
      </w:tr>
      <w:tr>
        <w:trPr>
          <w:trHeight w:val="183"/>
        </w:trPr>
        <w:tc>
          <w:tcPr>
            <w:tcW w:w="598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Weighted average shares outstanding - diluted</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50,717,426</w:t>
            </w:r>
          </w:p>
        </w:tc>
        <w:tc>
          <w:tcPr>
            <w:tcW w:w="1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51,384,034</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spacing w:after="0" w:line="182" w:lineRule="exact"/>
              <w:rPr>
                <w:sz w:val="20"/>
                <w:szCs w:val="20"/>
                <w:color w:val="auto"/>
              </w:rPr>
            </w:pPr>
            <w:r>
              <w:rPr>
                <w:rFonts w:ascii="Arial" w:cs="Arial" w:eastAsia="Arial" w:hAnsi="Arial"/>
                <w:sz w:val="18"/>
                <w:szCs w:val="18"/>
                <w:color w:val="auto"/>
              </w:rPr>
              <w:t>51,080,404</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0"/>
              </w:rPr>
              <w:t>51,069,853</w:t>
            </w:r>
          </w:p>
        </w:tc>
      </w:tr>
      <w:tr>
        <w:trPr>
          <w:trHeight w:val="183"/>
        </w:trPr>
        <w:tc>
          <w:tcPr>
            <w:tcW w:w="5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per common share:</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9"/>
        </w:trPr>
        <w:tc>
          <w:tcPr>
            <w:tcW w:w="5980" w:type="dxa"/>
            <w:vAlign w:val="bottom"/>
          </w:tcPr>
          <w:p>
            <w:pPr>
              <w:ind w:left="220"/>
              <w:spacing w:after="0" w:line="189" w:lineRule="exact"/>
              <w:rPr>
                <w:sz w:val="20"/>
                <w:szCs w:val="20"/>
                <w:color w:val="auto"/>
              </w:rPr>
            </w:pPr>
            <w:r>
              <w:rPr>
                <w:rFonts w:ascii="Arial" w:cs="Arial" w:eastAsia="Arial" w:hAnsi="Arial"/>
                <w:sz w:val="18"/>
                <w:szCs w:val="18"/>
                <w:color w:val="auto"/>
              </w:rPr>
              <w:t>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0.08</w:t>
            </w:r>
          </w:p>
        </w:tc>
        <w:tc>
          <w:tcPr>
            <w:tcW w:w="360" w:type="dxa"/>
            <w:vAlign w:val="bottom"/>
            <w:gridSpan w:val="2"/>
          </w:tcPr>
          <w:p>
            <w:pPr>
              <w:jc w:val="right"/>
              <w:ind w:right="67"/>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0.04</w:t>
            </w:r>
          </w:p>
        </w:tc>
        <w:tc>
          <w:tcPr>
            <w:tcW w:w="14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0.28</w:t>
            </w:r>
          </w:p>
        </w:tc>
        <w:tc>
          <w:tcPr>
            <w:tcW w:w="60" w:type="dxa"/>
            <w:vAlign w:val="bottom"/>
          </w:tcPr>
          <w:p>
            <w:pPr>
              <w:spacing w:after="0"/>
              <w:rPr>
                <w:sz w:val="16"/>
                <w:szCs w:val="16"/>
                <w:color w:val="auto"/>
              </w:rPr>
            </w:pPr>
          </w:p>
        </w:tc>
        <w:tc>
          <w:tcPr>
            <w:tcW w:w="340" w:type="dxa"/>
            <w:vAlign w:val="bottom"/>
            <w:gridSpan w:val="2"/>
          </w:tcPr>
          <w:p>
            <w:pPr>
              <w:jc w:val="right"/>
              <w:ind w:right="127"/>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0.26</w:t>
            </w:r>
          </w:p>
        </w:tc>
      </w:tr>
      <w:tr>
        <w:trPr>
          <w:trHeight w:val="189"/>
        </w:trPr>
        <w:tc>
          <w:tcPr>
            <w:tcW w:w="598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0.08</w:t>
            </w:r>
          </w:p>
        </w:tc>
        <w:tc>
          <w:tcPr>
            <w:tcW w:w="360" w:type="dxa"/>
            <w:vAlign w:val="bottom"/>
            <w:gridSpan w:val="2"/>
            <w:shd w:val="clear" w:color="auto" w:fill="CCEEFF"/>
          </w:tcPr>
          <w:p>
            <w:pPr>
              <w:jc w:val="right"/>
              <w:ind w:right="67"/>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0.28</w:t>
            </w:r>
          </w:p>
        </w:tc>
        <w:tc>
          <w:tcPr>
            <w:tcW w:w="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27"/>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0.25</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Anti-dilutive securities excluded from earnings per share calculation</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1,176,621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772,580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821,794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990,461</w:t>
            </w:r>
          </w:p>
        </w:tc>
      </w:tr>
      <w:tr>
        <w:trPr>
          <w:trHeight w:val="350"/>
        </w:trPr>
        <w:tc>
          <w:tcPr>
            <w:tcW w:w="5980" w:type="dxa"/>
            <w:vAlign w:val="bottom"/>
          </w:tcPr>
          <w:p>
            <w:pPr>
              <w:spacing w:after="0"/>
              <w:rPr>
                <w:sz w:val="20"/>
                <w:szCs w:val="20"/>
                <w:color w:val="auto"/>
              </w:rPr>
            </w:pPr>
            <w:r>
              <w:rPr>
                <w:rFonts w:ascii="Arial" w:cs="Arial" w:eastAsia="Arial" w:hAnsi="Arial"/>
                <w:sz w:val="18"/>
                <w:szCs w:val="18"/>
                <w:b w:val="1"/>
                <w:bCs w:val="1"/>
                <w:color w:val="auto"/>
              </w:rPr>
              <w:t>Note 6: Other Accrued Liabilities</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91"/>
        </w:trPr>
        <w:tc>
          <w:tcPr>
            <w:tcW w:w="5980" w:type="dxa"/>
            <w:vAlign w:val="bottom"/>
          </w:tcPr>
          <w:p>
            <w:pPr>
              <w:spacing w:after="0"/>
              <w:rPr>
                <w:sz w:val="20"/>
                <w:szCs w:val="20"/>
                <w:color w:val="auto"/>
              </w:rPr>
            </w:pPr>
            <w:r>
              <w:rPr>
                <w:rFonts w:ascii="Arial" w:cs="Arial" w:eastAsia="Arial" w:hAnsi="Arial"/>
                <w:sz w:val="18"/>
                <w:szCs w:val="18"/>
                <w:color w:val="auto"/>
              </w:rPr>
              <w:t>Other accrued liabilities consisted of the following:</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91"/>
        </w:trPr>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6"/>
          </w:tcPr>
          <w:p>
            <w:pPr>
              <w:jc w:val="right"/>
              <w:spacing w:after="0"/>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24"/>
                <w:szCs w:val="24"/>
                <w:color w:val="auto"/>
              </w:rPr>
            </w:pPr>
          </w:p>
        </w:tc>
      </w:tr>
      <w:tr>
        <w:trPr>
          <w:trHeight w:val="189"/>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20" w:type="dxa"/>
            <w:vAlign w:val="bottom"/>
            <w:gridSpan w:val="5"/>
          </w:tcPr>
          <w:p>
            <w:pPr>
              <w:ind w:left="160"/>
              <w:spacing w:after="0" w:line="189" w:lineRule="exact"/>
              <w:rPr>
                <w:sz w:val="20"/>
                <w:szCs w:val="20"/>
                <w:color w:val="auto"/>
              </w:rPr>
            </w:pPr>
            <w:r>
              <w:rPr>
                <w:rFonts w:ascii="Arial" w:cs="Arial" w:eastAsia="Arial" w:hAnsi="Arial"/>
                <w:sz w:val="18"/>
                <w:szCs w:val="18"/>
                <w:color w:val="auto"/>
              </w:rPr>
              <w:t>September 30,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40" w:type="dxa"/>
            <w:vAlign w:val="bottom"/>
            <w:gridSpan w:val="3"/>
          </w:tcPr>
          <w:p>
            <w:pPr>
              <w:jc w:val="right"/>
              <w:ind w:right="90"/>
              <w:spacing w:after="0" w:line="189" w:lineRule="exact"/>
              <w:rPr>
                <w:sz w:val="20"/>
                <w:szCs w:val="20"/>
                <w:color w:val="auto"/>
              </w:rPr>
            </w:pPr>
            <w:r>
              <w:rPr>
                <w:rFonts w:ascii="Arial" w:cs="Arial" w:eastAsia="Arial" w:hAnsi="Arial"/>
                <w:sz w:val="18"/>
                <w:szCs w:val="18"/>
                <w:color w:val="auto"/>
                <w:w w:val="91"/>
              </w:rPr>
              <w:t>December 31,</w:t>
            </w:r>
          </w:p>
        </w:tc>
      </w:tr>
      <w:tr>
        <w:trPr>
          <w:trHeight w:val="217"/>
        </w:trPr>
        <w:tc>
          <w:tcPr>
            <w:tcW w:w="59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9"/>
              </w:rPr>
              <w:t>2022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2021</w:t>
            </w:r>
          </w:p>
        </w:tc>
      </w:tr>
      <w:tr>
        <w:trPr>
          <w:trHeight w:val="183"/>
        </w:trPr>
        <w:tc>
          <w:tcPr>
            <w:tcW w:w="59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Customer deposits</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13,157</w:t>
            </w:r>
          </w:p>
        </w:tc>
        <w:tc>
          <w:tcPr>
            <w:tcW w:w="16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13,792</w:t>
            </w: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8"/>
                <w:szCs w:val="18"/>
                <w:color w:val="auto"/>
              </w:rPr>
              <w:t>Sales returns reserve</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5,781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5,202</w:t>
            </w:r>
          </w:p>
        </w:tc>
      </w:tr>
      <w:tr>
        <w:trPr>
          <w:trHeight w:val="189"/>
        </w:trPr>
        <w:tc>
          <w:tcPr>
            <w:tcW w:w="59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Accrued wages and salaries</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7,048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8,833</w:t>
            </w:r>
          </w:p>
        </w:tc>
      </w:tr>
      <w:tr>
        <w:trPr>
          <w:trHeight w:val="189"/>
        </w:trPr>
        <w:tc>
          <w:tcPr>
            <w:tcW w:w="5980" w:type="dxa"/>
            <w:vAlign w:val="bottom"/>
          </w:tcPr>
          <w:p>
            <w:pPr>
              <w:spacing w:after="0" w:line="189" w:lineRule="exact"/>
              <w:rPr>
                <w:sz w:val="20"/>
                <w:szCs w:val="20"/>
                <w:color w:val="auto"/>
              </w:rPr>
            </w:pPr>
            <w:r>
              <w:rPr>
                <w:rFonts w:ascii="Arial" w:cs="Arial" w:eastAsia="Arial" w:hAnsi="Arial"/>
                <w:sz w:val="18"/>
                <w:szCs w:val="18"/>
                <w:color w:val="auto"/>
              </w:rPr>
              <w:t>Payroll and sales taxes</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4,095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3,796</w:t>
            </w:r>
          </w:p>
        </w:tc>
      </w:tr>
      <w:tr>
        <w:trPr>
          <w:trHeight w:val="189"/>
        </w:trPr>
        <w:tc>
          <w:tcPr>
            <w:tcW w:w="59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current liabilities</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10,040</w:t>
            </w: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6,626</w:t>
            </w:r>
          </w:p>
        </w:tc>
      </w:tr>
      <w:tr>
        <w:trPr>
          <w:trHeight w:val="183"/>
        </w:trPr>
        <w:tc>
          <w:tcPr>
            <w:tcW w:w="5980" w:type="dxa"/>
            <w:vAlign w:val="bottom"/>
          </w:tcPr>
          <w:p>
            <w:pPr>
              <w:ind w:left="220"/>
              <w:spacing w:after="0" w:line="182" w:lineRule="exact"/>
              <w:rPr>
                <w:sz w:val="20"/>
                <w:szCs w:val="20"/>
                <w:color w:val="auto"/>
              </w:rPr>
            </w:pPr>
            <w:r>
              <w:rPr>
                <w:rFonts w:ascii="Arial" w:cs="Arial" w:eastAsia="Arial" w:hAnsi="Arial"/>
                <w:sz w:val="18"/>
                <w:szCs w:val="18"/>
                <w:color w:val="auto"/>
              </w:rPr>
              <w:t>Total other accrued liabilities</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40,121</w:t>
            </w:r>
          </w:p>
        </w:tc>
        <w:tc>
          <w:tcPr>
            <w:tcW w:w="160" w:type="dxa"/>
            <w:vAlign w:val="bottom"/>
          </w:tcPr>
          <w:p>
            <w:pPr>
              <w:spacing w:after="0"/>
              <w:rPr>
                <w:sz w:val="15"/>
                <w:szCs w:val="15"/>
                <w:color w:val="auto"/>
              </w:rPr>
            </w:pPr>
          </w:p>
        </w:tc>
        <w:tc>
          <w:tcPr>
            <w:tcW w:w="140" w:type="dxa"/>
            <w:vAlign w:val="bottom"/>
            <w:tcBorders>
              <w:bottom w:val="single" w:sz="8" w:color="auto"/>
            </w:tcBorders>
            <w:gridSpan w:val="2"/>
          </w:tcPr>
          <w:p>
            <w:pPr>
              <w:jc w:val="right"/>
              <w:ind w:right="40"/>
              <w:spacing w:after="0" w:line="182" w:lineRule="exact"/>
              <w:rPr>
                <w:sz w:val="20"/>
                <w:szCs w:val="20"/>
                <w:color w:val="auto"/>
              </w:rPr>
            </w:pPr>
            <w:r>
              <w:rPr>
                <w:rFonts w:ascii="Arial" w:cs="Arial" w:eastAsia="Arial" w:hAnsi="Arial"/>
                <w:sz w:val="18"/>
                <w:szCs w:val="18"/>
                <w:color w:val="auto"/>
                <w:w w:val="79"/>
              </w:rPr>
              <w:t>$</w:t>
            </w: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38,249</w:t>
            </w:r>
          </w:p>
        </w:tc>
      </w:tr>
      <w:tr>
        <w:trPr>
          <w:trHeight w:val="20"/>
        </w:trPr>
        <w:tc>
          <w:tcPr>
            <w:tcW w:w="5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w:t>
      </w:r>
    </w:p>
    <w:p>
      <w:pPr>
        <w:spacing w:after="0" w:line="175"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On September 30, 2022, Holdings and its operating subsidiary, The Tile Shop, LLC, and certain subsidiaries of each entered into a Credit Agreement with JPMorgan Chase Bank, N.A. and the lenders party thereto, including Fifth Third Bank (the “Credit Agreement”). The Credit Agreement provides the Company with a senior credit facility consisting of a $75.0 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Tile Shop,</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563C1"/>
        </w:rPr>
        <w:t>Table of Contents</w:t>
      </w:r>
    </w:p>
    <w:p>
      <w:pPr>
        <w:jc w:val="center"/>
        <w:spacing w:after="0" w:line="237"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LLC’s Rent Adjusted Leverage Ratio (as defined in the Credit Agreement). Borrowings outstanding as of September 30, 2022 were SOFR-based interest rate loans. The SOFR-based interest rate was 4.54% on September 30, 2022.</w:t>
      </w:r>
    </w:p>
    <w:p>
      <w:pPr>
        <w:spacing w:after="0" w:line="156"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The Credit Agreement is secured by virtually all of the assets of the Company, including, but not limited to, inventory, accounts receivable, equipment and general intangibles. The Credit Agreement contains customary events of default, conditions to borrowing and restrictive covenants, including restrictions on the Company’s ability to dispose of assets, engage in acquisitions or mergers, make distributions on or repurchases of capital stock, incur additional debt, incur liens or make investments. The Credit Agreement also includes financial and other covenants, including covenants to maintain certain fixed charge coverage ratios and the Rent Adjusted Leverage Ratio. The Company was in compliance with the covenants as of September 30, 2022.</w:t>
      </w:r>
    </w:p>
    <w:p>
      <w:pPr>
        <w:spacing w:after="0" w:line="140" w:lineRule="exact"/>
        <w:rPr>
          <w:sz w:val="20"/>
          <w:szCs w:val="20"/>
          <w:color w:val="auto"/>
        </w:rPr>
      </w:pPr>
    </w:p>
    <w:p>
      <w:pPr>
        <w:ind w:right="140"/>
        <w:spacing w:after="0" w:line="247" w:lineRule="auto"/>
        <w:rPr>
          <w:sz w:val="20"/>
          <w:szCs w:val="20"/>
          <w:color w:val="auto"/>
        </w:rPr>
      </w:pPr>
      <w:r>
        <w:rPr>
          <w:rFonts w:ascii="Arial" w:cs="Arial" w:eastAsia="Arial" w:hAnsi="Arial"/>
          <w:sz w:val="17"/>
          <w:szCs w:val="17"/>
          <w:color w:val="auto"/>
        </w:rPr>
        <w:t>The Credit Agreement supersedes and replaces in its entirety the Company’s prior senior credit facility with Bank of America, N.A. dated September 18, 2018. The Company drew on the revolving line of credit pursuant to the Credit Agreement to refinance all of the existing revolving line of credit and interest outstanding under the Company’s prior credit facility, as well as pay -$0.4 million in debt issuance costs in connection with the Credit Agreement. Debt issuance costs are classified as other current assets and other assets in the Consolidated Balance Sheet and amortized on a straight line basis over the life of the Credit Agreement. The Company recorded a $0.1 million charge in interest expense to write-off certain unamortized deferred financing fees associated with the September 18, 2018 credit facility as of the date of the payoff.</w:t>
      </w:r>
    </w:p>
    <w:p>
      <w:pPr>
        <w:spacing w:after="0" w:line="143"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Borrowings outstanding consisted of $30.4 million on the revolving line of credit as of September 30, 2022. As of September 30, 2022, there was $44.6 million available for borrowing on the revolving line of credit, which may be used for purchasing additional merchandise inventory, maintaining the Company’s stores, and general corporate purposes.</w:t>
      </w:r>
    </w:p>
    <w:p>
      <w:pPr>
        <w:spacing w:after="0" w:line="162"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The Company has standby letters of credit outstanding related to its workers compensation plan and property leases. Standby letters of credit totaled $2.4 million as of September 30, 2022. Prior to entering into the Credit Agreement, standby letters of credit were secured by the Company’s September 18, 2018 credit facility. The Company pledged $2.5 million of cash as collateral for the standby letters of credit concurrent with payoff of the Company’s prior senior credit facility, which has been classified as restricted cash in the Consolidated Balance Sheet.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89" w:lineRule="exact"/>
        <w:rPr>
          <w:sz w:val="20"/>
          <w:szCs w:val="20"/>
          <w:color w:val="auto"/>
        </w:rPr>
      </w:pPr>
    </w:p>
    <w:p>
      <w:pPr>
        <w:ind w:right="100"/>
        <w:spacing w:after="0" w:line="231" w:lineRule="auto"/>
        <w:rPr>
          <w:sz w:val="20"/>
          <w:szCs w:val="20"/>
          <w:color w:val="auto"/>
        </w:rPr>
      </w:pPr>
      <w:r>
        <w:rPr>
          <w:rFonts w:ascii="Arial" w:cs="Arial" w:eastAsia="Arial" w:hAnsi="Arial"/>
          <w:sz w:val="18"/>
          <w:szCs w:val="18"/>
          <w:color w:val="auto"/>
        </w:rPr>
        <w:t>The Company leases its retail stores, certain distribution space, and office space. Leases generally have an initial term of ten to fifteen years, and contain renewal options. Assets acquired under operating leases are included in the Company’s right of use assets in the accompanying Consolidated Balance Sheet. The Company’s lease agreements do not contain significant residual value guarantees, restrictions or covenants. Leasehold improvements are amortized using the straight-line method over the shorter of the original lease term, the renewal term if the lease renewal is reasonably certain or the useful life of the improvement.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Leases (in thousands)</w:t>
            </w:r>
          </w:p>
        </w:tc>
        <w:tc>
          <w:tcPr>
            <w:tcW w:w="30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Classification</w:t>
            </w: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September 30, 2022</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December 31, 2021</w:t>
            </w:r>
          </w:p>
        </w:tc>
        <w:tc>
          <w:tcPr>
            <w:tcW w:w="0" w:type="dxa"/>
            <w:vAlign w:val="bottom"/>
          </w:tcPr>
          <w:p>
            <w:pPr>
              <w:spacing w:after="0"/>
              <w:rPr>
                <w:sz w:val="1"/>
                <w:szCs w:val="1"/>
                <w:color w:val="auto"/>
              </w:rPr>
            </w:pPr>
          </w:p>
        </w:tc>
      </w:tr>
      <w:tr>
        <w:trPr>
          <w:trHeight w:val="183"/>
        </w:trPr>
        <w:tc>
          <w:tcPr>
            <w:tcW w:w="2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30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20" w:type="dxa"/>
            <w:vAlign w:val="bottom"/>
          </w:tcPr>
          <w:p>
            <w:pPr>
              <w:spacing w:after="0" w:line="189" w:lineRule="exact"/>
              <w:rPr>
                <w:sz w:val="20"/>
                <w:szCs w:val="20"/>
                <w:color w:val="auto"/>
              </w:rPr>
            </w:pPr>
            <w:r>
              <w:rPr>
                <w:rFonts w:ascii="Arial" w:cs="Arial" w:eastAsia="Arial" w:hAnsi="Arial"/>
                <w:sz w:val="18"/>
                <w:szCs w:val="18"/>
                <w:color w:val="auto"/>
              </w:rPr>
              <w:t>Operating lease assets</w:t>
            </w:r>
          </w:p>
        </w:tc>
        <w:tc>
          <w:tcPr>
            <w:tcW w:w="3000" w:type="dxa"/>
            <w:vAlign w:val="bottom"/>
          </w:tcPr>
          <w:p>
            <w:pPr>
              <w:ind w:left="580"/>
              <w:spacing w:after="0" w:line="189" w:lineRule="exact"/>
              <w:rPr>
                <w:sz w:val="20"/>
                <w:szCs w:val="20"/>
                <w:color w:val="auto"/>
              </w:rPr>
            </w:pPr>
            <w:r>
              <w:rPr>
                <w:rFonts w:ascii="Arial" w:cs="Arial" w:eastAsia="Arial" w:hAnsi="Arial"/>
                <w:sz w:val="18"/>
                <w:szCs w:val="18"/>
                <w:color w:val="auto"/>
              </w:rPr>
              <w:t>Right of use asset</w:t>
            </w:r>
          </w:p>
        </w:tc>
        <w:tc>
          <w:tcPr>
            <w:tcW w:w="1200" w:type="dxa"/>
            <w:vAlign w:val="bottom"/>
            <w:gridSpan w:val="5"/>
          </w:tcPr>
          <w:p>
            <w:pPr>
              <w:jc w:val="right"/>
              <w:ind w:right="167"/>
              <w:spacing w:after="0" w:line="189" w:lineRule="exact"/>
              <w:rPr>
                <w:sz w:val="20"/>
                <w:szCs w:val="20"/>
                <w:color w:val="auto"/>
              </w:rPr>
            </w:pPr>
            <w:r>
              <w:rPr>
                <w:rFonts w:ascii="Arial" w:cs="Arial" w:eastAsia="Arial" w:hAnsi="Arial"/>
                <w:sz w:val="18"/>
                <w:szCs w:val="18"/>
                <w:color w:val="auto"/>
              </w:rPr>
              <w:t>$</w:t>
            </w:r>
          </w:p>
        </w:tc>
        <w:tc>
          <w:tcPr>
            <w:tcW w:w="2140" w:type="dxa"/>
            <w:vAlign w:val="bottom"/>
          </w:tcPr>
          <w:p>
            <w:pPr>
              <w:jc w:val="right"/>
              <w:spacing w:after="0" w:line="189" w:lineRule="exact"/>
              <w:rPr>
                <w:sz w:val="20"/>
                <w:szCs w:val="20"/>
                <w:color w:val="auto"/>
              </w:rPr>
            </w:pPr>
            <w:r>
              <w:rPr>
                <w:rFonts w:ascii="Arial" w:cs="Arial" w:eastAsia="Arial" w:hAnsi="Arial"/>
                <w:sz w:val="18"/>
                <w:szCs w:val="18"/>
                <w:color w:val="auto"/>
              </w:rPr>
              <w:t>116,103</w:t>
            </w:r>
          </w:p>
        </w:tc>
        <w:tc>
          <w:tcPr>
            <w:tcW w:w="380" w:type="dxa"/>
            <w:vAlign w:val="bottom"/>
            <w:gridSpan w:val="4"/>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2100" w:type="dxa"/>
            <w:vAlign w:val="bottom"/>
          </w:tcPr>
          <w:p>
            <w:pPr>
              <w:jc w:val="right"/>
              <w:spacing w:after="0" w:line="189" w:lineRule="exact"/>
              <w:rPr>
                <w:sz w:val="20"/>
                <w:szCs w:val="20"/>
                <w:color w:val="auto"/>
              </w:rPr>
            </w:pPr>
            <w:r>
              <w:rPr>
                <w:rFonts w:ascii="Arial" w:cs="Arial" w:eastAsia="Arial" w:hAnsi="Arial"/>
                <w:sz w:val="18"/>
                <w:szCs w:val="18"/>
                <w:color w:val="auto"/>
              </w:rPr>
              <w:t>123,101</w:t>
            </w:r>
          </w:p>
        </w:tc>
        <w:tc>
          <w:tcPr>
            <w:tcW w:w="0" w:type="dxa"/>
            <w:vAlign w:val="bottom"/>
          </w:tcPr>
          <w:p>
            <w:pPr>
              <w:spacing w:after="0"/>
              <w:rPr>
                <w:sz w:val="1"/>
                <w:szCs w:val="1"/>
                <w:color w:val="auto"/>
              </w:rPr>
            </w:pPr>
          </w:p>
        </w:tc>
      </w:tr>
      <w:tr>
        <w:trPr>
          <w:trHeight w:val="182"/>
        </w:trPr>
        <w:tc>
          <w:tcPr>
            <w:tcW w:w="24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leased assets</w:t>
            </w:r>
          </w:p>
        </w:tc>
        <w:tc>
          <w:tcPr>
            <w:tcW w:w="300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gridSpan w:val="2"/>
            <w:shd w:val="clear" w:color="auto" w:fill="CCEEFF"/>
          </w:tcPr>
          <w:p>
            <w:pPr>
              <w:jc w:val="right"/>
              <w:ind w:right="167"/>
              <w:spacing w:after="0" w:line="182" w:lineRule="exact"/>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116,103</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2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123,101</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4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Liabilities</w:t>
            </w:r>
          </w:p>
        </w:tc>
        <w:tc>
          <w:tcPr>
            <w:tcW w:w="30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tcPr>
          <w:p>
            <w:pPr>
              <w:spacing w:after="0" w:line="189" w:lineRule="exact"/>
              <w:rPr>
                <w:sz w:val="20"/>
                <w:szCs w:val="20"/>
                <w:color w:val="auto"/>
              </w:rPr>
            </w:pPr>
            <w:r>
              <w:rPr>
                <w:rFonts w:ascii="Arial" w:cs="Arial" w:eastAsia="Arial" w:hAnsi="Arial"/>
                <w:sz w:val="18"/>
                <w:szCs w:val="18"/>
                <w:color w:val="auto"/>
              </w:rPr>
              <w:t>Current</w:t>
            </w:r>
          </w:p>
        </w:tc>
        <w:tc>
          <w:tcPr>
            <w:tcW w:w="3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w:t>
            </w:r>
          </w:p>
        </w:tc>
        <w:tc>
          <w:tcPr>
            <w:tcW w:w="3000" w:type="dxa"/>
            <w:vAlign w:val="bottom"/>
            <w:shd w:val="clear" w:color="auto" w:fill="CCEEFF"/>
          </w:tcPr>
          <w:p>
            <w:pPr>
              <w:ind w:left="580"/>
              <w:spacing w:after="0" w:line="189" w:lineRule="exact"/>
              <w:rPr>
                <w:sz w:val="20"/>
                <w:szCs w:val="20"/>
                <w:color w:val="auto"/>
              </w:rPr>
            </w:pPr>
            <w:r>
              <w:rPr>
                <w:rFonts w:ascii="Arial" w:cs="Arial" w:eastAsia="Arial" w:hAnsi="Arial"/>
                <w:sz w:val="18"/>
                <w:szCs w:val="18"/>
                <w:color w:val="auto"/>
                <w:w w:val="97"/>
              </w:rPr>
              <w:t>Current portion of lease liability</w:t>
            </w:r>
          </w:p>
        </w:tc>
        <w:tc>
          <w:tcPr>
            <w:tcW w:w="1200" w:type="dxa"/>
            <w:vAlign w:val="bottom"/>
            <w:gridSpan w:val="5"/>
            <w:shd w:val="clear" w:color="auto" w:fill="CCEEFF"/>
          </w:tcPr>
          <w:p>
            <w:pPr>
              <w:jc w:val="right"/>
              <w:ind w:right="167"/>
              <w:spacing w:after="0" w:line="189" w:lineRule="exact"/>
              <w:rPr>
                <w:sz w:val="20"/>
                <w:szCs w:val="20"/>
                <w:color w:val="auto"/>
              </w:rPr>
            </w:pPr>
            <w:r>
              <w:rPr>
                <w:rFonts w:ascii="Arial" w:cs="Arial" w:eastAsia="Arial" w:hAnsi="Arial"/>
                <w:sz w:val="18"/>
                <w:szCs w:val="18"/>
                <w:color w:val="auto"/>
              </w:rPr>
              <w:t>$</w:t>
            </w:r>
          </w:p>
        </w:tc>
        <w:tc>
          <w:tcPr>
            <w:tcW w:w="2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27,826</w:t>
            </w:r>
          </w:p>
        </w:tc>
        <w:tc>
          <w:tcPr>
            <w:tcW w:w="380" w:type="dxa"/>
            <w:vAlign w:val="bottom"/>
            <w:gridSpan w:val="4"/>
            <w:shd w:val="clear" w:color="auto" w:fill="CCEEFF"/>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28,190</w:t>
            </w:r>
          </w:p>
        </w:tc>
        <w:tc>
          <w:tcPr>
            <w:tcW w:w="0" w:type="dxa"/>
            <w:vAlign w:val="bottom"/>
          </w:tcPr>
          <w:p>
            <w:pPr>
              <w:spacing w:after="0"/>
              <w:rPr>
                <w:sz w:val="1"/>
                <w:szCs w:val="1"/>
                <w:color w:val="auto"/>
              </w:rPr>
            </w:pPr>
          </w:p>
        </w:tc>
      </w:tr>
      <w:tr>
        <w:trPr>
          <w:trHeight w:val="189"/>
        </w:trPr>
        <w:tc>
          <w:tcPr>
            <w:tcW w:w="2420" w:type="dxa"/>
            <w:vAlign w:val="bottom"/>
          </w:tcPr>
          <w:p>
            <w:pPr>
              <w:spacing w:after="0" w:line="189" w:lineRule="exact"/>
              <w:rPr>
                <w:sz w:val="20"/>
                <w:szCs w:val="20"/>
                <w:color w:val="auto"/>
              </w:rPr>
            </w:pPr>
            <w:r>
              <w:rPr>
                <w:rFonts w:ascii="Arial" w:cs="Arial" w:eastAsia="Arial" w:hAnsi="Arial"/>
                <w:sz w:val="18"/>
                <w:szCs w:val="18"/>
                <w:color w:val="auto"/>
              </w:rPr>
              <w:t>Noncurrent</w:t>
            </w:r>
          </w:p>
        </w:tc>
        <w:tc>
          <w:tcPr>
            <w:tcW w:w="30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w:t>
            </w:r>
          </w:p>
        </w:tc>
        <w:tc>
          <w:tcPr>
            <w:tcW w:w="3000" w:type="dxa"/>
            <w:vAlign w:val="bottom"/>
            <w:shd w:val="clear" w:color="auto" w:fill="CCEEFF"/>
          </w:tcPr>
          <w:p>
            <w:pPr>
              <w:ind w:left="580"/>
              <w:spacing w:after="0" w:line="189" w:lineRule="exact"/>
              <w:rPr>
                <w:sz w:val="20"/>
                <w:szCs w:val="20"/>
                <w:color w:val="auto"/>
              </w:rPr>
            </w:pPr>
            <w:r>
              <w:rPr>
                <w:rFonts w:ascii="Arial" w:cs="Arial" w:eastAsia="Arial" w:hAnsi="Arial"/>
                <w:sz w:val="18"/>
                <w:szCs w:val="18"/>
                <w:color w:val="auto"/>
              </w:rPr>
              <w:t>Long-term lease liability, net</w:t>
            </w: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101,571</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2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110,261</w:t>
            </w:r>
          </w:p>
        </w:tc>
        <w:tc>
          <w:tcPr>
            <w:tcW w:w="0" w:type="dxa"/>
            <w:vAlign w:val="bottom"/>
          </w:tcPr>
          <w:p>
            <w:pPr>
              <w:spacing w:after="0"/>
              <w:rPr>
                <w:sz w:val="1"/>
                <w:szCs w:val="1"/>
                <w:color w:val="auto"/>
              </w:rPr>
            </w:pPr>
          </w:p>
        </w:tc>
      </w:tr>
      <w:tr>
        <w:trPr>
          <w:trHeight w:val="183"/>
        </w:trPr>
        <w:tc>
          <w:tcPr>
            <w:tcW w:w="2420" w:type="dxa"/>
            <w:vAlign w:val="bottom"/>
          </w:tcPr>
          <w:p>
            <w:pPr>
              <w:spacing w:after="0" w:line="182" w:lineRule="exact"/>
              <w:rPr>
                <w:sz w:val="20"/>
                <w:szCs w:val="20"/>
                <w:color w:val="auto"/>
              </w:rPr>
            </w:pPr>
            <w:r>
              <w:rPr>
                <w:rFonts w:ascii="Arial" w:cs="Arial" w:eastAsia="Arial" w:hAnsi="Arial"/>
                <w:sz w:val="18"/>
                <w:szCs w:val="18"/>
                <w:color w:val="auto"/>
              </w:rPr>
              <w:t>Total lease liabilities</w:t>
            </w:r>
          </w:p>
        </w:tc>
        <w:tc>
          <w:tcPr>
            <w:tcW w:w="3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Borders>
              <w:bottom w:val="single" w:sz="8" w:color="auto"/>
            </w:tcBorders>
            <w:gridSpan w:val="2"/>
          </w:tcPr>
          <w:p>
            <w:pPr>
              <w:jc w:val="right"/>
              <w:ind w:right="167"/>
              <w:spacing w:after="0" w:line="182" w:lineRule="exact"/>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129,397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2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138,451</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4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20" w:type="dxa"/>
            <w:vAlign w:val="bottom"/>
            <w:gridSpan w:val="6"/>
          </w:tcPr>
          <w:p>
            <w:pPr>
              <w:jc w:val="right"/>
              <w:ind w:right="165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17"/>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 cost (in thousands)</w:t>
            </w:r>
          </w:p>
        </w:tc>
        <w:tc>
          <w:tcPr>
            <w:tcW w:w="30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Classification</w:t>
            </w: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September 30, 2022</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September 30, 2021</w:t>
            </w:r>
          </w:p>
        </w:tc>
        <w:tc>
          <w:tcPr>
            <w:tcW w:w="0" w:type="dxa"/>
            <w:vAlign w:val="bottom"/>
          </w:tcPr>
          <w:p>
            <w:pPr>
              <w:spacing w:after="0"/>
              <w:rPr>
                <w:sz w:val="1"/>
                <w:szCs w:val="1"/>
                <w:color w:val="auto"/>
              </w:rPr>
            </w:pPr>
          </w:p>
        </w:tc>
      </w:tr>
      <w:tr>
        <w:trPr>
          <w:trHeight w:val="183"/>
        </w:trPr>
        <w:tc>
          <w:tcPr>
            <w:tcW w:w="2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Operating lease cost</w:t>
            </w:r>
          </w:p>
        </w:tc>
        <w:tc>
          <w:tcPr>
            <w:tcW w:w="3000" w:type="dxa"/>
            <w:vAlign w:val="bottom"/>
            <w:shd w:val="clear" w:color="auto" w:fill="CCEEFF"/>
          </w:tcPr>
          <w:p>
            <w:pPr>
              <w:ind w:left="600"/>
              <w:spacing w:after="0" w:line="182" w:lineRule="exact"/>
              <w:rPr>
                <w:sz w:val="20"/>
                <w:szCs w:val="20"/>
                <w:color w:val="auto"/>
              </w:rPr>
            </w:pPr>
            <w:r>
              <w:rPr>
                <w:rFonts w:ascii="Arial" w:cs="Arial" w:eastAsia="Arial" w:hAnsi="Arial"/>
                <w:sz w:val="18"/>
                <w:szCs w:val="18"/>
                <w:color w:val="auto"/>
              </w:rPr>
              <w:t>SG&amp;A expenses</w:t>
            </w:r>
          </w:p>
        </w:tc>
        <w:tc>
          <w:tcPr>
            <w:tcW w:w="820" w:type="dxa"/>
            <w:vAlign w:val="bottom"/>
            <w:gridSpan w:val="2"/>
            <w:shd w:val="clear" w:color="auto" w:fill="CCEEFF"/>
          </w:tcPr>
          <w:p>
            <w:pPr>
              <w:spacing w:after="0"/>
              <w:rPr>
                <w:sz w:val="15"/>
                <w:szCs w:val="15"/>
                <w:color w:val="auto"/>
              </w:rPr>
            </w:pPr>
          </w:p>
        </w:tc>
        <w:tc>
          <w:tcPr>
            <w:tcW w:w="60" w:type="dxa"/>
            <w:vAlign w:val="bottom"/>
            <w:gridSpan w:val="2"/>
            <w:shd w:val="clear" w:color="auto" w:fill="CCEEFF"/>
          </w:tcPr>
          <w:p>
            <w:pPr>
              <w:spacing w:after="0"/>
              <w:rPr>
                <w:sz w:val="15"/>
                <w:szCs w:val="15"/>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2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7,848</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7"/>
              <w:spacing w:after="0" w:line="182" w:lineRule="exact"/>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8,521</w:t>
            </w:r>
          </w:p>
        </w:tc>
        <w:tc>
          <w:tcPr>
            <w:tcW w:w="0" w:type="dxa"/>
            <w:vAlign w:val="bottom"/>
          </w:tcPr>
          <w:p>
            <w:pPr>
              <w:spacing w:after="0"/>
              <w:rPr>
                <w:sz w:val="1"/>
                <w:szCs w:val="1"/>
                <w:color w:val="auto"/>
              </w:rPr>
            </w:pPr>
          </w:p>
        </w:tc>
      </w:tr>
      <w:tr>
        <w:trPr>
          <w:trHeight w:val="257"/>
        </w:trPr>
        <w:tc>
          <w:tcPr>
            <w:tcW w:w="2420" w:type="dxa"/>
            <w:vAlign w:val="bottom"/>
          </w:tcPr>
          <w:p>
            <w:pPr>
              <w:spacing w:after="0" w:line="256"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9"/>
                <w:szCs w:val="29"/>
                <w:color w:val="auto"/>
                <w:vertAlign w:val="superscript"/>
              </w:rPr>
              <w:t>(1)</w:t>
            </w:r>
          </w:p>
        </w:tc>
        <w:tc>
          <w:tcPr>
            <w:tcW w:w="3000" w:type="dxa"/>
            <w:vAlign w:val="bottom"/>
          </w:tcPr>
          <w:p>
            <w:pPr>
              <w:ind w:left="600"/>
              <w:spacing w:after="0"/>
              <w:rPr>
                <w:sz w:val="20"/>
                <w:szCs w:val="20"/>
                <w:color w:val="auto"/>
              </w:rPr>
            </w:pPr>
            <w:r>
              <w:rPr>
                <w:rFonts w:ascii="Arial" w:cs="Arial" w:eastAsia="Arial" w:hAnsi="Arial"/>
                <w:sz w:val="18"/>
                <w:szCs w:val="18"/>
                <w:color w:val="auto"/>
              </w:rPr>
              <w:t>SG&amp;A expenses</w:t>
            </w: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3,709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3,740</w:t>
            </w:r>
          </w:p>
        </w:tc>
        <w:tc>
          <w:tcPr>
            <w:tcW w:w="0" w:type="dxa"/>
            <w:vAlign w:val="bottom"/>
          </w:tcPr>
          <w:p>
            <w:pPr>
              <w:spacing w:after="0"/>
              <w:rPr>
                <w:sz w:val="1"/>
                <w:szCs w:val="1"/>
                <w:color w:val="auto"/>
              </w:rPr>
            </w:pPr>
          </w:p>
        </w:tc>
      </w:tr>
      <w:tr>
        <w:trPr>
          <w:trHeight w:val="189"/>
        </w:trPr>
        <w:tc>
          <w:tcPr>
            <w:tcW w:w="2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Short term lease cost</w:t>
            </w:r>
          </w:p>
        </w:tc>
        <w:tc>
          <w:tcPr>
            <w:tcW w:w="3000" w:type="dxa"/>
            <w:vAlign w:val="bottom"/>
            <w:shd w:val="clear" w:color="auto" w:fill="CCEEFF"/>
          </w:tcPr>
          <w:p>
            <w:pPr>
              <w:ind w:left="600"/>
              <w:spacing w:after="0" w:line="189" w:lineRule="exact"/>
              <w:rPr>
                <w:sz w:val="20"/>
                <w:szCs w:val="20"/>
                <w:color w:val="auto"/>
              </w:rPr>
            </w:pPr>
            <w:r>
              <w:rPr>
                <w:rFonts w:ascii="Arial" w:cs="Arial" w:eastAsia="Arial" w:hAnsi="Arial"/>
                <w:sz w:val="18"/>
                <w:szCs w:val="18"/>
                <w:color w:val="auto"/>
              </w:rPr>
              <w:t>SG&amp;A expenses</w:t>
            </w: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104</w:t>
            </w:r>
          </w:p>
        </w:tc>
        <w:tc>
          <w:tcPr>
            <w:tcW w:w="2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2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83"/>
        </w:trPr>
        <w:tc>
          <w:tcPr>
            <w:tcW w:w="2420" w:type="dxa"/>
            <w:vAlign w:val="bottom"/>
          </w:tcPr>
          <w:p>
            <w:pPr>
              <w:spacing w:after="0" w:line="182" w:lineRule="exact"/>
              <w:rPr>
                <w:sz w:val="20"/>
                <w:szCs w:val="20"/>
                <w:color w:val="auto"/>
              </w:rPr>
            </w:pPr>
            <w:r>
              <w:rPr>
                <w:rFonts w:ascii="Arial" w:cs="Arial" w:eastAsia="Arial" w:hAnsi="Arial"/>
                <w:sz w:val="18"/>
                <w:szCs w:val="18"/>
                <w:color w:val="auto"/>
              </w:rPr>
              <w:t>Net lease cost</w:t>
            </w:r>
          </w:p>
        </w:tc>
        <w:tc>
          <w:tcPr>
            <w:tcW w:w="300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2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11,661</w:t>
            </w: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Borders>
              <w:bottom w:val="single" w:sz="8" w:color="auto"/>
            </w:tcBorders>
            <w:gridSpan w:val="2"/>
          </w:tcPr>
          <w:p>
            <w:pPr>
              <w:jc w:val="right"/>
              <w:ind w:right="147"/>
              <w:spacing w:after="0" w:line="182" w:lineRule="exact"/>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12,386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0" w:type="dxa"/>
            <w:vAlign w:val="bottom"/>
            <w:vMerge w:val="restart"/>
          </w:tcPr>
          <w:p>
            <w:pPr>
              <w:jc w:val="right"/>
              <w:ind w:right="41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4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42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563C1"/>
        </w:rPr>
        <w:t>Table of Contents</w:t>
      </w:r>
    </w:p>
    <w:p>
      <w:pPr>
        <w:jc w:val="center"/>
        <w:spacing w:after="0" w:line="237"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80" w:type="dxa"/>
            <w:vAlign w:val="bottom"/>
            <w:gridSpan w:val="4"/>
          </w:tcPr>
          <w:p>
            <w:pPr>
              <w:jc w:val="right"/>
              <w:ind w:right="1670"/>
              <w:spacing w:after="0"/>
              <w:rPr>
                <w:sz w:val="20"/>
                <w:szCs w:val="20"/>
                <w:color w:val="auto"/>
              </w:rPr>
            </w:pPr>
            <w:r>
              <w:rPr>
                <w:rFonts w:ascii="Arial" w:cs="Arial" w:eastAsia="Arial" w:hAnsi="Arial"/>
                <w:sz w:val="18"/>
                <w:szCs w:val="18"/>
                <w:color w:val="auto"/>
              </w:rPr>
              <w:t>Nine Months Ended</w:t>
            </w:r>
          </w:p>
        </w:tc>
      </w:tr>
      <w:tr>
        <w:trPr>
          <w:trHeight w:val="217"/>
        </w:trPr>
        <w:tc>
          <w:tcPr>
            <w:tcW w:w="2420" w:type="dxa"/>
            <w:vAlign w:val="bottom"/>
          </w:tcPr>
          <w:p>
            <w:pPr>
              <w:spacing w:after="0"/>
              <w:rPr>
                <w:sz w:val="20"/>
                <w:szCs w:val="20"/>
                <w:color w:val="auto"/>
              </w:rPr>
            </w:pPr>
            <w:r>
              <w:rPr>
                <w:rFonts w:ascii="Arial" w:cs="Arial" w:eastAsia="Arial" w:hAnsi="Arial"/>
                <w:sz w:val="18"/>
                <w:szCs w:val="18"/>
                <w:color w:val="auto"/>
              </w:rPr>
              <w:t>Lease cost (in thousands)</w:t>
            </w:r>
          </w:p>
        </w:tc>
        <w:tc>
          <w:tcPr>
            <w:tcW w:w="3820" w:type="dxa"/>
            <w:vAlign w:val="bottom"/>
          </w:tcPr>
          <w:p>
            <w:pPr>
              <w:ind w:left="600"/>
              <w:spacing w:after="0"/>
              <w:rPr>
                <w:sz w:val="20"/>
                <w:szCs w:val="20"/>
                <w:color w:val="auto"/>
              </w:rPr>
            </w:pPr>
            <w:r>
              <w:rPr>
                <w:rFonts w:ascii="Arial" w:cs="Arial" w:eastAsia="Arial" w:hAnsi="Arial"/>
                <w:sz w:val="18"/>
                <w:szCs w:val="18"/>
                <w:color w:val="auto"/>
              </w:rPr>
              <w:t>Classification</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2"/>
          </w:tcPr>
          <w:p>
            <w:pPr>
              <w:ind w:left="240"/>
              <w:spacing w:after="0"/>
              <w:rPr>
                <w:sz w:val="20"/>
                <w:szCs w:val="20"/>
                <w:color w:val="auto"/>
              </w:rPr>
            </w:pPr>
            <w:r>
              <w:rPr>
                <w:rFonts w:ascii="Arial" w:cs="Arial" w:eastAsia="Arial" w:hAnsi="Arial"/>
                <w:sz w:val="18"/>
                <w:szCs w:val="18"/>
                <w:color w:val="auto"/>
              </w:rPr>
              <w:t>September 30, 2022</w:t>
            </w:r>
          </w:p>
        </w:tc>
        <w:tc>
          <w:tcPr>
            <w:tcW w:w="320" w:type="dxa"/>
            <w:vAlign w:val="bottom"/>
          </w:tcPr>
          <w:p>
            <w:pPr>
              <w:spacing w:after="0"/>
              <w:rPr>
                <w:sz w:val="18"/>
                <w:szCs w:val="18"/>
                <w:color w:val="auto"/>
              </w:rPr>
            </w:pPr>
          </w:p>
        </w:tc>
        <w:tc>
          <w:tcPr>
            <w:tcW w:w="2060" w:type="dxa"/>
            <w:vAlign w:val="bottom"/>
          </w:tcPr>
          <w:p>
            <w:pPr>
              <w:jc w:val="right"/>
              <w:ind w:right="310"/>
              <w:spacing w:after="0"/>
              <w:rPr>
                <w:sz w:val="20"/>
                <w:szCs w:val="20"/>
                <w:color w:val="auto"/>
              </w:rPr>
            </w:pPr>
            <w:r>
              <w:rPr>
                <w:rFonts w:ascii="Arial" w:cs="Arial" w:eastAsia="Arial" w:hAnsi="Arial"/>
                <w:sz w:val="18"/>
                <w:szCs w:val="18"/>
                <w:color w:val="auto"/>
              </w:rPr>
              <w:t>September 30, 2021</w:t>
            </w:r>
          </w:p>
        </w:tc>
      </w:tr>
      <w:tr>
        <w:trPr>
          <w:trHeight w:val="183"/>
        </w:trPr>
        <w:tc>
          <w:tcPr>
            <w:tcW w:w="24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Operating lease cost</w:t>
            </w:r>
          </w:p>
        </w:tc>
        <w:tc>
          <w:tcPr>
            <w:tcW w:w="3820" w:type="dxa"/>
            <w:vAlign w:val="bottom"/>
            <w:tcBorders>
              <w:top w:val="single" w:sz="8" w:color="auto"/>
            </w:tcBorders>
            <w:shd w:val="clear" w:color="auto" w:fill="CCEEFF"/>
          </w:tcPr>
          <w:p>
            <w:pPr>
              <w:ind w:left="600"/>
              <w:spacing w:after="0" w:line="182" w:lineRule="exact"/>
              <w:rPr>
                <w:sz w:val="20"/>
                <w:szCs w:val="20"/>
                <w:color w:val="auto"/>
              </w:rPr>
            </w:pPr>
            <w:r>
              <w:rPr>
                <w:rFonts w:ascii="Arial" w:cs="Arial" w:eastAsia="Arial" w:hAnsi="Arial"/>
                <w:sz w:val="18"/>
                <w:szCs w:val="18"/>
                <w:color w:val="auto"/>
              </w:rPr>
              <w:t>SG&amp;A expenses</w:t>
            </w: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21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25,130</w:t>
            </w:r>
          </w:p>
        </w:tc>
        <w:tc>
          <w:tcPr>
            <w:tcW w:w="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25,532</w:t>
            </w:r>
          </w:p>
        </w:tc>
      </w:tr>
      <w:tr>
        <w:trPr>
          <w:trHeight w:val="256"/>
        </w:trPr>
        <w:tc>
          <w:tcPr>
            <w:tcW w:w="2420" w:type="dxa"/>
            <w:vAlign w:val="bottom"/>
          </w:tcPr>
          <w:p>
            <w:pPr>
              <w:spacing w:after="0" w:line="256"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9"/>
                <w:szCs w:val="29"/>
                <w:color w:val="auto"/>
                <w:vertAlign w:val="superscript"/>
              </w:rPr>
              <w:t>(1)</w:t>
            </w:r>
          </w:p>
        </w:tc>
        <w:tc>
          <w:tcPr>
            <w:tcW w:w="3820" w:type="dxa"/>
            <w:vAlign w:val="bottom"/>
          </w:tcPr>
          <w:p>
            <w:pPr>
              <w:ind w:left="600"/>
              <w:spacing w:after="0"/>
              <w:rPr>
                <w:sz w:val="20"/>
                <w:szCs w:val="20"/>
                <w:color w:val="auto"/>
              </w:rPr>
            </w:pPr>
            <w:r>
              <w:rPr>
                <w:rFonts w:ascii="Arial" w:cs="Arial" w:eastAsia="Arial" w:hAnsi="Arial"/>
                <w:sz w:val="18"/>
                <w:szCs w:val="18"/>
                <w:color w:val="auto"/>
              </w:rPr>
              <w:t>SG&amp;A expenses</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10,670</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10,748</w:t>
            </w:r>
          </w:p>
        </w:tc>
      </w:tr>
      <w:tr>
        <w:trPr>
          <w:trHeight w:val="189"/>
        </w:trPr>
        <w:tc>
          <w:tcPr>
            <w:tcW w:w="2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Short term lease cost</w:t>
            </w:r>
          </w:p>
        </w:tc>
        <w:tc>
          <w:tcPr>
            <w:tcW w:w="3820" w:type="dxa"/>
            <w:vAlign w:val="bottom"/>
            <w:shd w:val="clear" w:color="auto" w:fill="CCEEFF"/>
          </w:tcPr>
          <w:p>
            <w:pPr>
              <w:ind w:left="600"/>
              <w:spacing w:after="0" w:line="189" w:lineRule="exact"/>
              <w:rPr>
                <w:sz w:val="20"/>
                <w:szCs w:val="20"/>
                <w:color w:val="auto"/>
              </w:rPr>
            </w:pPr>
            <w:r>
              <w:rPr>
                <w:rFonts w:ascii="Arial" w:cs="Arial" w:eastAsia="Arial" w:hAnsi="Arial"/>
                <w:sz w:val="18"/>
                <w:szCs w:val="18"/>
                <w:color w:val="auto"/>
              </w:rPr>
              <w:t>SG&amp;A expenses</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2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375</w:t>
            </w:r>
          </w:p>
        </w:tc>
      </w:tr>
      <w:tr>
        <w:trPr>
          <w:trHeight w:val="183"/>
        </w:trPr>
        <w:tc>
          <w:tcPr>
            <w:tcW w:w="2420" w:type="dxa"/>
            <w:vAlign w:val="bottom"/>
          </w:tcPr>
          <w:p>
            <w:pPr>
              <w:spacing w:after="0" w:line="182" w:lineRule="exact"/>
              <w:rPr>
                <w:sz w:val="20"/>
                <w:szCs w:val="20"/>
                <w:color w:val="auto"/>
              </w:rPr>
            </w:pPr>
            <w:r>
              <w:rPr>
                <w:rFonts w:ascii="Arial" w:cs="Arial" w:eastAsia="Arial" w:hAnsi="Arial"/>
                <w:sz w:val="18"/>
                <w:szCs w:val="18"/>
                <w:color w:val="auto"/>
              </w:rPr>
              <w:t>Net lease cost</w:t>
            </w:r>
          </w:p>
        </w:tc>
        <w:tc>
          <w:tcPr>
            <w:tcW w:w="3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2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36,146</w:t>
            </w:r>
          </w:p>
        </w:tc>
        <w:tc>
          <w:tcPr>
            <w:tcW w:w="60" w:type="dxa"/>
            <w:vAlign w:val="bottom"/>
          </w:tcPr>
          <w:p>
            <w:pPr>
              <w:spacing w:after="0"/>
              <w:rPr>
                <w:sz w:val="15"/>
                <w:szCs w:val="15"/>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36,655</w:t>
            </w:r>
          </w:p>
        </w:tc>
      </w:tr>
      <w:tr>
        <w:trPr>
          <w:trHeight w:val="20"/>
        </w:trPr>
        <w:tc>
          <w:tcPr>
            <w:tcW w:w="24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ind w:left="260" w:hanging="215"/>
        <w:spacing w:after="0" w:line="216" w:lineRule="auto"/>
        <w:tabs>
          <w:tab w:leader="none" w:pos="26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Variable lease cost consists primarily of taxes, insurance, and common area or other maintenance costs for the Company’s leased facilities.</w:t>
      </w:r>
    </w:p>
    <w:tbl>
      <w:tblPr>
        <w:tblLayout w:type="fixed"/>
        <w:tblInd w:w="0" w:type="dxa"/>
        <w:tblCellMar>
          <w:top w:w="0" w:type="dxa"/>
          <w:left w:w="0" w:type="dxa"/>
          <w:bottom w:w="0" w:type="dxa"/>
          <w:right w:w="0" w:type="dxa"/>
        </w:tblCellMar>
      </w:tblPr>
      <w:tr>
        <w:trPr>
          <w:trHeight w:val="189"/>
        </w:trPr>
        <w:tc>
          <w:tcPr>
            <w:tcW w:w="7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0" w:type="dxa"/>
            <w:vAlign w:val="bottom"/>
            <w:gridSpan w:val="4"/>
          </w:tcPr>
          <w:p>
            <w:pPr>
              <w:jc w:val="right"/>
              <w:ind w:right="1230"/>
              <w:spacing w:after="0" w:line="189" w:lineRule="exact"/>
              <w:rPr>
                <w:sz w:val="20"/>
                <w:szCs w:val="20"/>
                <w:color w:val="auto"/>
              </w:rPr>
            </w:pPr>
            <w:r>
              <w:rPr>
                <w:rFonts w:ascii="Arial" w:cs="Arial" w:eastAsia="Arial" w:hAnsi="Arial"/>
                <w:sz w:val="18"/>
                <w:szCs w:val="18"/>
                <w:color w:val="auto"/>
              </w:rPr>
              <w:t>Nine Months Ended</w:t>
            </w:r>
          </w:p>
        </w:tc>
      </w:tr>
      <w:tr>
        <w:trPr>
          <w:trHeight w:val="217"/>
        </w:trPr>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Information (in thousands)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5"/>
              </w:rPr>
              <w:t>September 30, 2022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5"/>
              </w:rPr>
              <w:t>September 30, 2021</w:t>
            </w:r>
          </w:p>
        </w:tc>
      </w:tr>
      <w:tr>
        <w:trPr>
          <w:trHeight w:val="183"/>
        </w:trPr>
        <w:tc>
          <w:tcPr>
            <w:tcW w:w="7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89"/>
        </w:trPr>
        <w:tc>
          <w:tcPr>
            <w:tcW w:w="7080" w:type="dxa"/>
            <w:vAlign w:val="bottom"/>
          </w:tcPr>
          <w:p>
            <w:pPr>
              <w:ind w:left="12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3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740" w:type="dxa"/>
            <w:vAlign w:val="bottom"/>
          </w:tcPr>
          <w:p>
            <w:pPr>
              <w:jc w:val="right"/>
              <w:spacing w:after="0" w:line="189" w:lineRule="exact"/>
              <w:rPr>
                <w:sz w:val="20"/>
                <w:szCs w:val="20"/>
                <w:color w:val="auto"/>
              </w:rPr>
            </w:pPr>
            <w:r>
              <w:rPr>
                <w:rFonts w:ascii="Arial" w:cs="Arial" w:eastAsia="Arial" w:hAnsi="Arial"/>
                <w:sz w:val="18"/>
                <w:szCs w:val="18"/>
                <w:color w:val="auto"/>
              </w:rPr>
              <w:t>(28,147)</w:t>
            </w:r>
          </w:p>
        </w:tc>
        <w:tc>
          <w:tcPr>
            <w:tcW w:w="3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720" w:type="dxa"/>
            <w:vAlign w:val="bottom"/>
          </w:tcPr>
          <w:p>
            <w:pPr>
              <w:jc w:val="right"/>
              <w:spacing w:after="0" w:line="189" w:lineRule="exact"/>
              <w:rPr>
                <w:sz w:val="20"/>
                <w:szCs w:val="20"/>
                <w:color w:val="auto"/>
              </w:rPr>
            </w:pPr>
            <w:r>
              <w:rPr>
                <w:rFonts w:ascii="Arial" w:cs="Arial" w:eastAsia="Arial" w:hAnsi="Arial"/>
                <w:sz w:val="18"/>
                <w:szCs w:val="18"/>
                <w:color w:val="auto"/>
              </w:rPr>
              <w:t>(27,675)</w:t>
            </w:r>
          </w:p>
        </w:tc>
      </w:tr>
      <w:tr>
        <w:trPr>
          <w:trHeight w:val="189"/>
        </w:trPr>
        <w:tc>
          <w:tcPr>
            <w:tcW w:w="70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Lease right-of-use assets obtained or modified in exchange for lease obligations</w:t>
            </w:r>
          </w:p>
        </w:tc>
        <w:tc>
          <w:tcPr>
            <w:tcW w:w="3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12,420</w:t>
            </w:r>
          </w:p>
        </w:tc>
        <w:tc>
          <w:tcPr>
            <w:tcW w:w="3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In July 2022, the Company entered into an agreement to modify one of its store leases. The terms of the agreement will require the Company to vacate the store during the fourth quarter of 2022 in exchange for a $1.4 million lease incentive payment from the landlord. The Company recognized a $0.8 million benefit associated with the modified lease during the three months ended September 30,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of Financial Instruments</w:t>
      </w:r>
    </w:p>
    <w:p>
      <w:pPr>
        <w:spacing w:after="0" w:line="189"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that are available in active markets for the identical assets or liabilities at the measurement date.</w:t>
      </w:r>
    </w:p>
    <w:p>
      <w:pPr>
        <w:spacing w:after="0" w:line="171" w:lineRule="exact"/>
        <w:rPr>
          <w:sz w:val="20"/>
          <w:szCs w:val="20"/>
          <w:color w:val="auto"/>
        </w:rPr>
      </w:pPr>
    </w:p>
    <w:p>
      <w:pPr>
        <w:ind w:left="660" w:right="320"/>
        <w:spacing w:after="0" w:line="261" w:lineRule="auto"/>
        <w:rPr>
          <w:sz w:val="20"/>
          <w:szCs w:val="20"/>
          <w:color w:val="auto"/>
        </w:rPr>
      </w:pPr>
      <w:r>
        <w:rPr>
          <w:rFonts w:ascii="Arial" w:cs="Arial" w:eastAsia="Arial" w:hAnsi="Arial"/>
          <w:sz w:val="18"/>
          <w:szCs w:val="18"/>
          <w:color w:val="auto"/>
        </w:rPr>
        <w:t>Level 2 – Significant other observable inputs available at the measurement date, other than quoted prices included in Level 1, either directly or indirectly, including:</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Quoted prices for similar assets or liabilities in active markets;</w:t>
      </w:r>
    </w:p>
    <w:p>
      <w:pPr>
        <w:spacing w:after="0" w:line="171" w:lineRule="exact"/>
        <w:rPr>
          <w:sz w:val="20"/>
          <w:szCs w:val="20"/>
          <w:color w:val="auto"/>
        </w:rPr>
      </w:pPr>
    </w:p>
    <w:p>
      <w:pPr>
        <w:jc w:val="both"/>
        <w:ind w:left="980" w:right="4560"/>
        <w:spacing w:after="0" w:line="493" w:lineRule="auto"/>
        <w:rPr>
          <w:sz w:val="20"/>
          <w:szCs w:val="20"/>
          <w:color w:val="auto"/>
        </w:rPr>
      </w:pPr>
      <w:r>
        <w:rPr>
          <w:rFonts w:ascii="Arial" w:cs="Arial" w:eastAsia="Arial" w:hAnsi="Arial"/>
          <w:sz w:val="16"/>
          <w:szCs w:val="16"/>
          <w:color w:val="auto"/>
        </w:rPr>
        <w:t>Quoted prices for identical or similar assets or liabilities in non-active markets; Inputs other than quoted prices that are observable for the asset or liability; and</w:t>
      </w:r>
    </w:p>
    <w:p>
      <w:pPr>
        <w:ind w:left="660"/>
        <w:spacing w:after="0"/>
        <w:rPr>
          <w:sz w:val="20"/>
          <w:szCs w:val="20"/>
          <w:color w:val="auto"/>
        </w:rPr>
      </w:pPr>
      <w:r>
        <w:rPr>
          <w:rFonts w:ascii="Arial" w:cs="Arial" w:eastAsia="Arial" w:hAnsi="Arial"/>
          <w:sz w:val="18"/>
          <w:szCs w:val="18"/>
          <w:color w:val="auto"/>
        </w:rPr>
        <w:t>Inputs that are derived principally from or corroborated by other observable market data.</w:t>
      </w:r>
    </w:p>
    <w:p>
      <w:pPr>
        <w:spacing w:after="0" w:line="171" w:lineRule="exact"/>
        <w:rPr>
          <w:sz w:val="20"/>
          <w:szCs w:val="20"/>
          <w:color w:val="auto"/>
        </w:rPr>
      </w:pPr>
    </w:p>
    <w:p>
      <w:pPr>
        <w:ind w:left="660" w:right="300"/>
        <w:spacing w:after="0" w:line="261" w:lineRule="auto"/>
        <w:rPr>
          <w:sz w:val="20"/>
          <w:szCs w:val="20"/>
          <w:color w:val="auto"/>
        </w:rPr>
      </w:pPr>
      <w:r>
        <w:rPr>
          <w:rFonts w:ascii="Arial" w:cs="Arial" w:eastAsia="Arial" w:hAnsi="Arial"/>
          <w:sz w:val="18"/>
          <w:szCs w:val="18"/>
          <w:color w:val="auto"/>
        </w:rPr>
        <w:t>Level 3 – Significant unobservable inputs that cannot be corroborated by observable market data and reflect the use of significant management judgment.</w:t>
      </w:r>
    </w:p>
    <w:p>
      <w:pPr>
        <w:spacing w:after="0" w:line="144" w:lineRule="exact"/>
        <w:rPr>
          <w:sz w:val="20"/>
          <w:szCs w:val="20"/>
          <w:color w:val="auto"/>
        </w:rPr>
      </w:pPr>
    </w:p>
    <w:p>
      <w:pPr>
        <w:jc w:val="both"/>
        <w:ind w:right="300"/>
        <w:spacing w:after="0" w:line="235" w:lineRule="auto"/>
        <w:rPr>
          <w:sz w:val="20"/>
          <w:szCs w:val="20"/>
          <w:color w:val="auto"/>
        </w:rPr>
      </w:pPr>
      <w:r>
        <w:rPr>
          <w:rFonts w:ascii="Arial" w:cs="Arial" w:eastAsia="Arial" w:hAnsi="Arial"/>
          <w:sz w:val="18"/>
          <w:szCs w:val="18"/>
          <w:color w:val="auto"/>
        </w:rPr>
        <w:t>The following table sets forth by level within the fair value hierarchy the Company’s financial assets that were accounted for at fair value on a recurring basis at September 30, 2022 and December 31, 2021 according to the valuation techniques the Company uses to determine their fair values. There have been no transfers of assets among the fair value hierarchies presented.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Pricing</w:t>
            </w:r>
          </w:p>
        </w:tc>
        <w:tc>
          <w:tcPr>
            <w:tcW w:w="100" w:type="dxa"/>
            <w:vAlign w:val="bottom"/>
          </w:tcPr>
          <w:p>
            <w:pPr>
              <w:spacing w:after="0"/>
              <w:rPr>
                <w:sz w:val="18"/>
                <w:szCs w:val="18"/>
                <w:color w:val="auto"/>
              </w:rPr>
            </w:pPr>
          </w:p>
        </w:tc>
        <w:tc>
          <w:tcPr>
            <w:tcW w:w="3440" w:type="dxa"/>
            <w:vAlign w:val="bottom"/>
            <w:gridSpan w:val="3"/>
          </w:tcPr>
          <w:p>
            <w:pPr>
              <w:jc w:val="right"/>
              <w:ind w:right="1210"/>
              <w:spacing w:after="0"/>
              <w:rPr>
                <w:sz w:val="20"/>
                <w:szCs w:val="20"/>
                <w:color w:val="auto"/>
              </w:rPr>
            </w:pPr>
            <w:r>
              <w:rPr>
                <w:rFonts w:ascii="Arial" w:cs="Arial" w:eastAsia="Arial" w:hAnsi="Arial"/>
                <w:sz w:val="18"/>
                <w:szCs w:val="18"/>
                <w:color w:val="auto"/>
              </w:rPr>
              <w:t>Fair Value at</w:t>
            </w:r>
          </w:p>
        </w:tc>
        <w:tc>
          <w:tcPr>
            <w:tcW w:w="0" w:type="dxa"/>
            <w:vAlign w:val="bottom"/>
          </w:tcPr>
          <w:p>
            <w:pPr>
              <w:spacing w:after="0"/>
              <w:rPr>
                <w:sz w:val="1"/>
                <w:szCs w:val="1"/>
                <w:color w:val="auto"/>
              </w:rPr>
            </w:pPr>
          </w:p>
        </w:tc>
      </w:tr>
      <w:tr>
        <w:trPr>
          <w:trHeight w:val="217"/>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Category</w:t>
            </w:r>
          </w:p>
        </w:tc>
        <w:tc>
          <w:tcPr>
            <w:tcW w:w="100" w:type="dxa"/>
            <w:vAlign w:val="bottom"/>
          </w:tcPr>
          <w:p>
            <w:pPr>
              <w:spacing w:after="0"/>
              <w:rPr>
                <w:sz w:val="18"/>
                <w:szCs w:val="18"/>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w w:val="88"/>
              </w:rPr>
              <w:t>September 30, 2022</w:t>
            </w:r>
          </w:p>
        </w:tc>
        <w:tc>
          <w:tcPr>
            <w:tcW w:w="220" w:type="dxa"/>
            <w:vAlign w:val="bottom"/>
          </w:tcPr>
          <w:p>
            <w:pPr>
              <w:spacing w:after="0"/>
              <w:rPr>
                <w:sz w:val="18"/>
                <w:szCs w:val="18"/>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2021</w:t>
            </w:r>
          </w:p>
        </w:tc>
        <w:tc>
          <w:tcPr>
            <w:tcW w:w="0" w:type="dxa"/>
            <w:vAlign w:val="bottom"/>
          </w:tcPr>
          <w:p>
            <w:pPr>
              <w:spacing w:after="0"/>
              <w:rPr>
                <w:sz w:val="1"/>
                <w:szCs w:val="1"/>
                <w:color w:val="auto"/>
              </w:rPr>
            </w:pPr>
          </w:p>
        </w:tc>
      </w:tr>
      <w:tr>
        <w:trPr>
          <w:trHeight w:val="183"/>
        </w:trPr>
        <w:tc>
          <w:tcPr>
            <w:tcW w:w="6400" w:type="dxa"/>
            <w:vAlign w:val="bottom"/>
            <w:vMerge w:val="continue"/>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40" w:type="dxa"/>
            <w:vAlign w:val="bottom"/>
            <w:tcBorders>
              <w:top w:val="single" w:sz="8" w:color="auto"/>
            </w:tcBorders>
            <w:gridSpan w:val="3"/>
          </w:tcPr>
          <w:p>
            <w:pPr>
              <w:jc w:val="right"/>
              <w:ind w:right="1170"/>
              <w:spacing w:after="0" w:line="182" w:lineRule="exact"/>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189"/>
        </w:trPr>
        <w:tc>
          <w:tcPr>
            <w:tcW w:w="6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1300" w:type="dxa"/>
            <w:vAlign w:val="bottom"/>
            <w:gridSpan w:val="2"/>
            <w:shd w:val="clear" w:color="auto" w:fill="CCEEFF"/>
          </w:tcPr>
          <w:p>
            <w:pPr>
              <w:jc w:val="center"/>
              <w:ind w:right="140"/>
              <w:spacing w:after="0" w:line="189" w:lineRule="exact"/>
              <w:rPr>
                <w:sz w:val="20"/>
                <w:szCs w:val="20"/>
                <w:color w:val="auto"/>
              </w:rPr>
            </w:pPr>
            <w:r>
              <w:rPr>
                <w:rFonts w:ascii="Arial" w:cs="Arial" w:eastAsia="Arial" w:hAnsi="Arial"/>
                <w:sz w:val="18"/>
                <w:szCs w:val="18"/>
                <w:color w:val="auto"/>
                <w:w w:val="96"/>
              </w:rPr>
              <w:t>Level 1</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12,423</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9,358</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Restricted cash</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Level 1</w:t>
            </w:r>
          </w:p>
        </w:tc>
        <w:tc>
          <w:tcPr>
            <w:tcW w:w="10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3,131</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56" w:lineRule="exact"/>
        <w:rPr>
          <w:sz w:val="20"/>
          <w:szCs w:val="20"/>
          <w:color w:val="auto"/>
        </w:rPr>
      </w:pPr>
    </w:p>
    <w:p>
      <w:pPr>
        <w:ind w:left="980" w:right="560"/>
        <w:spacing w:after="0" w:line="246"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Consists of cash on hand and bank deposits. The value was measured using quoted market prices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The carrying amount approximates fair value.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563C1"/>
        </w:rPr>
        <w:t>Table of Contents</w:t>
      </w:r>
    </w:p>
    <w:p>
      <w:pPr>
        <w:jc w:val="center"/>
        <w:ind w:right="-39"/>
        <w:spacing w:after="0" w:line="237" w:lineRule="auto"/>
        <w:rPr>
          <w:sz w:val="20"/>
          <w:szCs w:val="20"/>
          <w:color w:val="auto"/>
        </w:rPr>
      </w:pPr>
      <w:r>
        <w:rPr>
          <w:rFonts w:ascii="Arial" w:cs="Arial" w:eastAsia="Arial" w:hAnsi="Arial"/>
          <w:sz w:val="18"/>
          <w:szCs w:val="18"/>
          <w:b w:val="1"/>
          <w:bCs w:val="1"/>
          <w:color w:val="auto"/>
        </w:rPr>
        <w:t>Tile Shop Holdings, Inc. and Subsidiaries</w:t>
      </w:r>
    </w:p>
    <w:p>
      <w:pPr>
        <w:jc w:val="center"/>
        <w:ind w:right="-39"/>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0" w:lineRule="exact"/>
        <w:rPr>
          <w:sz w:val="20"/>
          <w:szCs w:val="20"/>
          <w:color w:val="auto"/>
        </w:rPr>
      </w:pPr>
    </w:p>
    <w:p>
      <w:pPr>
        <w:ind w:left="980" w:right="80"/>
        <w:spacing w:after="0"/>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Consists of cash and cash equivalents held in bank deposit accounts restricted as to withdrawal or that are under the terms of</w:t>
      </w:r>
      <w:r>
        <w:rPr>
          <w:rFonts w:ascii="Arial" w:cs="Arial" w:eastAsia="Arial" w:hAnsi="Arial"/>
          <w:sz w:val="18"/>
          <w:szCs w:val="18"/>
          <w:i w:val="1"/>
          <w:iCs w:val="1"/>
          <w:color w:val="auto"/>
        </w:rPr>
        <w:t xml:space="preserve"> </w:t>
      </w:r>
      <w:r>
        <w:rPr>
          <w:rFonts w:ascii="Arial" w:cs="Arial" w:eastAsia="Arial" w:hAnsi="Arial"/>
          <w:sz w:val="18"/>
          <w:szCs w:val="18"/>
          <w:color w:val="auto"/>
        </w:rPr>
        <w:t>use for current operations. The value was measured using quoted market prices in active markets. The carrying amount approximates fair value.</w:t>
      </w:r>
    </w:p>
    <w:p>
      <w:pPr>
        <w:spacing w:after="0" w:line="149" w:lineRule="exact"/>
        <w:rPr>
          <w:sz w:val="20"/>
          <w:szCs w:val="20"/>
          <w:color w:val="auto"/>
        </w:rPr>
      </w:pPr>
    </w:p>
    <w:p>
      <w:pPr>
        <w:ind w:right="280"/>
        <w:spacing w:after="0" w:line="251" w:lineRule="auto"/>
        <w:rPr>
          <w:sz w:val="20"/>
          <w:szCs w:val="20"/>
          <w:color w:val="auto"/>
        </w:rPr>
      </w:pPr>
      <w:r>
        <w:rPr>
          <w:rFonts w:ascii="Arial" w:cs="Arial" w:eastAsia="Arial" w:hAnsi="Arial"/>
          <w:sz w:val="17"/>
          <w:szCs w:val="17"/>
          <w:color w:val="auto"/>
        </w:rPr>
        <w:t>Fair value measurements also apply to certain non-financial assets and liabilities measured at fair value on a nonrecurring basis. Property, plant and equipment and right of use assets are measured at fair value when an impairment is recognized and the related assets are written down to fair value. The Company did not record any impairment losses during the three and nine months ended September 30, 2022. During the three and nine months ended September 30, 2021, the Company recognized a $0.7 million charge in selling, general and administrative expenses to write-down property, plant and equipment and right of use assets to their estimated fair values.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 Incentive Plans</w:t>
      </w:r>
    </w:p>
    <w:p>
      <w:pPr>
        <w:spacing w:after="0" w:line="189"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On July 20, 2021, the Company’s stockholders approved the 2021 Omnibus Equity Compensation Plan (the “2021 Plan”). The 2021 Plan replaced the 2012 Omnibus Award Plan (the “Prior Plan”). Awards granted under the Prior Plan that were outstanding on the date of stockholder approval remained outstanding in accordance with their terms. The maximum number of shares that may be delivered with respect to awards under the 2021 Plan is 3,500,000 shares, subject to adjustment in certain circumstances. Shares tendered or withheld to pay the exercise price of a stock option or to cover tax withholding will not be added back to the number of shares available under the 2021 Plan. To the extent that any award under the 2021 Plan, or any award granted under the Prior Plan prior to stockholder approval of the 2021 Plan, is forfeited, canceled, surrendered or otherwise terminated without the issuance of shares or an award is settled only in cash, the shares subject to such awards granted but not delivered will be added to the number of shares available for awards under the 2021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9"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The Company measures and recognizes compensation expense for all stock based awards at fair value. The financial statements for the three and nine months ended September 30, 2022 and 2021 include compensation expense for the portion of outstanding awards that vested during those periods. The Company recognizes stock based compensation expenses on a straight-line basis over the requisite service period of the award, which is generally the option vesting term. Total stock based compensation expense related to stock options was less than $0.1 million for the three months ended September 30, 2022 and $0.1 million for the three months ended September 30, 2021. Total stock based compensation expense related to stock options was $0.1 million and $0.3 million for the nine months ended September 30, 2022 and 2021, respectively. Stock based compensation expense pertaining to stock options is included in selling, general and administrative expenses in the accompanying Consolidated Statements of Operations.</w:t>
      </w:r>
    </w:p>
    <w:p>
      <w:pPr>
        <w:spacing w:after="0" w:line="14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As of September 30, 2022, the Company had outstanding stock options to purchase 575,267 shares of common stock at a weighted average exercise price of $11.26 per share.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89"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The Company awards restricted common shares to selected employees and to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certain performance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 Total stock based compensation expense related to restricted stock was $0.5 million for both the three months ended September 30, 2022 and 2021. Total stock based compensation expense related to restricted stock was $1.5 million and $1.6 million for the nine months ended September 30, 2022 and 2021, respectively. Stock based compensation expense pertaining to restricted stock awards is included in selling, general and administrative expenses in the accompanying Consolidated Statements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the Company had 1,191,658 outstanding restricted common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New Markets Tax Credit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New Markets Tax Credit</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563C1"/>
        </w:rPr>
        <w:t>Table of Contents</w:t>
      </w:r>
    </w:p>
    <w:p>
      <w:pPr>
        <w:jc w:val="center"/>
        <w:ind w:right="-39"/>
        <w:spacing w:after="0" w:line="237" w:lineRule="auto"/>
        <w:rPr>
          <w:sz w:val="20"/>
          <w:szCs w:val="20"/>
          <w:color w:val="auto"/>
        </w:rPr>
      </w:pPr>
      <w:r>
        <w:rPr>
          <w:rFonts w:ascii="Arial" w:cs="Arial" w:eastAsia="Arial" w:hAnsi="Arial"/>
          <w:sz w:val="18"/>
          <w:szCs w:val="18"/>
          <w:b w:val="1"/>
          <w:bCs w:val="1"/>
          <w:color w:val="auto"/>
        </w:rPr>
        <w:t>Tile Shop Holdings, Inc. and Subsidiaries</w:t>
      </w:r>
    </w:p>
    <w:p>
      <w:pPr>
        <w:jc w:val="center"/>
        <w:ind w:right="-39"/>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17"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In December 2016, the Company entered into a financing transaction with U.S. Bank Community, LLC (“U.S. Bank”) related to a $9.2 million expansion of the Company’s facility in Durant, Oklahoma. U.S. Bank made a capital contribution to, and Tile Shop Lending, Inc. (“Tile Shop Lending”) made a loan to, Twain Investment Fund 192 LLC (the “Investment Fund”)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spacing w:after="0" w:line="16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In this transaction, Tile Shop Lending loaned $6.7 million to the Investment Fund at an interest rate of 1.37% per year and with a maturity date of December 31, 2046. The Investment Fund then contributed the loan to a CDE, which, in turn, loaned the funds on similar terms to Tile Shop of Oklahoma, LLC, an indirect, wholly-owned subsidiary of Holdings. The proceeds of the loans from the CDEs (including loans representing the capital contribution made by U.S. Bank, net of syndication fees) were used to partially fund the distribution center project.</w:t>
      </w:r>
    </w:p>
    <w:p>
      <w:pPr>
        <w:spacing w:after="0" w:line="161"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In December 2016, U.S. Bank contributed $3.2 million to the Investment Fund and, by virtue of such contribution, is entitled to substantially all of the tax benefits derived from the NMTC,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w:t>
      </w:r>
    </w:p>
    <w:p>
      <w:pPr>
        <w:spacing w:after="0" w:line="149"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The Company has determined that the financing arrangement with the Investment Fund and CDEs constitutes a variable interest entity (“VIE”). The ongoing activities of the Investment Fund – collecting and remitting interest and fees and NMTC compliance – were all considered in the initial design and are not expected to significantly affect economic performance throughout the life of the Investment Fund. Management considered the contractual arrangements that obligate the Company to deliver tax benefits and provide various other guarantees to the structure; U.S. Bank’s lack of a material interest in the underlying economics of the project; and the fact that the Company is obligated to absorb losses of the Investment Fund. The Company concluded that it is the primary beneficiary of the VIE and consolidated the Investment Fund, as a VIE, in accordance with the accounting standards for consolidation. In 2016, U.S. Bank contributed $3.2 million, net of syndication fees, to the Investment Fund. The Company incurred $1.3 million of syndication fees in connection with this transaction. The Company is recognizing the benefit of this net $1.9 million contribution over the seven-year compliance period as it is being earned through the on-going compliance with the conditions of the NMTC program. As of September 30, 2022, the balance of the contribution liability for this arrangement was $0.6 million, of which $0.5 million was classified as other accrued liabilities on the Consolidated Balance Sheet and $0.1 million was classified as other long-term liabilities on the Consolidated Balance Sheet.</w:t>
      </w:r>
    </w:p>
    <w:p>
      <w:pPr>
        <w:spacing w:after="0" w:line="151"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The Company is able to request reimbursement for certain expenditures made in connection with the expansion of the distribution center in Durant, Oklahoma from the Investment Fund. Expenditures that qualify for reimbursement include building costs, equipment purchases, and other expenditures tied to the expansion of the facility. As of September 30, 2022, the remaining balance in the Investment Fund available for reimbursement to the Company was $0.6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8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On July 9, 2018, Fumitake Nishi informed the Company he had acquired an ownership interest in one of the Company’s key vendors, Nanyang Helin Stone Co. Ltd (“Nanyang”). Mr. Nishi is a former Company employee and the brother-in-law of Robert A. Rucker, the Company’s former Interim Chief Executive Officer and President, former member of the Company’s Board of Directors, and former holder of more than 5% of the Company’s common stock. Mr. Nishi also has an ownership interest in Tilestyling Co. Ltd (“Tile Style”), a vendor from which the Company started acquiring product in 2020. Nanyang and Tile Style supply the Company with natural stone products, including hand-crafted mosaics, listellos and other accessories.</w:t>
      </w:r>
    </w:p>
    <w:p>
      <w:pPr>
        <w:spacing w:after="0" w:line="141" w:lineRule="exact"/>
        <w:rPr>
          <w:sz w:val="20"/>
          <w:szCs w:val="20"/>
          <w:color w:val="auto"/>
        </w:rPr>
      </w:pPr>
    </w:p>
    <w:p>
      <w:pPr>
        <w:ind w:right="660"/>
        <w:spacing w:after="0" w:line="261" w:lineRule="auto"/>
        <w:rPr>
          <w:sz w:val="20"/>
          <w:szCs w:val="20"/>
          <w:color w:val="auto"/>
        </w:rPr>
      </w:pPr>
      <w:r>
        <w:rPr>
          <w:rFonts w:ascii="Arial" w:cs="Arial" w:eastAsia="Arial" w:hAnsi="Arial"/>
          <w:sz w:val="17"/>
          <w:szCs w:val="17"/>
          <w:color w:val="auto"/>
        </w:rPr>
        <w:t>During the three months ended September 30, 2022 and 2021, the Company purchased $2.2 million and $2.9 million of products from Nanyang, respectively. During the nine months ended September 30, 2022 and 2021, the Company purchased $7.9 million and $6.2 million of products from Nanyang, respectively. As of September 30, 2022, the accounts payable balance due to Nanyang was $0.3</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563C1"/>
        </w:rPr>
        <w:t>Table of Contents</w:t>
      </w:r>
    </w:p>
    <w:p>
      <w:pPr>
        <w:jc w:val="center"/>
        <w:spacing w:after="0" w:line="237"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8"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million. As of September 30, 2021, there were no accounts payable due to Nanyang. During the three months ended September 30, 2022 and 2021, the Company purchased $1.1 million and $1.0 million of products from Tile Style, respectively. During the nine months ended September 30, 2022 and 2021, the Company purchased $2.7 million and $2.1 million of products from Tile Style, respectively. As of both September 30, 2022 and 2021, the accounts payable due to Tile Style was $0.1 million. Mr. Nishi’s employment with the Company was terminated on January 1, 2014 as a result of several violations of the Company’s code of business conduct and ethics policy. Certain of those violations involved his undisclosed ownership of Nanyang at that time.</w:t>
      </w:r>
    </w:p>
    <w:p>
      <w:pPr>
        <w:spacing w:after="0" w:line="126"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Management and the Audit Committee have evaluated these relationships and determined that it would be in the Company’s best interests to continue purchasing products from Nanyang and to begin purchasing products from Tile Style. The Company believes Nanyang and Tile Style each provide an important combination of quality, product availability and pricing, and relying solely on other vendors to supply similar product to the Company would not be in the Company’s best interests. The Company and the Audit Committee will continue to review future purchases from Nanyang and Tile Style and compare the pricing for products purchased from each of Nanyang and Tile Style to the pricing of same or similar products purchased from unrelated vendors.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 Repurchase</w:t>
      </w:r>
    </w:p>
    <w:p>
      <w:pPr>
        <w:spacing w:after="0" w:line="189"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On August 16, 2022, the Company announced that the Board of Directors of the Company authorized a share repurchase program, pursuant to which the Company may, from time to time, purchase shares of its common stock for an aggregate repurchase price not to exceed $30,000,000. Shares repurchased during the quarter were retired. Share repurchases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tcPr>
          <w:p>
            <w:pPr>
              <w:jc w:val="right"/>
              <w:ind w:right="170"/>
              <w:spacing w:after="0"/>
              <w:rPr>
                <w:sz w:val="20"/>
                <w:szCs w:val="20"/>
                <w:color w:val="auto"/>
              </w:rPr>
            </w:pPr>
            <w:r>
              <w:rPr>
                <w:rFonts w:ascii="Arial" w:cs="Arial" w:eastAsia="Arial" w:hAnsi="Arial"/>
                <w:sz w:val="18"/>
                <w:szCs w:val="18"/>
                <w:color w:val="auto"/>
                <w:w w:val="98"/>
              </w:rPr>
              <w:t>Three and Nine Months Ended</w:t>
            </w:r>
          </w:p>
        </w:tc>
      </w:tr>
      <w:tr>
        <w:trPr>
          <w:trHeight w:val="217"/>
        </w:trPr>
        <w:tc>
          <w:tcPr>
            <w:tcW w:w="728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September 30, 2022</w:t>
            </w:r>
          </w:p>
        </w:tc>
      </w:tr>
      <w:tr>
        <w:trPr>
          <w:trHeight w:val="183"/>
        </w:trPr>
        <w:tc>
          <w:tcPr>
            <w:tcW w:w="72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Shares of common stock</w:t>
            </w:r>
          </w:p>
        </w:tc>
        <w:tc>
          <w:tcPr>
            <w:tcW w:w="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7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4,094,592</w:t>
            </w:r>
          </w:p>
        </w:tc>
      </w:tr>
      <w:tr>
        <w:trPr>
          <w:trHeight w:val="393"/>
        </w:trPr>
        <w:tc>
          <w:tcPr>
            <w:tcW w:w="7280" w:type="dxa"/>
            <w:vAlign w:val="bottom"/>
          </w:tcPr>
          <w:p>
            <w:pPr>
              <w:spacing w:after="0"/>
              <w:rPr>
                <w:sz w:val="20"/>
                <w:szCs w:val="20"/>
                <w:color w:val="auto"/>
              </w:rPr>
            </w:pPr>
            <w:r>
              <w:rPr>
                <w:rFonts w:ascii="Arial" w:cs="Arial" w:eastAsia="Arial" w:hAnsi="Arial"/>
                <w:sz w:val="18"/>
                <w:szCs w:val="18"/>
                <w:color w:val="auto"/>
              </w:rPr>
              <w:t xml:space="preserve">Aggregate purchase price (in thousands) </w:t>
            </w:r>
            <w:r>
              <w:rPr>
                <w:rFonts w:ascii="Arial" w:cs="Arial" w:eastAsia="Arial" w:hAnsi="Arial"/>
                <w:sz w:val="29"/>
                <w:szCs w:val="29"/>
                <w:color w:val="auto"/>
                <w:vertAlign w:val="superscript"/>
              </w:rPr>
              <w:t>(1)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700" w:type="dxa"/>
            <w:vAlign w:val="bottom"/>
          </w:tcPr>
          <w:p>
            <w:pPr>
              <w:jc w:val="right"/>
              <w:spacing w:after="0"/>
              <w:rPr>
                <w:sz w:val="20"/>
                <w:szCs w:val="20"/>
                <w:color w:val="auto"/>
              </w:rPr>
            </w:pPr>
            <w:r>
              <w:rPr>
                <w:rFonts w:ascii="Arial" w:cs="Arial" w:eastAsia="Arial" w:hAnsi="Arial"/>
                <w:sz w:val="18"/>
                <w:szCs w:val="18"/>
                <w:color w:val="auto"/>
              </w:rPr>
              <w:t>15,545</w:t>
            </w:r>
          </w:p>
        </w:tc>
      </w:tr>
      <w:tr>
        <w:trPr>
          <w:trHeight w:val="634"/>
        </w:trPr>
        <w:tc>
          <w:tcPr>
            <w:tcW w:w="7280" w:type="dxa"/>
            <w:vAlign w:val="bottom"/>
          </w:tcPr>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Includes $15.4 million to repurchase shares and $0.1 million of broker commissions.</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96"/>
        </w:trPr>
        <w:tc>
          <w:tcPr>
            <w:tcW w:w="7280" w:type="dxa"/>
            <w:vAlign w:val="bottom"/>
          </w:tcPr>
          <w:p>
            <w:pPr>
              <w:spacing w:after="0"/>
              <w:rPr>
                <w:sz w:val="20"/>
                <w:szCs w:val="20"/>
                <w:color w:val="auto"/>
              </w:rPr>
            </w:pPr>
            <w:r>
              <w:rPr>
                <w:rFonts w:ascii="Arial" w:cs="Arial" w:eastAsia="Arial" w:hAnsi="Arial"/>
                <w:sz w:val="18"/>
                <w:szCs w:val="18"/>
                <w:b w:val="1"/>
                <w:bCs w:val="1"/>
                <w:color w:val="auto"/>
              </w:rPr>
              <w:t>Note 14: Subsequent Events</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tcPr>
          <w:p>
            <w:pPr>
              <w:spacing w:after="0"/>
              <w:rPr>
                <w:sz w:val="24"/>
                <w:szCs w:val="24"/>
                <w:color w:val="auto"/>
              </w:rPr>
            </w:pPr>
          </w:p>
        </w:tc>
      </w:tr>
    </w:tbl>
    <w:p>
      <w:pPr>
        <w:spacing w:after="0" w:line="14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October 2022, the Company completed its share repurchase program. A total of 7,805,226 shares were acquired for $30.2 million, which was comprised of $30.0 million to purchase shares and $0.2 million of brokerage commissions. The average price paid to acquire shares over the course of the share repurchase program, inclusive of brokerage commissions, was $3.87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i w:val="1"/>
          <w:iCs w:val="1"/>
          <w:color w:val="auto"/>
        </w:rPr>
        <w:t>The following discussion and analysis of Tile Shop Holdings, Inc.’s (“Holdings,” and together with its wholly owned subsidiaries, the “Company,” “we,” “us,” or “our”) financial condition and results of operations should be read in conjunction with our Annual Report on Form 10-K for the year ended December 31, 2021 and our consolidated financial statements and related notes appearing elsewhere in this Quarterly Report on Form 10-Q.</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“predict,”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Quarterly Report on Form 10-Q are based on current expectations and assumptions that are subject to risks and uncertainties, many of which are difficult to predict and are outside of our control, that may cause our actual results, performance, or achievements to differ materially from any expected future results, performance, or achievements expressed or implied by such forward-looking statements. These risks and uncertainties include, but are not limited to, our anticipated new store openings, remodeling plans, and growth opportunities; our business strengths, marketing strategies, competitive advantages and role in our industry and markets; an overall decline in the health of the economy, the tile industry, consumer confidence and spending, and the housing market, including as a result of rising inflation or interest rates or the COVID-19 pandemic; our expectations regarding the potential impacts on our business of the COVID-19 pandemic, including its effect on general economic conditions and credit markets, the supply chain and product availability, labor, and customer traffic to our stores, as well as the potential duration of the COVID-19 pandemic and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14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i w:val="1"/>
          <w:iCs w:val="1"/>
          <w:color w:val="auto"/>
        </w:rPr>
        <w:t>adequacy of measures we have taken to attempt to mitigate the impact of the COVID-19 pandemic on our business; the impact of ongoing supply chain disruptions and inflationary cost pressures, including increased materials, labor, energy, and transportation costs and decreased discretionary consumer spending; our ability to successfully implement our strategic plan and the anticipated benefits of our strategic plan; our ability to successfully anticipate consumer trends; any statements with respect to dividends and timing, methods, and payment of same; the effectiveness of our marketing strategy; potential fluctuations in our comparable store sales; our expectations regarding our and our customers’ financing arrangements and our ability to obtain additional capital, including potential difficulties of obtaining refinancing due to market conditions resulting from the COVID-19 pandemic, geopolitical conditions and other economic factors; supply costs and expectations, including the continued availability of sufficient products from our suppliers, risks related to relying on foreign suppliers, and the potential impact of the COVID-19 pandemic and the Russia-Ukraine conflict on, among other things, product availability and pricing and timing and cost of deliveries; our expectations with respect to ongoing compliance with the terms of the Credit Agreement (as defined below), including increasing interest rates; our ability to provide timely delivery to our customers; the effect of regulations on us and our industry, and our suppliers’ compliance with such regulations, including any environmental or climate change-related requirements; the impact of corporate citizenship and environmental, social and governance matters; labor shortages and our expectations regarding the effects of employee recruiting, training, mentoring, and retention on our ability to recruit and retain employees; tax-related risks; the potential impact of cybersecurity breaches or disruptions to our management information systems; our ability to successfully implement our information technology and other digital initiatives; our ability to effectively manage our online sales; costs and adequacy of insurance; the potential impact of natural disasters, which may worsen or increase due to the effects of climate change, and other catastrophic events; risks inherent in operating as a holding company; fluctuations in material and energy costs, including recent increases in, and ongoing volatility of, oil and gas prices; the potential outcome of any legal proceedings; risks related to ownership of our common stock; and those factors set forth in the section captioned “Risk Factors” in our Annual Report on Form 10-K for the year ended December 31, 2021 and in this Form 10-Q.</w:t>
      </w:r>
    </w:p>
    <w:p>
      <w:pPr>
        <w:spacing w:after="0" w:line="355" w:lineRule="exact"/>
        <w:rPr>
          <w:sz w:val="20"/>
          <w:szCs w:val="20"/>
          <w:color w:val="auto"/>
        </w:rPr>
      </w:pPr>
    </w:p>
    <w:p>
      <w:pPr>
        <w:ind w:right="160"/>
        <w:spacing w:after="0" w:line="231" w:lineRule="auto"/>
        <w:rPr>
          <w:sz w:val="20"/>
          <w:szCs w:val="20"/>
          <w:color w:val="auto"/>
        </w:rPr>
      </w:pPr>
      <w:r>
        <w:rPr>
          <w:rFonts w:ascii="Arial" w:cs="Arial" w:eastAsia="Arial" w:hAnsi="Arial"/>
          <w:sz w:val="18"/>
          <w:szCs w:val="18"/>
          <w:i w:val="1"/>
          <w:iCs w:val="1"/>
          <w:color w:val="auto"/>
        </w:rPr>
        <w:t>There is no assurance that our expectations will be realized. If one or more of these risks or uncertainties materialize, or if our underlying assumptions prove incorrect, actual results may vary materially from those expected, estimated, or projected. These statements are based on the beliefs and assumptions of our management based on information currently available to management. Furthermore, such forward-looking statements speak only as of the date of this Quarterly Report on Form 10-Q. Except as required by law, we undertake no obligation to update any forward-looking statements to reflect events or circumstances after the date of such statements.</w:t>
      </w:r>
    </w:p>
    <w:p>
      <w:pPr>
        <w:spacing w:after="0" w:line="165" w:lineRule="exact"/>
        <w:rPr>
          <w:sz w:val="20"/>
          <w:szCs w:val="20"/>
          <w:color w:val="auto"/>
        </w:rPr>
      </w:pPr>
    </w:p>
    <w:p>
      <w:pPr>
        <w:ind w:right="140"/>
        <w:spacing w:after="0" w:line="232" w:lineRule="auto"/>
        <w:rPr>
          <w:sz w:val="20"/>
          <w:szCs w:val="20"/>
          <w:color w:val="auto"/>
        </w:rPr>
      </w:pPr>
      <w:r>
        <w:rPr>
          <w:rFonts w:ascii="Arial" w:cs="Arial" w:eastAsia="Arial" w:hAnsi="Arial"/>
          <w:sz w:val="18"/>
          <w:szCs w:val="18"/>
          <w:i w:val="1"/>
          <w:iCs w:val="1"/>
          <w:color w:val="auto"/>
        </w:rPr>
        <w:t>We intend to use our website, investors.tileshop.com, as a means of disclosing material non-public information and for complying with our disclosure obligations under Regulation FD of the Securities and Exchange Commission (“SEC”). Such disclosures will be included on our website under the heading News and Events. Accordingly, investors should monitor such portions of our website, in addition to following our press releases, SEC filings and public conference calls and webcasts. Information contained on or accessible through our website is not a part of, and is not incorporated by reference into, this Quarterly Report on Form 10-Q or any other report or document we file with the SEC. Any reference to our website is intended to be an inactive textual reference only.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Trends</w:t>
      </w:r>
    </w:p>
    <w:p>
      <w:pPr>
        <w:spacing w:after="0" w:line="189" w:lineRule="exact"/>
        <w:rPr>
          <w:sz w:val="20"/>
          <w:szCs w:val="20"/>
          <w:color w:val="auto"/>
        </w:rPr>
      </w:pPr>
    </w:p>
    <w:p>
      <w:pPr>
        <w:jc w:val="both"/>
        <w:ind w:right="60"/>
        <w:spacing w:after="0" w:line="253" w:lineRule="auto"/>
        <w:rPr>
          <w:sz w:val="20"/>
          <w:szCs w:val="20"/>
          <w:color w:val="auto"/>
        </w:rPr>
      </w:pPr>
      <w:r>
        <w:rPr>
          <w:rFonts w:ascii="Arial" w:cs="Arial" w:eastAsia="Arial" w:hAnsi="Arial"/>
          <w:sz w:val="17"/>
          <w:szCs w:val="17"/>
          <w:color w:val="auto"/>
        </w:rPr>
        <w:t>We are a specialty retailer of natural stone and man-made tiles, setting and maintenance materials, and related accessories in the United States. We offer a wide selection of products, attractive prices, and exceptional customer service in an extensive showroom setting. As of September 30, 2022, we operated 143 stores in 31 states and the District of Columbia, with an average size of approximately 20,000 square feet.</w:t>
      </w:r>
    </w:p>
    <w:p>
      <w:pPr>
        <w:spacing w:after="0" w:line="15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We purchase our tile products and accessories directly from suppliers and manufacture our own setting and maintenance materials, such as thinset, grout, and sealers. We believe that our long-term supplier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and man-made tiles, accessories, and related materials in the United States.</w:t>
      </w:r>
    </w:p>
    <w:p>
      <w:pPr>
        <w:spacing w:after="0" w:line="15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business continues to be impacted by a number of macro-economic factors, including the trailing impact of the COVID-19 pandemic. Global supply chains and product availability remain highly challenged and the ongoing Russia-Ukraine conflict has only exacerbated an already difficult operating environment. These factors, combined with higher fuel costs and a highly competitive labor market, have created an inflationary environment and cost pressures.</w:t>
      </w:r>
    </w:p>
    <w:p>
      <w:pPr>
        <w:spacing w:after="0" w:line="15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regard to consumer demand, since the onset of the COVID-19 pandemic, our business has experienced an increase in demand and sales. It remains unclear, however, if these demand trends will remain intact or if they will revert back to more historical levels over time, particularly as inflation begins to impact discretionary spending. Current trends in rising interest rates and decreases in housing turnover could signal a slowdown in home remodeling activity. In recent months, we have observed a deceleration in our comparable store sales growth.</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0" w:lineRule="exact"/>
        <w:rPr>
          <w:sz w:val="20"/>
          <w:szCs w:val="20"/>
          <w:color w:val="auto"/>
        </w:rPr>
      </w:pPr>
    </w:p>
    <w:p>
      <w:pPr>
        <w:spacing w:after="0" w:line="340"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On August 16, 2022, we announced that our Board of Directors approved a $30.0 million share repurchase plan. As of September 30, 2022, the Company had repurchased 4.1 million shares for $15.5 million, inclusive of brokerage commissions, or an average price of $3.80 per share. Subsequent to the end of the quarter, the Company completed the share repurchase program. In total, 7.8 million shares were repurchased for $30.2 million, inclusive of brokerage commissions, or an average price of $3.87 per share.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2022 Quarter Financial Overview</w:t>
      </w:r>
    </w:p>
    <w:p>
      <w:pPr>
        <w:spacing w:after="0" w:line="17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For the three months ended September 30, 2022 and 2021, we reported net sales of $97.2 million and $92.2 million, respectively. Sales increased at comparable stores by 5.3% during the third quarter of 2022 compared to the third quarter of 2021, primarily due to an increase in average ticket driven by higher prices.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information about our comparable store sales growth for the three and nine months ended September 30, 2022 and 2021.</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252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For the three months ended</w:t>
            </w:r>
          </w:p>
        </w:tc>
        <w:tc>
          <w:tcPr>
            <w:tcW w:w="2240" w:type="dxa"/>
            <w:vAlign w:val="bottom"/>
            <w:gridSpan w:val="3"/>
          </w:tcPr>
          <w:p>
            <w:pPr>
              <w:jc w:val="center"/>
              <w:spacing w:after="0"/>
              <w:rPr>
                <w:sz w:val="20"/>
                <w:szCs w:val="20"/>
                <w:color w:val="auto"/>
              </w:rPr>
            </w:pPr>
            <w:r>
              <w:rPr>
                <w:rFonts w:ascii="Arial" w:cs="Arial" w:eastAsia="Arial" w:hAnsi="Arial"/>
                <w:sz w:val="18"/>
                <w:szCs w:val="18"/>
                <w:color w:val="auto"/>
                <w:w w:val="89"/>
              </w:rPr>
              <w:t>For the nine months ended</w:t>
            </w:r>
          </w:p>
        </w:tc>
      </w:tr>
      <w:tr>
        <w:trPr>
          <w:trHeight w:val="217"/>
        </w:trPr>
        <w:tc>
          <w:tcPr>
            <w:tcW w:w="6480" w:type="dxa"/>
            <w:vAlign w:val="bottom"/>
          </w:tcPr>
          <w:p>
            <w:pPr>
              <w:spacing w:after="0"/>
              <w:rPr>
                <w:sz w:val="18"/>
                <w:szCs w:val="18"/>
                <w:color w:val="auto"/>
              </w:rPr>
            </w:pPr>
          </w:p>
        </w:tc>
        <w:tc>
          <w:tcPr>
            <w:tcW w:w="2520" w:type="dxa"/>
            <w:vAlign w:val="bottom"/>
            <w:gridSpan w:val="4"/>
          </w:tcPr>
          <w:p>
            <w:pPr>
              <w:jc w:val="center"/>
              <w:ind w:right="120"/>
              <w:spacing w:after="0"/>
              <w:rPr>
                <w:sz w:val="20"/>
                <w:szCs w:val="20"/>
                <w:color w:val="auto"/>
              </w:rPr>
            </w:pPr>
            <w:r>
              <w:rPr>
                <w:rFonts w:ascii="Arial" w:cs="Arial" w:eastAsia="Arial" w:hAnsi="Arial"/>
                <w:sz w:val="18"/>
                <w:szCs w:val="18"/>
                <w:color w:val="auto"/>
                <w:w w:val="88"/>
              </w:rPr>
              <w:t>September 30,</w:t>
            </w:r>
          </w:p>
        </w:tc>
        <w:tc>
          <w:tcPr>
            <w:tcW w:w="2240" w:type="dxa"/>
            <w:vAlign w:val="bottom"/>
            <w:gridSpan w:val="3"/>
          </w:tcPr>
          <w:p>
            <w:pPr>
              <w:jc w:val="center"/>
              <w:spacing w:after="0"/>
              <w:rPr>
                <w:sz w:val="20"/>
                <w:szCs w:val="20"/>
                <w:color w:val="auto"/>
              </w:rPr>
            </w:pPr>
            <w:r>
              <w:rPr>
                <w:rFonts w:ascii="Arial" w:cs="Arial" w:eastAsia="Arial" w:hAnsi="Arial"/>
                <w:sz w:val="18"/>
                <w:szCs w:val="18"/>
                <w:color w:val="auto"/>
                <w:w w:val="88"/>
              </w:rPr>
              <w:t>September 30,</w:t>
            </w:r>
          </w:p>
        </w:tc>
      </w:tr>
      <w:tr>
        <w:trPr>
          <w:trHeight w:val="183"/>
        </w:trPr>
        <w:tc>
          <w:tcPr>
            <w:tcW w:w="6480" w:type="dxa"/>
            <w:vAlign w:val="bottom"/>
            <w:tcBorders>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2022</w:t>
            </w:r>
          </w:p>
        </w:tc>
        <w:tc>
          <w:tcPr>
            <w:tcW w:w="120" w:type="dxa"/>
            <w:vAlign w:val="bottom"/>
            <w:tcBorders>
              <w:top w:val="single" w:sz="8" w:color="auto"/>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2022</w:t>
            </w:r>
          </w:p>
        </w:tc>
        <w:tc>
          <w:tcPr>
            <w:tcW w:w="120" w:type="dxa"/>
            <w:vAlign w:val="bottom"/>
            <w:tcBorders>
              <w:top w:val="single" w:sz="8" w:color="auto"/>
              <w:bottom w:val="single" w:sz="8" w:color="CCEEFF"/>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2021</w:t>
            </w:r>
          </w:p>
        </w:tc>
      </w:tr>
      <w:tr>
        <w:trPr>
          <w:trHeight w:val="183"/>
        </w:trPr>
        <w:tc>
          <w:tcPr>
            <w:tcW w:w="64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Comparable store sales growth</w:t>
            </w: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5.3 %</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9.5 %</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14.9%</w:t>
            </w:r>
          </w:p>
        </w:tc>
      </w:tr>
    </w:tbl>
    <w:p>
      <w:pPr>
        <w:spacing w:after="0" w:line="161"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We continued to experience challenges in our supply chain during the third quarter of 2022. Specifically, we are still seeing an increase in the cost of the products we source from around the world due to vendor price increases in response to inflationary cost pressure. While ocean container rates have started to fall from peak levels, average freight rates remain elevated. We continue to monitor the impact of inflation on the costs of materials, labor, energy, and other costs required to manage our business in order to minimize its effects through pricing strategies, productivity improvements and cost reductions. There can be no assurance, however, that our operating results will not be affected by inflation in the future.</w:t>
      </w:r>
    </w:p>
    <w:p>
      <w:pPr>
        <w:spacing w:after="0" w:line="152"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Selling, general and administrative expenses decreased by $0.7 million from $59.8 million in the third quarter of 2021 to $59.1 million in the third quarter of 2022, due primarily to a $0.7 million asset impairment charge incurred during the third quarter of 2021 and no asset impairment charges in the third quarter of 2022. In addition, the Company recognized a $0.8 million benefit related to a lease incentive, which was mostly offset by a $0.7 million increase in pay and benefits expenses during the third quarter of 2022.</w:t>
      </w:r>
    </w:p>
    <w:p>
      <w:pPr>
        <w:spacing w:after="0" w:line="161" w:lineRule="exact"/>
        <w:rPr>
          <w:sz w:val="20"/>
          <w:szCs w:val="20"/>
          <w:color w:val="auto"/>
        </w:rPr>
      </w:pPr>
    </w:p>
    <w:p>
      <w:pPr>
        <w:ind w:right="280"/>
        <w:spacing w:after="0" w:line="307" w:lineRule="auto"/>
        <w:rPr>
          <w:sz w:val="20"/>
          <w:szCs w:val="20"/>
          <w:color w:val="auto"/>
        </w:rPr>
      </w:pPr>
      <w:r>
        <w:rPr>
          <w:rFonts w:ascii="Arial" w:cs="Arial" w:eastAsia="Arial" w:hAnsi="Arial"/>
          <w:sz w:val="16"/>
          <w:szCs w:val="16"/>
          <w:color w:val="auto"/>
        </w:rPr>
        <w:t>Net cash provided by operating activities was $7.2 million and $44.4 million for the nine months ended September 30, 2022 and 2021, respectively. The decrease in cash provided by operating activities was primarily due to an increase in inventory in 2022 and other changes in working capital.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Consolidated Statements of Operations</w:t>
      </w:r>
    </w:p>
    <w:p>
      <w:pPr>
        <w:spacing w:after="0" w:line="175"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 Net sales represents total charges to customers, net of returns, and includes freight charged to customers. We recognize sales at the time that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spacing w:after="0" w:line="120" w:lineRule="exact"/>
        <w:rPr>
          <w:sz w:val="20"/>
          <w:szCs w:val="20"/>
          <w:color w:val="auto"/>
        </w:rPr>
      </w:pPr>
    </w:p>
    <w:p>
      <w:pPr>
        <w:ind w:right="60"/>
        <w:spacing w:after="0" w:line="247" w:lineRule="auto"/>
        <w:rPr>
          <w:sz w:val="20"/>
          <w:szCs w:val="20"/>
          <w:color w:val="auto"/>
        </w:rPr>
      </w:pPr>
      <w:r>
        <w:rPr>
          <w:rFonts w:ascii="Arial" w:cs="Arial" w:eastAsia="Arial" w:hAnsi="Arial"/>
          <w:sz w:val="17"/>
          <w:szCs w:val="17"/>
          <w:color w:val="auto"/>
        </w:rPr>
        <w:t>Comparable store sales growth is the percentage change in sales of comparable stores period-over-period. A store is considered comparable on the first day of the 13th full month of operation. When a store is relocated, it is excluded from the comparable store sales growth calculation. Comparable store sales growth amounts include total charges to customers less any actual returns. We include the change in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growth (decline) metric provides useful information to both management and investors to evaluate the Company’s performance, the effectiveness of its strategy and its competitive position.</w:t>
      </w:r>
    </w:p>
    <w:p>
      <w:pPr>
        <w:spacing w:after="0" w:line="158"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 Cost of sales consists primarily of material costs, freight, customs and duties fees, and storage and delivery of product to the customers,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physical inventory losses and costs associated with manufacturing of setting and maintenance materials.</w:t>
      </w:r>
    </w:p>
    <w:p>
      <w:pPr>
        <w:spacing w:after="0" w:line="156" w:lineRule="exact"/>
        <w:rPr>
          <w:sz w:val="20"/>
          <w:szCs w:val="20"/>
          <w:color w:val="auto"/>
        </w:rPr>
      </w:pPr>
    </w:p>
    <w:p>
      <w:pPr>
        <w:ind w:right="1780"/>
        <w:spacing w:after="0" w:line="24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 Gross profit is net sales less cost of sales. Gross margin rate is the percentage determined by dividing gross profit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w:t>
      </w:r>
    </w:p>
    <w:p>
      <w:pPr>
        <w:spacing w:after="0" w:line="156" w:lineRule="exact"/>
        <w:rPr>
          <w:sz w:val="20"/>
          <w:szCs w:val="20"/>
          <w:color w:val="auto"/>
        </w:rPr>
      </w:pPr>
    </w:p>
    <w:p>
      <w:pPr>
        <w:jc w:val="both"/>
        <w:ind w:right="480"/>
        <w:spacing w:after="0"/>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 Selling, general, and administrative expenses consist primarily of compensation costs, occupancy,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utilities, maintenance costs, advertising costs, shipping and transportation expenses to move inventory from our distribution centers to our stores, and depreciation and amortization.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We are subject to income tax in the United States as well as other tax jurisdictions in which we conduct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5" w:lineRule="exact"/>
        <w:rPr>
          <w:sz w:val="20"/>
          <w:szCs w:val="20"/>
          <w:color w:val="auto"/>
        </w:rPr>
      </w:pPr>
    </w:p>
    <w:p>
      <w:pPr>
        <w:ind w:left="1560"/>
        <w:spacing w:after="0"/>
        <w:rPr>
          <w:sz w:val="20"/>
          <w:szCs w:val="20"/>
          <w:color w:val="auto"/>
        </w:rPr>
      </w:pPr>
      <w:r>
        <w:rPr>
          <w:rFonts w:ascii="Arial" w:cs="Arial" w:eastAsia="Arial" w:hAnsi="Arial"/>
          <w:sz w:val="18"/>
          <w:szCs w:val="18"/>
          <w:b w:val="1"/>
          <w:bCs w:val="1"/>
          <w:u w:val="single" w:color="auto"/>
          <w:color w:val="auto"/>
        </w:rPr>
        <w:t>Comparison of the three months ended September 30, 2022 to the three months ended September 30, 2021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54"/>
        </w:trPr>
        <w:tc>
          <w:tcPr>
            <w:tcW w:w="5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2"/>
                <w:szCs w:val="22"/>
                <w:color w:val="auto"/>
              </w:rPr>
            </w:pPr>
          </w:p>
        </w:tc>
        <w:tc>
          <w:tcPr>
            <w:tcW w:w="1500" w:type="dxa"/>
            <w:vAlign w:val="bottom"/>
            <w:gridSpan w:val="3"/>
          </w:tcPr>
          <w:p>
            <w:pPr>
              <w:ind w:left="200"/>
              <w:spacing w:after="0" w:line="253" w:lineRule="exact"/>
              <w:rPr>
                <w:sz w:val="20"/>
                <w:szCs w:val="20"/>
                <w:color w:val="auto"/>
              </w:rPr>
            </w:pPr>
            <w:r>
              <w:rPr>
                <w:rFonts w:ascii="Arial" w:cs="Arial" w:eastAsia="Arial" w:hAnsi="Arial"/>
                <w:sz w:val="18"/>
                <w:szCs w:val="18"/>
                <w:color w:val="auto"/>
              </w:rPr>
              <w:t>% of sales</w:t>
            </w:r>
            <w:r>
              <w:rPr>
                <w:rFonts w:ascii="Arial" w:cs="Arial" w:eastAsia="Arial" w:hAnsi="Arial"/>
                <w:sz w:val="29"/>
                <w:szCs w:val="29"/>
                <w:color w:val="auto"/>
                <w:vertAlign w:val="superscript"/>
              </w:rPr>
              <w:t>(1)</w:t>
            </w:r>
          </w:p>
        </w:tc>
        <w:tc>
          <w:tcPr>
            <w:tcW w:w="440" w:type="dxa"/>
            <w:vAlign w:val="bottom"/>
          </w:tcPr>
          <w:p>
            <w:pPr>
              <w:spacing w:after="0"/>
              <w:rPr>
                <w:sz w:val="22"/>
                <w:szCs w:val="22"/>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color w:val="auto"/>
                <w:w w:val="99"/>
              </w:rPr>
              <w:t>2021</w:t>
            </w:r>
          </w:p>
        </w:tc>
        <w:tc>
          <w:tcPr>
            <w:tcW w:w="160" w:type="dxa"/>
            <w:vAlign w:val="bottom"/>
          </w:tcPr>
          <w:p>
            <w:pPr>
              <w:spacing w:after="0"/>
              <w:rPr>
                <w:sz w:val="22"/>
                <w:szCs w:val="22"/>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 of sales</w:t>
            </w:r>
          </w:p>
        </w:tc>
      </w:tr>
      <w:tr>
        <w:trPr>
          <w:trHeight w:val="183"/>
        </w:trPr>
        <w:tc>
          <w:tcPr>
            <w:tcW w:w="5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97,154</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w:t>
            </w:r>
          </w:p>
        </w:tc>
        <w:tc>
          <w:tcPr>
            <w:tcW w:w="34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92,240</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32,542</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33.5</w:t>
            </w:r>
          </w:p>
        </w:tc>
        <w:tc>
          <w:tcPr>
            <w:tcW w:w="34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29,291</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31.8</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64,612</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66.5</w:t>
            </w:r>
          </w:p>
        </w:tc>
        <w:tc>
          <w:tcPr>
            <w:tcW w:w="34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62,949</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68.2</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59,109</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60.8</w:t>
            </w:r>
          </w:p>
        </w:tc>
        <w:tc>
          <w:tcPr>
            <w:tcW w:w="34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59,791</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64.8</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5,503</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5.7</w:t>
            </w:r>
          </w:p>
        </w:tc>
        <w:tc>
          <w:tcPr>
            <w:tcW w:w="34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3,158</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(319)</w:t>
            </w:r>
          </w:p>
        </w:tc>
        <w:tc>
          <w:tcPr>
            <w:tcW w:w="13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(0.3)%</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(204)</w:t>
            </w:r>
          </w:p>
        </w:tc>
        <w:tc>
          <w:tcPr>
            <w:tcW w:w="128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(0.2)%</w:t>
            </w:r>
          </w:p>
        </w:tc>
      </w:tr>
      <w:tr>
        <w:trPr>
          <w:trHeight w:val="183"/>
        </w:trPr>
        <w:tc>
          <w:tcPr>
            <w:tcW w:w="5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Income before income taxes</w:t>
            </w:r>
          </w:p>
        </w:tc>
        <w:tc>
          <w:tcPr>
            <w:tcW w:w="3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5,184</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5.3</w:t>
            </w:r>
          </w:p>
        </w:tc>
        <w:tc>
          <w:tcPr>
            <w:tcW w:w="34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2,954</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Pr>
          <w:p>
            <w:pPr>
              <w:spacing w:after="0" w:line="189" w:lineRule="exact"/>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(1,361)</w:t>
            </w:r>
          </w:p>
        </w:tc>
        <w:tc>
          <w:tcPr>
            <w:tcW w:w="13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(1.4)%</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(779)</w:t>
            </w:r>
          </w:p>
        </w:tc>
        <w:tc>
          <w:tcPr>
            <w:tcW w:w="128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(0.8)%</w:t>
            </w:r>
          </w:p>
        </w:tc>
      </w:tr>
      <w:tr>
        <w:trPr>
          <w:trHeight w:val="183"/>
        </w:trPr>
        <w:tc>
          <w:tcPr>
            <w:tcW w:w="53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3,823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gridSpan w:val="2"/>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3.9 %</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2,175</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gridSpan w:val="2"/>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2.4 %</w:t>
            </w:r>
          </w:p>
        </w:tc>
      </w:tr>
      <w:tr>
        <w:trPr>
          <w:trHeight w:val="20"/>
        </w:trPr>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Amounts do not foot due to rounding.</w:t>
      </w:r>
    </w:p>
    <w:p>
      <w:pPr>
        <w:spacing w:after="0" w:line="95" w:lineRule="exact"/>
        <w:rPr>
          <w:sz w:val="20"/>
          <w:szCs w:val="20"/>
          <w:color w:val="auto"/>
        </w:rPr>
      </w:pPr>
    </w:p>
    <w:p>
      <w:pPr>
        <w:jc w:val="both"/>
        <w:ind w:right="20"/>
        <w:spacing w:after="0" w:line="307"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Net sales for the third quarter of 2022 increased $4.9 million, or 5.3%, compared with the third quarter of 2021. Sales increased at comparable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stores by 5.3% during the third quarter of 2022 compared to the third quarter of 2021, primarily due to an increase in average ticket driven by higher prices.</w:t>
      </w:r>
    </w:p>
    <w:p>
      <w:pPr>
        <w:spacing w:after="0" w:line="110"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third quarter of 2022 increased $1.7 million, or 2.6%, compared with the third quarter of 2021, primarily due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sales. The gross margin rate was 66.5% and 68.2% during the third quarter of 2022 and 2021, respectively. The decrease in the gross margin rate was primarily due to an increase in the cost of our products driven by vendor cost increases and higher international freight rates, which were partially offset by an increase in our selling prices.</w:t>
      </w:r>
    </w:p>
    <w:p>
      <w:pPr>
        <w:spacing w:after="0" w:line="161"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for the third quarter of 2022 decreased $0.7 million, or 1.1%,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$59.8 million in the third quarter of 2021 to $59.1 million in the third quarter of 2022, due primarily to a $0.7 million asset impairment charge incurred during the third quarter of 2021 and no asset impairment charges in the third quarter of 2022. In addition, the Company recognized a $0.8 million benefit related to a lease incentive, which was mostly offset by a $0.7 million increase in pay and benefits expenses during the third quarter of 2022.</w:t>
      </w:r>
    </w:p>
    <w:p>
      <w:pPr>
        <w:spacing w:after="0" w:line="138"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$0.3 million and $0.2 million for the third quarter of 2022 and 2021, respectively. The increase was due 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outstanding debt during the third quarter of 2022 as compared to the third quarter of 2021.</w:t>
      </w:r>
    </w:p>
    <w:p>
      <w:pPr>
        <w:spacing w:after="0" w:line="156" w:lineRule="exact"/>
        <w:rPr>
          <w:sz w:val="20"/>
          <w:szCs w:val="20"/>
          <w:color w:val="auto"/>
        </w:rPr>
      </w:pPr>
    </w:p>
    <w:p>
      <w:pPr>
        <w:ind w:right="320"/>
        <w:spacing w:after="0"/>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The provision for income taxes was $1.4 million and $0.8 million for the third quarter of 2022 and 2021, respectively.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the provision for income tax was largely due to the increase in income before taxes. Our effective tax rate for the three months ended September 30, 2022 and 2021 was 26.3% and 26.4%, respectively.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Comparison of the nine months ended September 30, 2022 to the nine months ended September 30, 2021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54"/>
        </w:trPr>
        <w:tc>
          <w:tcPr>
            <w:tcW w:w="5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jc w:val="right"/>
              <w:ind w:right="43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2"/>
                <w:szCs w:val="22"/>
                <w:color w:val="auto"/>
              </w:rPr>
            </w:pPr>
          </w:p>
        </w:tc>
        <w:tc>
          <w:tcPr>
            <w:tcW w:w="1500" w:type="dxa"/>
            <w:vAlign w:val="bottom"/>
            <w:gridSpan w:val="3"/>
          </w:tcPr>
          <w:p>
            <w:pPr>
              <w:ind w:left="200"/>
              <w:spacing w:after="0" w:line="253" w:lineRule="exact"/>
              <w:rPr>
                <w:sz w:val="20"/>
                <w:szCs w:val="20"/>
                <w:color w:val="auto"/>
              </w:rPr>
            </w:pPr>
            <w:r>
              <w:rPr>
                <w:rFonts w:ascii="Arial" w:cs="Arial" w:eastAsia="Arial" w:hAnsi="Arial"/>
                <w:sz w:val="18"/>
                <w:szCs w:val="18"/>
                <w:color w:val="auto"/>
              </w:rPr>
              <w:t>% of sales</w:t>
            </w:r>
            <w:r>
              <w:rPr>
                <w:rFonts w:ascii="Arial" w:cs="Arial" w:eastAsia="Arial" w:hAnsi="Arial"/>
                <w:sz w:val="29"/>
                <w:szCs w:val="29"/>
                <w:color w:val="auto"/>
                <w:vertAlign w:val="superscript"/>
              </w:rPr>
              <w:t>(1)</w:t>
            </w:r>
          </w:p>
        </w:tc>
        <w:tc>
          <w:tcPr>
            <w:tcW w:w="440" w:type="dxa"/>
            <w:vAlign w:val="bottom"/>
          </w:tcPr>
          <w:p>
            <w:pPr>
              <w:spacing w:after="0"/>
              <w:rPr>
                <w:sz w:val="22"/>
                <w:szCs w:val="22"/>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color w:val="auto"/>
                <w:w w:val="99"/>
              </w:rPr>
              <w:t>2021</w:t>
            </w:r>
          </w:p>
        </w:tc>
        <w:tc>
          <w:tcPr>
            <w:tcW w:w="160" w:type="dxa"/>
            <w:vAlign w:val="bottom"/>
          </w:tcPr>
          <w:p>
            <w:pPr>
              <w:spacing w:after="0"/>
              <w:rPr>
                <w:sz w:val="22"/>
                <w:szCs w:val="22"/>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 of sales</w:t>
            </w:r>
          </w:p>
        </w:tc>
      </w:tr>
      <w:tr>
        <w:trPr>
          <w:trHeight w:val="183"/>
        </w:trPr>
        <w:tc>
          <w:tcPr>
            <w:tcW w:w="5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307,230</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w:t>
            </w:r>
          </w:p>
        </w:tc>
        <w:tc>
          <w:tcPr>
            <w:tcW w:w="34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280,517</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100.0</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104,754</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34.1</w:t>
            </w:r>
          </w:p>
        </w:tc>
        <w:tc>
          <w:tcPr>
            <w:tcW w:w="34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86,957</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31.0</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202,476</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65.9</w:t>
            </w:r>
          </w:p>
        </w:tc>
        <w:tc>
          <w:tcPr>
            <w:tcW w:w="34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193,560</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69.0</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182,459</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59.4</w:t>
            </w:r>
          </w:p>
        </w:tc>
        <w:tc>
          <w:tcPr>
            <w:tcW w:w="34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175,880</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62.7</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20,017</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17,680</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6"/>
                <w:szCs w:val="16"/>
                <w:color w:val="auto"/>
              </w:rPr>
            </w:pPr>
          </w:p>
        </w:tc>
        <w:tc>
          <w:tcPr>
            <w:tcW w:w="14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(786)</w:t>
            </w:r>
          </w:p>
        </w:tc>
        <w:tc>
          <w:tcPr>
            <w:tcW w:w="13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(0.3)%</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(517)</w:t>
            </w:r>
          </w:p>
        </w:tc>
        <w:tc>
          <w:tcPr>
            <w:tcW w:w="128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(0.2)%</w:t>
            </w:r>
          </w:p>
        </w:tc>
      </w:tr>
      <w:tr>
        <w:trPr>
          <w:trHeight w:val="183"/>
        </w:trPr>
        <w:tc>
          <w:tcPr>
            <w:tcW w:w="53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19,231</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6.3</w:t>
            </w:r>
          </w:p>
        </w:tc>
        <w:tc>
          <w:tcPr>
            <w:tcW w:w="34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17,163</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6.1</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Pr>
          <w:p>
            <w:pPr>
              <w:spacing w:after="0" w:line="189" w:lineRule="exact"/>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6"/>
                <w:szCs w:val="16"/>
                <w:color w:val="auto"/>
              </w:rPr>
            </w:pPr>
          </w:p>
        </w:tc>
        <w:tc>
          <w:tcPr>
            <w:tcW w:w="14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(4,981)</w:t>
            </w:r>
          </w:p>
        </w:tc>
        <w:tc>
          <w:tcPr>
            <w:tcW w:w="13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(1.6)%</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(4,197)</w:t>
            </w:r>
          </w:p>
        </w:tc>
        <w:tc>
          <w:tcPr>
            <w:tcW w:w="128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(1.5)%</w:t>
            </w:r>
          </w:p>
        </w:tc>
      </w:tr>
      <w:tr>
        <w:trPr>
          <w:trHeight w:val="183"/>
        </w:trPr>
        <w:tc>
          <w:tcPr>
            <w:tcW w:w="53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14,250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gridSpan w:val="2"/>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4.6 %</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12,966</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gridSpan w:val="2"/>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4.6 %</w:t>
            </w:r>
          </w:p>
        </w:tc>
      </w:tr>
      <w:tr>
        <w:trPr>
          <w:trHeight w:val="20"/>
        </w:trPr>
        <w:tc>
          <w:tcPr>
            <w:tcW w:w="5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331"/>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970"/>
              <w:spacing w:after="0"/>
              <w:rPr>
                <w:sz w:val="20"/>
                <w:szCs w:val="20"/>
                <w:color w:val="auto"/>
              </w:rPr>
            </w:pPr>
            <w:r>
              <w:rPr>
                <w:rFonts w:ascii="Arial" w:cs="Arial" w:eastAsia="Arial" w:hAnsi="Arial"/>
                <w:sz w:val="18"/>
                <w:szCs w:val="18"/>
                <w:color w:val="auto"/>
                <w:w w:val="99"/>
              </w:rPr>
              <w:t>19</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31"/>
        </w:trPr>
        <w:tc>
          <w:tcPr>
            <w:tcW w:w="5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0" w:lineRule="exact"/>
        <w:rPr>
          <w:sz w:val="20"/>
          <w:szCs w:val="20"/>
          <w:color w:val="auto"/>
        </w:rPr>
      </w:pPr>
    </w:p>
    <w:p>
      <w:pPr>
        <w:spacing w:after="0" w:line="339" w:lineRule="exact"/>
        <w:rPr>
          <w:sz w:val="20"/>
          <w:szCs w:val="20"/>
          <w:color w:val="auto"/>
        </w:rPr>
      </w:pPr>
    </w:p>
    <w:p>
      <w:pPr>
        <w:ind w:left="220" w:hanging="212"/>
        <w:spacing w:after="0"/>
        <w:tabs>
          <w:tab w:leader="none" w:pos="22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Amounts do not foot due to rounding.</w:t>
      </w:r>
    </w:p>
    <w:p>
      <w:pPr>
        <w:spacing w:after="0" w:line="175" w:lineRule="exact"/>
        <w:rPr>
          <w:sz w:val="20"/>
          <w:szCs w:val="20"/>
          <w:color w:val="auto"/>
        </w:rPr>
      </w:pPr>
    </w:p>
    <w:p>
      <w:pPr>
        <w:ind w:right="80"/>
        <w:spacing w:after="0" w:line="29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for the nine months ended September 30, 2022 increased $26.7 million, or 9.5%, compared with the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Sales increased at comparable stores by 9.5% during the nine months ended September 30, 2022 when compared to the nine months ended September 30, 2021, primarily due to an increase in average ticket driven by higher prices.</w:t>
      </w:r>
    </w:p>
    <w:p>
      <w:pPr>
        <w:spacing w:after="0" w:line="168"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nine months ended September 30, 2022 increased $8.9 million, or 4.6%, compared with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2021. The gross margin rate was 65.9% and 69.0% for the nine months ended September 30, 2022 and 2021, respectively. The decrease in the gross margin rate was primarily due to an increase in the cost of our products driven by vendor cost increases and higher international freight rates, which were partially offset by an increase in our selling prices.</w:t>
      </w:r>
    </w:p>
    <w:p>
      <w:pPr>
        <w:spacing w:after="0" w:line="148"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for the nine months ended September 30, 2022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$6.6 million, or 3.7%, compared with the nine months ended September 30, 2021. The increase in selling, general, and administrative expenses was primarily due to a $5.5 million increase in pay and benefits, a $1.7 million increase in marketing expenses, and a $1.0 million increase in software and IT expenses that were partially offset by a $1.9 million decrease in depreciation expense. The increase in pay and benefits included a $9.5 million increase in wages and benefits resulting from an increase in staffing levels, sales commissions and benefits costs. This increase was partially offset by a $4.0 million decrease in bonus expenses due to a reduction in accruals for annual incentives and a decrease in sales bonuses.</w:t>
      </w:r>
    </w:p>
    <w:p>
      <w:pPr>
        <w:spacing w:after="0" w:line="18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$0.8 million and $0.5 million for the nine months ended September 30, 2022 and 2021, respectively. The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due to the increase in outstanding debt during the nine months ended September 30, 2022.</w:t>
      </w:r>
    </w:p>
    <w:p>
      <w:pPr>
        <w:spacing w:after="0" w:line="156" w:lineRule="exact"/>
        <w:rPr>
          <w:sz w:val="20"/>
          <w:szCs w:val="20"/>
          <w:color w:val="auto"/>
        </w:rPr>
      </w:pPr>
    </w:p>
    <w:p>
      <w:pPr>
        <w:ind w:right="380"/>
        <w:spacing w:after="0" w:line="261" w:lineRule="auto"/>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Provision for income taxes increased $0.8 million for the nine months ended September 30, 2022 compared with the nine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September 30, 2021 due to an increase in pretax income and a decrease in the tax benefits recognized with respect to restricted stock vestings. Our effective tax rate for the nine months ended September 30, 2022 and 2021 was 25.9% and 24.5%,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89" w:lineRule="exact"/>
        <w:rPr>
          <w:sz w:val="20"/>
          <w:szCs w:val="20"/>
          <w:color w:val="auto"/>
        </w:rPr>
      </w:pPr>
    </w:p>
    <w:p>
      <w:pPr>
        <w:ind w:right="60"/>
        <w:spacing w:after="0" w:line="232" w:lineRule="auto"/>
        <w:rPr>
          <w:sz w:val="20"/>
          <w:szCs w:val="20"/>
          <w:color w:val="auto"/>
        </w:rPr>
      </w:pPr>
      <w:r>
        <w:rPr>
          <w:rFonts w:ascii="Arial" w:cs="Arial" w:eastAsia="Arial" w:hAnsi="Arial"/>
          <w:sz w:val="18"/>
          <w:szCs w:val="18"/>
          <w:color w:val="auto"/>
        </w:rPr>
        <w:t>We calculate Adjusted EBITDA by taking net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 We calculate pretax return on capital employed by taking income from operations divided by capital employed. Capital employed equals total assets less accounts payable, income taxes payable, other accrued liabilities, lease liability and other long-term liabilities. Other companies may calculate both Adjusted EBITDA and pretax return on capital employed differently, limiting the usefulness of these measures for comparative purposes.</w:t>
      </w:r>
    </w:p>
    <w:p>
      <w:pPr>
        <w:spacing w:after="0" w:line="149"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15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Adjusted EBITDA to net income for the three and nine months ended September 30, 2022 and 2021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89"/>
        </w:trPr>
        <w:tc>
          <w:tcPr>
            <w:tcW w:w="5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40" w:type="dxa"/>
            <w:vAlign w:val="bottom"/>
            <w:gridSpan w:val="5"/>
          </w:tcPr>
          <w:p>
            <w:pPr>
              <w:jc w:val="right"/>
              <w:ind w:right="670"/>
              <w:spacing w:after="0" w:line="189" w:lineRule="exact"/>
              <w:rPr>
                <w:sz w:val="20"/>
                <w:szCs w:val="20"/>
                <w:color w:val="auto"/>
              </w:rPr>
            </w:pPr>
            <w:r>
              <w:rPr>
                <w:rFonts w:ascii="Arial" w:cs="Arial" w:eastAsia="Arial" w:hAnsi="Arial"/>
                <w:sz w:val="18"/>
                <w:szCs w:val="18"/>
                <w:color w:val="auto"/>
              </w:rPr>
              <w:t>Three Months Ended</w:t>
            </w: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17"/>
        </w:trPr>
        <w:tc>
          <w:tcPr>
            <w:tcW w:w="5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jc w:val="right"/>
              <w:ind w:right="910"/>
              <w:spacing w:after="0"/>
              <w:rPr>
                <w:sz w:val="20"/>
                <w:szCs w:val="20"/>
                <w:color w:val="auto"/>
              </w:rPr>
            </w:pPr>
            <w:r>
              <w:rPr>
                <w:rFonts w:ascii="Arial" w:cs="Arial" w:eastAsia="Arial" w:hAnsi="Arial"/>
                <w:sz w:val="18"/>
                <w:szCs w:val="18"/>
                <w:color w:val="auto"/>
              </w:rPr>
              <w:t>September 30,</w:t>
            </w: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r>
      <w:tr>
        <w:trPr>
          <w:trHeight w:val="250"/>
        </w:trPr>
        <w:tc>
          <w:tcPr>
            <w:tcW w:w="5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2022</w:t>
            </w:r>
          </w:p>
        </w:tc>
        <w:tc>
          <w:tcPr>
            <w:tcW w:w="40" w:type="dxa"/>
            <w:vAlign w:val="bottom"/>
          </w:tcPr>
          <w:p>
            <w:pPr>
              <w:spacing w:after="0"/>
              <w:rPr>
                <w:sz w:val="21"/>
                <w:szCs w:val="21"/>
                <w:color w:val="auto"/>
              </w:rPr>
            </w:pPr>
          </w:p>
        </w:tc>
        <w:tc>
          <w:tcPr>
            <w:tcW w:w="1300" w:type="dxa"/>
            <w:vAlign w:val="bottom"/>
            <w:gridSpan w:val="3"/>
          </w:tcPr>
          <w:p>
            <w:pPr>
              <w:ind w:left="160"/>
              <w:spacing w:after="0" w:line="250" w:lineRule="exact"/>
              <w:rPr>
                <w:sz w:val="20"/>
                <w:szCs w:val="20"/>
                <w:color w:val="auto"/>
              </w:rPr>
            </w:pPr>
            <w:r>
              <w:rPr>
                <w:rFonts w:ascii="Arial" w:cs="Arial" w:eastAsia="Arial" w:hAnsi="Arial"/>
                <w:sz w:val="17"/>
                <w:szCs w:val="17"/>
                <w:color w:val="auto"/>
              </w:rPr>
              <w:t>% of sales</w:t>
            </w:r>
            <w:r>
              <w:rPr>
                <w:rFonts w:ascii="Arial" w:cs="Arial" w:eastAsia="Arial" w:hAnsi="Arial"/>
                <w:sz w:val="28"/>
                <w:szCs w:val="28"/>
                <w:color w:val="auto"/>
                <w:vertAlign w:val="superscript"/>
              </w:rPr>
              <w:t>(1)</w:t>
            </w:r>
          </w:p>
        </w:tc>
        <w:tc>
          <w:tcPr>
            <w:tcW w:w="500" w:type="dxa"/>
            <w:vAlign w:val="bottom"/>
          </w:tcPr>
          <w:p>
            <w:pPr>
              <w:spacing w:after="0"/>
              <w:rPr>
                <w:sz w:val="21"/>
                <w:szCs w:val="21"/>
                <w:color w:val="auto"/>
              </w:rPr>
            </w:pPr>
          </w:p>
        </w:tc>
        <w:tc>
          <w:tcPr>
            <w:tcW w:w="1040" w:type="dxa"/>
            <w:vAlign w:val="bottom"/>
          </w:tcPr>
          <w:p>
            <w:pPr>
              <w:jc w:val="right"/>
              <w:ind w:right="570"/>
              <w:spacing w:after="0"/>
              <w:rPr>
                <w:sz w:val="20"/>
                <w:szCs w:val="20"/>
                <w:color w:val="auto"/>
              </w:rPr>
            </w:pPr>
            <w:r>
              <w:rPr>
                <w:rFonts w:ascii="Arial" w:cs="Arial" w:eastAsia="Arial" w:hAnsi="Arial"/>
                <w:sz w:val="18"/>
                <w:szCs w:val="18"/>
                <w:color w:val="auto"/>
                <w:w w:val="89"/>
              </w:rPr>
              <w:t>2021</w:t>
            </w:r>
          </w:p>
        </w:tc>
        <w:tc>
          <w:tcPr>
            <w:tcW w:w="940" w:type="dxa"/>
            <w:vAlign w:val="bottom"/>
          </w:tcPr>
          <w:p>
            <w:pPr>
              <w:jc w:val="right"/>
              <w:spacing w:after="0"/>
              <w:rPr>
                <w:sz w:val="20"/>
                <w:szCs w:val="20"/>
                <w:color w:val="auto"/>
              </w:rPr>
            </w:pPr>
            <w:r>
              <w:rPr>
                <w:rFonts w:ascii="Arial" w:cs="Arial" w:eastAsia="Arial" w:hAnsi="Arial"/>
                <w:sz w:val="18"/>
                <w:szCs w:val="18"/>
                <w:color w:val="auto"/>
              </w:rPr>
              <w:t>% of sales</w:t>
            </w:r>
          </w:p>
        </w:tc>
        <w:tc>
          <w:tcPr>
            <w:tcW w:w="280" w:type="dxa"/>
            <w:vAlign w:val="bottom"/>
          </w:tcPr>
          <w:p>
            <w:pPr>
              <w:spacing w:after="0"/>
              <w:rPr>
                <w:sz w:val="21"/>
                <w:szCs w:val="21"/>
                <w:color w:val="auto"/>
              </w:rPr>
            </w:pPr>
          </w:p>
        </w:tc>
      </w:tr>
      <w:tr>
        <w:trPr>
          <w:trHeight w:val="183"/>
        </w:trPr>
        <w:tc>
          <w:tcPr>
            <w:tcW w:w="57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3,823</w:t>
            </w:r>
          </w:p>
        </w:tc>
        <w:tc>
          <w:tcPr>
            <w:tcW w:w="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gridSpan w:val="2"/>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3.9 %</w:t>
            </w:r>
          </w:p>
        </w:tc>
        <w:tc>
          <w:tcPr>
            <w:tcW w:w="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jc w:val="right"/>
              <w:ind w:right="31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rPr>
              <w:t>2,175</w:t>
            </w:r>
          </w:p>
        </w:tc>
        <w:tc>
          <w:tcPr>
            <w:tcW w:w="94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2.4</w:t>
            </w:r>
          </w:p>
        </w:tc>
        <w:tc>
          <w:tcPr>
            <w:tcW w:w="28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74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319</w:t>
            </w:r>
          </w:p>
        </w:tc>
        <w:tc>
          <w:tcPr>
            <w:tcW w:w="4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0.3</w:t>
            </w:r>
          </w:p>
        </w:tc>
        <w:tc>
          <w:tcPr>
            <w:tcW w:w="280" w:type="dxa"/>
            <w:vAlign w:val="bottom"/>
          </w:tcPr>
          <w:p>
            <w:pPr>
              <w:jc w:val="right"/>
              <w:ind w:right="10"/>
              <w:spacing w:after="0" w:line="189"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204</w:t>
            </w:r>
          </w:p>
        </w:tc>
        <w:tc>
          <w:tcPr>
            <w:tcW w:w="940" w:type="dxa"/>
            <w:vAlign w:val="bottom"/>
          </w:tcPr>
          <w:p>
            <w:pPr>
              <w:jc w:val="right"/>
              <w:ind w:right="10"/>
              <w:spacing w:after="0" w:line="189" w:lineRule="exact"/>
              <w:rPr>
                <w:sz w:val="20"/>
                <w:szCs w:val="20"/>
                <w:color w:val="auto"/>
              </w:rPr>
            </w:pPr>
            <w:r>
              <w:rPr>
                <w:rFonts w:ascii="Arial" w:cs="Arial" w:eastAsia="Arial" w:hAnsi="Arial"/>
                <w:sz w:val="18"/>
                <w:szCs w:val="18"/>
                <w:color w:val="auto"/>
              </w:rPr>
              <w:t>0.2</w:t>
            </w:r>
          </w:p>
        </w:tc>
        <w:tc>
          <w:tcPr>
            <w:tcW w:w="280" w:type="dxa"/>
            <w:vAlign w:val="bottom"/>
          </w:tcPr>
          <w:p>
            <w:pPr>
              <w:jc w:val="right"/>
              <w:ind w:right="10"/>
              <w:spacing w:after="0" w:line="189" w:lineRule="exact"/>
              <w:rPr>
                <w:sz w:val="20"/>
                <w:szCs w:val="20"/>
                <w:color w:val="auto"/>
              </w:rPr>
            </w:pPr>
            <w:r>
              <w:rPr>
                <w:rFonts w:ascii="Arial" w:cs="Arial" w:eastAsia="Arial" w:hAnsi="Arial"/>
                <w:sz w:val="18"/>
                <w:szCs w:val="18"/>
                <w:color w:val="auto"/>
                <w:w w:val="99"/>
              </w:rPr>
              <w:t>%</w:t>
            </w:r>
          </w:p>
        </w:tc>
      </w:tr>
      <w:tr>
        <w:trPr>
          <w:trHeight w:val="189"/>
        </w:trPr>
        <w:tc>
          <w:tcPr>
            <w:tcW w:w="5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1,361</w:t>
            </w:r>
          </w:p>
        </w:tc>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779</w:t>
            </w:r>
          </w:p>
        </w:tc>
        <w:tc>
          <w:tcPr>
            <w:tcW w:w="94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99"/>
              </w:rPr>
              <w:t>%</w:t>
            </w:r>
          </w:p>
        </w:tc>
      </w:tr>
      <w:tr>
        <w:trPr>
          <w:trHeight w:val="189"/>
        </w:trPr>
        <w:tc>
          <w:tcPr>
            <w:tcW w:w="5740" w:type="dxa"/>
            <w:vAlign w:val="bottom"/>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6,157</w:t>
            </w:r>
          </w:p>
        </w:tc>
        <w:tc>
          <w:tcPr>
            <w:tcW w:w="4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6.3</w:t>
            </w:r>
          </w:p>
        </w:tc>
        <w:tc>
          <w:tcPr>
            <w:tcW w:w="280" w:type="dxa"/>
            <w:vAlign w:val="bottom"/>
          </w:tcPr>
          <w:p>
            <w:pPr>
              <w:jc w:val="right"/>
              <w:ind w:right="10"/>
              <w:spacing w:after="0" w:line="189"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ind w:right="110"/>
              <w:spacing w:after="0" w:line="189" w:lineRule="exact"/>
              <w:rPr>
                <w:sz w:val="20"/>
                <w:szCs w:val="20"/>
                <w:color w:val="auto"/>
              </w:rPr>
            </w:pPr>
            <w:r>
              <w:rPr>
                <w:rFonts w:ascii="Arial" w:cs="Arial" w:eastAsia="Arial" w:hAnsi="Arial"/>
                <w:sz w:val="18"/>
                <w:szCs w:val="18"/>
                <w:color w:val="auto"/>
              </w:rPr>
              <w:t>6,689</w:t>
            </w:r>
          </w:p>
        </w:tc>
        <w:tc>
          <w:tcPr>
            <w:tcW w:w="940" w:type="dxa"/>
            <w:vAlign w:val="bottom"/>
          </w:tcPr>
          <w:p>
            <w:pPr>
              <w:jc w:val="right"/>
              <w:ind w:right="10"/>
              <w:spacing w:after="0" w:line="189" w:lineRule="exact"/>
              <w:rPr>
                <w:sz w:val="20"/>
                <w:szCs w:val="20"/>
                <w:color w:val="auto"/>
              </w:rPr>
            </w:pPr>
            <w:r>
              <w:rPr>
                <w:rFonts w:ascii="Arial" w:cs="Arial" w:eastAsia="Arial" w:hAnsi="Arial"/>
                <w:sz w:val="18"/>
                <w:szCs w:val="18"/>
                <w:color w:val="auto"/>
              </w:rPr>
              <w:t>7.3</w:t>
            </w:r>
          </w:p>
        </w:tc>
        <w:tc>
          <w:tcPr>
            <w:tcW w:w="280" w:type="dxa"/>
            <w:vAlign w:val="bottom"/>
          </w:tcPr>
          <w:p>
            <w:pPr>
              <w:jc w:val="right"/>
              <w:ind w:right="10"/>
              <w:spacing w:after="0" w:line="189" w:lineRule="exact"/>
              <w:rPr>
                <w:sz w:val="20"/>
                <w:szCs w:val="20"/>
                <w:color w:val="auto"/>
              </w:rPr>
            </w:pPr>
            <w:r>
              <w:rPr>
                <w:rFonts w:ascii="Arial" w:cs="Arial" w:eastAsia="Arial" w:hAnsi="Arial"/>
                <w:sz w:val="18"/>
                <w:szCs w:val="18"/>
                <w:color w:val="auto"/>
                <w:w w:val="99"/>
              </w:rPr>
              <w:t>%</w:t>
            </w:r>
          </w:p>
        </w:tc>
      </w:tr>
      <w:tr>
        <w:trPr>
          <w:trHeight w:val="189"/>
        </w:trPr>
        <w:tc>
          <w:tcPr>
            <w:tcW w:w="5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563</w:t>
            </w:r>
          </w:p>
        </w:tc>
        <w:tc>
          <w:tcPr>
            <w:tcW w:w="40" w:type="dxa"/>
            <w:vAlign w:val="bottom"/>
            <w:shd w:val="clear" w:color="auto" w:fill="CCEEFF"/>
          </w:tcPr>
          <w:p>
            <w:pPr>
              <w:spacing w:after="0"/>
              <w:rPr>
                <w:sz w:val="16"/>
                <w:szCs w:val="16"/>
                <w:color w:val="auto"/>
              </w:rPr>
            </w:pPr>
          </w:p>
        </w:tc>
        <w:tc>
          <w:tcPr>
            <w:tcW w:w="1240" w:type="dxa"/>
            <w:vAlign w:val="bottom"/>
            <w:tcBorders>
              <w:bottom w:val="single" w:sz="8" w:color="auto"/>
            </w:tcBorders>
            <w:gridSpan w:val="2"/>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0.6 %</w:t>
            </w:r>
          </w:p>
        </w:tc>
        <w:tc>
          <w:tcPr>
            <w:tcW w:w="6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10"/>
              <w:spacing w:after="0" w:line="189" w:lineRule="exact"/>
              <w:rPr>
                <w:sz w:val="20"/>
                <w:szCs w:val="20"/>
                <w:color w:val="auto"/>
              </w:rPr>
            </w:pPr>
            <w:r>
              <w:rPr>
                <w:rFonts w:ascii="Arial" w:cs="Arial" w:eastAsia="Arial" w:hAnsi="Arial"/>
                <w:sz w:val="18"/>
                <w:szCs w:val="18"/>
                <w:color w:val="auto"/>
              </w:rPr>
              <w:t>560</w:t>
            </w:r>
          </w:p>
        </w:tc>
        <w:tc>
          <w:tcPr>
            <w:tcW w:w="94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0.6</w:t>
            </w:r>
          </w:p>
        </w:tc>
        <w:tc>
          <w:tcPr>
            <w:tcW w:w="28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74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12,223</w:t>
            </w:r>
          </w:p>
        </w:tc>
        <w:tc>
          <w:tcPr>
            <w:tcW w:w="40" w:type="dxa"/>
            <w:vAlign w:val="bottom"/>
          </w:tcPr>
          <w:p>
            <w:pPr>
              <w:spacing w:after="0"/>
              <w:rPr>
                <w:sz w:val="15"/>
                <w:szCs w:val="15"/>
                <w:color w:val="auto"/>
              </w:rPr>
            </w:pPr>
          </w:p>
        </w:tc>
        <w:tc>
          <w:tcPr>
            <w:tcW w:w="1240" w:type="dxa"/>
            <w:vAlign w:val="bottom"/>
            <w:tcBorders>
              <w:bottom w:val="single" w:sz="8" w:color="auto"/>
            </w:tcBorders>
            <w:gridSpan w:val="2"/>
          </w:tcPr>
          <w:p>
            <w:pPr>
              <w:jc w:val="right"/>
              <w:ind w:right="10"/>
              <w:spacing w:after="0" w:line="182" w:lineRule="exact"/>
              <w:rPr>
                <w:sz w:val="20"/>
                <w:szCs w:val="20"/>
                <w:color w:val="auto"/>
              </w:rPr>
            </w:pPr>
            <w:r>
              <w:rPr>
                <w:rFonts w:ascii="Arial" w:cs="Arial" w:eastAsia="Arial" w:hAnsi="Arial"/>
                <w:sz w:val="18"/>
                <w:szCs w:val="18"/>
                <w:color w:val="auto"/>
              </w:rPr>
              <w:t>12.6 %</w:t>
            </w:r>
          </w:p>
        </w:tc>
        <w:tc>
          <w:tcPr>
            <w:tcW w:w="60" w:type="dxa"/>
            <w:vAlign w:val="bottom"/>
          </w:tcPr>
          <w:p>
            <w:pPr>
              <w:spacing w:after="0"/>
              <w:rPr>
                <w:sz w:val="15"/>
                <w:szCs w:val="15"/>
                <w:color w:val="auto"/>
              </w:rPr>
            </w:pPr>
          </w:p>
        </w:tc>
        <w:tc>
          <w:tcPr>
            <w:tcW w:w="50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rPr>
              <w:t>10,407</w:t>
            </w:r>
          </w:p>
        </w:tc>
        <w:tc>
          <w:tcPr>
            <w:tcW w:w="94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11.3</w:t>
            </w:r>
          </w:p>
        </w:tc>
        <w:tc>
          <w:tcPr>
            <w:tcW w:w="28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99"/>
              </w:rPr>
              <w:t>%</w:t>
            </w:r>
          </w:p>
        </w:tc>
      </w:tr>
      <w:tr>
        <w:trPr>
          <w:trHeight w:val="20"/>
        </w:trPr>
        <w:tc>
          <w:tcPr>
            <w:tcW w:w="5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220" w:hanging="212"/>
        <w:spacing w:after="0"/>
        <w:tabs>
          <w:tab w:leader="none" w:pos="22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Amounts do not foot due to rounding.</w:t>
      </w:r>
    </w:p>
    <w:tbl>
      <w:tblPr>
        <w:tblLayout w:type="fixed"/>
        <w:tblInd w:w="0" w:type="dxa"/>
        <w:tblCellMar>
          <w:top w:w="0" w:type="dxa"/>
          <w:left w:w="0" w:type="dxa"/>
          <w:bottom w:w="0" w:type="dxa"/>
          <w:right w:w="0" w:type="dxa"/>
        </w:tblCellMar>
      </w:tblPr>
      <w:tr>
        <w:trPr>
          <w:trHeight w:val="175"/>
        </w:trPr>
        <w:tc>
          <w:tcPr>
            <w:tcW w:w="5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0" w:type="dxa"/>
            <w:vAlign w:val="bottom"/>
            <w:gridSpan w:val="4"/>
          </w:tcPr>
          <w:p>
            <w:pPr>
              <w:jc w:val="right"/>
              <w:spacing w:after="0" w:line="175" w:lineRule="exact"/>
              <w:rPr>
                <w:sz w:val="20"/>
                <w:szCs w:val="20"/>
                <w:color w:val="auto"/>
              </w:rPr>
            </w:pPr>
            <w:r>
              <w:rPr>
                <w:rFonts w:ascii="Arial" w:cs="Arial" w:eastAsia="Arial" w:hAnsi="Arial"/>
                <w:sz w:val="18"/>
                <w:szCs w:val="18"/>
                <w:color w:val="auto"/>
              </w:rPr>
              <w:t>(in thousands)</w:t>
            </w:r>
          </w:p>
        </w:tc>
        <w:tc>
          <w:tcPr>
            <w:tcW w:w="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9"/>
        </w:trPr>
        <w:tc>
          <w:tcPr>
            <w:tcW w:w="5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80" w:type="dxa"/>
            <w:vAlign w:val="bottom"/>
            <w:gridSpan w:val="5"/>
          </w:tcPr>
          <w:p>
            <w:pPr>
              <w:jc w:val="right"/>
              <w:ind w:right="650"/>
              <w:spacing w:after="0" w:line="189" w:lineRule="exact"/>
              <w:rPr>
                <w:sz w:val="20"/>
                <w:szCs w:val="20"/>
                <w:color w:val="auto"/>
              </w:rPr>
            </w:pPr>
            <w:r>
              <w:rPr>
                <w:rFonts w:ascii="Arial" w:cs="Arial" w:eastAsia="Arial" w:hAnsi="Arial"/>
                <w:sz w:val="18"/>
                <w:szCs w:val="18"/>
                <w:color w:val="auto"/>
              </w:rPr>
              <w:t>Nine Months Ended</w:t>
            </w: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17"/>
        </w:trPr>
        <w:tc>
          <w:tcPr>
            <w:tcW w:w="57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5"/>
          </w:tcPr>
          <w:p>
            <w:pPr>
              <w:jc w:val="right"/>
              <w:ind w:right="850"/>
              <w:spacing w:after="0"/>
              <w:rPr>
                <w:sz w:val="20"/>
                <w:szCs w:val="20"/>
                <w:color w:val="auto"/>
              </w:rPr>
            </w:pPr>
            <w:r>
              <w:rPr>
                <w:rFonts w:ascii="Arial" w:cs="Arial" w:eastAsia="Arial" w:hAnsi="Arial"/>
                <w:sz w:val="18"/>
                <w:szCs w:val="18"/>
                <w:color w:val="auto"/>
              </w:rPr>
              <w:t>September 30,</w:t>
            </w:r>
          </w:p>
        </w:tc>
        <w:tc>
          <w:tcPr>
            <w:tcW w:w="9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r>
      <w:tr>
        <w:trPr>
          <w:trHeight w:val="250"/>
        </w:trPr>
        <w:tc>
          <w:tcPr>
            <w:tcW w:w="57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c>
          <w:tcPr>
            <w:tcW w:w="4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of sales</w:t>
            </w:r>
          </w:p>
        </w:tc>
        <w:tc>
          <w:tcPr>
            <w:tcW w:w="2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89"/>
              </w:rPr>
              <w:t>2021</w:t>
            </w:r>
          </w:p>
        </w:tc>
        <w:tc>
          <w:tcPr>
            <w:tcW w:w="1280" w:type="dxa"/>
            <w:vAlign w:val="bottom"/>
            <w:tcBorders>
              <w:bottom w:val="single" w:sz="8" w:color="auto"/>
            </w:tcBorders>
            <w:gridSpan w:val="2"/>
          </w:tcPr>
          <w:p>
            <w:pPr>
              <w:jc w:val="right"/>
              <w:ind w:right="130"/>
              <w:spacing w:after="0" w:line="250" w:lineRule="exact"/>
              <w:rPr>
                <w:sz w:val="20"/>
                <w:szCs w:val="20"/>
                <w:color w:val="auto"/>
              </w:rPr>
            </w:pPr>
            <w:r>
              <w:rPr>
                <w:rFonts w:ascii="Arial" w:cs="Arial" w:eastAsia="Arial" w:hAnsi="Arial"/>
                <w:sz w:val="17"/>
                <w:szCs w:val="17"/>
                <w:color w:val="auto"/>
              </w:rPr>
              <w:t>% of sales</w:t>
            </w:r>
            <w:r>
              <w:rPr>
                <w:rFonts w:ascii="Arial" w:cs="Arial" w:eastAsia="Arial" w:hAnsi="Arial"/>
                <w:sz w:val="28"/>
                <w:szCs w:val="28"/>
                <w:color w:val="auto"/>
                <w:vertAlign w:val="superscript"/>
              </w:rPr>
              <w:t>(1)</w:t>
            </w:r>
          </w:p>
        </w:tc>
      </w:tr>
      <w:tr>
        <w:trPr>
          <w:trHeight w:val="183"/>
        </w:trPr>
        <w:tc>
          <w:tcPr>
            <w:tcW w:w="57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14,250</w:t>
            </w:r>
          </w:p>
        </w:tc>
        <w:tc>
          <w:tcPr>
            <w:tcW w:w="4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4.6 %</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1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12,966</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w:t>
            </w:r>
          </w:p>
        </w:tc>
      </w:tr>
      <w:tr>
        <w:trPr>
          <w:trHeight w:val="189"/>
        </w:trPr>
        <w:tc>
          <w:tcPr>
            <w:tcW w:w="574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786</w:t>
            </w:r>
          </w:p>
        </w:tc>
        <w:tc>
          <w:tcPr>
            <w:tcW w:w="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0.3</w:t>
            </w:r>
          </w:p>
        </w:tc>
        <w:tc>
          <w:tcPr>
            <w:tcW w:w="240" w:type="dxa"/>
            <w:vAlign w:val="bottom"/>
          </w:tcPr>
          <w:p>
            <w:pPr>
              <w:jc w:val="right"/>
              <w:ind w:right="10"/>
              <w:spacing w:after="0" w:line="189" w:lineRule="exact"/>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517</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0.2</w:t>
            </w:r>
          </w:p>
        </w:tc>
        <w:tc>
          <w:tcPr>
            <w:tcW w:w="320" w:type="dxa"/>
            <w:vAlign w:val="bottom"/>
          </w:tcPr>
          <w:p>
            <w:pPr>
              <w:jc w:val="right"/>
              <w:ind w:right="10"/>
              <w:spacing w:after="0" w:line="189" w:lineRule="exact"/>
              <w:rPr>
                <w:sz w:val="20"/>
                <w:szCs w:val="20"/>
                <w:color w:val="auto"/>
              </w:rPr>
            </w:pPr>
            <w:r>
              <w:rPr>
                <w:rFonts w:ascii="Arial" w:cs="Arial" w:eastAsia="Arial" w:hAnsi="Arial"/>
                <w:sz w:val="18"/>
                <w:szCs w:val="18"/>
                <w:color w:val="auto"/>
              </w:rPr>
              <w:t>%</w:t>
            </w:r>
          </w:p>
        </w:tc>
      </w:tr>
      <w:tr>
        <w:trPr>
          <w:trHeight w:val="189"/>
        </w:trPr>
        <w:tc>
          <w:tcPr>
            <w:tcW w:w="5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4,981</w:t>
            </w:r>
          </w:p>
        </w:tc>
        <w:tc>
          <w:tcPr>
            <w:tcW w:w="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4"/>
              </w:rPr>
              <w:t>%</w:t>
            </w: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4,197</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r>
      <w:tr>
        <w:trPr>
          <w:trHeight w:val="189"/>
        </w:trPr>
        <w:tc>
          <w:tcPr>
            <w:tcW w:w="5740" w:type="dxa"/>
            <w:vAlign w:val="bottom"/>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6"/>
                <w:szCs w:val="16"/>
                <w:color w:val="auto"/>
              </w:rPr>
            </w:pPr>
          </w:p>
        </w:tc>
        <w:tc>
          <w:tcPr>
            <w:tcW w:w="1100" w:type="dxa"/>
            <w:vAlign w:val="bottom"/>
          </w:tcPr>
          <w:p>
            <w:pPr>
              <w:jc w:val="right"/>
              <w:spacing w:after="0" w:line="189" w:lineRule="exact"/>
              <w:rPr>
                <w:sz w:val="20"/>
                <w:szCs w:val="20"/>
                <w:color w:val="auto"/>
              </w:rPr>
            </w:pPr>
            <w:r>
              <w:rPr>
                <w:rFonts w:ascii="Arial" w:cs="Arial" w:eastAsia="Arial" w:hAnsi="Arial"/>
                <w:sz w:val="18"/>
                <w:szCs w:val="18"/>
                <w:color w:val="auto"/>
              </w:rPr>
              <w:t>19,011</w:t>
            </w:r>
          </w:p>
        </w:tc>
        <w:tc>
          <w:tcPr>
            <w:tcW w:w="4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6.2</w:t>
            </w:r>
          </w:p>
        </w:tc>
        <w:tc>
          <w:tcPr>
            <w:tcW w:w="240" w:type="dxa"/>
            <w:vAlign w:val="bottom"/>
          </w:tcPr>
          <w:p>
            <w:pPr>
              <w:jc w:val="right"/>
              <w:ind w:right="10"/>
              <w:spacing w:after="0" w:line="189" w:lineRule="exact"/>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0"/>
              <w:spacing w:after="0" w:line="189" w:lineRule="exact"/>
              <w:rPr>
                <w:sz w:val="20"/>
                <w:szCs w:val="20"/>
                <w:color w:val="auto"/>
              </w:rPr>
            </w:pPr>
            <w:r>
              <w:rPr>
                <w:rFonts w:ascii="Arial" w:cs="Arial" w:eastAsia="Arial" w:hAnsi="Arial"/>
                <w:sz w:val="18"/>
                <w:szCs w:val="18"/>
                <w:color w:val="auto"/>
              </w:rPr>
              <w:t>20,948</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7.5</w:t>
            </w:r>
          </w:p>
        </w:tc>
        <w:tc>
          <w:tcPr>
            <w:tcW w:w="320" w:type="dxa"/>
            <w:vAlign w:val="bottom"/>
          </w:tcPr>
          <w:p>
            <w:pPr>
              <w:jc w:val="right"/>
              <w:ind w:right="10"/>
              <w:spacing w:after="0" w:line="189" w:lineRule="exact"/>
              <w:rPr>
                <w:sz w:val="20"/>
                <w:szCs w:val="20"/>
                <w:color w:val="auto"/>
              </w:rPr>
            </w:pPr>
            <w:r>
              <w:rPr>
                <w:rFonts w:ascii="Arial" w:cs="Arial" w:eastAsia="Arial" w:hAnsi="Arial"/>
                <w:sz w:val="18"/>
                <w:szCs w:val="18"/>
                <w:color w:val="auto"/>
              </w:rPr>
              <w:t>%</w:t>
            </w:r>
          </w:p>
        </w:tc>
      </w:tr>
      <w:tr>
        <w:trPr>
          <w:trHeight w:val="189"/>
        </w:trPr>
        <w:tc>
          <w:tcPr>
            <w:tcW w:w="57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1,617</w:t>
            </w:r>
          </w:p>
        </w:tc>
        <w:tc>
          <w:tcPr>
            <w:tcW w:w="4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0.5</w:t>
            </w:r>
          </w:p>
        </w:tc>
        <w:tc>
          <w:tcPr>
            <w:tcW w:w="24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4"/>
              </w:rPr>
              <w:t>%</w:t>
            </w:r>
          </w:p>
        </w:tc>
        <w:tc>
          <w:tcPr>
            <w:tcW w:w="6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1,859</w:t>
            </w: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0.7</w:t>
            </w:r>
          </w:p>
        </w:tc>
        <w:tc>
          <w:tcPr>
            <w:tcW w:w="32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r>
      <w:tr>
        <w:trPr>
          <w:trHeight w:val="183"/>
        </w:trPr>
        <w:tc>
          <w:tcPr>
            <w:tcW w:w="574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40,645</w:t>
            </w:r>
          </w:p>
        </w:tc>
        <w:tc>
          <w:tcPr>
            <w:tcW w:w="40" w:type="dxa"/>
            <w:vAlign w:val="bottom"/>
          </w:tcPr>
          <w:p>
            <w:pPr>
              <w:spacing w:after="0"/>
              <w:rPr>
                <w:sz w:val="15"/>
                <w:szCs w:val="15"/>
                <w:color w:val="auto"/>
              </w:rPr>
            </w:pPr>
          </w:p>
        </w:tc>
        <w:tc>
          <w:tcPr>
            <w:tcW w:w="1240" w:type="dxa"/>
            <w:vAlign w:val="bottom"/>
            <w:tcBorders>
              <w:bottom w:val="single" w:sz="8" w:color="auto"/>
            </w:tcBorders>
            <w:gridSpan w:val="2"/>
          </w:tcPr>
          <w:p>
            <w:pPr>
              <w:jc w:val="right"/>
              <w:ind w:right="10"/>
              <w:spacing w:after="0" w:line="182" w:lineRule="exact"/>
              <w:rPr>
                <w:sz w:val="20"/>
                <w:szCs w:val="20"/>
                <w:color w:val="auto"/>
              </w:rPr>
            </w:pPr>
            <w:r>
              <w:rPr>
                <w:rFonts w:ascii="Arial" w:cs="Arial" w:eastAsia="Arial" w:hAnsi="Arial"/>
                <w:sz w:val="18"/>
                <w:szCs w:val="18"/>
                <w:color w:val="auto"/>
              </w:rPr>
              <w:t>13.2 %</w:t>
            </w:r>
          </w:p>
        </w:tc>
        <w:tc>
          <w:tcPr>
            <w:tcW w:w="60" w:type="dxa"/>
            <w:vAlign w:val="bottom"/>
          </w:tcPr>
          <w:p>
            <w:pPr>
              <w:spacing w:after="0"/>
              <w:rPr>
                <w:sz w:val="15"/>
                <w:szCs w:val="15"/>
                <w:color w:val="auto"/>
              </w:rPr>
            </w:pPr>
          </w:p>
        </w:tc>
        <w:tc>
          <w:tcPr>
            <w:tcW w:w="50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40,487</w:t>
            </w: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14.4</w:t>
            </w:r>
          </w:p>
        </w:tc>
        <w:tc>
          <w:tcPr>
            <w:tcW w:w="32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w:t>
            </w:r>
          </w:p>
        </w:tc>
      </w:tr>
      <w:tr>
        <w:trPr>
          <w:trHeight w:val="20"/>
        </w:trPr>
        <w:tc>
          <w:tcPr>
            <w:tcW w:w="5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Amounts do not foot due to rounding.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pretax return on capital employed is as follows:</w:t>
      </w:r>
    </w:p>
    <w:p>
      <w:pPr>
        <w:spacing w:after="0" w:line="21" w:lineRule="exact"/>
        <w:rPr>
          <w:sz w:val="20"/>
          <w:szCs w:val="20"/>
          <w:color w:val="auto"/>
        </w:rPr>
      </w:pPr>
    </w:p>
    <w:p>
      <w:pPr>
        <w:ind w:left="8940"/>
        <w:spacing w:after="0"/>
        <w:rPr>
          <w:sz w:val="20"/>
          <w:szCs w:val="20"/>
          <w:color w:val="auto"/>
        </w:rPr>
      </w:pPr>
      <w:r>
        <w:rPr>
          <w:rFonts w:ascii="Arial" w:cs="Arial" w:eastAsia="Arial" w:hAnsi="Arial"/>
          <w:sz w:val="18"/>
          <w:szCs w:val="18"/>
          <w:color w:val="auto"/>
        </w:rPr>
        <w:t>(in thousands)</w:t>
      </w:r>
    </w:p>
    <w:p>
      <w:pPr>
        <w:ind w:left="8940"/>
        <w:spacing w:after="0" w:line="232" w:lineRule="auto"/>
        <w:rPr>
          <w:sz w:val="20"/>
          <w:szCs w:val="20"/>
          <w:color w:val="auto"/>
        </w:rPr>
      </w:pPr>
      <w:r>
        <w:rPr>
          <w:rFonts w:ascii="Arial" w:cs="Arial" w:eastAsia="Arial" w:hAnsi="Arial"/>
          <w:sz w:val="18"/>
          <w:szCs w:val="18"/>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0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90"/>
              <w:spacing w:after="0" w:line="250" w:lineRule="exact"/>
              <w:rPr>
                <w:sz w:val="20"/>
                <w:szCs w:val="20"/>
                <w:color w:val="auto"/>
              </w:rPr>
            </w:pPr>
            <w:r>
              <w:rPr>
                <w:rFonts w:ascii="Arial" w:cs="Arial" w:eastAsia="Arial" w:hAnsi="Arial"/>
                <w:sz w:val="17"/>
                <w:szCs w:val="17"/>
                <w:color w:val="auto"/>
              </w:rPr>
              <w:t>2022</w:t>
            </w:r>
            <w:r>
              <w:rPr>
                <w:rFonts w:ascii="Arial" w:cs="Arial" w:eastAsia="Arial" w:hAnsi="Arial"/>
                <w:sz w:val="28"/>
                <w:szCs w:val="28"/>
                <w:color w:val="auto"/>
                <w:vertAlign w:val="superscript"/>
              </w:rPr>
              <w:t>(1)</w:t>
            </w:r>
          </w:p>
        </w:tc>
        <w:tc>
          <w:tcPr>
            <w:tcW w:w="20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90"/>
              <w:spacing w:after="0" w:line="250" w:lineRule="exact"/>
              <w:rPr>
                <w:sz w:val="20"/>
                <w:szCs w:val="20"/>
                <w:color w:val="auto"/>
              </w:rPr>
            </w:pPr>
            <w:r>
              <w:rPr>
                <w:rFonts w:ascii="Arial" w:cs="Arial" w:eastAsia="Arial" w:hAnsi="Arial"/>
                <w:sz w:val="17"/>
                <w:szCs w:val="17"/>
                <w:color w:val="auto"/>
              </w:rPr>
              <w:t>2021</w:t>
            </w:r>
            <w:r>
              <w:rPr>
                <w:rFonts w:ascii="Arial" w:cs="Arial" w:eastAsia="Arial" w:hAnsi="Arial"/>
                <w:sz w:val="28"/>
                <w:szCs w:val="28"/>
                <w:color w:val="auto"/>
                <w:vertAlign w:val="superscript"/>
              </w:rPr>
              <w:t>(1)</w:t>
            </w:r>
          </w:p>
        </w:tc>
        <w:tc>
          <w:tcPr>
            <w:tcW w:w="400" w:type="dxa"/>
            <w:vAlign w:val="bottom"/>
            <w:tcBorders>
              <w:bottom w:val="single" w:sz="8" w:color="CCEEFF"/>
            </w:tcBorders>
          </w:tcPr>
          <w:p>
            <w:pPr>
              <w:spacing w:after="0"/>
              <w:rPr>
                <w:sz w:val="21"/>
                <w:szCs w:val="21"/>
                <w:color w:val="auto"/>
              </w:rPr>
            </w:pPr>
          </w:p>
        </w:tc>
      </w:tr>
      <w:tr>
        <w:trPr>
          <w:trHeight w:val="183"/>
        </w:trPr>
        <w:tc>
          <w:tcPr>
            <w:tcW w:w="8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 (trailing twelve months)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22,947</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20,355</w:t>
            </w:r>
          </w:p>
        </w:tc>
        <w:tc>
          <w:tcPr>
            <w:tcW w:w="400" w:type="dxa"/>
            <w:vAlign w:val="bottom"/>
            <w:shd w:val="clear" w:color="auto" w:fill="CCEEFF"/>
          </w:tcPr>
          <w:p>
            <w:pPr>
              <w:spacing w:after="0"/>
              <w:rPr>
                <w:sz w:val="15"/>
                <w:szCs w:val="15"/>
                <w:color w:val="auto"/>
              </w:rPr>
            </w:pPr>
          </w:p>
        </w:tc>
      </w:tr>
      <w:tr>
        <w:trPr>
          <w:trHeight w:val="189"/>
        </w:trPr>
        <w:tc>
          <w:tcPr>
            <w:tcW w:w="8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8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347,454</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353,491</w:t>
            </w:r>
          </w:p>
        </w:tc>
        <w:tc>
          <w:tcPr>
            <w:tcW w:w="400" w:type="dxa"/>
            <w:vAlign w:val="bottom"/>
            <w:shd w:val="clear" w:color="auto" w:fill="CCEEFF"/>
          </w:tcPr>
          <w:p>
            <w:pPr>
              <w:spacing w:after="0"/>
              <w:rPr>
                <w:sz w:val="16"/>
                <w:szCs w:val="16"/>
                <w:color w:val="auto"/>
              </w:rPr>
            </w:pPr>
          </w:p>
        </w:tc>
      </w:tr>
      <w:tr>
        <w:trPr>
          <w:trHeight w:val="189"/>
        </w:trPr>
        <w:tc>
          <w:tcPr>
            <w:tcW w:w="8060" w:type="dxa"/>
            <w:vAlign w:val="bottom"/>
          </w:tcPr>
          <w:p>
            <w:pPr>
              <w:ind w:left="120"/>
              <w:spacing w:after="0" w:line="189" w:lineRule="exact"/>
              <w:rPr>
                <w:sz w:val="20"/>
                <w:szCs w:val="20"/>
                <w:color w:val="auto"/>
              </w:rPr>
            </w:pPr>
            <w:r>
              <w:rPr>
                <w:rFonts w:ascii="Arial" w:cs="Arial" w:eastAsia="Arial" w:hAnsi="Arial"/>
                <w:sz w:val="18"/>
                <w:szCs w:val="18"/>
                <w:color w:val="auto"/>
              </w:rPr>
              <w:t>Less: Accounts payable</w:t>
            </w:r>
          </w:p>
        </w:tc>
        <w:tc>
          <w:tcPr>
            <w:tcW w:w="220" w:type="dxa"/>
            <w:vAlign w:val="bottom"/>
          </w:tcPr>
          <w:p>
            <w:pPr>
              <w:spacing w:after="0"/>
              <w:rPr>
                <w:sz w:val="16"/>
                <w:szCs w:val="16"/>
                <w:color w:val="auto"/>
              </w:rPr>
            </w:pPr>
          </w:p>
        </w:tc>
        <w:tc>
          <w:tcPr>
            <w:tcW w:w="1260" w:type="dxa"/>
            <w:vAlign w:val="bottom"/>
            <w:gridSpan w:val="2"/>
          </w:tcPr>
          <w:p>
            <w:pPr>
              <w:jc w:val="right"/>
              <w:ind w:right="90"/>
              <w:spacing w:after="0" w:line="189" w:lineRule="exact"/>
              <w:rPr>
                <w:sz w:val="20"/>
                <w:szCs w:val="20"/>
                <w:color w:val="auto"/>
              </w:rPr>
            </w:pPr>
            <w:r>
              <w:rPr>
                <w:rFonts w:ascii="Arial" w:cs="Arial" w:eastAsia="Arial" w:hAnsi="Arial"/>
                <w:sz w:val="18"/>
                <w:szCs w:val="18"/>
                <w:color w:val="auto"/>
              </w:rPr>
              <w:t>(30,597)</w:t>
            </w:r>
          </w:p>
        </w:tc>
        <w:tc>
          <w:tcPr>
            <w:tcW w:w="240" w:type="dxa"/>
            <w:vAlign w:val="bottom"/>
          </w:tcPr>
          <w:p>
            <w:pPr>
              <w:spacing w:after="0"/>
              <w:rPr>
                <w:sz w:val="16"/>
                <w:szCs w:val="16"/>
                <w:color w:val="auto"/>
              </w:rPr>
            </w:pPr>
          </w:p>
        </w:tc>
        <w:tc>
          <w:tcPr>
            <w:tcW w:w="146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rPr>
              <w:t>(16,909)</w:t>
            </w:r>
          </w:p>
        </w:tc>
      </w:tr>
      <w:tr>
        <w:trPr>
          <w:trHeight w:val="189"/>
        </w:trPr>
        <w:tc>
          <w:tcPr>
            <w:tcW w:w="8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Less: Income tax payable</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(915)</w:t>
            </w:r>
          </w:p>
        </w:tc>
        <w:tc>
          <w:tcPr>
            <w:tcW w:w="2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8"/>
                <w:szCs w:val="18"/>
                <w:color w:val="auto"/>
              </w:rPr>
              <w:t>(222)</w:t>
            </w:r>
          </w:p>
        </w:tc>
      </w:tr>
      <w:tr>
        <w:trPr>
          <w:trHeight w:val="189"/>
        </w:trPr>
        <w:tc>
          <w:tcPr>
            <w:tcW w:w="8060" w:type="dxa"/>
            <w:vAlign w:val="bottom"/>
          </w:tcPr>
          <w:p>
            <w:pPr>
              <w:ind w:left="120"/>
              <w:spacing w:after="0" w:line="189" w:lineRule="exact"/>
              <w:rPr>
                <w:sz w:val="20"/>
                <w:szCs w:val="20"/>
                <w:color w:val="auto"/>
              </w:rPr>
            </w:pPr>
            <w:r>
              <w:rPr>
                <w:rFonts w:ascii="Arial" w:cs="Arial" w:eastAsia="Arial" w:hAnsi="Arial"/>
                <w:sz w:val="18"/>
                <w:szCs w:val="18"/>
                <w:color w:val="auto"/>
              </w:rPr>
              <w:t>Less: Other accrued liabilities</w:t>
            </w:r>
          </w:p>
        </w:tc>
        <w:tc>
          <w:tcPr>
            <w:tcW w:w="220" w:type="dxa"/>
            <w:vAlign w:val="bottom"/>
          </w:tcPr>
          <w:p>
            <w:pPr>
              <w:spacing w:after="0"/>
              <w:rPr>
                <w:sz w:val="16"/>
                <w:szCs w:val="16"/>
                <w:color w:val="auto"/>
              </w:rPr>
            </w:pPr>
          </w:p>
        </w:tc>
        <w:tc>
          <w:tcPr>
            <w:tcW w:w="1260" w:type="dxa"/>
            <w:vAlign w:val="bottom"/>
            <w:gridSpan w:val="2"/>
          </w:tcPr>
          <w:p>
            <w:pPr>
              <w:jc w:val="right"/>
              <w:ind w:right="90"/>
              <w:spacing w:after="0" w:line="189" w:lineRule="exact"/>
              <w:rPr>
                <w:sz w:val="20"/>
                <w:szCs w:val="20"/>
                <w:color w:val="auto"/>
              </w:rPr>
            </w:pPr>
            <w:r>
              <w:rPr>
                <w:rFonts w:ascii="Arial" w:cs="Arial" w:eastAsia="Arial" w:hAnsi="Arial"/>
                <w:sz w:val="18"/>
                <w:szCs w:val="18"/>
                <w:color w:val="auto"/>
              </w:rPr>
              <w:t>(41,534)</w:t>
            </w:r>
          </w:p>
        </w:tc>
        <w:tc>
          <w:tcPr>
            <w:tcW w:w="240" w:type="dxa"/>
            <w:vAlign w:val="bottom"/>
          </w:tcPr>
          <w:p>
            <w:pPr>
              <w:spacing w:after="0"/>
              <w:rPr>
                <w:sz w:val="16"/>
                <w:szCs w:val="16"/>
                <w:color w:val="auto"/>
              </w:rPr>
            </w:pPr>
          </w:p>
        </w:tc>
        <w:tc>
          <w:tcPr>
            <w:tcW w:w="146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rPr>
              <w:t>(40,322)</w:t>
            </w:r>
          </w:p>
        </w:tc>
      </w:tr>
      <w:tr>
        <w:trPr>
          <w:trHeight w:val="189"/>
        </w:trPr>
        <w:tc>
          <w:tcPr>
            <w:tcW w:w="8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Less: Lease liability</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90"/>
              <w:spacing w:after="0" w:line="189" w:lineRule="exact"/>
              <w:rPr>
                <w:sz w:val="20"/>
                <w:szCs w:val="20"/>
                <w:color w:val="auto"/>
              </w:rPr>
            </w:pPr>
            <w:r>
              <w:rPr>
                <w:rFonts w:ascii="Arial" w:cs="Arial" w:eastAsia="Arial" w:hAnsi="Arial"/>
                <w:sz w:val="18"/>
                <w:szCs w:val="18"/>
                <w:color w:val="auto"/>
              </w:rPr>
              <w:t>(132,660)</w:t>
            </w:r>
          </w:p>
        </w:tc>
        <w:tc>
          <w:tcPr>
            <w:tcW w:w="2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8"/>
                <w:szCs w:val="18"/>
                <w:color w:val="auto"/>
              </w:rPr>
              <w:t>(144,787)</w:t>
            </w:r>
          </w:p>
        </w:tc>
      </w:tr>
      <w:tr>
        <w:trPr>
          <w:trHeight w:val="189"/>
        </w:trPr>
        <w:tc>
          <w:tcPr>
            <w:tcW w:w="8060" w:type="dxa"/>
            <w:vAlign w:val="bottom"/>
          </w:tcPr>
          <w:p>
            <w:pPr>
              <w:ind w:left="120"/>
              <w:spacing w:after="0" w:line="189" w:lineRule="exact"/>
              <w:rPr>
                <w:sz w:val="20"/>
                <w:szCs w:val="20"/>
                <w:color w:val="auto"/>
              </w:rPr>
            </w:pPr>
            <w:r>
              <w:rPr>
                <w:rFonts w:ascii="Arial" w:cs="Arial" w:eastAsia="Arial" w:hAnsi="Arial"/>
                <w:sz w:val="18"/>
                <w:szCs w:val="18"/>
                <w:color w:val="auto"/>
              </w:rPr>
              <w:t>Less: Other long-term liabilities</w:t>
            </w:r>
          </w:p>
        </w:tc>
        <w:tc>
          <w:tcPr>
            <w:tcW w:w="220" w:type="dxa"/>
            <w:vAlign w:val="bottom"/>
          </w:tcPr>
          <w:p>
            <w:pPr>
              <w:spacing w:after="0"/>
              <w:rPr>
                <w:sz w:val="16"/>
                <w:szCs w:val="16"/>
                <w:color w:val="auto"/>
              </w:rPr>
            </w:pPr>
          </w:p>
        </w:tc>
        <w:tc>
          <w:tcPr>
            <w:tcW w:w="1260" w:type="dxa"/>
            <w:vAlign w:val="bottom"/>
            <w:gridSpan w:val="2"/>
          </w:tcPr>
          <w:p>
            <w:pPr>
              <w:jc w:val="right"/>
              <w:ind w:right="90"/>
              <w:spacing w:after="0" w:line="189" w:lineRule="exact"/>
              <w:rPr>
                <w:sz w:val="20"/>
                <w:szCs w:val="20"/>
                <w:color w:val="auto"/>
              </w:rPr>
            </w:pPr>
            <w:r>
              <w:rPr>
                <w:rFonts w:ascii="Arial" w:cs="Arial" w:eastAsia="Arial" w:hAnsi="Arial"/>
                <w:sz w:val="18"/>
                <w:szCs w:val="18"/>
                <w:color w:val="auto"/>
              </w:rPr>
              <w:t>(4,756)</w:t>
            </w:r>
          </w:p>
        </w:tc>
        <w:tc>
          <w:tcPr>
            <w:tcW w:w="240" w:type="dxa"/>
            <w:vAlign w:val="bottom"/>
          </w:tcPr>
          <w:p>
            <w:pPr>
              <w:spacing w:after="0"/>
              <w:rPr>
                <w:sz w:val="16"/>
                <w:szCs w:val="16"/>
                <w:color w:val="auto"/>
              </w:rPr>
            </w:pPr>
          </w:p>
        </w:tc>
        <w:tc>
          <w:tcPr>
            <w:tcW w:w="146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rPr>
              <w:t>(4,511)</w:t>
            </w:r>
          </w:p>
        </w:tc>
      </w:tr>
      <w:tr>
        <w:trPr>
          <w:trHeight w:val="183"/>
        </w:trPr>
        <w:tc>
          <w:tcPr>
            <w:tcW w:w="80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Capital Employed</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136,992</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146,740</w:t>
            </w: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0"/>
        </w:trPr>
        <w:tc>
          <w:tcPr>
            <w:tcW w:w="8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89"/>
        </w:trPr>
        <w:tc>
          <w:tcPr>
            <w:tcW w:w="8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Pretax Return on Capital Employed</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w:t>
            </w:r>
          </w:p>
        </w:tc>
        <w:tc>
          <w:tcPr>
            <w:tcW w:w="2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13.9%</w:t>
            </w:r>
          </w:p>
        </w:tc>
      </w:tr>
    </w:tbl>
    <w:p>
      <w:pPr>
        <w:spacing w:after="0" w:line="229" w:lineRule="exact"/>
        <w:rPr>
          <w:sz w:val="20"/>
          <w:szCs w:val="20"/>
          <w:color w:val="auto"/>
        </w:rPr>
      </w:pPr>
    </w:p>
    <w:p>
      <w:pPr>
        <w:ind w:firstLine="59"/>
        <w:spacing w:after="0" w:line="200" w:lineRule="auto"/>
        <w:tabs>
          <w:tab w:leader="none" w:pos="288"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Income statement accounts represent the activity for the trailing twelve months ended as of each of the balance sheet dates. Balance sheet accounts represent the average account balance for the four quarters ended as of each of the balance sheet dates.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Our principal liquidity requirements have been for working capital and capital expenditures. Our principal sources of liquidity are $12.4 million of cash and cash equivalents at September 30, 2022, our cash flow from operations, and borrowings available under our Credit Agreement. We expect to use this liquidity for purchasing additional merchandise inventory, maintaining our existing stores, and general corporate purposes.</w:t>
      </w:r>
    </w:p>
    <w:p>
      <w:pPr>
        <w:spacing w:after="0" w:line="145" w:lineRule="exact"/>
        <w:rPr>
          <w:sz w:val="20"/>
          <w:szCs w:val="20"/>
          <w:color w:val="auto"/>
        </w:rPr>
      </w:pPr>
    </w:p>
    <w:p>
      <w:pPr>
        <w:ind w:right="140"/>
        <w:spacing w:after="0" w:line="232" w:lineRule="auto"/>
        <w:rPr>
          <w:sz w:val="20"/>
          <w:szCs w:val="20"/>
          <w:color w:val="auto"/>
        </w:rPr>
      </w:pPr>
      <w:r>
        <w:rPr>
          <w:rFonts w:ascii="Arial" w:cs="Arial" w:eastAsia="Arial" w:hAnsi="Arial"/>
          <w:sz w:val="18"/>
          <w:szCs w:val="18"/>
          <w:color w:val="auto"/>
        </w:rPr>
        <w:t>On September 30, 2022, Holdings and its operating subsidiary, The Tile Shop, LLC, and certain subsidiaries of each entered into a Credit Agreement with JPMorgan Chase Bank, N.A. and the lenders party thereto, including Fifth Third Bank (the “Credit Agreement”). The Credit Agreement provides the us with a senior credit facility consisting of a $75.0 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148" w:lineRule="exact"/>
        <w:rPr>
          <w:sz w:val="20"/>
          <w:szCs w:val="20"/>
          <w:color w:val="auto"/>
        </w:rPr>
      </w:pPr>
    </w:p>
    <w:p>
      <w:pPr>
        <w:ind w:right="100"/>
        <w:spacing w:after="0" w:line="230" w:lineRule="auto"/>
        <w:rPr>
          <w:sz w:val="20"/>
          <w:szCs w:val="20"/>
          <w:color w:val="auto"/>
        </w:rPr>
      </w:pPr>
      <w:r>
        <w:rPr>
          <w:rFonts w:ascii="Arial" w:cs="Arial" w:eastAsia="Arial" w:hAnsi="Arial"/>
          <w:sz w:val="18"/>
          <w:szCs w:val="18"/>
          <w:color w:val="auto"/>
        </w:rPr>
        <w:t>defined in the Credit Agreement), plus a margin ranging from 0.25% to 0.75%. The margin is determined based on the Rent Adjusted Leverage Ratio (as defined in the Credit Agreement). Borrowings outstanding as of September 30, 2022 were SOFR-based interest rate loans. The SOFR-based interest rate was 4.54% on September 30, 2022.</w:t>
      </w:r>
    </w:p>
    <w:p>
      <w:pPr>
        <w:spacing w:after="0" w:line="1" w:lineRule="exact"/>
        <w:rPr>
          <w:sz w:val="20"/>
          <w:szCs w:val="20"/>
          <w:color w:val="auto"/>
        </w:rPr>
      </w:pPr>
    </w:p>
    <w:p>
      <w:pPr>
        <w:ind w:right="80"/>
        <w:spacing w:after="0" w:line="243" w:lineRule="auto"/>
        <w:rPr>
          <w:sz w:val="20"/>
          <w:szCs w:val="20"/>
          <w:color w:val="auto"/>
        </w:rPr>
      </w:pPr>
      <w:r>
        <w:rPr>
          <w:rFonts w:ascii="Arial" w:cs="Arial" w:eastAsia="Arial" w:hAnsi="Arial"/>
          <w:sz w:val="17"/>
          <w:szCs w:val="17"/>
          <w:color w:val="auto"/>
        </w:rPr>
        <w:t>The Credit Agreement is secured by virtually all of our assets, including but not limited to, inventory, accounts receivable, equipment and general intangibles. The Credit Agreement contains customary events of default, conditions to borrowing and restrictive covenants, including restrictions on our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 to 1.00 and a Rent Adjusted Leverage Ratio (as defined in the Credit Agreement) of no greater than 3.50 to 1.00. We were in compliance with the covenants as of September 30, 2022.</w:t>
      </w:r>
    </w:p>
    <w:p>
      <w:pPr>
        <w:spacing w:after="0" w:line="160" w:lineRule="exact"/>
        <w:rPr>
          <w:sz w:val="20"/>
          <w:szCs w:val="20"/>
          <w:color w:val="auto"/>
        </w:rPr>
      </w:pPr>
    </w:p>
    <w:p>
      <w:pPr>
        <w:ind w:right="120"/>
        <w:spacing w:after="0" w:line="232" w:lineRule="auto"/>
        <w:rPr>
          <w:sz w:val="20"/>
          <w:szCs w:val="20"/>
          <w:color w:val="auto"/>
        </w:rPr>
      </w:pPr>
      <w:r>
        <w:rPr>
          <w:rFonts w:ascii="Arial" w:cs="Arial" w:eastAsia="Arial" w:hAnsi="Arial"/>
          <w:sz w:val="18"/>
          <w:szCs w:val="18"/>
          <w:color w:val="auto"/>
        </w:rPr>
        <w:t>The Credit Agreement supersedes and replaces in its entirety our prior senior credit facility with Bank of America, N.A. dated September 18, 2018. We drew on the revolving line of credit pursuant to the Credit Agreement to refinance all of the existing revolving line of credit and interest outstanding under our prior credit facility, as well as pay $0.4 million in debt issuance costs in connection with the Credit Agreement. Debt issuance costs are classified as other current assets and other assets in the Consolidated Balance Sheet and amortized on a straight line basis over the life of the Credit Agreement. We recorded a $0.1 million charge in interest expense to write-off certain unamortized deferred financing fees associated with the September 18, 2018 credit facility as of the date of the payoff.</w:t>
      </w:r>
    </w:p>
    <w:p>
      <w:pPr>
        <w:spacing w:after="0" w:line="16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Borrowings outstanding consisted of $30.4 million on the revolving line of credit as of September 30, 2022. As of September 30, 2022, there was $44.6 million available for borrowing on the revolving line of credit, which may be used for purchasing additional merchandise inventory, maintaining our stores, and general corporate purposes.</w:t>
      </w:r>
    </w:p>
    <w:p>
      <w:pPr>
        <w:spacing w:after="0" w:line="161" w:lineRule="exact"/>
        <w:rPr>
          <w:sz w:val="20"/>
          <w:szCs w:val="20"/>
          <w:color w:val="auto"/>
        </w:rPr>
      </w:pPr>
    </w:p>
    <w:p>
      <w:pPr>
        <w:jc w:val="both"/>
        <w:ind w:right="80"/>
        <w:spacing w:after="0" w:line="324" w:lineRule="auto"/>
        <w:rPr>
          <w:sz w:val="20"/>
          <w:szCs w:val="20"/>
          <w:color w:val="auto"/>
        </w:rPr>
      </w:pPr>
      <w:r>
        <w:rPr>
          <w:rFonts w:ascii="Arial" w:cs="Arial" w:eastAsia="Arial" w:hAnsi="Arial"/>
          <w:sz w:val="16"/>
          <w:szCs w:val="16"/>
          <w:color w:val="auto"/>
        </w:rPr>
        <w:t>We believe that our cash flow from operations, together with our existing cash and cash equivalents and borrowings available under our Credit Agreement, will be sufficient to fund our operations and anticipated capital expenditures over at least the next twelve months and our long-term liquidity requirements.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89"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Capital expenditures were $10.3 million and $8.9 million for the nine months ended September 30, 2022 and 2021, respectively. Capital expenditures in 2022 were primarily due to investments in store remodels, merchandising, distribution and information technology assets.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data for the nine months ended September 30, 2022 and 2021.</w:t>
      </w:r>
    </w:p>
    <w:p>
      <w:pPr>
        <w:spacing w:after="0" w:line="34" w:lineRule="exact"/>
        <w:rPr>
          <w:sz w:val="20"/>
          <w:szCs w:val="20"/>
          <w:color w:val="auto"/>
        </w:rPr>
      </w:pPr>
    </w:p>
    <w:p>
      <w:pPr>
        <w:jc w:val="center"/>
        <w:ind w:left="8320"/>
        <w:spacing w:after="0"/>
        <w:rPr>
          <w:sz w:val="20"/>
          <w:szCs w:val="20"/>
          <w:color w:val="auto"/>
        </w:rPr>
      </w:pPr>
      <w:r>
        <w:rPr>
          <w:rFonts w:ascii="Arial" w:cs="Arial" w:eastAsia="Arial" w:hAnsi="Arial"/>
          <w:sz w:val="18"/>
          <w:szCs w:val="18"/>
          <w:color w:val="auto"/>
        </w:rPr>
        <w:t>(in thousands)</w:t>
      </w:r>
    </w:p>
    <w:p>
      <w:pPr>
        <w:jc w:val="center"/>
        <w:ind w:left="8320"/>
        <w:spacing w:after="0" w:line="219" w:lineRule="auto"/>
        <w:rPr>
          <w:sz w:val="20"/>
          <w:szCs w:val="20"/>
          <w:color w:val="auto"/>
        </w:rPr>
      </w:pPr>
      <w:r>
        <w:rPr>
          <w:rFonts w:ascii="Arial" w:cs="Arial" w:eastAsia="Arial" w:hAnsi="Arial"/>
          <w:sz w:val="18"/>
          <w:szCs w:val="18"/>
          <w:color w:val="auto"/>
        </w:rPr>
        <w:t>Nine Months Ended</w:t>
      </w:r>
    </w:p>
    <w:p>
      <w:pPr>
        <w:jc w:val="center"/>
        <w:ind w:left="8320"/>
        <w:spacing w:after="0" w:line="233" w:lineRule="auto"/>
        <w:rPr>
          <w:sz w:val="20"/>
          <w:szCs w:val="20"/>
          <w:color w:val="auto"/>
        </w:rPr>
      </w:pPr>
      <w:r>
        <w:rPr>
          <w:rFonts w:ascii="Arial" w:cs="Arial" w:eastAsia="Arial" w:hAnsi="Arial"/>
          <w:sz w:val="18"/>
          <w:szCs w:val="18"/>
          <w:color w:val="auto"/>
        </w:rPr>
        <w:t>September 30,</w:t>
      </w:r>
    </w:p>
    <w:tbl>
      <w:tblPr>
        <w:tblLayout w:type="fixed"/>
        <w:tblInd w:w="0" w:type="dxa"/>
        <w:tblCellMar>
          <w:top w:w="0" w:type="dxa"/>
          <w:left w:w="0" w:type="dxa"/>
          <w:bottom w:w="0" w:type="dxa"/>
          <w:right w:w="0" w:type="dxa"/>
        </w:tblCellMar>
      </w:tblPr>
      <w:tr>
        <w:trPr>
          <w:trHeight w:val="183"/>
        </w:trPr>
        <w:tc>
          <w:tcPr>
            <w:tcW w:w="83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2022</w:t>
            </w:r>
          </w:p>
        </w:tc>
        <w:tc>
          <w:tcPr>
            <w:tcW w:w="16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2021</w:t>
            </w:r>
          </w:p>
        </w:tc>
      </w:tr>
      <w:tr>
        <w:trPr>
          <w:trHeight w:val="183"/>
        </w:trPr>
        <w:tc>
          <w:tcPr>
            <w:tcW w:w="8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7,185</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44,390</w:t>
            </w:r>
          </w:p>
        </w:tc>
      </w:tr>
      <w:tr>
        <w:trPr>
          <w:trHeight w:val="189"/>
        </w:trPr>
        <w:tc>
          <w:tcPr>
            <w:tcW w:w="8340" w:type="dxa"/>
            <w:vAlign w:val="bottom"/>
          </w:tcPr>
          <w:p>
            <w:pPr>
              <w:spacing w:after="0" w:line="189" w:lineRule="exact"/>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(10,340)</w:t>
            </w: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(8,933)</w:t>
            </w:r>
          </w:p>
        </w:tc>
      </w:tr>
      <w:tr>
        <w:trPr>
          <w:trHeight w:val="189"/>
        </w:trPr>
        <w:tc>
          <w:tcPr>
            <w:tcW w:w="8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8,771</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(821)</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Net cash provided by operating activities during the nine months ended September 30, 2022 was $7.2 million compared with $44.4 million during the nine months ended September 30, 2021. The decrease was primarily attributable to an increase in inventory purchases in 2022 and other working capital changes.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Net cash used in investing activities totaled $10.3 million for the nine months ended September 30, 2022 compared with $8.9 million for the nine months ended September 30, 2021. Cash used in investing activities during the nine months ended September 30, 2022 was primarily due to investments in store remodels, merchandising, distribution and information technology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5"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Net cash provided by financing activities was $8.8 million for the nine months ended September 30, 2022 compared with $0.8 million of net cash used for the nine months ended September 30, 2021. The increase in cash provided by financing activities during the third quarter of 2022 was primarily due to $70.4 million of borrowings on our line of credit. Financing cash inflows attributable to</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148"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borrowings on the line of credit were partially offset by $45.0 million of debt repayments and $15.5 million of share repurchases during the nine-month period ending September 30, 2022.</w:t>
      </w:r>
    </w:p>
    <w:p>
      <w:pPr>
        <w:spacing w:after="0" w:line="156"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Cash and cash equivalents totaled $12.4 million at September 30, 2022 compared with $9.4 million at December 31, 2021. Working capital was $49.7 million at September 30, 2022 compared with $29.4 million at December 31, 2021.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There have been no material changes in our primary risk exposures or management of market risks from those disclosed in our Annual Report on Form 10-K for the fiscal year ended December 31, 2021.</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89" w:lineRule="exact"/>
        <w:rPr>
          <w:sz w:val="20"/>
          <w:szCs w:val="20"/>
          <w:color w:val="auto"/>
        </w:rPr>
      </w:pPr>
    </w:p>
    <w:p>
      <w:pPr>
        <w:ind w:right="200"/>
        <w:spacing w:after="0" w:line="247" w:lineRule="auto"/>
        <w:rPr>
          <w:sz w:val="20"/>
          <w:szCs w:val="20"/>
          <w:color w:val="auto"/>
        </w:rPr>
      </w:pPr>
      <w:r>
        <w:rPr>
          <w:rFonts w:ascii="Arial" w:cs="Arial" w:eastAsia="Arial" w:hAnsi="Arial"/>
          <w:sz w:val="17"/>
          <w:szCs w:val="17"/>
          <w:color w:val="auto"/>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 and that information relating to the Company is accumulated and communicated to management, including our principal officers, as appropriate to allow timely decisions regarding required disclosure. Our Chief Executive Officer and Chief Financial Officer evaluated the effectiveness of our disclosure controls and procedures as of September 30, 2022 and concluded that our disclosure controls and procedures were effective as of the end of the period covered by this Quarterly Report on Form 10-Q.</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660"/>
        <w:spacing w:after="0" w:line="324" w:lineRule="auto"/>
        <w:rPr>
          <w:sz w:val="20"/>
          <w:szCs w:val="20"/>
          <w:color w:val="auto"/>
        </w:rPr>
      </w:pPr>
      <w:r>
        <w:rPr>
          <w:rFonts w:ascii="Arial" w:cs="Arial" w:eastAsia="Arial" w:hAnsi="Arial"/>
          <w:sz w:val="16"/>
          <w:szCs w:val="16"/>
          <w:color w:val="auto"/>
        </w:rPr>
        <w:t>There were no changes in internal control over financial reporting (as defined by Rule 13a-15(f) under the Exchange Act) during the quarter ended September 30, 2022 that have materially affected, or are reasonably likely to materially affect, our internal control over financial reporting.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are, from time to time, party to lawsuits, threatened lawsuits, disputes and other claims arising in the normal course of business.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accruals may be increased or decreased to reflect any relevant developments on a quarterly basis. Where a loss is not probable or the amount of the loss is not estimable, we do not record an accrual, consistent with applicable accounting guidance. In the opinion of management, while the outcome of such claims and disputes cannot be predicted with certainty, our ultimate liability in connection with these matters is not expected to have a material adverse effect on our results of operations, financial position or cash flows, and the amounts accrued for any individual matter are not material. However, legal proceedings are inherently uncertain. As a result, the outcome of a particular matter or a combination of matters may be material to our results of operations for a particular period, depending upon the size of the loss or our income for that particular period.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31, 2021, other than with respect to the risk factor discussed below.</w:t>
      </w:r>
    </w:p>
    <w:p>
      <w:pPr>
        <w:spacing w:after="0" w:line="34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Numerous economic factors, including inflation, our exposure to the U.S. housing industry, and the potential for a decrease in consumer spending, could adversely affect us.</w:t>
      </w:r>
    </w:p>
    <w:p>
      <w:pPr>
        <w:spacing w:after="0" w:line="130"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Economic conditions, including inflation and weakness in the U.S. housing industry, could decrease consumer discretionary spending and adversely affect our financial performance. Consumer prices have experienced their largest percentage increases since 1981, and interest rates have begun to increase. We believe that our tile sales are affected by the strength of the U.S. housing industry. Downturns in the U.S. housing industry could have a material adverse effect on our financial results, business, and prospects. Similarly, a substantial portion of the products we offer are products that consumers may view as discretionary items rather than necessities. As a result, our results of operations are sensitive to changes in macroeconomic conditions that affect consumer spending, including discretionary spending. Difficult macroeconomic conditions also affect our customers' ability to obtain consumer credit. Other factors, including consumer confidence, employment levels, interest rates, tax rates, consumer debt levels, and fuel and energy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148"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costs could reduce consumer spending or change consumer purchasing habits. Accordingly, slowdowns in the U.S. or global economy, or an uncertain economic outlook, could materially adversely affect consumer spending habits and could have a material adverse effect on our financial results, business, and prospects.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On August 16, 2022, we announced that our Board of Directors approved a stock repurchase program, authorizing the repurchase of up to $30.0 million of our outstanding shares of common stock using a variety of methods, including, but not limited to, open market purchases, privately negotiated transactions, or purchases pursuant to a 10b5-1 plan. On August 16, 2022, pursuant to the stock repurchase program, we entered into a written stock repurchase plan (the “Plan”), providing for repurchases of up to $30.0 million of our outstanding shares of common stock, in conformity with the provisions of Rule 10b5-1 and Rule 10b-18 promulgated under the Exchange Act. In October 2022, we completed repurchases under the Plan.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ind w:right="32"/>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05"/>
        </w:trPr>
        <w:tc>
          <w:tcPr>
            <w:tcW w:w="48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jc w:val="center"/>
              <w:ind w:right="200"/>
              <w:spacing w:after="0" w:line="205" w:lineRule="exact"/>
              <w:rPr>
                <w:sz w:val="20"/>
                <w:szCs w:val="20"/>
                <w:color w:val="auto"/>
              </w:rPr>
            </w:pPr>
            <w:r>
              <w:rPr>
                <w:rFonts w:ascii="Arial" w:cs="Arial" w:eastAsia="Arial" w:hAnsi="Arial"/>
                <w:sz w:val="18"/>
                <w:szCs w:val="18"/>
                <w:color w:val="auto"/>
                <w:w w:val="92"/>
              </w:rPr>
              <w:t>Total Number of</w:t>
            </w:r>
          </w:p>
        </w:tc>
        <w:tc>
          <w:tcPr>
            <w:tcW w:w="1640" w:type="dxa"/>
            <w:vAlign w:val="bottom"/>
            <w:gridSpan w:val="2"/>
          </w:tcPr>
          <w:p>
            <w:pPr>
              <w:jc w:val="right"/>
              <w:ind w:right="12"/>
              <w:spacing w:after="0" w:line="205" w:lineRule="exact"/>
              <w:rPr>
                <w:sz w:val="20"/>
                <w:szCs w:val="20"/>
                <w:color w:val="auto"/>
              </w:rPr>
            </w:pPr>
            <w:r>
              <w:rPr>
                <w:rFonts w:ascii="Arial" w:cs="Arial" w:eastAsia="Arial" w:hAnsi="Arial"/>
                <w:sz w:val="18"/>
                <w:szCs w:val="18"/>
                <w:color w:val="auto"/>
                <w:w w:val="99"/>
              </w:rPr>
              <w:t>‎Approximate Dollar</w:t>
            </w:r>
          </w:p>
        </w:tc>
        <w:tc>
          <w:tcPr>
            <w:tcW w:w="0" w:type="dxa"/>
            <w:vAlign w:val="bottom"/>
          </w:tcPr>
          <w:p>
            <w:pPr>
              <w:spacing w:after="0"/>
              <w:rPr>
                <w:sz w:val="1"/>
                <w:szCs w:val="1"/>
                <w:color w:val="auto"/>
              </w:rPr>
            </w:pPr>
          </w:p>
        </w:tc>
      </w:tr>
      <w:tr>
        <w:trPr>
          <w:trHeight w:val="187"/>
        </w:trPr>
        <w:tc>
          <w:tcPr>
            <w:tcW w:w="4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80" w:type="dxa"/>
            <w:vAlign w:val="bottom"/>
            <w:gridSpan w:val="3"/>
            <w:vMerge w:val="restart"/>
          </w:tcPr>
          <w:p>
            <w:pPr>
              <w:jc w:val="center"/>
              <w:spacing w:after="0"/>
              <w:rPr>
                <w:sz w:val="20"/>
                <w:szCs w:val="20"/>
                <w:color w:val="auto"/>
              </w:rPr>
            </w:pPr>
            <w:r>
              <w:rPr>
                <w:rFonts w:ascii="Arial" w:cs="Arial" w:eastAsia="Arial" w:hAnsi="Arial"/>
                <w:sz w:val="18"/>
                <w:szCs w:val="18"/>
                <w:color w:val="auto"/>
                <w:w w:val="84"/>
              </w:rPr>
              <w:t>Shares Purchased as</w:t>
            </w:r>
          </w:p>
        </w:tc>
        <w:tc>
          <w:tcPr>
            <w:tcW w:w="1640" w:type="dxa"/>
            <w:vAlign w:val="bottom"/>
            <w:gridSpan w:val="2"/>
          </w:tcPr>
          <w:p>
            <w:pPr>
              <w:jc w:val="center"/>
              <w:spacing w:after="0" w:line="187" w:lineRule="exact"/>
              <w:rPr>
                <w:sz w:val="20"/>
                <w:szCs w:val="20"/>
                <w:color w:val="auto"/>
              </w:rPr>
            </w:pPr>
            <w:r>
              <w:rPr>
                <w:rFonts w:ascii="Arial" w:cs="Arial" w:eastAsia="Arial" w:hAnsi="Arial"/>
                <w:sz w:val="18"/>
                <w:szCs w:val="18"/>
                <w:color w:val="auto"/>
                <w:w w:val="88"/>
              </w:rPr>
              <w:t>Value of Shares That</w:t>
            </w:r>
          </w:p>
        </w:tc>
        <w:tc>
          <w:tcPr>
            <w:tcW w:w="0" w:type="dxa"/>
            <w:vAlign w:val="bottom"/>
          </w:tcPr>
          <w:p>
            <w:pPr>
              <w:spacing w:after="0"/>
              <w:rPr>
                <w:sz w:val="1"/>
                <w:szCs w:val="1"/>
                <w:color w:val="auto"/>
              </w:rPr>
            </w:pPr>
          </w:p>
        </w:tc>
      </w:tr>
      <w:tr>
        <w:trPr>
          <w:trHeight w:val="54"/>
        </w:trPr>
        <w:tc>
          <w:tcPr>
            <w:tcW w:w="480" w:type="dxa"/>
            <w:vAlign w:val="bottom"/>
          </w:tcPr>
          <w:p>
            <w:pPr>
              <w:spacing w:after="0"/>
              <w:rPr>
                <w:sz w:val="4"/>
                <w:szCs w:val="4"/>
                <w:color w:val="auto"/>
              </w:rPr>
            </w:pPr>
          </w:p>
        </w:tc>
        <w:tc>
          <w:tcPr>
            <w:tcW w:w="43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80" w:type="dxa"/>
            <w:vAlign w:val="bottom"/>
            <w:gridSpan w:val="3"/>
            <w:vMerge w:val="continue"/>
          </w:tcPr>
          <w:p>
            <w:pPr>
              <w:spacing w:after="0"/>
              <w:rPr>
                <w:sz w:val="4"/>
                <w:szCs w:val="4"/>
                <w:color w:val="auto"/>
              </w:rPr>
            </w:pPr>
          </w:p>
        </w:tc>
        <w:tc>
          <w:tcPr>
            <w:tcW w:w="1640" w:type="dxa"/>
            <w:vAlign w:val="bottom"/>
            <w:gridSpan w:val="2"/>
            <w:vMerge w:val="restart"/>
          </w:tcPr>
          <w:p>
            <w:pPr>
              <w:jc w:val="center"/>
              <w:spacing w:after="0"/>
              <w:rPr>
                <w:sz w:val="20"/>
                <w:szCs w:val="20"/>
                <w:color w:val="auto"/>
              </w:rPr>
            </w:pPr>
            <w:r>
              <w:rPr>
                <w:rFonts w:ascii="Arial" w:cs="Arial" w:eastAsia="Arial" w:hAnsi="Arial"/>
                <w:sz w:val="18"/>
                <w:szCs w:val="18"/>
                <w:color w:val="auto"/>
                <w:w w:val="87"/>
              </w:rPr>
              <w:t>May Yet be Purchased</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jc w:val="center"/>
              <w:ind w:right="180"/>
              <w:spacing w:after="0" w:line="176" w:lineRule="exact"/>
              <w:rPr>
                <w:sz w:val="20"/>
                <w:szCs w:val="20"/>
                <w:color w:val="auto"/>
              </w:rPr>
            </w:pPr>
            <w:r>
              <w:rPr>
                <w:rFonts w:ascii="Arial" w:cs="Arial" w:eastAsia="Arial" w:hAnsi="Arial"/>
                <w:sz w:val="18"/>
                <w:szCs w:val="18"/>
                <w:color w:val="auto"/>
                <w:w w:val="94"/>
              </w:rPr>
              <w:t>Part of Publicly</w:t>
            </w:r>
          </w:p>
        </w:tc>
        <w:tc>
          <w:tcPr>
            <w:tcW w:w="1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720" w:type="dxa"/>
            <w:vAlign w:val="bottom"/>
            <w:gridSpan w:val="2"/>
          </w:tcPr>
          <w:p>
            <w:pPr>
              <w:jc w:val="right"/>
              <w:ind w:right="325"/>
              <w:spacing w:after="0" w:line="202" w:lineRule="exact"/>
              <w:rPr>
                <w:sz w:val="20"/>
                <w:szCs w:val="20"/>
                <w:color w:val="auto"/>
              </w:rPr>
            </w:pPr>
            <w:r>
              <w:rPr>
                <w:rFonts w:ascii="Arial" w:cs="Arial" w:eastAsia="Arial" w:hAnsi="Arial"/>
                <w:sz w:val="18"/>
                <w:szCs w:val="18"/>
                <w:color w:val="auto"/>
              </w:rPr>
              <w:t>Total Number of</w:t>
            </w:r>
          </w:p>
        </w:tc>
        <w:tc>
          <w:tcPr>
            <w:tcW w:w="120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99"/>
              </w:rPr>
              <w:t>Average Price</w:t>
            </w:r>
          </w:p>
        </w:tc>
        <w:tc>
          <w:tcPr>
            <w:tcW w:w="188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90"/>
              </w:rPr>
              <w:t>Announced Plans or</w:t>
            </w:r>
          </w:p>
        </w:tc>
        <w:tc>
          <w:tcPr>
            <w:tcW w:w="100" w:type="dxa"/>
            <w:vAlign w:val="bottom"/>
          </w:tcPr>
          <w:p>
            <w:pPr>
              <w:spacing w:after="0"/>
              <w:rPr>
                <w:sz w:val="17"/>
                <w:szCs w:val="17"/>
                <w:color w:val="auto"/>
              </w:rPr>
            </w:pPr>
          </w:p>
        </w:tc>
        <w:tc>
          <w:tcPr>
            <w:tcW w:w="154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89"/>
              </w:rPr>
              <w:t>Under the Plans or</w:t>
            </w:r>
          </w:p>
        </w:tc>
        <w:tc>
          <w:tcPr>
            <w:tcW w:w="0" w:type="dxa"/>
            <w:vAlign w:val="bottom"/>
          </w:tcPr>
          <w:p>
            <w:pPr>
              <w:spacing w:after="0"/>
              <w:rPr>
                <w:sz w:val="1"/>
                <w:szCs w:val="1"/>
                <w:color w:val="auto"/>
              </w:rPr>
            </w:pPr>
          </w:p>
        </w:tc>
      </w:tr>
      <w:tr>
        <w:trPr>
          <w:trHeight w:val="203"/>
        </w:trPr>
        <w:tc>
          <w:tcPr>
            <w:tcW w:w="4800" w:type="dxa"/>
            <w:vAlign w:val="bottom"/>
            <w:gridSpan w:val="2"/>
          </w:tcPr>
          <w:p>
            <w:pPr>
              <w:spacing w:after="0" w:line="202" w:lineRule="exact"/>
              <w:rPr>
                <w:sz w:val="20"/>
                <w:szCs w:val="20"/>
                <w:color w:val="auto"/>
              </w:rPr>
            </w:pPr>
            <w:r>
              <w:rPr>
                <w:rFonts w:ascii="Arial" w:cs="Arial" w:eastAsia="Arial" w:hAnsi="Arial"/>
                <w:sz w:val="18"/>
                <w:szCs w:val="18"/>
                <w:color w:val="auto"/>
              </w:rPr>
              <w:t>Period</w:t>
            </w:r>
          </w:p>
        </w:tc>
        <w:tc>
          <w:tcPr>
            <w:tcW w:w="1720" w:type="dxa"/>
            <w:vAlign w:val="bottom"/>
            <w:gridSpan w:val="2"/>
          </w:tcPr>
          <w:p>
            <w:pPr>
              <w:jc w:val="right"/>
              <w:ind w:right="285"/>
              <w:spacing w:after="0" w:line="202" w:lineRule="exact"/>
              <w:rPr>
                <w:sz w:val="20"/>
                <w:szCs w:val="20"/>
                <w:color w:val="auto"/>
              </w:rPr>
            </w:pPr>
            <w:r>
              <w:rPr>
                <w:rFonts w:ascii="Arial" w:cs="Arial" w:eastAsia="Arial" w:hAnsi="Arial"/>
                <w:sz w:val="18"/>
                <w:szCs w:val="18"/>
                <w:color w:val="auto"/>
                <w:w w:val="90"/>
              </w:rPr>
              <w:t>Shares Purchased</w:t>
            </w:r>
          </w:p>
        </w:tc>
        <w:tc>
          <w:tcPr>
            <w:tcW w:w="1200" w:type="dxa"/>
            <w:vAlign w:val="bottom"/>
            <w:gridSpan w:val="2"/>
          </w:tcPr>
          <w:p>
            <w:pPr>
              <w:ind w:left="80"/>
              <w:spacing w:after="0" w:line="202" w:lineRule="exact"/>
              <w:rPr>
                <w:sz w:val="20"/>
                <w:szCs w:val="20"/>
                <w:color w:val="auto"/>
              </w:rPr>
            </w:pPr>
            <w:r>
              <w:rPr>
                <w:rFonts w:ascii="Arial" w:cs="Arial" w:eastAsia="Arial" w:hAnsi="Arial"/>
                <w:sz w:val="18"/>
                <w:szCs w:val="18"/>
                <w:color w:val="auto"/>
                <w:w w:val="91"/>
              </w:rPr>
              <w:t>Paid per Share</w:t>
            </w:r>
          </w:p>
        </w:tc>
        <w:tc>
          <w:tcPr>
            <w:tcW w:w="240" w:type="dxa"/>
            <w:vAlign w:val="bottom"/>
          </w:tcPr>
          <w:p>
            <w:pPr>
              <w:spacing w:after="0"/>
              <w:rPr>
                <w:sz w:val="17"/>
                <w:szCs w:val="17"/>
                <w:color w:val="auto"/>
              </w:rPr>
            </w:pPr>
          </w:p>
        </w:tc>
        <w:tc>
          <w:tcPr>
            <w:tcW w:w="1640" w:type="dxa"/>
            <w:vAlign w:val="bottom"/>
            <w:gridSpan w:val="2"/>
          </w:tcPr>
          <w:p>
            <w:pPr>
              <w:jc w:val="center"/>
              <w:ind w:right="140"/>
              <w:spacing w:after="0" w:line="202" w:lineRule="exact"/>
              <w:rPr>
                <w:sz w:val="20"/>
                <w:szCs w:val="20"/>
                <w:color w:val="auto"/>
              </w:rPr>
            </w:pPr>
            <w:r>
              <w:rPr>
                <w:rFonts w:ascii="Arial" w:cs="Arial" w:eastAsia="Arial" w:hAnsi="Arial"/>
                <w:sz w:val="18"/>
                <w:szCs w:val="18"/>
                <w:color w:val="auto"/>
                <w:w w:val="89"/>
              </w:rPr>
              <w:t>Program</w:t>
            </w:r>
          </w:p>
        </w:tc>
        <w:tc>
          <w:tcPr>
            <w:tcW w:w="100" w:type="dxa"/>
            <w:vAlign w:val="bottom"/>
          </w:tcPr>
          <w:p>
            <w:pPr>
              <w:spacing w:after="0"/>
              <w:rPr>
                <w:sz w:val="17"/>
                <w:szCs w:val="17"/>
                <w:color w:val="auto"/>
              </w:rPr>
            </w:pPr>
          </w:p>
        </w:tc>
        <w:tc>
          <w:tcPr>
            <w:tcW w:w="1540" w:type="dxa"/>
            <w:vAlign w:val="bottom"/>
          </w:tcPr>
          <w:p>
            <w:pPr>
              <w:jc w:val="center"/>
              <w:ind w:right="12"/>
              <w:spacing w:after="0" w:line="202" w:lineRule="exact"/>
              <w:rPr>
                <w:sz w:val="20"/>
                <w:szCs w:val="20"/>
                <w:color w:val="auto"/>
              </w:rPr>
            </w:pPr>
            <w:r>
              <w:rPr>
                <w:rFonts w:ascii="Arial" w:cs="Arial" w:eastAsia="Arial" w:hAnsi="Arial"/>
                <w:sz w:val="15"/>
                <w:szCs w:val="15"/>
                <w:color w:val="auto"/>
              </w:rPr>
              <w:t xml:space="preserve">Programs </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0"/>
        </w:trPr>
        <w:tc>
          <w:tcPr>
            <w:tcW w:w="480" w:type="dxa"/>
            <w:vAlign w:val="bottom"/>
            <w:tcBorders>
              <w:top w:val="single" w:sz="8" w:color="auto"/>
              <w:bottom w:val="single" w:sz="8" w:color="CCEEFF"/>
            </w:tcBorders>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July 1, 2022 - July 31, 2022</w:t>
            </w:r>
          </w:p>
        </w:tc>
        <w:tc>
          <w:tcPr>
            <w:tcW w:w="14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13,765</w:t>
            </w:r>
          </w:p>
        </w:tc>
        <w:tc>
          <w:tcPr>
            <w:tcW w:w="240" w:type="dxa"/>
            <w:vAlign w:val="bottom"/>
            <w:shd w:val="clear" w:color="auto" w:fill="CCEEFF"/>
          </w:tcPr>
          <w:p>
            <w:pPr>
              <w:jc w:val="right"/>
              <w:ind w:right="5"/>
              <w:spacing w:after="0" w:line="170" w:lineRule="exact"/>
              <w:rPr>
                <w:sz w:val="20"/>
                <w:szCs w:val="20"/>
                <w:color w:val="auto"/>
              </w:rPr>
            </w:pPr>
            <w:r>
              <w:rPr>
                <w:rFonts w:ascii="Arial" w:cs="Arial" w:eastAsia="Arial" w:hAnsi="Arial"/>
                <w:sz w:val="15"/>
                <w:szCs w:val="15"/>
                <w:color w:val="auto"/>
                <w:w w:val="76"/>
              </w:rPr>
              <w:t>(1)</w:t>
            </w:r>
          </w:p>
        </w:tc>
        <w:tc>
          <w:tcPr>
            <w:tcW w:w="460" w:type="dxa"/>
            <w:vAlign w:val="bottom"/>
            <w:shd w:val="clear" w:color="auto" w:fill="CCEEFF"/>
          </w:tcPr>
          <w:p>
            <w:pPr>
              <w:jc w:val="right"/>
              <w:ind w:right="298"/>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3.26</w:t>
            </w: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August 1, 2022 - August 31, 2022</w:t>
            </w:r>
          </w:p>
        </w:tc>
        <w:tc>
          <w:tcPr>
            <w:tcW w:w="1720" w:type="dxa"/>
            <w:vAlign w:val="bottom"/>
            <w:gridSpan w:val="2"/>
          </w:tcPr>
          <w:p>
            <w:pPr>
              <w:jc w:val="right"/>
              <w:ind w:right="5"/>
              <w:spacing w:after="0" w:line="216" w:lineRule="exact"/>
              <w:rPr>
                <w:sz w:val="20"/>
                <w:szCs w:val="20"/>
                <w:color w:val="auto"/>
              </w:rPr>
            </w:pPr>
            <w:r>
              <w:rPr>
                <w:rFonts w:ascii="Arial" w:cs="Arial" w:eastAsia="Arial" w:hAnsi="Arial"/>
                <w:sz w:val="16"/>
                <w:szCs w:val="16"/>
                <w:color w:val="auto"/>
              </w:rPr>
              <w:t xml:space="preserve">48,691 </w:t>
            </w:r>
            <w:r>
              <w:rPr>
                <w:rFonts w:ascii="Arial" w:cs="Arial" w:eastAsia="Arial" w:hAnsi="Arial"/>
                <w:sz w:val="25"/>
                <w:szCs w:val="25"/>
                <w:color w:val="auto"/>
                <w:vertAlign w:val="superscript"/>
              </w:rPr>
              <w:t>(2)</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3.26</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39,416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29,845</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2022 - September 30, 2022</w:t>
            </w:r>
          </w:p>
        </w:tc>
        <w:tc>
          <w:tcPr>
            <w:tcW w:w="1720" w:type="dxa"/>
            <w:vAlign w:val="bottom"/>
            <w:gridSpan w:val="2"/>
            <w:shd w:val="clear" w:color="auto" w:fill="CCEEFF"/>
          </w:tcPr>
          <w:p>
            <w:pPr>
              <w:jc w:val="right"/>
              <w:ind w:right="5"/>
              <w:spacing w:after="0" w:line="216" w:lineRule="exact"/>
              <w:rPr>
                <w:sz w:val="20"/>
                <w:szCs w:val="20"/>
                <w:color w:val="auto"/>
              </w:rPr>
            </w:pPr>
            <w:r>
              <w:rPr>
                <w:rFonts w:ascii="Arial" w:cs="Arial" w:eastAsia="Arial" w:hAnsi="Arial"/>
                <w:sz w:val="16"/>
                <w:szCs w:val="16"/>
                <w:color w:val="auto"/>
              </w:rPr>
              <w:t xml:space="preserve">4,124,106 </w:t>
            </w:r>
            <w:r>
              <w:rPr>
                <w:rFonts w:ascii="Arial" w:cs="Arial" w:eastAsia="Arial" w:hAnsi="Arial"/>
                <w:sz w:val="25"/>
                <w:szCs w:val="25"/>
                <w:color w:val="auto"/>
                <w:vertAlign w:val="superscript"/>
              </w:rPr>
              <w:t>(3)</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4,055,176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14,552</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4,186,562</w:t>
            </w:r>
          </w:p>
        </w:tc>
        <w:tc>
          <w:tcPr>
            <w:tcW w:w="24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3.70</w:t>
            </w:r>
          </w:p>
        </w:tc>
        <w:tc>
          <w:tcPr>
            <w:tcW w:w="240" w:type="dxa"/>
            <w:vAlign w:val="bottom"/>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4,094,592</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14,552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660" w:right="140" w:hanging="328"/>
        <w:spacing w:after="0" w:line="256"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withheld a total of 13,765 shares to satisfy tax withholding obligations due upon the vesting of restricted stock grants as allowed by the 2012 Omnibus Award Plan. We did not pay cash to repurchase these shares, nor were these repurchases part of a publicly announced plan or program.</w:t>
      </w:r>
    </w:p>
    <w:p>
      <w:pPr>
        <w:spacing w:after="0" w:line="1" w:lineRule="exact"/>
        <w:rPr>
          <w:rFonts w:ascii="Arial" w:cs="Arial" w:eastAsia="Arial" w:hAnsi="Arial"/>
          <w:sz w:val="16"/>
          <w:szCs w:val="16"/>
          <w:color w:val="auto"/>
        </w:rPr>
      </w:pPr>
    </w:p>
    <w:p>
      <w:pPr>
        <w:ind w:left="660" w:right="140" w:hanging="328"/>
        <w:spacing w:after="0" w:line="22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withheld a total of 913 shares to satisfy tax withholding obligations due upon the vesting of restricted stock grants as allowed by the 2021 Omnibus Equity Compensation Plan. Additionally, 3,437 shares and 4,925 shares were forfeited when vesting conditions were not met in accordance with the terms of the 2012 Omnibus Award Plan and 2021 Omnibus Equity Compensation Plan, respectively, and the related award agreements. We did not pay cash to repurchase these shares, nor were these repurchases part of a publicly announced plan or program. We also repurchased 39,416 shares of our common stock under the Plan for approximately $0.2 million, excluding brokerage commissions, or an average price of $3.94 per share.</w:t>
      </w:r>
    </w:p>
    <w:p>
      <w:pPr>
        <w:spacing w:after="0" w:line="3" w:lineRule="exact"/>
        <w:rPr>
          <w:rFonts w:ascii="Arial" w:cs="Arial" w:eastAsia="Arial" w:hAnsi="Arial"/>
          <w:sz w:val="18"/>
          <w:szCs w:val="18"/>
          <w:color w:val="auto"/>
        </w:rPr>
      </w:pPr>
    </w:p>
    <w:p>
      <w:pPr>
        <w:ind w:left="660" w:right="120" w:hanging="328"/>
        <w:spacing w:after="0" w:line="246"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cancelled 45,812 shares and 23,118 shares that were forfeited when vesting conditions were not met in accordance with the terms of the 2012 Omnibus Award Plan and 2021 Omnibus Equity Compensation Plan, respectively, and the related award agreements. We did not pay cash to repurchase these shares, nor were these repurchases part of a publicly announced plan or program. We also repurchased 4,055,176 shares of our common stock under the Plan for approximately $15.2 million, excluding brokerage commissions, or an average price of $3.77 per share.</w:t>
      </w:r>
    </w:p>
    <w:p>
      <w:pPr>
        <w:spacing w:after="0" w:line="1" w:lineRule="exact"/>
        <w:rPr>
          <w:rFonts w:ascii="Arial" w:cs="Arial" w:eastAsia="Arial" w:hAnsi="Arial"/>
          <w:sz w:val="16"/>
          <w:szCs w:val="16"/>
          <w:color w:val="auto"/>
        </w:rPr>
      </w:pPr>
    </w:p>
    <w:p>
      <w:pPr>
        <w:ind w:left="660" w:right="200" w:hanging="328"/>
        <w:spacing w:after="0" w:line="239"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Represents the approximate dollar value of shares that may be purchased under the $30.0 million share repurchase program approved by our Board of Directors on August 16, 2022. Subsequent to the end of the quarter, we completed the share repurchase program. In total, 7,805,226 shares were repurchased for $30.0 million, excluding brokerage commissions, or an average share price of $3.84 per share (or for $30.2 million, inclusive of brokerage commission, or an average share price of $3.87 per share).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The following table sets forth, as of October 31, 2022, information regarding beneficial ownership of our common stock by each person, or group of affiliated persons, known by us to beneficially own more than 5% of our common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0" w:lineRule="exact"/>
        <w:rPr>
          <w:sz w:val="20"/>
          <w:szCs w:val="20"/>
          <w:color w:val="auto"/>
        </w:rPr>
      </w:pPr>
    </w:p>
    <w:p>
      <w:pPr>
        <w:spacing w:after="0" w:line="340"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Beneficial ownership is determined according to the rules of the SEC, and generally means that a person has beneficial ownership of a security if he, she, or it possesses sole or shared voting or investment power of that security.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We have based our calculation of the percentage of beneficial ownership on 44,362,399 shares of our common stock outstanding on October 31, 2022.</w:t>
      </w:r>
    </w:p>
    <w:p>
      <w:pPr>
        <w:spacing w:after="0" w:line="208"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Unless otherwise noted below, the address for each of the shareholders in the table below is c/o Tile Shop Holdings, Inc., 14000 Carlson Parkway, Plymouth, Minnesota 55441.</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Number of Shares</w:t>
            </w:r>
          </w:p>
        </w:tc>
        <w:tc>
          <w:tcPr>
            <w:tcW w:w="10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500" w:type="dxa"/>
            <w:vAlign w:val="bottom"/>
            <w:gridSpan w:val="2"/>
            <w:vMerge w:val="continue"/>
          </w:tcPr>
          <w:p>
            <w:pPr>
              <w:spacing w:after="0"/>
              <w:rPr>
                <w:sz w:val="14"/>
                <w:szCs w:val="14"/>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Beneficially Owned</w:t>
            </w:r>
          </w:p>
        </w:tc>
        <w:tc>
          <w:tcPr>
            <w:tcW w:w="10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3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5% Stockholders:</w:t>
            </w:r>
          </w:p>
        </w:tc>
        <w:tc>
          <w:tcPr>
            <w:tcW w:w="18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Peter J. Jacullo III, Director</w:t>
            </w:r>
            <w:r>
              <w:rPr>
                <w:rFonts w:ascii="Arial" w:cs="Arial" w:eastAsia="Arial" w:hAnsi="Arial"/>
                <w:sz w:val="29"/>
                <w:szCs w:val="29"/>
                <w:color w:val="auto"/>
                <w:vertAlign w:val="superscript"/>
              </w:rPr>
              <w:t>(1)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8,392,568</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8500" w:type="dxa"/>
            <w:vAlign w:val="bottom"/>
            <w:gridSpan w:val="2"/>
          </w:tcPr>
          <w:p>
            <w:pPr>
              <w:spacing w:after="0" w:line="256" w:lineRule="exact"/>
              <w:rPr>
                <w:sz w:val="20"/>
                <w:szCs w:val="20"/>
                <w:color w:val="auto"/>
              </w:rPr>
            </w:pPr>
            <w:r>
              <w:rPr>
                <w:rFonts w:ascii="Arial" w:cs="Arial" w:eastAsia="Arial" w:hAnsi="Arial"/>
                <w:sz w:val="18"/>
                <w:szCs w:val="18"/>
                <w:color w:val="auto"/>
              </w:rPr>
              <w:t>Peter H. Kamin, Chairman of the Board</w:t>
            </w:r>
            <w:r>
              <w:rPr>
                <w:rFonts w:ascii="Arial" w:cs="Arial" w:eastAsia="Arial" w:hAnsi="Arial"/>
                <w:sz w:val="29"/>
                <w:szCs w:val="29"/>
                <w:color w:val="auto"/>
                <w:vertAlign w:val="superscript"/>
              </w:rPr>
              <w:t>(2)</w:t>
            </w:r>
          </w:p>
        </w:tc>
        <w:tc>
          <w:tcPr>
            <w:tcW w:w="1300" w:type="dxa"/>
            <w:vAlign w:val="bottom"/>
          </w:tcPr>
          <w:p>
            <w:pPr>
              <w:jc w:val="right"/>
              <w:spacing w:after="0"/>
              <w:rPr>
                <w:sz w:val="20"/>
                <w:szCs w:val="20"/>
                <w:color w:val="auto"/>
              </w:rPr>
            </w:pPr>
            <w:r>
              <w:rPr>
                <w:rFonts w:ascii="Arial" w:cs="Arial" w:eastAsia="Arial" w:hAnsi="Arial"/>
                <w:sz w:val="18"/>
                <w:szCs w:val="18"/>
                <w:color w:val="auto"/>
              </w:rPr>
              <w:t>6,918,096</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85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Cannell Capital LLC</w:t>
            </w:r>
            <w:r>
              <w:rPr>
                <w:rFonts w:ascii="Arial" w:cs="Arial" w:eastAsia="Arial" w:hAnsi="Arial"/>
                <w:sz w:val="29"/>
                <w:szCs w:val="29"/>
                <w:color w:val="auto"/>
                <w:vertAlign w:val="superscript"/>
              </w:rPr>
              <w:t>(3)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3,147,164</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93"/>
        </w:trPr>
        <w:tc>
          <w:tcPr>
            <w:tcW w:w="8500" w:type="dxa"/>
            <w:vAlign w:val="bottom"/>
            <w:gridSpan w:val="2"/>
          </w:tcPr>
          <w:p>
            <w:pPr>
              <w:spacing w:after="0"/>
              <w:rPr>
                <w:sz w:val="20"/>
                <w:szCs w:val="20"/>
                <w:color w:val="auto"/>
              </w:rPr>
            </w:pPr>
            <w:r>
              <w:rPr>
                <w:rFonts w:ascii="Arial" w:cs="Arial" w:eastAsia="Arial" w:hAnsi="Arial"/>
                <w:sz w:val="18"/>
                <w:szCs w:val="18"/>
                <w:color w:val="auto"/>
              </w:rPr>
              <w:t>Savitr Capital LLC</w:t>
            </w:r>
            <w:r>
              <w:rPr>
                <w:rFonts w:ascii="Arial" w:cs="Arial" w:eastAsia="Arial" w:hAnsi="Arial"/>
                <w:sz w:val="29"/>
                <w:szCs w:val="29"/>
                <w:color w:val="auto"/>
                <w:vertAlign w:val="superscript"/>
              </w:rPr>
              <w:t>(4)</w:t>
            </w:r>
          </w:p>
        </w:tc>
        <w:tc>
          <w:tcPr>
            <w:tcW w:w="1300" w:type="dxa"/>
            <w:vAlign w:val="bottom"/>
          </w:tcPr>
          <w:p>
            <w:pPr>
              <w:jc w:val="right"/>
              <w:spacing w:after="0"/>
              <w:rPr>
                <w:sz w:val="20"/>
                <w:szCs w:val="20"/>
                <w:color w:val="auto"/>
              </w:rPr>
            </w:pPr>
            <w:r>
              <w:rPr>
                <w:rFonts w:ascii="Arial" w:cs="Arial" w:eastAsia="Arial" w:hAnsi="Arial"/>
                <w:sz w:val="18"/>
                <w:szCs w:val="18"/>
                <w:color w:val="auto"/>
              </w:rPr>
              <w:t>2,770,535</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660" w:right="200" w:hanging="652"/>
        <w:spacing w:after="0" w:line="242"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a Schedule 13D/A filed with the SEC on January 4, 2022 by JWTS, Inc. (“JWTS”), Peter J. Jacullo III, and the Katherine D. Jacullo Children’s 1993 Irrevocable Trust (the “Jacullo Trust”) and a Form 4 filed by Mr. Jacullo with the SEC on June 16, 2022. JWTS directly holds 3,191,180 shares of common stock and has sole voting and dispositive power with respect to such shares. Mr. Jacullo is the President and sole member of the board of directors of JWTS, holds sole voting and dispositive power over the securities held by JWTS, and may be deemed to beneficially own the securities held by JWTS. The Jacullo Trust directly holds 4,706,489 shares of common stock and has sole voting and dispositive power with respect to such shares. Mr. Jacullo is a co-trustee of the Jacullo Trust, holds shared voting and dispositive power over the securities held by the Jacullo Trust, and may be deemed to beneficially own the securities held by the Jacullo Trust. Mr. Jacullo disclaims beneficial ownership of the shares of common stock held by the Jacullo Trust, except to the extent of his pecuniary interest therein. Mr. Jacullo directly holds 494,899 shares of common stock over which he has sole voting and dispositive power, including 21,689 shares of unvested restricted common stock.</w:t>
      </w:r>
    </w:p>
    <w:p>
      <w:pPr>
        <w:spacing w:after="0" w:line="161" w:lineRule="exact"/>
        <w:rPr>
          <w:rFonts w:ascii="Arial" w:cs="Arial" w:eastAsia="Arial" w:hAnsi="Arial"/>
          <w:sz w:val="17"/>
          <w:szCs w:val="17"/>
          <w:color w:val="auto"/>
        </w:rPr>
      </w:pPr>
    </w:p>
    <w:p>
      <w:pPr>
        <w:ind w:left="660" w:right="20" w:hanging="652"/>
        <w:spacing w:after="0" w:line="265"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a Schedule 13D/A filed with the SEC on January 14, 2020 by Peter H. Kamin and a Form 4 filed by Mr. Kamin with the SEC on June 16, 2022. Includes (i) 1,695,320 shares of common stock held by the Peter H. Kamin Revocable Trust dated February 2003, of which Peter H. Kamin is the trustee; (ii) 1,033,733 shares of common stock held by the Peter H. Kamin Childrens Trust dated March 1997, of which Mr. Kamin is the trustee; (iii) 117,453 shares of common stock held by the Peter H. Kamin Family Foundation, of which Mr. Kamin is the trustee; (iv) 328,711 shares of common stock held by the Peter H. Kamin GST Trust, of which Mr. Kamin is the trustee; (v) 333,495 shares of common stock held by 3K Limited Partnership, of which Mr. Kamin is the general partner; and (vi) 3,409,384 shares of common stock directly held by Mr. Kamin, including 41,209 shares of unvested restricted common stock. Mr. Kamin has sole voting and dispositive power over all such shares.</w:t>
      </w:r>
    </w:p>
    <w:p>
      <w:pPr>
        <w:spacing w:after="0" w:line="332" w:lineRule="exact"/>
        <w:rPr>
          <w:rFonts w:ascii="Arial" w:cs="Arial" w:eastAsia="Arial" w:hAnsi="Arial"/>
          <w:sz w:val="16"/>
          <w:szCs w:val="16"/>
          <w:color w:val="auto"/>
        </w:rPr>
      </w:pPr>
    </w:p>
    <w:p>
      <w:pPr>
        <w:ind w:left="660" w:right="100" w:hanging="652"/>
        <w:spacing w:after="0" w:line="247"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a Schedule 13D filed with the SEC on February 3, 2021 by Cannell Capital LLC and J. Carlo Cannell. Cannell Capital LLC acts as the investment adviser to Tonga Partners, L.P., Tristan Partners, L.P. and Tristan Offshore Fund, Ltd. (the “Funds”) and as investment advisor to various separately-managed accounts (collectively with the Funds, the “Investment Vehicles”). Mr. Cannell is the sole managing member of Cannell Capital LLC and investment adviser to the Investment Vehicles. As such, Cannell Capital LLC and Mr. Cannell may be deemed to beneficially own the 3,147,164 shares of common stock held directly by the Investment Vehicles and have sole voting and dispositive power over such shares. The business address of the reporting persons is 245 Meriwether Circle, Alta, Wyoming 83414.</w:t>
      </w:r>
    </w:p>
    <w:p>
      <w:pPr>
        <w:spacing w:after="0" w:line="142" w:lineRule="exact"/>
        <w:rPr>
          <w:rFonts w:ascii="Arial" w:cs="Arial" w:eastAsia="Arial" w:hAnsi="Arial"/>
          <w:sz w:val="17"/>
          <w:szCs w:val="17"/>
          <w:color w:val="auto"/>
        </w:rPr>
      </w:pPr>
    </w:p>
    <w:p>
      <w:pPr>
        <w:ind w:left="660" w:right="24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a Schedule 13G filed with the SEC on January 28, 2020 by Savitr Capital LLC (“Savitr”), Savitr holds shared voting and dispositive power over 2,770,535 shares of common stock. The business address of Savitr is 600 Montgomery Street, 47th Floor, San Francisco, California 94111.</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5"/>
          </w:tcPr>
          <w:p>
            <w:pPr>
              <w:spacing w:after="0"/>
              <w:rPr>
                <w:sz w:val="20"/>
                <w:szCs w:val="20"/>
                <w:color w:val="auto"/>
              </w:rPr>
            </w:pPr>
            <w:r>
              <w:rPr>
                <w:rFonts w:ascii="Arial" w:cs="Arial" w:eastAsia="Arial" w:hAnsi="Arial"/>
                <w:sz w:val="18"/>
                <w:szCs w:val="18"/>
                <w:color w:val="auto"/>
              </w:rPr>
              <w:t>Exhibit No.</w:t>
            </w:r>
          </w:p>
        </w:tc>
        <w:tc>
          <w:tcPr>
            <w:tcW w:w="10020" w:type="dxa"/>
            <w:vAlign w:val="bottom"/>
            <w:gridSpan w:val="17"/>
          </w:tcPr>
          <w:p>
            <w:pPr>
              <w:spacing w:after="0"/>
              <w:rPr>
                <w:sz w:val="20"/>
                <w:szCs w:val="20"/>
                <w:color w:val="auto"/>
              </w:rPr>
            </w:pPr>
            <w:r>
              <w:rPr>
                <w:rFonts w:ascii="Arial" w:cs="Arial" w:eastAsia="Arial" w:hAnsi="Arial"/>
                <w:sz w:val="18"/>
                <w:szCs w:val="18"/>
                <w:color w:val="auto"/>
              </w:rPr>
              <w:t>Description</w:t>
            </w:r>
          </w:p>
        </w:tc>
      </w:tr>
      <w:tr>
        <w:trPr>
          <w:trHeight w:val="27"/>
        </w:trPr>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2"/>
        </w:trPr>
        <w:tc>
          <w:tcPr>
            <w:tcW w:w="420" w:type="dxa"/>
            <w:vAlign w:val="bottom"/>
            <w:gridSpan w:val="2"/>
            <w:shd w:val="clear" w:color="auto" w:fill="CCEEFF"/>
          </w:tcPr>
          <w:p>
            <w:pPr>
              <w:spacing w:after="0" w:line="162" w:lineRule="exact"/>
              <w:rPr>
                <w:rFonts w:ascii="Arial" w:cs="Arial" w:eastAsia="Arial" w:hAnsi="Arial"/>
                <w:sz w:val="18"/>
                <w:szCs w:val="18"/>
                <w:color w:val="0563C1"/>
              </w:rPr>
            </w:pPr>
            <w:hyperlink r:id="rId39">
              <w:r>
                <w:rPr>
                  <w:rFonts w:ascii="Arial" w:cs="Arial" w:eastAsia="Arial" w:hAnsi="Arial"/>
                  <w:sz w:val="18"/>
                  <w:szCs w:val="18"/>
                  <w:color w:val="0563C1"/>
                </w:rPr>
                <w:t>3.</w:t>
              </w:r>
              <w:r>
                <w:rPr>
                  <w:rFonts w:ascii="Arial" w:cs="Arial" w:eastAsia="Arial" w:hAnsi="Arial"/>
                  <w:sz w:val="18"/>
                  <w:szCs w:val="18"/>
                  <w:u w:val="single" w:color="auto"/>
                  <w:color w:val="0563C1"/>
                </w:rPr>
                <w:t>1</w:t>
              </w:r>
            </w:hyperlink>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17"/>
            <w:shd w:val="clear" w:color="auto" w:fill="CCEEFF"/>
          </w:tcPr>
          <w:p>
            <w:pPr>
              <w:spacing w:after="0" w:line="162" w:lineRule="exact"/>
              <w:rPr>
                <w:rFonts w:ascii="Arial" w:cs="Arial" w:eastAsia="Arial" w:hAnsi="Arial"/>
                <w:sz w:val="18"/>
                <w:szCs w:val="18"/>
                <w:color w:val="0563C1"/>
                <w:w w:val="92"/>
              </w:rPr>
            </w:pPr>
            <w:hyperlink r:id="rId39">
              <w:r>
                <w:rPr>
                  <w:rFonts w:ascii="Arial" w:cs="Arial" w:eastAsia="Arial" w:hAnsi="Arial"/>
                  <w:sz w:val="18"/>
                  <w:szCs w:val="18"/>
                  <w:color w:val="0563C1"/>
                  <w:w w:val="92"/>
                </w:rPr>
                <w:t>Certificate of Incorporation of Tile Shop Holdings, Inc. (incorporated by reference to Exhibit 3.1 to the Company’s Registration Statement</w:t>
              </w:r>
            </w:hyperlink>
          </w:p>
        </w:tc>
      </w:tr>
      <w:tr>
        <w:trPr>
          <w:trHeight w:val="183"/>
        </w:trPr>
        <w:tc>
          <w:tcPr>
            <w:tcW w:w="240" w:type="dxa"/>
            <w:vAlign w:val="bottom"/>
            <w:tcBorders>
              <w:top w:val="single" w:sz="8" w:color="0563C1"/>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20" w:type="dxa"/>
            <w:vAlign w:val="bottom"/>
            <w:tcBorders>
              <w:top w:val="single" w:sz="8" w:color="0563C1"/>
            </w:tcBorders>
            <w:gridSpan w:val="17"/>
            <w:shd w:val="clear" w:color="auto" w:fill="CCEEFF"/>
          </w:tcPr>
          <w:p>
            <w:pPr>
              <w:spacing w:after="0" w:line="182" w:lineRule="exact"/>
              <w:rPr>
                <w:rFonts w:ascii="Arial" w:cs="Arial" w:eastAsia="Arial" w:hAnsi="Arial"/>
                <w:sz w:val="18"/>
                <w:szCs w:val="18"/>
                <w:color w:val="0563C1"/>
              </w:rPr>
            </w:pPr>
            <w:hyperlink r:id="rId39">
              <w:r>
                <w:rPr>
                  <w:rFonts w:ascii="Arial" w:cs="Arial" w:eastAsia="Arial" w:hAnsi="Arial"/>
                  <w:sz w:val="18"/>
                  <w:szCs w:val="18"/>
                  <w:color w:val="0563C1"/>
                </w:rPr>
                <w:t>on Form S-4 (Reg. No. 333-182482) filed with the Securities and Exchange Commission on July 2, 2012).</w:t>
              </w:r>
            </w:hyperlink>
          </w:p>
        </w:tc>
      </w:tr>
      <w:tr>
        <w:trPr>
          <w:trHeight w:val="27"/>
        </w:trPr>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720" w:type="dxa"/>
            <w:vAlign w:val="bottom"/>
            <w:shd w:val="clear" w:color="auto" w:fill="0563C1"/>
          </w:tcPr>
          <w:p>
            <w:pPr>
              <w:spacing w:after="0"/>
              <w:rPr>
                <w:sz w:val="2"/>
                <w:szCs w:val="2"/>
                <w:color w:val="auto"/>
              </w:rPr>
            </w:pPr>
          </w:p>
        </w:tc>
        <w:tc>
          <w:tcPr>
            <w:tcW w:w="5160" w:type="dxa"/>
            <w:vAlign w:val="bottom"/>
            <w:shd w:val="clear" w:color="auto" w:fill="0563C1"/>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120" w:type="dxa"/>
            <w:vAlign w:val="bottom"/>
            <w:tcBorders>
              <w:right w:val="single" w:sz="8" w:color="0563C1"/>
            </w:tcBorders>
            <w:shd w:val="clear" w:color="auto" w:fill="0563C1"/>
          </w:tcPr>
          <w:p>
            <w:pPr>
              <w:spacing w:after="0"/>
              <w:rPr>
                <w:sz w:val="2"/>
                <w:szCs w:val="2"/>
                <w:color w:val="auto"/>
              </w:rPr>
            </w:pPr>
          </w:p>
        </w:tc>
        <w:tc>
          <w:tcPr>
            <w:tcW w:w="360" w:type="dxa"/>
            <w:vAlign w:val="bottom"/>
            <w:shd w:val="clear" w:color="auto" w:fill="0563C1"/>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62"/>
        </w:trPr>
        <w:tc>
          <w:tcPr>
            <w:tcW w:w="420" w:type="dxa"/>
            <w:vAlign w:val="bottom"/>
            <w:gridSpan w:val="2"/>
          </w:tcPr>
          <w:p>
            <w:pPr>
              <w:spacing w:after="0" w:line="162" w:lineRule="exact"/>
              <w:rPr>
                <w:rFonts w:ascii="Arial" w:cs="Arial" w:eastAsia="Arial" w:hAnsi="Arial"/>
                <w:sz w:val="18"/>
                <w:szCs w:val="18"/>
                <w:color w:val="0563C1"/>
              </w:rPr>
            </w:pPr>
            <w:hyperlink r:id="rId40">
              <w:r>
                <w:rPr>
                  <w:rFonts w:ascii="Arial" w:cs="Arial" w:eastAsia="Arial" w:hAnsi="Arial"/>
                  <w:sz w:val="18"/>
                  <w:szCs w:val="18"/>
                  <w:color w:val="0563C1"/>
                </w:rPr>
                <w:t>3.</w:t>
              </w:r>
              <w:r>
                <w:rPr>
                  <w:rFonts w:ascii="Arial" w:cs="Arial" w:eastAsia="Arial" w:hAnsi="Arial"/>
                  <w:sz w:val="18"/>
                  <w:szCs w:val="18"/>
                  <w:u w:val="single" w:color="auto"/>
                  <w:color w:val="0563C1"/>
                </w:rPr>
                <w:t>2</w:t>
              </w:r>
            </w:hyperlink>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17"/>
          </w:tcPr>
          <w:p>
            <w:pPr>
              <w:spacing w:after="0" w:line="162" w:lineRule="exact"/>
              <w:rPr>
                <w:rFonts w:ascii="Arial" w:cs="Arial" w:eastAsia="Arial" w:hAnsi="Arial"/>
                <w:sz w:val="18"/>
                <w:szCs w:val="18"/>
                <w:color w:val="0563C1"/>
                <w:w w:val="94"/>
              </w:rPr>
            </w:pPr>
            <w:hyperlink r:id="rId40">
              <w:r>
                <w:rPr>
                  <w:rFonts w:ascii="Arial" w:cs="Arial" w:eastAsia="Arial" w:hAnsi="Arial"/>
                  <w:sz w:val="18"/>
                  <w:szCs w:val="18"/>
                  <w:color w:val="0563C1"/>
                  <w:w w:val="94"/>
                </w:rPr>
                <w:t>Certificate of Amendment to the Certificate of Incorporation of Tile Shop Holdings, Inc. (incorporated by reference to Exhibit 3.2 to the</w:t>
              </w:r>
            </w:hyperlink>
          </w:p>
        </w:tc>
      </w:tr>
      <w:tr>
        <w:trPr>
          <w:trHeight w:val="189"/>
        </w:trPr>
        <w:tc>
          <w:tcPr>
            <w:tcW w:w="240" w:type="dxa"/>
            <w:vAlign w:val="bottom"/>
            <w:tcBorders>
              <w:top w:val="single" w:sz="8" w:color="0563C1"/>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60" w:type="dxa"/>
            <w:vAlign w:val="bottom"/>
            <w:tcBorders>
              <w:top w:val="single" w:sz="8" w:color="0563C1"/>
              <w:bottom w:val="single" w:sz="8" w:color="0563C1"/>
            </w:tcBorders>
            <w:gridSpan w:val="7"/>
          </w:tcPr>
          <w:p>
            <w:pPr>
              <w:spacing w:after="0" w:line="182" w:lineRule="exact"/>
              <w:rPr>
                <w:rFonts w:ascii="Arial" w:cs="Arial" w:eastAsia="Arial" w:hAnsi="Arial"/>
                <w:sz w:val="18"/>
                <w:szCs w:val="18"/>
                <w:color w:val="0563C1"/>
                <w:w w:val="91"/>
              </w:rPr>
            </w:pPr>
            <w:hyperlink r:id="rId40">
              <w:r>
                <w:rPr>
                  <w:rFonts w:ascii="Arial" w:cs="Arial" w:eastAsia="Arial" w:hAnsi="Arial"/>
                  <w:sz w:val="18"/>
                  <w:szCs w:val="18"/>
                  <w:color w:val="0563C1"/>
                  <w:w w:val="91"/>
                </w:rPr>
                <w:t>Company’s Current Report on Form 8-K filed with the Securities and Exchange Commission on July 21, 2021).</w:t>
              </w:r>
            </w:hyperlink>
          </w:p>
        </w:tc>
        <w:tc>
          <w:tcPr>
            <w:tcW w:w="1780" w:type="dxa"/>
            <w:vAlign w:val="bottom"/>
            <w:tcBorders>
              <w:top w:val="single" w:sz="8" w:color="0563C1"/>
            </w:tcBorders>
            <w:gridSpan w:val="5"/>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2"/>
        </w:trPr>
        <w:tc>
          <w:tcPr>
            <w:tcW w:w="420" w:type="dxa"/>
            <w:vAlign w:val="bottom"/>
            <w:gridSpan w:val="2"/>
            <w:shd w:val="clear" w:color="auto" w:fill="CCEEFF"/>
          </w:tcPr>
          <w:p>
            <w:pPr>
              <w:spacing w:after="0" w:line="162" w:lineRule="exact"/>
              <w:rPr>
                <w:rFonts w:ascii="Arial" w:cs="Arial" w:eastAsia="Arial" w:hAnsi="Arial"/>
                <w:sz w:val="18"/>
                <w:szCs w:val="18"/>
                <w:color w:val="0563C1"/>
              </w:rPr>
            </w:pPr>
            <w:hyperlink r:id="rId41">
              <w:r>
                <w:rPr>
                  <w:rFonts w:ascii="Arial" w:cs="Arial" w:eastAsia="Arial" w:hAnsi="Arial"/>
                  <w:sz w:val="18"/>
                  <w:szCs w:val="18"/>
                  <w:color w:val="0563C1"/>
                </w:rPr>
                <w:t>3.</w:t>
              </w:r>
              <w:r>
                <w:rPr>
                  <w:rFonts w:ascii="Arial" w:cs="Arial" w:eastAsia="Arial" w:hAnsi="Arial"/>
                  <w:sz w:val="18"/>
                  <w:szCs w:val="18"/>
                  <w:u w:val="single" w:color="auto"/>
                  <w:color w:val="0563C1"/>
                </w:rPr>
                <w:t>3</w:t>
              </w:r>
            </w:hyperlink>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17"/>
            <w:shd w:val="clear" w:color="auto" w:fill="CCEEFF"/>
          </w:tcPr>
          <w:p>
            <w:pPr>
              <w:spacing w:after="0" w:line="162" w:lineRule="exact"/>
              <w:rPr>
                <w:rFonts w:ascii="Arial" w:cs="Arial" w:eastAsia="Arial" w:hAnsi="Arial"/>
                <w:sz w:val="18"/>
                <w:szCs w:val="18"/>
                <w:color w:val="0563C1"/>
                <w:w w:val="95"/>
              </w:rPr>
            </w:pPr>
            <w:hyperlink r:id="rId41">
              <w:r>
                <w:rPr>
                  <w:rFonts w:ascii="Arial" w:cs="Arial" w:eastAsia="Arial" w:hAnsi="Arial"/>
                  <w:sz w:val="18"/>
                  <w:szCs w:val="18"/>
                  <w:color w:val="0563C1"/>
                  <w:w w:val="95"/>
                </w:rPr>
                <w:t>By-Laws of Tile Shop Holdings, Inc. (incorporated by reference to Exhibit 3.2 to the Company’s Registration Statement on Form S-4</w:t>
              </w:r>
            </w:hyperlink>
          </w:p>
        </w:tc>
      </w:tr>
      <w:tr>
        <w:trPr>
          <w:trHeight w:val="190"/>
        </w:trPr>
        <w:tc>
          <w:tcPr>
            <w:tcW w:w="240" w:type="dxa"/>
            <w:vAlign w:val="bottom"/>
            <w:tcBorders>
              <w:top w:val="single" w:sz="8" w:color="0563C1"/>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6720" w:type="dxa"/>
            <w:vAlign w:val="bottom"/>
            <w:tcBorders>
              <w:top w:val="single" w:sz="8" w:color="0563C1"/>
              <w:bottom w:val="single" w:sz="8" w:color="0563C1"/>
            </w:tcBorders>
            <w:gridSpan w:val="3"/>
            <w:shd w:val="clear" w:color="auto" w:fill="CCEEFF"/>
          </w:tcPr>
          <w:p>
            <w:pPr>
              <w:spacing w:after="0" w:line="182" w:lineRule="exact"/>
              <w:rPr>
                <w:rFonts w:ascii="Arial" w:cs="Arial" w:eastAsia="Arial" w:hAnsi="Arial"/>
                <w:sz w:val="18"/>
                <w:szCs w:val="18"/>
                <w:color w:val="0563C1"/>
                <w:w w:val="91"/>
              </w:rPr>
            </w:pPr>
            <w:hyperlink r:id="rId41">
              <w:r>
                <w:rPr>
                  <w:rFonts w:ascii="Arial" w:cs="Arial" w:eastAsia="Arial" w:hAnsi="Arial"/>
                  <w:sz w:val="18"/>
                  <w:szCs w:val="18"/>
                  <w:color w:val="0563C1"/>
                  <w:w w:val="91"/>
                </w:rPr>
                <w:t>(Reg. No. 333-182482) filed with the Securities and Exchange Commission on July 2, 2012).</w:t>
              </w:r>
            </w:hyperlink>
          </w:p>
        </w:tc>
        <w:tc>
          <w:tcPr>
            <w:tcW w:w="2940" w:type="dxa"/>
            <w:vAlign w:val="bottom"/>
            <w:tcBorders>
              <w:top w:val="single" w:sz="8" w:color="0563C1"/>
              <w:bottom w:val="single" w:sz="8" w:color="CCEEFF"/>
            </w:tcBorders>
            <w:gridSpan w:val="6"/>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62"/>
        </w:trPr>
        <w:tc>
          <w:tcPr>
            <w:tcW w:w="500" w:type="dxa"/>
            <w:vAlign w:val="bottom"/>
            <w:gridSpan w:val="3"/>
          </w:tcPr>
          <w:p>
            <w:pPr>
              <w:spacing w:after="0" w:line="162" w:lineRule="exact"/>
              <w:rPr>
                <w:rFonts w:ascii="Arial" w:cs="Arial" w:eastAsia="Arial" w:hAnsi="Arial"/>
                <w:sz w:val="18"/>
                <w:szCs w:val="18"/>
                <w:color w:val="0563C1"/>
              </w:rPr>
            </w:pPr>
            <w:hyperlink r:id="rId42">
              <w:r>
                <w:rPr>
                  <w:rFonts w:ascii="Arial" w:cs="Arial" w:eastAsia="Arial" w:hAnsi="Arial"/>
                  <w:sz w:val="18"/>
                  <w:szCs w:val="18"/>
                  <w:color w:val="0563C1"/>
                </w:rPr>
                <w:t>10.</w:t>
              </w:r>
              <w:r>
                <w:rPr>
                  <w:rFonts w:ascii="Arial" w:cs="Arial" w:eastAsia="Arial" w:hAnsi="Arial"/>
                  <w:sz w:val="18"/>
                  <w:szCs w:val="18"/>
                  <w:u w:val="single" w:color="auto"/>
                  <w:color w:val="0563C1"/>
                </w:rPr>
                <w:t>1+</w:t>
              </w:r>
            </w:hyperlink>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17"/>
          </w:tcPr>
          <w:p>
            <w:pPr>
              <w:spacing w:after="0" w:line="162" w:lineRule="exact"/>
              <w:rPr>
                <w:rFonts w:ascii="Arial" w:cs="Arial" w:eastAsia="Arial" w:hAnsi="Arial"/>
                <w:sz w:val="18"/>
                <w:szCs w:val="18"/>
                <w:color w:val="0563C1"/>
                <w:w w:val="92"/>
              </w:rPr>
            </w:pPr>
            <w:hyperlink r:id="rId42">
              <w:r>
                <w:rPr>
                  <w:rFonts w:ascii="Arial" w:cs="Arial" w:eastAsia="Arial" w:hAnsi="Arial"/>
                  <w:sz w:val="18"/>
                  <w:szCs w:val="18"/>
                  <w:color w:val="0563C1"/>
                  <w:w w:val="92"/>
                </w:rPr>
                <w:t>Credit Agreement, dated as of September 30, 2022, by and among The Tile Shop, LLC, as borrower and loan party, Tile Shop Holdings,</w:t>
              </w:r>
            </w:hyperlink>
          </w:p>
        </w:tc>
      </w:tr>
      <w:tr>
        <w:trPr>
          <w:trHeight w:val="183"/>
        </w:trPr>
        <w:tc>
          <w:tcPr>
            <w:tcW w:w="240" w:type="dxa"/>
            <w:vAlign w:val="bottom"/>
            <w:tcBorders>
              <w:top w:val="single" w:sz="8" w:color="0563C1"/>
            </w:tcBorders>
          </w:tcPr>
          <w:p>
            <w:pPr>
              <w:spacing w:after="0"/>
              <w:rPr>
                <w:sz w:val="15"/>
                <w:szCs w:val="15"/>
                <w:color w:val="auto"/>
              </w:rPr>
            </w:pPr>
          </w:p>
        </w:tc>
        <w:tc>
          <w:tcPr>
            <w:tcW w:w="180" w:type="dxa"/>
            <w:vAlign w:val="bottom"/>
            <w:tcBorders>
              <w:top w:val="single" w:sz="8" w:color="0563C1"/>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60" w:type="dxa"/>
            <w:vAlign w:val="bottom"/>
            <w:tcBorders>
              <w:top w:val="single" w:sz="8" w:color="0563C1"/>
            </w:tcBorders>
            <w:gridSpan w:val="13"/>
          </w:tcPr>
          <w:p>
            <w:pPr>
              <w:spacing w:after="0" w:line="182" w:lineRule="exact"/>
              <w:rPr>
                <w:rFonts w:ascii="Arial" w:cs="Arial" w:eastAsia="Arial" w:hAnsi="Arial"/>
                <w:sz w:val="18"/>
                <w:szCs w:val="18"/>
                <w:color w:val="0563C1"/>
                <w:w w:val="92"/>
              </w:rPr>
            </w:pPr>
            <w:hyperlink r:id="rId42">
              <w:r>
                <w:rPr>
                  <w:rFonts w:ascii="Arial" w:cs="Arial" w:eastAsia="Arial" w:hAnsi="Arial"/>
                  <w:sz w:val="18"/>
                  <w:szCs w:val="18"/>
                  <w:color w:val="0563C1"/>
                  <w:w w:val="92"/>
                </w:rPr>
                <w:t>Inc., Tile Shop Lending, Inc., and The Tile Shop of Michigan, LLC, as guarantors and loan parties, each lender from time to time party</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9"/>
        </w:trPr>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760" w:type="dxa"/>
            <w:vAlign w:val="bottom"/>
            <w:tcBorders>
              <w:top w:val="single" w:sz="8" w:color="0563C1"/>
              <w:bottom w:val="single" w:sz="8" w:color="0563C1"/>
            </w:tcBorders>
            <w:gridSpan w:val="10"/>
          </w:tcPr>
          <w:p>
            <w:pPr>
              <w:spacing w:after="0" w:line="169" w:lineRule="exact"/>
              <w:rPr>
                <w:rFonts w:ascii="Arial" w:cs="Arial" w:eastAsia="Arial" w:hAnsi="Arial"/>
                <w:sz w:val="18"/>
                <w:szCs w:val="18"/>
                <w:color w:val="0563C1"/>
                <w:w w:val="89"/>
              </w:rPr>
            </w:pPr>
            <w:hyperlink r:id="rId42">
              <w:r>
                <w:rPr>
                  <w:rFonts w:ascii="Arial" w:cs="Arial" w:eastAsia="Arial" w:hAnsi="Arial"/>
                  <w:sz w:val="18"/>
                  <w:szCs w:val="18"/>
                  <w:color w:val="0563C1"/>
                  <w:w w:val="89"/>
                </w:rPr>
                <w:t>thereto, and JPMorgan Chase Bank, N.A., as administrative agent, sole bookrunner and sole lead arranger (incorporated by reference to</w:t>
              </w:r>
            </w:hyperlink>
          </w:p>
        </w:tc>
        <w:tc>
          <w:tcPr>
            <w:tcW w:w="40" w:type="dxa"/>
            <w:vAlign w:val="bottom"/>
            <w:tcBorders>
              <w:bottom w:val="single" w:sz="8" w:color="0563C1"/>
            </w:tcBorders>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0" w:type="dxa"/>
            <w:vAlign w:val="bottom"/>
            <w:tcBorders>
              <w:bottom w:val="single" w:sz="8" w:color="0563C1"/>
            </w:tcBorders>
            <w:gridSpan w:val="11"/>
          </w:tcPr>
          <w:p>
            <w:pPr>
              <w:spacing w:after="0" w:line="182" w:lineRule="exact"/>
              <w:rPr>
                <w:rFonts w:ascii="Arial" w:cs="Arial" w:eastAsia="Arial" w:hAnsi="Arial"/>
                <w:sz w:val="18"/>
                <w:szCs w:val="18"/>
                <w:color w:val="0563C1"/>
                <w:w w:val="90"/>
              </w:rPr>
            </w:pPr>
            <w:hyperlink r:id="rId42">
              <w:r>
                <w:rPr>
                  <w:rFonts w:ascii="Arial" w:cs="Arial" w:eastAsia="Arial" w:hAnsi="Arial"/>
                  <w:sz w:val="18"/>
                  <w:szCs w:val="18"/>
                  <w:color w:val="0563C1"/>
                  <w:w w:val="90"/>
                </w:rPr>
                <w:t>Exhibit 10.1 to the Company’s Current Report on Form 8-K filed with the Securities and Exchange Commission on September 30, 2022)</w:t>
              </w:r>
            </w:hyperlink>
          </w:p>
        </w:tc>
        <w:tc>
          <w:tcPr>
            <w:tcW w:w="120" w:type="dxa"/>
            <w:vAlign w:val="bottom"/>
            <w:tcBorders>
              <w:bottom w:val="single" w:sz="8" w:color="0563C1"/>
            </w:tcBorders>
            <w:gridSpan w:val="4"/>
          </w:tcPr>
          <w:p>
            <w:pPr>
              <w:jc w:val="right"/>
              <w:spacing w:after="0" w:line="182" w:lineRule="exact"/>
              <w:rPr>
                <w:rFonts w:ascii="Arial" w:cs="Arial" w:eastAsia="Arial" w:hAnsi="Arial"/>
                <w:sz w:val="18"/>
                <w:szCs w:val="18"/>
                <w:color w:val="0563C1"/>
              </w:rPr>
            </w:pPr>
            <w:hyperlink r:id="rId42">
              <w:r>
                <w:rPr>
                  <w:rFonts w:ascii="Arial" w:cs="Arial" w:eastAsia="Arial" w:hAnsi="Arial"/>
                  <w:sz w:val="18"/>
                  <w:szCs w:val="18"/>
                  <w:color w:val="0563C1"/>
                </w:rPr>
                <w:t>.</w:t>
              </w:r>
            </w:hyperlink>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2"/>
        </w:trPr>
        <w:tc>
          <w:tcPr>
            <w:tcW w:w="500" w:type="dxa"/>
            <w:vAlign w:val="bottom"/>
            <w:gridSpan w:val="3"/>
            <w:shd w:val="clear" w:color="auto" w:fill="CCEEFF"/>
          </w:tcPr>
          <w:p>
            <w:pPr>
              <w:spacing w:after="0" w:line="162" w:lineRule="exact"/>
              <w:rPr>
                <w:rFonts w:ascii="Arial" w:cs="Arial" w:eastAsia="Arial" w:hAnsi="Arial"/>
                <w:sz w:val="18"/>
                <w:szCs w:val="18"/>
                <w:color w:val="0563C1"/>
              </w:rPr>
            </w:pPr>
            <w:hyperlink r:id="rId43">
              <w:r>
                <w:rPr>
                  <w:rFonts w:ascii="Arial" w:cs="Arial" w:eastAsia="Arial" w:hAnsi="Arial"/>
                  <w:sz w:val="18"/>
                  <w:szCs w:val="18"/>
                  <w:color w:val="0563C1"/>
                </w:rPr>
                <w:t>10.</w:t>
              </w:r>
              <w:r>
                <w:rPr>
                  <w:rFonts w:ascii="Arial" w:cs="Arial" w:eastAsia="Arial" w:hAnsi="Arial"/>
                  <w:sz w:val="18"/>
                  <w:szCs w:val="18"/>
                  <w:u w:val="single" w:color="auto"/>
                  <w:color w:val="0563C1"/>
                </w:rPr>
                <w:t>2+</w:t>
              </w:r>
            </w:hyperlink>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17"/>
            <w:shd w:val="clear" w:color="auto" w:fill="CCEEFF"/>
          </w:tcPr>
          <w:p>
            <w:pPr>
              <w:spacing w:after="0" w:line="162" w:lineRule="exact"/>
              <w:rPr>
                <w:rFonts w:ascii="Arial" w:cs="Arial" w:eastAsia="Arial" w:hAnsi="Arial"/>
                <w:sz w:val="18"/>
                <w:szCs w:val="18"/>
                <w:color w:val="0563C1"/>
                <w:w w:val="91"/>
              </w:rPr>
            </w:pPr>
            <w:hyperlink r:id="rId43">
              <w:r>
                <w:rPr>
                  <w:rFonts w:ascii="Arial" w:cs="Arial" w:eastAsia="Arial" w:hAnsi="Arial"/>
                  <w:sz w:val="18"/>
                  <w:szCs w:val="18"/>
                  <w:color w:val="0563C1"/>
                  <w:w w:val="91"/>
                </w:rPr>
                <w:t>Pledge and Security Agreement, dated as of September 30, 2022, by and among The Tile Shop, LLC, Tile Shop Holdings, Inc., Tile Shop</w:t>
              </w:r>
            </w:hyperlink>
          </w:p>
        </w:tc>
      </w:tr>
      <w:tr>
        <w:trPr>
          <w:trHeight w:val="183"/>
        </w:trPr>
        <w:tc>
          <w:tcPr>
            <w:tcW w:w="240" w:type="dxa"/>
            <w:vAlign w:val="bottom"/>
            <w:tcBorders>
              <w:top w:val="single" w:sz="8" w:color="0563C1"/>
            </w:tcBorders>
            <w:shd w:val="clear" w:color="auto" w:fill="CCEEFF"/>
          </w:tcPr>
          <w:p>
            <w:pPr>
              <w:spacing w:after="0"/>
              <w:rPr>
                <w:sz w:val="15"/>
                <w:szCs w:val="15"/>
                <w:color w:val="auto"/>
              </w:rPr>
            </w:pPr>
          </w:p>
        </w:tc>
        <w:tc>
          <w:tcPr>
            <w:tcW w:w="180" w:type="dxa"/>
            <w:vAlign w:val="bottom"/>
            <w:tcBorders>
              <w:top w:val="single" w:sz="8" w:color="0563C1"/>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9940" w:type="dxa"/>
            <w:vAlign w:val="bottom"/>
            <w:tcBorders>
              <w:top w:val="single" w:sz="8" w:color="0563C1"/>
            </w:tcBorders>
            <w:gridSpan w:val="16"/>
            <w:shd w:val="clear" w:color="auto" w:fill="CCEEFF"/>
          </w:tcPr>
          <w:p>
            <w:pPr>
              <w:spacing w:after="0" w:line="182" w:lineRule="exact"/>
              <w:rPr>
                <w:rFonts w:ascii="Arial" w:cs="Arial" w:eastAsia="Arial" w:hAnsi="Arial"/>
                <w:sz w:val="18"/>
                <w:szCs w:val="18"/>
                <w:color w:val="0563C1"/>
                <w:w w:val="91"/>
              </w:rPr>
            </w:pPr>
            <w:hyperlink r:id="rId43">
              <w:r>
                <w:rPr>
                  <w:rFonts w:ascii="Arial" w:cs="Arial" w:eastAsia="Arial" w:hAnsi="Arial"/>
                  <w:sz w:val="18"/>
                  <w:szCs w:val="18"/>
                  <w:color w:val="0563C1"/>
                  <w:w w:val="91"/>
                </w:rPr>
                <w:t>Lending, Inc., and The Tile Shop of Michigan, LLC, as grantors, and JPMorgan Chase Bank, N.A., as administrative agent (incorporated</w:t>
              </w:r>
            </w:hyperlink>
          </w:p>
        </w:tc>
        <w:tc>
          <w:tcPr>
            <w:tcW w:w="80" w:type="dxa"/>
            <w:vAlign w:val="bottom"/>
            <w:tcBorders>
              <w:top w:val="single" w:sz="8" w:color="CCEEFF"/>
            </w:tcBorders>
            <w:shd w:val="clear" w:color="auto" w:fill="CCEEFF"/>
          </w:tcPr>
          <w:p>
            <w:pPr>
              <w:spacing w:after="0"/>
              <w:rPr>
                <w:sz w:val="15"/>
                <w:szCs w:val="15"/>
                <w:color w:val="auto"/>
              </w:rPr>
            </w:pPr>
          </w:p>
        </w:tc>
      </w:tr>
      <w:tr>
        <w:trPr>
          <w:trHeight w:val="169"/>
        </w:trPr>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9900" w:type="dxa"/>
            <w:vAlign w:val="bottom"/>
            <w:tcBorders>
              <w:top w:val="single" w:sz="8" w:color="0563C1"/>
            </w:tcBorders>
            <w:gridSpan w:val="14"/>
            <w:shd w:val="clear" w:color="auto" w:fill="CCEEFF"/>
          </w:tcPr>
          <w:p>
            <w:pPr>
              <w:spacing w:after="0" w:line="169" w:lineRule="exact"/>
              <w:rPr>
                <w:rFonts w:ascii="Arial" w:cs="Arial" w:eastAsia="Arial" w:hAnsi="Arial"/>
                <w:sz w:val="18"/>
                <w:szCs w:val="18"/>
                <w:color w:val="0563C1"/>
                <w:w w:val="95"/>
              </w:rPr>
            </w:pPr>
            <w:hyperlink r:id="rId43">
              <w:r>
                <w:rPr>
                  <w:rFonts w:ascii="Arial" w:cs="Arial" w:eastAsia="Arial" w:hAnsi="Arial"/>
                  <w:sz w:val="18"/>
                  <w:szCs w:val="18"/>
                  <w:color w:val="0563C1"/>
                  <w:w w:val="95"/>
                </w:rPr>
                <w:t>by reference to Exhibit 10.2 to the Company’s Current Report on Form 8-K filed with the Securities and Exchange Commission on</w:t>
              </w:r>
            </w:hyperlink>
          </w:p>
        </w:tc>
        <w:tc>
          <w:tcPr>
            <w:tcW w:w="120" w:type="dxa"/>
            <w:vAlign w:val="bottom"/>
            <w:tcBorders>
              <w:top w:val="single" w:sz="8" w:color="CCEEFF"/>
            </w:tcBorders>
            <w:gridSpan w:val="3"/>
            <w:shd w:val="clear" w:color="auto" w:fill="CCEEFF"/>
          </w:tcPr>
          <w:p>
            <w:pPr>
              <w:spacing w:after="0"/>
              <w:rPr>
                <w:sz w:val="14"/>
                <w:szCs w:val="14"/>
                <w:color w:val="auto"/>
              </w:rPr>
            </w:pPr>
          </w:p>
        </w:tc>
      </w:tr>
      <w:tr>
        <w:trPr>
          <w:trHeight w:val="190"/>
        </w:trPr>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0563C1"/>
              <w:bottom w:val="single" w:sz="8" w:color="0563C1"/>
            </w:tcBorders>
            <w:gridSpan w:val="2"/>
            <w:shd w:val="clear" w:color="auto" w:fill="CCEEFF"/>
          </w:tcPr>
          <w:p>
            <w:pPr>
              <w:spacing w:after="0" w:line="182" w:lineRule="exact"/>
              <w:rPr>
                <w:rFonts w:ascii="Arial" w:cs="Arial" w:eastAsia="Arial" w:hAnsi="Arial"/>
                <w:sz w:val="18"/>
                <w:szCs w:val="18"/>
                <w:color w:val="0563C1"/>
                <w:w w:val="88"/>
              </w:rPr>
            </w:pPr>
            <w:hyperlink r:id="rId43">
              <w:r>
                <w:rPr>
                  <w:rFonts w:ascii="Arial" w:cs="Arial" w:eastAsia="Arial" w:hAnsi="Arial"/>
                  <w:sz w:val="18"/>
                  <w:szCs w:val="18"/>
                  <w:color w:val="0563C1"/>
                  <w:w w:val="88"/>
                </w:rPr>
                <w:t>September 30, 2022).</w:t>
              </w:r>
            </w:hyperlink>
          </w:p>
        </w:tc>
        <w:tc>
          <w:tcPr>
            <w:tcW w:w="7920" w:type="dxa"/>
            <w:vAlign w:val="bottom"/>
            <w:tcBorders>
              <w:top w:val="single" w:sz="8" w:color="0563C1"/>
              <w:bottom w:val="single" w:sz="8" w:color="CCEEFF"/>
            </w:tcBorders>
            <w:gridSpan w:val="6"/>
            <w:shd w:val="clear" w:color="auto" w:fill="CCEEFF"/>
          </w:tcPr>
          <w:p>
            <w:pPr>
              <w:spacing w:after="0"/>
              <w:rPr>
                <w:sz w:val="16"/>
                <w:szCs w:val="16"/>
                <w:color w:val="auto"/>
              </w:rPr>
            </w:pPr>
          </w:p>
        </w:tc>
        <w:tc>
          <w:tcPr>
            <w:tcW w:w="540" w:type="dxa"/>
            <w:vAlign w:val="bottom"/>
            <w:tcBorders>
              <w:top w:val="single" w:sz="8" w:color="CCEEFF"/>
              <w:bottom w:val="single" w:sz="8" w:color="CCEEFF"/>
            </w:tcBorders>
            <w:gridSpan w:val="9"/>
            <w:shd w:val="clear" w:color="auto" w:fill="CCEEFF"/>
          </w:tcPr>
          <w:p>
            <w:pPr>
              <w:spacing w:after="0"/>
              <w:rPr>
                <w:sz w:val="16"/>
                <w:szCs w:val="16"/>
                <w:color w:val="auto"/>
              </w:rPr>
            </w:pPr>
          </w:p>
        </w:tc>
      </w:tr>
      <w:tr>
        <w:trPr>
          <w:trHeight w:val="169"/>
        </w:trPr>
        <w:tc>
          <w:tcPr>
            <w:tcW w:w="420" w:type="dxa"/>
            <w:vAlign w:val="bottom"/>
            <w:gridSpan w:val="2"/>
          </w:tcPr>
          <w:p>
            <w:pPr>
              <w:spacing w:after="0" w:line="162" w:lineRule="exact"/>
              <w:rPr>
                <w:sz w:val="20"/>
                <w:szCs w:val="20"/>
                <w:color w:val="auto"/>
              </w:rPr>
            </w:pPr>
            <w:r>
              <w:rPr>
                <w:rFonts w:ascii="Arial" w:cs="Arial" w:eastAsia="Arial" w:hAnsi="Arial"/>
                <w:sz w:val="18"/>
                <w:szCs w:val="18"/>
                <w:color w:val="0563C1"/>
                <w:w w:val="95"/>
              </w:rPr>
              <w:t>31.</w:t>
            </w:r>
            <w:r>
              <w:rPr>
                <w:rFonts w:ascii="Arial" w:cs="Arial" w:eastAsia="Arial" w:hAnsi="Arial"/>
                <w:sz w:val="18"/>
                <w:szCs w:val="18"/>
                <w:u w:val="single" w:color="auto"/>
                <w:color w:val="0563C1"/>
                <w:w w:val="95"/>
              </w:rPr>
              <w:t>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17"/>
          </w:tcPr>
          <w:p>
            <w:pPr>
              <w:spacing w:after="0" w:line="162" w:lineRule="exact"/>
              <w:rPr>
                <w:sz w:val="20"/>
                <w:szCs w:val="20"/>
                <w:color w:val="auto"/>
              </w:rPr>
            </w:pPr>
            <w:r>
              <w:rPr>
                <w:rFonts w:ascii="Arial" w:cs="Arial" w:eastAsia="Arial" w:hAnsi="Arial"/>
                <w:sz w:val="18"/>
                <w:szCs w:val="18"/>
                <w:color w:val="0563C1"/>
              </w:rPr>
              <w:t>Certification of Chief Executive Officer Pursuant to Section 302 of the Sarbanes Oxley Act of 2002.</w:t>
            </w:r>
          </w:p>
        </w:tc>
      </w:tr>
      <w:tr>
        <w:trPr>
          <w:trHeight w:val="169"/>
        </w:trPr>
        <w:tc>
          <w:tcPr>
            <w:tcW w:w="420" w:type="dxa"/>
            <w:vAlign w:val="bottom"/>
            <w:tcBorders>
              <w:top w:val="single" w:sz="8" w:color="0563C1"/>
              <w:bottom w:val="single" w:sz="8" w:color="0563C1"/>
            </w:tcBorders>
            <w:gridSpan w:val="2"/>
            <w:shd w:val="clear" w:color="auto" w:fill="CCEEFF"/>
          </w:tcPr>
          <w:p>
            <w:pPr>
              <w:spacing w:after="0" w:line="162" w:lineRule="exact"/>
              <w:rPr>
                <w:sz w:val="20"/>
                <w:szCs w:val="20"/>
                <w:color w:val="auto"/>
              </w:rPr>
            </w:pPr>
            <w:r>
              <w:rPr>
                <w:rFonts w:ascii="Arial" w:cs="Arial" w:eastAsia="Arial" w:hAnsi="Arial"/>
                <w:sz w:val="18"/>
                <w:szCs w:val="18"/>
                <w:color w:val="0563C1"/>
                <w:w w:val="95"/>
              </w:rPr>
              <w:t>31.</w:t>
            </w:r>
            <w:r>
              <w:rPr>
                <w:rFonts w:ascii="Arial" w:cs="Arial" w:eastAsia="Arial" w:hAnsi="Arial"/>
                <w:sz w:val="18"/>
                <w:szCs w:val="18"/>
                <w:u w:val="single" w:color="auto"/>
                <w:color w:val="0563C1"/>
                <w:w w:val="95"/>
              </w:rPr>
              <w:t>2*</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7180" w:type="dxa"/>
            <w:vAlign w:val="bottom"/>
            <w:tcBorders>
              <w:top w:val="single" w:sz="8" w:color="0563C1"/>
              <w:bottom w:val="single" w:sz="8" w:color="0563C1"/>
            </w:tcBorders>
            <w:gridSpan w:val="4"/>
            <w:shd w:val="clear" w:color="auto" w:fill="CCEEFF"/>
          </w:tcPr>
          <w:p>
            <w:pPr>
              <w:spacing w:after="0" w:line="162" w:lineRule="exact"/>
              <w:rPr>
                <w:sz w:val="20"/>
                <w:szCs w:val="20"/>
                <w:color w:val="auto"/>
              </w:rPr>
            </w:pPr>
            <w:r>
              <w:rPr>
                <w:rFonts w:ascii="Arial" w:cs="Arial" w:eastAsia="Arial" w:hAnsi="Arial"/>
                <w:sz w:val="18"/>
                <w:szCs w:val="18"/>
                <w:color w:val="0563C1"/>
                <w:w w:val="91"/>
              </w:rPr>
              <w:t>Certification of Chief Financial Officer Pursuant to Section 302 of the Sarbanes Oxley Act of 2002.</w:t>
            </w:r>
          </w:p>
        </w:tc>
        <w:tc>
          <w:tcPr>
            <w:tcW w:w="120" w:type="dxa"/>
            <w:vAlign w:val="bottom"/>
            <w:tcBorders>
              <w:top w:val="single" w:sz="8" w:color="0563C1"/>
              <w:bottom w:val="single" w:sz="8" w:color="CCEEFF"/>
              <w:right w:val="single" w:sz="8" w:color="CCEEFF"/>
            </w:tcBorders>
            <w:shd w:val="clear" w:color="auto" w:fill="CCEEFF"/>
          </w:tcPr>
          <w:p>
            <w:pPr>
              <w:spacing w:after="0"/>
              <w:rPr>
                <w:sz w:val="14"/>
                <w:szCs w:val="14"/>
                <w:color w:val="auto"/>
              </w:rPr>
            </w:pPr>
          </w:p>
        </w:tc>
        <w:tc>
          <w:tcPr>
            <w:tcW w:w="2720" w:type="dxa"/>
            <w:vAlign w:val="bottom"/>
            <w:tcBorders>
              <w:bottom w:val="single" w:sz="8" w:color="CCEEFF"/>
            </w:tcBorders>
            <w:gridSpan w:val="12"/>
            <w:shd w:val="clear" w:color="auto" w:fill="CCEEFF"/>
          </w:tcPr>
          <w:p>
            <w:pPr>
              <w:spacing w:after="0"/>
              <w:rPr>
                <w:sz w:val="14"/>
                <w:szCs w:val="14"/>
                <w:color w:val="auto"/>
              </w:rPr>
            </w:pPr>
          </w:p>
        </w:tc>
      </w:tr>
      <w:tr>
        <w:trPr>
          <w:trHeight w:val="162"/>
        </w:trPr>
        <w:tc>
          <w:tcPr>
            <w:tcW w:w="840" w:type="dxa"/>
            <w:vAlign w:val="bottom"/>
            <w:gridSpan w:val="4"/>
          </w:tcPr>
          <w:p>
            <w:pPr>
              <w:spacing w:after="0" w:line="162" w:lineRule="exact"/>
              <w:rPr>
                <w:sz w:val="20"/>
                <w:szCs w:val="20"/>
                <w:color w:val="auto"/>
              </w:rPr>
            </w:pPr>
            <w:r>
              <w:rPr>
                <w:rFonts w:ascii="Arial" w:cs="Arial" w:eastAsia="Arial" w:hAnsi="Arial"/>
                <w:sz w:val="18"/>
                <w:szCs w:val="18"/>
                <w:color w:val="0563C1"/>
              </w:rPr>
              <w:t>32.</w:t>
            </w:r>
            <w:r>
              <w:rPr>
                <w:rFonts w:ascii="Arial" w:cs="Arial" w:eastAsia="Arial" w:hAnsi="Arial"/>
                <w:sz w:val="18"/>
                <w:szCs w:val="18"/>
                <w:u w:val="single" w:color="auto"/>
                <w:color w:val="0563C1"/>
              </w:rPr>
              <w:t>1**</w:t>
            </w:r>
          </w:p>
        </w:tc>
        <w:tc>
          <w:tcPr>
            <w:tcW w:w="380" w:type="dxa"/>
            <w:vAlign w:val="bottom"/>
          </w:tcPr>
          <w:p>
            <w:pPr>
              <w:spacing w:after="0"/>
              <w:rPr>
                <w:sz w:val="14"/>
                <w:szCs w:val="14"/>
                <w:color w:val="auto"/>
              </w:rPr>
            </w:pPr>
          </w:p>
        </w:tc>
        <w:tc>
          <w:tcPr>
            <w:tcW w:w="10020" w:type="dxa"/>
            <w:vAlign w:val="bottom"/>
            <w:gridSpan w:val="17"/>
          </w:tcPr>
          <w:p>
            <w:pPr>
              <w:spacing w:after="0" w:line="162" w:lineRule="exact"/>
              <w:rPr>
                <w:sz w:val="20"/>
                <w:szCs w:val="20"/>
                <w:color w:val="auto"/>
              </w:rPr>
            </w:pPr>
            <w:r>
              <w:rPr>
                <w:rFonts w:ascii="Arial" w:cs="Arial" w:eastAsia="Arial" w:hAnsi="Arial"/>
                <w:sz w:val="18"/>
                <w:szCs w:val="18"/>
                <w:color w:val="0563C1"/>
              </w:rPr>
              <w:t>Certifications of Chief Executive Officer Pursuant to Section 906 of the Sarbanes Oxley Act of 2002.</w:t>
            </w:r>
          </w:p>
        </w:tc>
      </w:tr>
      <w:tr>
        <w:trPr>
          <w:trHeight w:val="27"/>
        </w:trPr>
        <w:tc>
          <w:tcPr>
            <w:tcW w:w="2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720" w:type="dxa"/>
            <w:vAlign w:val="bottom"/>
            <w:shd w:val="clear" w:color="auto" w:fill="0563C1"/>
          </w:tcPr>
          <w:p>
            <w:pPr>
              <w:spacing w:after="0"/>
              <w:rPr>
                <w:sz w:val="2"/>
                <w:szCs w:val="2"/>
                <w:color w:val="auto"/>
              </w:rPr>
            </w:pPr>
          </w:p>
        </w:tc>
        <w:tc>
          <w:tcPr>
            <w:tcW w:w="5160" w:type="dxa"/>
            <w:vAlign w:val="bottom"/>
            <w:shd w:val="clear" w:color="auto" w:fill="0563C1"/>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120" w:type="dxa"/>
            <w:vAlign w:val="bottom"/>
            <w:tcBorders>
              <w:right w:val="single" w:sz="8" w:color="0563C1"/>
            </w:tcBorders>
            <w:shd w:val="clear" w:color="auto" w:fill="0563C1"/>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2"/>
        </w:trPr>
        <w:tc>
          <w:tcPr>
            <w:tcW w:w="840" w:type="dxa"/>
            <w:vAlign w:val="bottom"/>
            <w:gridSpan w:val="4"/>
            <w:shd w:val="clear" w:color="auto" w:fill="CCEEFF"/>
          </w:tcPr>
          <w:p>
            <w:pPr>
              <w:spacing w:after="0" w:line="162" w:lineRule="exact"/>
              <w:rPr>
                <w:sz w:val="20"/>
                <w:szCs w:val="20"/>
                <w:color w:val="auto"/>
              </w:rPr>
            </w:pPr>
            <w:r>
              <w:rPr>
                <w:rFonts w:ascii="Arial" w:cs="Arial" w:eastAsia="Arial" w:hAnsi="Arial"/>
                <w:sz w:val="18"/>
                <w:szCs w:val="18"/>
                <w:color w:val="0563C1"/>
              </w:rPr>
              <w:t>32.</w:t>
            </w:r>
            <w:r>
              <w:rPr>
                <w:rFonts w:ascii="Arial" w:cs="Arial" w:eastAsia="Arial" w:hAnsi="Arial"/>
                <w:sz w:val="18"/>
                <w:szCs w:val="18"/>
                <w:u w:val="single" w:color="auto"/>
                <w:color w:val="0563C1"/>
              </w:rPr>
              <w:t>2**</w:t>
            </w:r>
          </w:p>
        </w:tc>
        <w:tc>
          <w:tcPr>
            <w:tcW w:w="380" w:type="dxa"/>
            <w:vAlign w:val="bottom"/>
            <w:shd w:val="clear" w:color="auto" w:fill="CCEEFF"/>
          </w:tcPr>
          <w:p>
            <w:pPr>
              <w:spacing w:after="0"/>
              <w:rPr>
                <w:sz w:val="14"/>
                <w:szCs w:val="14"/>
                <w:color w:val="auto"/>
              </w:rPr>
            </w:pPr>
          </w:p>
        </w:tc>
        <w:tc>
          <w:tcPr>
            <w:tcW w:w="10020" w:type="dxa"/>
            <w:vAlign w:val="bottom"/>
            <w:gridSpan w:val="17"/>
            <w:shd w:val="clear" w:color="auto" w:fill="CCEEFF"/>
          </w:tcPr>
          <w:p>
            <w:pPr>
              <w:spacing w:after="0" w:line="162" w:lineRule="exact"/>
              <w:rPr>
                <w:sz w:val="20"/>
                <w:szCs w:val="20"/>
                <w:color w:val="auto"/>
              </w:rPr>
            </w:pPr>
            <w:r>
              <w:rPr>
                <w:rFonts w:ascii="Arial" w:cs="Arial" w:eastAsia="Arial" w:hAnsi="Arial"/>
                <w:sz w:val="18"/>
                <w:szCs w:val="18"/>
                <w:color w:val="0563C1"/>
              </w:rPr>
              <w:t>Certifications of Chief Financial Officer Pursuant to Section 906 of the Sarbanes Oxley Act of 2002.</w:t>
            </w:r>
          </w:p>
        </w:tc>
      </w:tr>
      <w:tr>
        <w:trPr>
          <w:trHeight w:val="27"/>
        </w:trPr>
        <w:tc>
          <w:tcPr>
            <w:tcW w:w="2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80" w:type="dxa"/>
            <w:vAlign w:val="bottom"/>
            <w:shd w:val="clear" w:color="auto" w:fill="0563C1"/>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720" w:type="dxa"/>
            <w:vAlign w:val="bottom"/>
            <w:shd w:val="clear" w:color="auto" w:fill="0563C1"/>
          </w:tcPr>
          <w:p>
            <w:pPr>
              <w:spacing w:after="0"/>
              <w:rPr>
                <w:sz w:val="2"/>
                <w:szCs w:val="2"/>
                <w:color w:val="auto"/>
              </w:rPr>
            </w:pPr>
          </w:p>
        </w:tc>
        <w:tc>
          <w:tcPr>
            <w:tcW w:w="5160" w:type="dxa"/>
            <w:vAlign w:val="bottom"/>
            <w:shd w:val="clear" w:color="auto" w:fill="0563C1"/>
          </w:tcPr>
          <w:p>
            <w:pPr>
              <w:spacing w:after="0"/>
              <w:rPr>
                <w:sz w:val="2"/>
                <w:szCs w:val="2"/>
                <w:color w:val="auto"/>
              </w:rPr>
            </w:pPr>
          </w:p>
        </w:tc>
        <w:tc>
          <w:tcPr>
            <w:tcW w:w="460" w:type="dxa"/>
            <w:vAlign w:val="bottom"/>
            <w:shd w:val="clear" w:color="auto" w:fill="0563C1"/>
          </w:tcPr>
          <w:p>
            <w:pPr>
              <w:spacing w:after="0"/>
              <w:rPr>
                <w:sz w:val="2"/>
                <w:szCs w:val="2"/>
                <w:color w:val="auto"/>
              </w:rPr>
            </w:pPr>
          </w:p>
        </w:tc>
        <w:tc>
          <w:tcPr>
            <w:tcW w:w="120" w:type="dxa"/>
            <w:vAlign w:val="bottom"/>
            <w:tcBorders>
              <w:right w:val="single" w:sz="8" w:color="0563C1"/>
            </w:tcBorders>
            <w:shd w:val="clear" w:color="auto" w:fill="0563C1"/>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91"/>
        </w:trPr>
        <w:tc>
          <w:tcPr>
            <w:tcW w:w="420" w:type="dxa"/>
            <w:vAlign w:val="bottom"/>
            <w:gridSpan w:val="2"/>
          </w:tcPr>
          <w:p>
            <w:pPr>
              <w:spacing w:after="0" w:line="191" w:lineRule="exact"/>
              <w:rPr>
                <w:sz w:val="20"/>
                <w:szCs w:val="20"/>
                <w:color w:val="auto"/>
              </w:rPr>
            </w:pPr>
            <w:r>
              <w:rPr>
                <w:rFonts w:ascii="Arial" w:cs="Arial" w:eastAsia="Arial" w:hAnsi="Arial"/>
                <w:sz w:val="18"/>
                <w:szCs w:val="18"/>
                <w:color w:val="auto"/>
              </w:rPr>
              <w:t>101*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20" w:type="dxa"/>
            <w:vAlign w:val="bottom"/>
            <w:gridSpan w:val="17"/>
          </w:tcPr>
          <w:p>
            <w:pPr>
              <w:spacing w:after="0" w:line="191" w:lineRule="exact"/>
              <w:rPr>
                <w:sz w:val="20"/>
                <w:szCs w:val="20"/>
                <w:color w:val="auto"/>
              </w:rPr>
            </w:pPr>
            <w:r>
              <w:rPr>
                <w:rFonts w:ascii="Arial" w:cs="Arial" w:eastAsia="Arial" w:hAnsi="Arial"/>
                <w:sz w:val="18"/>
                <w:szCs w:val="18"/>
                <w:color w:val="auto"/>
                <w:w w:val="93"/>
              </w:rPr>
              <w:t>The following financial statements from the Quarterly Report on Form 10-Q for the quarter ended September 30, 2022 are formatted in</w:t>
            </w:r>
          </w:p>
        </w:tc>
      </w:tr>
    </w:tbl>
    <w:p>
      <w:pPr>
        <w:ind w:left="1220"/>
        <w:spacing w:after="0"/>
        <w:rPr>
          <w:sz w:val="20"/>
          <w:szCs w:val="20"/>
          <w:color w:val="auto"/>
        </w:rPr>
      </w:pPr>
      <w:r>
        <w:rPr>
          <w:rFonts w:ascii="Arial" w:cs="Arial" w:eastAsia="Arial" w:hAnsi="Arial"/>
          <w:sz w:val="16"/>
          <w:szCs w:val="16"/>
          <w:color w:val="auto"/>
        </w:rPr>
        <w:t>iXBRL (Inline eXtensible Business Reporting Language): (i) Consolidated Balance Sheets, (ii) Consolidated Statements of Operations,</w:t>
      </w:r>
    </w:p>
    <w:p>
      <w:pPr>
        <w:spacing w:after="0" w:line="5" w:lineRule="exact"/>
        <w:rPr>
          <w:sz w:val="20"/>
          <w:szCs w:val="20"/>
          <w:color w:val="auto"/>
        </w:rPr>
      </w:pPr>
    </w:p>
    <w:p>
      <w:pPr>
        <w:ind w:left="1220" w:right="740" w:firstLine="3"/>
        <w:spacing w:after="0" w:line="226" w:lineRule="auto"/>
        <w:tabs>
          <w:tab w:leader="none" w:pos="15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Consolidated Statements of Comprehensive Income, (iv) Consolidated Statements of Stockholders’ Equity, (v) Consolidated Statements of Cash Flows, and (vi) the Notes to Consolidated Financial Statements.</w:t>
      </w:r>
    </w:p>
    <w:p>
      <w:pPr>
        <w:spacing w:after="0" w:line="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4" w:lineRule="auto"/>
        <w:rPr>
          <w:sz w:val="20"/>
          <w:szCs w:val="20"/>
          <w:color w:val="auto"/>
        </w:rPr>
      </w:pPr>
      <w:r>
        <w:rPr>
          <w:rFonts w:ascii="Arial" w:cs="Arial" w:eastAsia="Arial" w:hAnsi="Arial"/>
          <w:sz w:val="18"/>
          <w:szCs w:val="18"/>
          <w:color w:val="auto"/>
        </w:rPr>
        <w:t>** Furnished herewith</w:t>
      </w:r>
    </w:p>
    <w:p>
      <w:pPr>
        <w:spacing w:after="0" w:line="1" w:lineRule="exact"/>
        <w:rPr>
          <w:sz w:val="20"/>
          <w:szCs w:val="20"/>
          <w:color w:val="auto"/>
        </w:rPr>
      </w:pPr>
    </w:p>
    <w:p>
      <w:pPr>
        <w:ind w:right="400" w:firstLine="8"/>
        <w:spacing w:after="0" w:line="233" w:lineRule="auto"/>
        <w:tabs>
          <w:tab w:leader="none" w:pos="1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Regulation S-K, Item 601(a)(5). The Company will provide a copy of any omitted schedule or exhibit to the Securities and Exchange Commission or its staff upon request.</w:t>
      </w:r>
    </w:p>
    <w:p>
      <w:pPr>
        <w:spacing w:after="0" w:line="1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6180" w:type="dxa"/>
            <w:vAlign w:val="bottom"/>
            <w:gridSpan w:val="2"/>
          </w:tcPr>
          <w:p>
            <w:pPr>
              <w:ind w:left="1940"/>
              <w:spacing w:after="0"/>
              <w:rPr>
                <w:sz w:val="20"/>
                <w:szCs w:val="20"/>
                <w:color w:val="auto"/>
              </w:rPr>
            </w:pPr>
            <w:r>
              <w:rPr>
                <w:rFonts w:ascii="Arial" w:cs="Arial" w:eastAsia="Arial" w:hAnsi="Arial"/>
                <w:sz w:val="18"/>
                <w:szCs w:val="18"/>
                <w:b w:val="1"/>
                <w:bCs w:val="1"/>
                <w:color w:val="auto"/>
              </w:rPr>
              <w:t>TILE SHOP HOLDINGS, INC.</w:t>
            </w: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Dated: November 3, 2022</w:t>
            </w:r>
          </w:p>
        </w:tc>
        <w:tc>
          <w:tcPr>
            <w:tcW w:w="6180" w:type="dxa"/>
            <w:vAlign w:val="bottom"/>
            <w:gridSpan w:val="2"/>
          </w:tcPr>
          <w:p>
            <w:pPr>
              <w:ind w:left="1940"/>
              <w:spacing w:after="0"/>
              <w:rPr>
                <w:sz w:val="20"/>
                <w:szCs w:val="20"/>
                <w:color w:val="auto"/>
              </w:rPr>
            </w:pPr>
            <w:r>
              <w:rPr>
                <w:rFonts w:ascii="Arial" w:cs="Arial" w:eastAsia="Arial" w:hAnsi="Arial"/>
                <w:sz w:val="18"/>
                <w:szCs w:val="18"/>
                <w:color w:val="auto"/>
              </w:rPr>
              <w:t>By: /s/ CABELL H. LOLMAUGH</w:t>
            </w:r>
          </w:p>
        </w:tc>
      </w:tr>
      <w:tr>
        <w:trPr>
          <w:trHeight w:val="155"/>
        </w:trPr>
        <w:tc>
          <w:tcPr>
            <w:tcW w:w="37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9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Cabell H. Lolmaugh</w:t>
            </w:r>
          </w:p>
        </w:tc>
      </w:tr>
      <w:tr>
        <w:trPr>
          <w:trHeight w:val="230"/>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78"/>
        </w:trPr>
        <w:tc>
          <w:tcPr>
            <w:tcW w:w="3700" w:type="dxa"/>
            <w:vAlign w:val="bottom"/>
          </w:tcPr>
          <w:p>
            <w:pPr>
              <w:spacing w:after="0"/>
              <w:rPr>
                <w:sz w:val="20"/>
                <w:szCs w:val="20"/>
                <w:color w:val="auto"/>
              </w:rPr>
            </w:pPr>
            <w:r>
              <w:rPr>
                <w:rFonts w:ascii="Arial" w:cs="Arial" w:eastAsia="Arial" w:hAnsi="Arial"/>
                <w:sz w:val="18"/>
                <w:szCs w:val="18"/>
                <w:color w:val="auto"/>
              </w:rPr>
              <w:t>Dated: November 3, 2022</w:t>
            </w:r>
          </w:p>
        </w:tc>
        <w:tc>
          <w:tcPr>
            <w:tcW w:w="6180" w:type="dxa"/>
            <w:vAlign w:val="bottom"/>
            <w:gridSpan w:val="2"/>
          </w:tcPr>
          <w:p>
            <w:pPr>
              <w:ind w:left="1940"/>
              <w:spacing w:after="0"/>
              <w:rPr>
                <w:sz w:val="20"/>
                <w:szCs w:val="20"/>
                <w:color w:val="auto"/>
              </w:rPr>
            </w:pPr>
            <w:r>
              <w:rPr>
                <w:rFonts w:ascii="Arial" w:cs="Arial" w:eastAsia="Arial" w:hAnsi="Arial"/>
                <w:sz w:val="18"/>
                <w:szCs w:val="18"/>
                <w:color w:val="auto"/>
              </w:rPr>
              <w:t>By: /s/ KARLA LUNAN</w:t>
            </w:r>
          </w:p>
        </w:tc>
      </w:tr>
      <w:tr>
        <w:trPr>
          <w:trHeight w:val="155"/>
        </w:trPr>
        <w:tc>
          <w:tcPr>
            <w:tcW w:w="37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9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Karla Lunan</w:t>
            </w:r>
          </w:p>
        </w:tc>
      </w:tr>
      <w:tr>
        <w:trPr>
          <w:trHeight w:val="230"/>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40"/>
        </w:trPr>
        <w:tc>
          <w:tcPr>
            <w:tcW w:w="3700" w:type="dxa"/>
            <w:vAlign w:val="bottom"/>
          </w:tcPr>
          <w:p>
            <w:pPr>
              <w:spacing w:after="0"/>
              <w:rPr>
                <w:sz w:val="24"/>
                <w:szCs w:val="24"/>
                <w:color w:val="auto"/>
              </w:rPr>
            </w:pPr>
          </w:p>
        </w:tc>
        <w:tc>
          <w:tcPr>
            <w:tcW w:w="2260" w:type="dxa"/>
            <w:vAlign w:val="bottom"/>
          </w:tcPr>
          <w:p>
            <w:pPr>
              <w:jc w:val="right"/>
              <w:ind w:right="170"/>
              <w:spacing w:after="0"/>
              <w:rPr>
                <w:sz w:val="20"/>
                <w:szCs w:val="20"/>
                <w:color w:val="auto"/>
              </w:rPr>
            </w:pPr>
            <w:r>
              <w:rPr>
                <w:rFonts w:ascii="Arial" w:cs="Arial" w:eastAsia="Arial" w:hAnsi="Arial"/>
                <w:sz w:val="18"/>
                <w:szCs w:val="18"/>
                <w:color w:val="auto"/>
              </w:rPr>
              <w:t>27</w:t>
            </w:r>
          </w:p>
        </w:tc>
        <w:tc>
          <w:tcPr>
            <w:tcW w:w="3920" w:type="dxa"/>
            <w:vAlign w:val="bottom"/>
          </w:tcPr>
          <w:p>
            <w:pPr>
              <w:spacing w:after="0"/>
              <w:rPr>
                <w:sz w:val="24"/>
                <w:szCs w:val="24"/>
                <w:color w:val="auto"/>
              </w:rPr>
            </w:pPr>
          </w:p>
        </w:tc>
      </w:tr>
    </w:tbl>
    <w:p>
      <w:pPr>
        <w:sectPr>
          <w:pgSz w:w="11900" w:h="16838" w:orient="portrait"/>
          <w:cols w:equalWidth="0" w:num="1">
            <w:col w:w="11200"/>
          </w:cols>
          <w:pgMar w:left="320" w:top="108" w:right="379" w:bottom="1440" w:gutter="0" w:footer="0" w:header="0"/>
        </w:sectPr>
      </w:pPr>
    </w:p>
    <w:bookmarkStart w:id="27" w:name="page28"/>
    <w:bookmarkEnd w:id="27"/>
    <w:p>
      <w:pPr>
        <w:jc w:val="right"/>
        <w:ind w:right="199"/>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ind w:left="180" w:right="2199" w:firstLine="1998"/>
        <w:spacing w:after="0" w:line="417" w:lineRule="auto"/>
        <w:rPr>
          <w:sz w:val="20"/>
          <w:szCs w:val="20"/>
          <w:color w:val="auto"/>
        </w:rPr>
      </w:pPr>
      <w:r>
        <w:rPr>
          <w:rFonts w:ascii="Arial" w:cs="Arial" w:eastAsia="Arial" w:hAnsi="Arial"/>
          <w:sz w:val="18"/>
          <w:szCs w:val="18"/>
          <w:b w:val="1"/>
          <w:bCs w:val="1"/>
          <w:color w:val="auto"/>
        </w:rPr>
        <w:t xml:space="preserve">302 CERTIFICATION OF CHIEF EXECUTIVE OFFICER </w:t>
      </w:r>
      <w:r>
        <w:rPr>
          <w:rFonts w:ascii="Arial" w:cs="Arial" w:eastAsia="Arial" w:hAnsi="Arial"/>
          <w:sz w:val="18"/>
          <w:szCs w:val="18"/>
          <w:color w:val="auto"/>
        </w:rPr>
        <w:t>I, Cabell H. Lolmaugh, certify that:</w:t>
      </w:r>
    </w:p>
    <w:p>
      <w:pPr>
        <w:ind w:left="500" w:hanging="316"/>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500" w:right="499" w:hanging="316"/>
        <w:spacing w:after="0" w:line="229"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ind w:left="500" w:right="399" w:hanging="316"/>
        <w:spacing w:after="0" w:line="267"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1" w:lineRule="exact"/>
        <w:rPr>
          <w:rFonts w:ascii="Arial" w:cs="Arial" w:eastAsia="Arial" w:hAnsi="Arial"/>
          <w:sz w:val="16"/>
          <w:szCs w:val="16"/>
          <w:color w:val="auto"/>
        </w:rPr>
      </w:pPr>
    </w:p>
    <w:p>
      <w:pPr>
        <w:ind w:left="820" w:right="239" w:hanging="312"/>
        <w:spacing w:after="0" w:line="223" w:lineRule="auto"/>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ind w:left="820" w:right="219" w:hanging="312"/>
        <w:spacing w:after="0" w:line="223" w:lineRule="auto"/>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jc w:val="both"/>
        <w:ind w:left="820" w:right="399" w:hanging="312"/>
        <w:spacing w:after="0" w:line="229" w:lineRule="auto"/>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8"/>
          <w:szCs w:val="18"/>
          <w:color w:val="auto"/>
        </w:rPr>
      </w:pPr>
    </w:p>
    <w:p>
      <w:pPr>
        <w:ind w:left="820" w:right="319" w:hanging="312"/>
        <w:spacing w:after="0" w:line="223" w:lineRule="auto"/>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ind w:left="820" w:right="499" w:hanging="312"/>
        <w:spacing w:after="0" w:line="229" w:lineRule="auto"/>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8"/>
          <w:szCs w:val="18"/>
          <w:color w:val="auto"/>
        </w:rPr>
      </w:pPr>
    </w:p>
    <w:p>
      <w:pPr>
        <w:ind w:left="820" w:right="299" w:hanging="312"/>
        <w:spacing w:after="0" w:line="246" w:lineRule="auto"/>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8"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7"/>
          <w:szCs w:val="17"/>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Cabell H. Lolmaugh</w:t>
      </w:r>
    </w:p>
    <w:p>
      <w:pPr>
        <w:ind w:left="45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8" w:name="page29"/>
    <w:bookmarkEnd w:id="28"/>
    <w:p>
      <w:pPr>
        <w:jc w:val="right"/>
        <w:ind w:right="199"/>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302 CERTIFICATION OF CHIEF FINANCIAL OFFICER</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Karla Lunan, certify that:</w:t>
      </w:r>
    </w:p>
    <w:p>
      <w:pPr>
        <w:spacing w:after="0" w:line="158" w:lineRule="exact"/>
        <w:rPr>
          <w:sz w:val="20"/>
          <w:szCs w:val="20"/>
          <w:color w:val="auto"/>
        </w:rPr>
      </w:pPr>
    </w:p>
    <w:p>
      <w:pPr>
        <w:ind w:left="500" w:hanging="316"/>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500" w:right="499" w:hanging="316"/>
        <w:spacing w:after="0" w:line="229"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ind w:left="500" w:right="399" w:hanging="316"/>
        <w:spacing w:after="0" w:line="267" w:lineRule="auto"/>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1" w:lineRule="exact"/>
        <w:rPr>
          <w:rFonts w:ascii="Arial" w:cs="Arial" w:eastAsia="Arial" w:hAnsi="Arial"/>
          <w:sz w:val="16"/>
          <w:szCs w:val="16"/>
          <w:color w:val="auto"/>
        </w:rPr>
      </w:pPr>
    </w:p>
    <w:p>
      <w:pPr>
        <w:ind w:left="820" w:right="239" w:hanging="312"/>
        <w:spacing w:after="0" w:line="223" w:lineRule="auto"/>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ind w:left="820" w:right="219" w:hanging="312"/>
        <w:spacing w:after="0" w:line="223" w:lineRule="auto"/>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jc w:val="both"/>
        <w:ind w:left="820" w:right="399" w:hanging="312"/>
        <w:spacing w:after="0" w:line="229" w:lineRule="auto"/>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8"/>
          <w:szCs w:val="18"/>
          <w:color w:val="auto"/>
        </w:rPr>
      </w:pPr>
    </w:p>
    <w:p>
      <w:pPr>
        <w:ind w:left="820" w:right="319" w:hanging="312"/>
        <w:spacing w:after="0" w:line="223" w:lineRule="auto"/>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ind w:left="820" w:right="499" w:hanging="312"/>
        <w:spacing w:after="0" w:line="229" w:lineRule="auto"/>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8"/>
          <w:szCs w:val="18"/>
          <w:color w:val="auto"/>
        </w:rPr>
      </w:pPr>
    </w:p>
    <w:p>
      <w:pPr>
        <w:ind w:left="820" w:right="299" w:hanging="312"/>
        <w:spacing w:after="0" w:line="246" w:lineRule="auto"/>
        <w:tabs>
          <w:tab w:leader="none" w:pos="8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8"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6"/>
          <w:szCs w:val="16"/>
          <w:color w:val="auto"/>
        </w:rPr>
        <w:t>/s/ Karla Lunan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Karla Lunan,</w:t>
      </w:r>
    </w:p>
    <w:p>
      <w:pPr>
        <w:ind w:left="45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9" w:name="page30"/>
    <w:bookmarkEnd w:id="29"/>
    <w:p>
      <w:pPr>
        <w:jc w:val="right"/>
        <w:ind w:right="199"/>
        <w:spacing w:after="0"/>
        <w:rPr>
          <w:sz w:val="20"/>
          <w:szCs w:val="20"/>
          <w:color w:val="auto"/>
        </w:rPr>
      </w:pPr>
      <w:r>
        <w:rPr>
          <w:rFonts w:ascii="Arial" w:cs="Arial" w:eastAsia="Arial" w:hAnsi="Arial"/>
          <w:sz w:val="18"/>
          <w:szCs w:val="18"/>
          <w:b w:val="1"/>
          <w:bCs w:val="1"/>
          <w:color w:val="auto"/>
        </w:rPr>
        <w:t>Exhibit 32.1</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17" w:lineRule="exact"/>
        <w:rPr>
          <w:sz w:val="20"/>
          <w:szCs w:val="20"/>
          <w:color w:val="auto"/>
        </w:rPr>
      </w:pPr>
    </w:p>
    <w:p>
      <w:pPr>
        <w:ind w:left="180" w:right="319" w:firstLine="648"/>
        <w:spacing w:after="0" w:line="248" w:lineRule="auto"/>
        <w:rPr>
          <w:sz w:val="20"/>
          <w:szCs w:val="20"/>
          <w:color w:val="auto"/>
        </w:rPr>
      </w:pPr>
      <w:r>
        <w:rPr>
          <w:rFonts w:ascii="Arial" w:cs="Arial" w:eastAsia="Arial" w:hAnsi="Arial"/>
          <w:sz w:val="16"/>
          <w:szCs w:val="16"/>
          <w:color w:val="auto"/>
        </w:rPr>
        <w:t>Pursuant to 18 U.S.C. §1350 (as adopted pursuant to §906 of the Sarbanes-Oxley Act of 2002), I, Cabell H. Lolmaugh, the Chief Executive Officer of Tile Shop Holdings, Inc. (the “Company”), hereby certify that the Quarterly</w:t>
      </w:r>
    </w:p>
    <w:p>
      <w:pPr>
        <w:ind w:left="180" w:right="239"/>
        <w:spacing w:after="0" w:line="248" w:lineRule="auto"/>
        <w:rPr>
          <w:sz w:val="20"/>
          <w:szCs w:val="20"/>
          <w:color w:val="auto"/>
        </w:rPr>
      </w:pPr>
      <w:r>
        <w:rPr>
          <w:rFonts w:ascii="Arial" w:cs="Arial" w:eastAsia="Arial" w:hAnsi="Arial"/>
          <w:sz w:val="16"/>
          <w:szCs w:val="16"/>
          <w:color w:val="auto"/>
        </w:rPr>
        <w:t>Report on Form 10-Q of the Company for the period ended September 30, 2022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29" w:lineRule="exact"/>
        <w:rPr>
          <w:sz w:val="20"/>
          <w:szCs w:val="20"/>
          <w:color w:val="auto"/>
        </w:rPr>
      </w:pPr>
    </w:p>
    <w:p>
      <w:pPr>
        <w:ind w:left="180" w:right="19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48"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7"/>
          <w:szCs w:val="17"/>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Cabell H. Lolmaugh</w:t>
      </w:r>
    </w:p>
    <w:p>
      <w:pPr>
        <w:ind w:left="45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0" w:name="page31"/>
    <w:bookmarkEnd w:id="30"/>
    <w:p>
      <w:pPr>
        <w:jc w:val="right"/>
        <w:ind w:right="199"/>
        <w:spacing w:after="0"/>
        <w:rPr>
          <w:sz w:val="20"/>
          <w:szCs w:val="20"/>
          <w:color w:val="auto"/>
        </w:rPr>
      </w:pPr>
      <w:r>
        <w:rPr>
          <w:rFonts w:ascii="Arial" w:cs="Arial" w:eastAsia="Arial" w:hAnsi="Arial"/>
          <w:sz w:val="18"/>
          <w:szCs w:val="18"/>
          <w:b w:val="1"/>
          <w:bCs w:val="1"/>
          <w:color w:val="auto"/>
        </w:rPr>
        <w:t>Exhibit 32.2</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17" w:lineRule="exact"/>
        <w:rPr>
          <w:sz w:val="20"/>
          <w:szCs w:val="20"/>
          <w:color w:val="auto"/>
        </w:rPr>
      </w:pPr>
    </w:p>
    <w:p>
      <w:pPr>
        <w:ind w:left="180" w:right="639" w:firstLine="648"/>
        <w:spacing w:after="0" w:line="248" w:lineRule="auto"/>
        <w:rPr>
          <w:sz w:val="20"/>
          <w:szCs w:val="20"/>
          <w:color w:val="auto"/>
        </w:rPr>
      </w:pPr>
      <w:r>
        <w:rPr>
          <w:rFonts w:ascii="Arial" w:cs="Arial" w:eastAsia="Arial" w:hAnsi="Arial"/>
          <w:sz w:val="16"/>
          <w:szCs w:val="16"/>
          <w:color w:val="auto"/>
        </w:rPr>
        <w:t>Pursuant to 18 U.S.C. §1350 (as adopted pursuant to §906 of the Sarbanes-Oxley Act of 2002), I, Karla Lunan, the Chief Financial Officer of Tile Shop Holdings, Inc. (the “Company”), hereby certify that the Quarterly</w:t>
      </w:r>
    </w:p>
    <w:p>
      <w:pPr>
        <w:ind w:left="180" w:right="239"/>
        <w:spacing w:after="0" w:line="248" w:lineRule="auto"/>
        <w:rPr>
          <w:sz w:val="20"/>
          <w:szCs w:val="20"/>
          <w:color w:val="auto"/>
        </w:rPr>
      </w:pPr>
      <w:r>
        <w:rPr>
          <w:rFonts w:ascii="Arial" w:cs="Arial" w:eastAsia="Arial" w:hAnsi="Arial"/>
          <w:sz w:val="16"/>
          <w:szCs w:val="16"/>
          <w:color w:val="auto"/>
        </w:rPr>
        <w:t>Report on Form 10-Q of the Company for the period ended September 30, 2022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29" w:lineRule="exact"/>
        <w:rPr>
          <w:sz w:val="20"/>
          <w:szCs w:val="20"/>
          <w:color w:val="auto"/>
        </w:rPr>
      </w:pPr>
    </w:p>
    <w:p>
      <w:pPr>
        <w:ind w:left="180" w:right="19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48"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November 3, 2022</w:t>
      </w:r>
      <w:r>
        <w:rPr>
          <w:sz w:val="20"/>
          <w:szCs w:val="20"/>
          <w:color w:val="auto"/>
        </w:rPr>
        <w:tab/>
      </w:r>
      <w:r>
        <w:rPr>
          <w:rFonts w:ascii="Arial" w:cs="Arial" w:eastAsia="Arial" w:hAnsi="Arial"/>
          <w:sz w:val="16"/>
          <w:szCs w:val="16"/>
          <w:color w:val="auto"/>
        </w:rPr>
        <w:t>/s/ Karla Lunan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Karla Lunan,</w:t>
      </w:r>
    </w:p>
    <w:p>
      <w:pPr>
        <w:ind w:left="45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 "/>
      <w:numFmt w:val="bullet"/>
      <w:start w:val="1"/>
    </w:lvl>
  </w:abstractNum>
  <w:abstractNum w:abstractNumId="5">
    <w:nsid w:val="1190CDE7"/>
    <w:multiLevelType w:val="hybridMultilevel"/>
    <w:lvl w:ilvl="0">
      <w:lvlJc w:val="left"/>
      <w:lvlText w:val=" "/>
      <w:numFmt w:val="bullet"/>
      <w:start w:val="1"/>
    </w:lvl>
  </w:abstractNum>
  <w:abstractNum w:abstractNumId="6">
    <w:nsid w:val="66EF438D"/>
    <w:multiLevelType w:val="hybridMultilevel"/>
    <w:lvl w:ilvl="0">
      <w:lvlJc w:val="left"/>
      <w:lvlText w:val=" "/>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lowerRoman"/>
      <w:start w:val="3"/>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39" Type="http://schemas.openxmlformats.org/officeDocument/2006/relationships/hyperlink" Target="http://www.sec.gov/Archives/edgar/data/1552800/000114420412037509/v316486_ex3-1.htm" TargetMode="External"/><Relationship Id="rId40" Type="http://schemas.openxmlformats.org/officeDocument/2006/relationships/hyperlink" Target="http://www.sec.gov/Archives/edgar/data/1552800/000110465921094416/tm2122262d1_ex3-2.htm" TargetMode="External"/><Relationship Id="rId41" Type="http://schemas.openxmlformats.org/officeDocument/2006/relationships/hyperlink" Target="http://www.sec.gov/Archives/edgar/data/1552800/000114420412037509/v316486_ex3-2.htm" TargetMode="External"/><Relationship Id="rId42" Type="http://schemas.openxmlformats.org/officeDocument/2006/relationships/hyperlink" Target="http://www.sec.gov/Archives/edgar/data/0001552800/000110465922104593/tm2227017d1_ex10-1.htm" TargetMode="External"/><Relationship Id="rId43" Type="http://schemas.openxmlformats.org/officeDocument/2006/relationships/hyperlink" Target="http://www.sec.gov/Archives/edgar/data/0001552800/000110465922104593/tm2227017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2022-11-03T18:07:38Z</dcterms:created>
  <dcterms:modified xsi:type="dcterms:W3CDTF">2022-11-03T18:07:38Z</dcterms:modified>
</cp:coreProperties>
</file>