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5737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737860"/>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579"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Davis Mark Burton</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(Last)</w:t>
            </w:r>
          </w:p>
        </w:tc>
        <w:tc>
          <w:tcPr>
            <w:tcW w:w="1200" w:type="dxa"/>
            <w:vAlign w:val="bottom"/>
          </w:tcPr>
          <w:p>
            <w:pPr>
              <w:ind w:left="140"/>
              <w:spacing w:after="0"/>
              <w:rPr>
                <w:sz w:val="20"/>
                <w:szCs w:val="20"/>
                <w:color w:val="auto"/>
              </w:rPr>
            </w:pPr>
            <w:r>
              <w:rPr>
                <w:rFonts w:ascii="Arial" w:cs="Arial" w:eastAsia="Arial" w:hAnsi="Arial"/>
                <w:sz w:val="13"/>
                <w:szCs w:val="13"/>
                <w:color w:val="auto"/>
              </w:rPr>
              <w:t>(First)</w:t>
            </w:r>
          </w:p>
        </w:tc>
        <w:tc>
          <w:tcPr>
            <w:tcW w:w="1340" w:type="dxa"/>
            <w:vAlign w:val="bottom"/>
          </w:tcPr>
          <w:p>
            <w:pPr>
              <w:ind w:left="1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TILE SHOP HOLDINGS, INC.</w:t>
            </w:r>
          </w:p>
        </w:tc>
      </w:tr>
      <w:tr>
        <w:trPr>
          <w:trHeight w:val="260"/>
        </w:trPr>
        <w:tc>
          <w:tcPr>
            <w:tcW w:w="20" w:type="dxa"/>
            <w:vAlign w:val="bottom"/>
          </w:tcPr>
          <w:p>
            <w:pPr>
              <w:spacing w:after="0"/>
              <w:rPr>
                <w:sz w:val="22"/>
                <w:szCs w:val="22"/>
                <w:color w:val="auto"/>
              </w:rPr>
            </w:pP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14000 CARLSON PARKWAY</w:t>
            </w:r>
          </w:p>
        </w:tc>
        <w:tc>
          <w:tcPr>
            <w:tcW w:w="1340" w:type="dxa"/>
            <w:vAlign w:val="bottom"/>
          </w:tcPr>
          <w:p>
            <w:pPr>
              <w:spacing w:after="0"/>
              <w:rPr>
                <w:sz w:val="22"/>
                <w:szCs w:val="22"/>
                <w:color w:val="auto"/>
              </w:rPr>
            </w:pPr>
          </w:p>
        </w:tc>
      </w:tr>
      <w:tr>
        <w:trPr>
          <w:trHeight w:val="151"/>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263"/>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PLYMOUTH</w:t>
            </w:r>
          </w:p>
        </w:tc>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MN</w:t>
            </w:r>
          </w:p>
        </w:tc>
        <w:tc>
          <w:tcPr>
            <w:tcW w:w="13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55441</w:t>
            </w:r>
          </w:p>
        </w:tc>
      </w:tr>
      <w:tr>
        <w:trPr>
          <w:trHeight w:val="151"/>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1200" w:type="dxa"/>
            <w:vAlign w:val="bottom"/>
          </w:tcPr>
          <w:p>
            <w:pPr>
              <w:ind w:left="140"/>
              <w:spacing w:after="0"/>
              <w:rPr>
                <w:sz w:val="20"/>
                <w:szCs w:val="20"/>
                <w:color w:val="auto"/>
              </w:rPr>
            </w:pPr>
            <w:r>
              <w:rPr>
                <w:rFonts w:ascii="Arial" w:cs="Arial" w:eastAsia="Arial" w:hAnsi="Arial"/>
                <w:sz w:val="13"/>
                <w:szCs w:val="13"/>
                <w:color w:val="auto"/>
              </w:rPr>
              <w:t>(State)</w:t>
            </w:r>
          </w:p>
        </w:tc>
        <w:tc>
          <w:tcPr>
            <w:tcW w:w="134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TILE SHOP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TTSH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520" w:type="dxa"/>
            <w:vAlign w:val="bottom"/>
            <w:tcBorders>
              <w:top w:val="single" w:sz="8" w:color="0000EE"/>
            </w:tcBorders>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2"/>
        </w:trPr>
        <w:tc>
          <w:tcPr>
            <w:tcW w:w="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5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0"/>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7"/>
                <w:szCs w:val="17"/>
                <w:color w:val="0000FF"/>
              </w:rPr>
              <w:t>Senior VP, CFO and Secretary</w:t>
            </w:r>
          </w:p>
        </w:tc>
        <w:tc>
          <w:tcPr>
            <w:tcW w:w="0" w:type="dxa"/>
            <w:vAlign w:val="bottom"/>
          </w:tcPr>
          <w:p>
            <w:pPr>
              <w:spacing w:after="0"/>
              <w:rPr>
                <w:sz w:val="1"/>
                <w:szCs w:val="1"/>
                <w:color w:val="auto"/>
              </w:rPr>
            </w:pPr>
          </w:p>
        </w:tc>
      </w:tr>
      <w:tr>
        <w:trPr>
          <w:trHeight w:val="219"/>
        </w:trPr>
        <w:tc>
          <w:tcPr>
            <w:tcW w:w="27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03/03/2026</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40" w:space="100"/>
            <w:col w:w="7240"/>
          </w:cols>
          <w:pgMar w:left="460" w:top="216" w:right="359" w:bottom="57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2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03/03/2026</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right"/>
              <w:ind w:right="299"/>
              <w:spacing w:after="0"/>
              <w:rPr>
                <w:sz w:val="20"/>
                <w:szCs w:val="20"/>
                <w:color w:val="auto"/>
              </w:rPr>
            </w:pPr>
            <w:r>
              <w:rPr>
                <w:rFonts w:ascii="Times New Roman" w:cs="Times New Roman" w:eastAsia="Times New Roman" w:hAnsi="Times New Roman"/>
                <w:sz w:val="13"/>
                <w:szCs w:val="13"/>
                <w:color w:val="0000FF"/>
              </w:rPr>
              <w:t>F</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1,081</w:t>
            </w:r>
            <w:r>
              <w:rPr>
                <w:rFonts w:ascii="Times New Roman" w:cs="Times New Roman" w:eastAsia="Times New Roman" w:hAnsi="Times New Roman"/>
                <w:sz w:val="21"/>
                <w:szCs w:val="21"/>
                <w:color w:val="008000"/>
                <w:vertAlign w:val="superscript"/>
              </w:rPr>
              <w:t>(1)</w:t>
            </w:r>
          </w:p>
        </w:tc>
        <w:tc>
          <w:tcPr>
            <w:tcW w:w="5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3.42</w:t>
            </w:r>
          </w:p>
        </w:tc>
        <w:tc>
          <w:tcPr>
            <w:tcW w:w="1300" w:type="dxa"/>
            <w:vAlign w:val="bottom"/>
            <w:tcBorders>
              <w:bottom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107,894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03/04/2026</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right"/>
              <w:ind w:right="299"/>
              <w:spacing w:after="0"/>
              <w:rPr>
                <w:sz w:val="20"/>
                <w:szCs w:val="20"/>
                <w:color w:val="auto"/>
              </w:rPr>
            </w:pPr>
            <w:r>
              <w:rPr>
                <w:rFonts w:ascii="Times New Roman" w:cs="Times New Roman" w:eastAsia="Times New Roman" w:hAnsi="Times New Roman"/>
                <w:sz w:val="13"/>
                <w:szCs w:val="13"/>
                <w:color w:val="0000FF"/>
              </w:rPr>
              <w:t>F</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906</w:t>
            </w:r>
            <w:r>
              <w:rPr>
                <w:rFonts w:ascii="Times New Roman" w:cs="Times New Roman" w:eastAsia="Times New Roman" w:hAnsi="Times New Roman"/>
                <w:sz w:val="21"/>
                <w:szCs w:val="21"/>
                <w:color w:val="008000"/>
                <w:vertAlign w:val="superscript"/>
              </w:rPr>
              <w:t>(1)</w:t>
            </w:r>
          </w:p>
        </w:tc>
        <w:tc>
          <w:tcPr>
            <w:tcW w:w="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3.42</w:t>
            </w:r>
          </w:p>
        </w:tc>
        <w:tc>
          <w:tcPr>
            <w:tcW w:w="1300" w:type="dxa"/>
            <w:vAlign w:val="bottom"/>
            <w:tcBorders>
              <w:bottom w:val="single" w:sz="8" w:color="2C2C2C"/>
            </w:tcBorders>
            <w:gridSpan w:val="3"/>
          </w:tcPr>
          <w:p>
            <w:pPr>
              <w:jc w:val="center"/>
              <w:ind w:right="140"/>
              <w:spacing w:after="0"/>
              <w:rPr>
                <w:sz w:val="20"/>
                <w:szCs w:val="20"/>
                <w:color w:val="auto"/>
              </w:rPr>
            </w:pPr>
            <w:r>
              <w:rPr>
                <w:rFonts w:ascii="Times New Roman" w:cs="Times New Roman" w:eastAsia="Times New Roman" w:hAnsi="Times New Roman"/>
                <w:sz w:val="17"/>
                <w:szCs w:val="17"/>
                <w:color w:val="0000FF"/>
              </w:rPr>
              <w:t>106,988</w:t>
            </w:r>
            <w:r>
              <w:rPr>
                <w:rFonts w:ascii="Times New Roman" w:cs="Times New Roman" w:eastAsia="Times New Roman" w:hAnsi="Times New Roman"/>
                <w:sz w:val="21"/>
                <w:szCs w:val="21"/>
                <w:color w:val="008000"/>
                <w:vertAlign w:val="superscript"/>
              </w:rPr>
              <w:t>(2)(3)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8.5</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1"/>
                <w:szCs w:val="11"/>
                <w:color w:val="008000"/>
              </w:rPr>
              <w:t>(5)</w:t>
            </w: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11/06/2027</w:t>
            </w:r>
          </w:p>
        </w:tc>
        <w:tc>
          <w:tcPr>
            <w:tcW w:w="60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rPr>
              <w:t>5,400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5,400</w:t>
            </w:r>
          </w:p>
        </w:tc>
        <w:tc>
          <w:tcPr>
            <w:tcW w:w="26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restart"/>
          </w:tcPr>
          <w:p>
            <w:pPr>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ind w:right="1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3.41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tcPr>
          <w:p>
            <w:pPr>
              <w:jc w:val="right"/>
              <w:ind w:right="299"/>
              <w:spacing w:after="0"/>
              <w:rPr>
                <w:sz w:val="20"/>
                <w:szCs w:val="20"/>
                <w:color w:val="auto"/>
              </w:rPr>
            </w:pPr>
            <w:r>
              <w:rPr>
                <w:rFonts w:ascii="Times New Roman" w:cs="Times New Roman" w:eastAsia="Times New Roman" w:hAnsi="Times New Roman"/>
                <w:sz w:val="11"/>
                <w:szCs w:val="11"/>
                <w:color w:val="008000"/>
              </w:rPr>
              <w:t>(4)</w:t>
            </w: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03/02/2036</w:t>
            </w:r>
          </w:p>
        </w:tc>
        <w:tc>
          <w:tcPr>
            <w:tcW w:w="6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98"/>
              </w:rPr>
              <w:t>80,000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80,000</w:t>
            </w:r>
          </w:p>
        </w:tc>
        <w:tc>
          <w:tcPr>
            <w:tcW w:w="260" w:type="dxa"/>
            <w:vAlign w:val="bottom"/>
          </w:tcPr>
          <w:p>
            <w:pPr>
              <w:spacing w:after="0"/>
              <w:rPr>
                <w:sz w:val="16"/>
                <w:szCs w:val="16"/>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42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has elected to satisfy his tax withholding obligation in connection with the vesting of a prior restricted stock grant by directing the Issuer to withhold shares otherwise issuable upon vesting of the previously reported grant.</w:t>
      </w:r>
    </w:p>
    <w:p>
      <w:pPr>
        <w:spacing w:after="0" w:line="15" w:lineRule="exact"/>
        <w:rPr>
          <w:rFonts w:ascii="Times New Roman" w:cs="Times New Roman" w:eastAsia="Times New Roman" w:hAnsi="Times New Roman"/>
          <w:sz w:val="13"/>
          <w:szCs w:val="13"/>
          <w:color w:val="008000"/>
        </w:rPr>
      </w:pPr>
    </w:p>
    <w:p>
      <w:pPr>
        <w:ind w:left="40" w:right="160" w:firstLine="3"/>
        <w:spacing w:after="0" w:line="23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 3,086 shares of restricted stock for which the risks of forfeiture will lapse on 3/6/26; (ii) 2,520 shares of restricted stock for which the risks of forfeiture will lapse on 3/4/27; (iii) 1,642 shares of restricted stock for which the risks of forfeiture will lapse in equal annual installments on each of 5/13/26 and 5/13/27; (iv) 6,018 shares of restricted stock for which the risks of forfeiture will lapse in equal annual installments on each of 3/3/27 and 3/3/28; and (v) the following shares of performance-based restricted stock, which are, in each case, subject to Mr. Davis remaining in continuous employment with the Issuer through December 31 of the year preceding the applicable vesting date and the Issuer achieving its performance target for each respective year:</w:t>
      </w:r>
    </w:p>
    <w:p>
      <w:pPr>
        <w:spacing w:after="0" w:line="28" w:lineRule="exact"/>
        <w:rPr>
          <w:rFonts w:ascii="Times New Roman" w:cs="Times New Roman" w:eastAsia="Times New Roman" w:hAnsi="Times New Roman"/>
          <w:sz w:val="13"/>
          <w:szCs w:val="13"/>
          <w:color w:val="008000"/>
        </w:rPr>
      </w:pPr>
    </w:p>
    <w:p>
      <w:pPr>
        <w:ind w:left="40" w:right="180" w:firstLine="3"/>
        <w:spacing w:after="0" w:line="23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 (A) 6,049 shares for which the risks of forfeiture will lapse on the date the Issuer releases its annual financial statements for the 2026 fiscal year; (B) 1,972 shares for which the risks of forfeiture will lapse on the date the Issuer releases its annual financial statements for the 2026 fiscal year; and (C) 12,638 shares for which the risks of forfeiture will lapse as to 30% and 40% of the initial number of shares granted on each of the dates the Issuer releases its annual financial statements for the 2026 and 2027 fiscal years, respectively. The Issuer's Form 10-K for the year ended December 31, 2025 contains additional information regarding the applicable performance targets.</w:t>
      </w:r>
    </w:p>
    <w:p>
      <w:pPr>
        <w:spacing w:after="0" w:line="28"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 in three substantially equal installments on each of 3/2/2027, 3/2/2028 and 3/2/2029, subject to continuous employment as of the applicable vesting date.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Fully exercisable.</w:t>
      </w:r>
    </w:p>
    <w:p>
      <w:pPr>
        <w:spacing w:after="0" w:line="5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Mark B. Davis</w:t>
            </w:r>
          </w:p>
        </w:tc>
        <w:tc>
          <w:tcPr>
            <w:tcW w:w="10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03/05/2026</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57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87766" TargetMode="External"/><Relationship Id="rId14" Type="http://schemas.openxmlformats.org/officeDocument/2006/relationships/hyperlink" Target="http://www.sec.gov/cgi-bin/browse-edgar?action=getcompany&amp;CIK=00015528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2026-03-05T17:03:22Z</dcterms:created>
  <dcterms:modified xsi:type="dcterms:W3CDTF">2026-03-05T17:03:22Z</dcterms:modified>
</cp:coreProperties>
</file>