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568960</wp:posOffset>
            </wp:positionH>
            <wp:positionV relativeFrom="page">
              <wp:posOffset>354965</wp:posOffset>
            </wp:positionV>
            <wp:extent cx="6423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page">
              <wp:posOffset>568960</wp:posOffset>
            </wp:positionH>
            <wp:positionV relativeFrom="page">
              <wp:posOffset>320675</wp:posOffset>
            </wp:positionV>
            <wp:extent cx="64230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23025" cy="17145"/>
                    </a:xfrm>
                    <a:prstGeom prst="rect">
                      <a:avLst/>
                    </a:prstGeom>
                    <a:noFill/>
                  </pic:spPr>
                </pic:pic>
              </a:graphicData>
            </a:graphic>
          </wp:anchor>
        </w:drawing>
        <w:t>UNITED STATES</w:t>
      </w:r>
    </w:p>
    <w:p>
      <w:pPr>
        <w:spacing w:after="0" w:line="31" w:lineRule="exact"/>
        <w:rPr>
          <w:sz w:val="24"/>
          <w:szCs w:val="24"/>
          <w:color w:val="auto"/>
        </w:rPr>
      </w:pPr>
    </w:p>
    <w:p>
      <w:pPr>
        <w:jc w:val="center"/>
        <w:ind w:right="36"/>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 w:lineRule="exact"/>
        <w:rPr>
          <w:sz w:val="24"/>
          <w:szCs w:val="24"/>
          <w:color w:val="auto"/>
        </w:rPr>
      </w:pPr>
    </w:p>
    <w:p>
      <w:pPr>
        <w:ind w:left="4024"/>
        <w:spacing w:after="0"/>
        <w:rPr>
          <w:sz w:val="20"/>
          <w:szCs w:val="20"/>
          <w:color w:val="auto"/>
        </w:rPr>
      </w:pPr>
      <w:r>
        <w:rPr>
          <w:rFonts w:ascii="Times New Roman" w:cs="Times New Roman" w:eastAsia="Times New Roman" w:hAnsi="Times New Roman"/>
          <w:sz w:val="14"/>
          <w:szCs w:val="14"/>
          <w:color w:val="auto"/>
        </w:rPr>
        <w:t>_____________________________</w:t>
      </w:r>
    </w:p>
    <w:p>
      <w:pPr>
        <w:spacing w:after="0" w:line="1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1" w:lineRule="exact"/>
        <w:rPr>
          <w:sz w:val="24"/>
          <w:szCs w:val="24"/>
          <w:color w:val="auto"/>
        </w:rPr>
      </w:pPr>
    </w:p>
    <w:p>
      <w:pPr>
        <w:ind w:left="4024"/>
        <w:spacing w:after="0"/>
        <w:rPr>
          <w:sz w:val="20"/>
          <w:szCs w:val="20"/>
          <w:color w:val="auto"/>
        </w:rPr>
      </w:pPr>
      <w:r>
        <w:rPr>
          <w:rFonts w:ascii="Times New Roman" w:cs="Times New Roman" w:eastAsia="Times New Roman" w:hAnsi="Times New Roman"/>
          <w:sz w:val="14"/>
          <w:szCs w:val="14"/>
          <w:color w:val="auto"/>
        </w:rPr>
        <w:t>_____________________________</w:t>
      </w:r>
    </w:p>
    <w:p>
      <w:pPr>
        <w:ind w:left="4"/>
        <w:spacing w:after="0"/>
        <w:rPr>
          <w:sz w:val="20"/>
          <w:szCs w:val="20"/>
          <w:color w:val="auto"/>
        </w:rPr>
      </w:pPr>
      <w:r>
        <w:rPr>
          <w:rFonts w:ascii="Times New Roman" w:cs="Times New Roman" w:eastAsia="Times New Roman" w:hAnsi="Times New Roman"/>
          <w:sz w:val="18"/>
          <w:szCs w:val="18"/>
          <w:color w:val="auto"/>
        </w:rPr>
        <w:t>(Mark One)</w:t>
      </w:r>
    </w:p>
    <w:p>
      <w:pPr>
        <w:spacing w:after="0" w:line="7"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2017</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3684" w:right="660" w:hanging="3684"/>
        <w:spacing w:after="0" w:line="422" w:lineRule="auto"/>
        <w:tabs>
          <w:tab w:leader="none" w:pos="28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 to –</w:t>
      </w: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Commission file number: 001-35629</w:t>
      </w:r>
    </w:p>
    <w:p>
      <w:pPr>
        <w:spacing w:after="0" w:line="25" w:lineRule="exact"/>
        <w:rPr>
          <w:sz w:val="24"/>
          <w:szCs w:val="24"/>
          <w:color w:val="auto"/>
        </w:rPr>
      </w:pPr>
    </w:p>
    <w:p>
      <w:pPr>
        <w:ind w:left="4024"/>
        <w:spacing w:after="0"/>
        <w:rPr>
          <w:sz w:val="20"/>
          <w:szCs w:val="20"/>
          <w:color w:val="auto"/>
        </w:rPr>
      </w:pPr>
      <w:r>
        <w:rPr>
          <w:rFonts w:ascii="Times New Roman" w:cs="Times New Roman" w:eastAsia="Times New Roman" w:hAnsi="Times New Roman"/>
          <w:sz w:val="14"/>
          <w:szCs w:val="14"/>
          <w:color w:val="auto"/>
        </w:rPr>
        <w:t>_____________________________</w:t>
      </w:r>
    </w:p>
    <w:p>
      <w:pPr>
        <w:spacing w:after="0" w:line="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TILE SHOP HOLDINGS, INC.</w:t>
      </w:r>
    </w:p>
    <w:p>
      <w:pPr>
        <w:spacing w:after="0" w:line="4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4024"/>
        <w:spacing w:after="0"/>
        <w:rPr>
          <w:sz w:val="20"/>
          <w:szCs w:val="20"/>
          <w:color w:val="auto"/>
        </w:rPr>
      </w:pPr>
      <w:r>
        <w:rPr>
          <w:rFonts w:ascii="Times New Roman" w:cs="Times New Roman" w:eastAsia="Times New Roman" w:hAnsi="Times New Roman"/>
          <w:sz w:val="14"/>
          <w:szCs w:val="14"/>
          <w:color w:val="auto"/>
        </w:rPr>
        <w:t>_____________________________</w:t>
      </w:r>
    </w:p>
    <w:p>
      <w:pPr>
        <w:spacing w:after="0" w:line="134" w:lineRule="exact"/>
        <w:rPr>
          <w:sz w:val="24"/>
          <w:szCs w:val="24"/>
          <w:color w:val="auto"/>
        </w:rPr>
      </w:pPr>
    </w:p>
    <w:tbl>
      <w:tblPr>
        <w:tblLayout w:type="fixed"/>
        <w:tblInd w:w="824" w:type="dxa"/>
        <w:tblCellMar>
          <w:top w:w="0" w:type="dxa"/>
          <w:left w:w="0" w:type="dxa"/>
          <w:bottom w:w="0" w:type="dxa"/>
          <w:right w:w="0" w:type="dxa"/>
        </w:tblCellMar>
      </w:tblPr>
      <w:tr>
        <w:trPr>
          <w:trHeight w:val="216"/>
        </w:trPr>
        <w:tc>
          <w:tcPr>
            <w:tcW w:w="440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45-5538095</w:t>
            </w:r>
          </w:p>
        </w:tc>
      </w:tr>
      <w:tr>
        <w:trPr>
          <w:trHeight w:val="238"/>
        </w:trPr>
        <w:tc>
          <w:tcPr>
            <w:tcW w:w="44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37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r>
      <w:tr>
        <w:trPr>
          <w:trHeight w:val="437"/>
        </w:trPr>
        <w:tc>
          <w:tcPr>
            <w:tcW w:w="440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9"/>
              </w:rPr>
              <w:t>14000 Carlson Parkway</w:t>
            </w:r>
          </w:p>
        </w:tc>
        <w:tc>
          <w:tcPr>
            <w:tcW w:w="3740" w:type="dxa"/>
            <w:vAlign w:val="bottom"/>
          </w:tcPr>
          <w:p>
            <w:pPr>
              <w:spacing w:after="0"/>
              <w:rPr>
                <w:sz w:val="24"/>
                <w:szCs w:val="24"/>
                <w:color w:val="auto"/>
              </w:rPr>
            </w:pPr>
          </w:p>
        </w:tc>
      </w:tr>
      <w:tr>
        <w:trPr>
          <w:trHeight w:val="216"/>
        </w:trPr>
        <w:tc>
          <w:tcPr>
            <w:tcW w:w="440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rPr>
              <w:t>Plymouth, Minnesota</w:t>
            </w:r>
          </w:p>
        </w:tc>
        <w:tc>
          <w:tcPr>
            <w:tcW w:w="374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55441</w:t>
            </w:r>
          </w:p>
        </w:tc>
      </w:tr>
      <w:tr>
        <w:trPr>
          <w:trHeight w:val="238"/>
        </w:trPr>
        <w:tc>
          <w:tcPr>
            <w:tcW w:w="440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7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ind w:right="36"/>
        <w:spacing w:after="0"/>
        <w:rPr>
          <w:sz w:val="20"/>
          <w:szCs w:val="20"/>
          <w:color w:val="auto"/>
        </w:rPr>
      </w:pPr>
      <w:r>
        <w:rPr>
          <w:rFonts w:ascii="Times New Roman" w:cs="Times New Roman" w:eastAsia="Times New Roman" w:hAnsi="Times New Roman"/>
          <w:sz w:val="18"/>
          <w:szCs w:val="18"/>
          <w:b w:val="1"/>
          <w:bCs w:val="1"/>
          <w:color w:val="auto"/>
        </w:rPr>
        <w:t>(763) 852-2950</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 w:lineRule="exact"/>
        <w:rPr>
          <w:sz w:val="24"/>
          <w:szCs w:val="24"/>
          <w:color w:val="auto"/>
        </w:rPr>
      </w:pPr>
    </w:p>
    <w:p>
      <w:pPr>
        <w:ind w:left="4024"/>
        <w:spacing w:after="0"/>
        <w:rPr>
          <w:sz w:val="20"/>
          <w:szCs w:val="20"/>
          <w:color w:val="auto"/>
        </w:rPr>
      </w:pPr>
      <w:r>
        <w:rPr>
          <w:rFonts w:ascii="Times New Roman" w:cs="Times New Roman" w:eastAsia="Times New Roman" w:hAnsi="Times New Roman"/>
          <w:sz w:val="14"/>
          <w:szCs w:val="14"/>
          <w:color w:val="auto"/>
        </w:rPr>
        <w:t>_____________________________</w:t>
      </w:r>
    </w:p>
    <w:p>
      <w:pPr>
        <w:spacing w:after="0" w:line="125" w:lineRule="exact"/>
        <w:rPr>
          <w:sz w:val="24"/>
          <w:szCs w:val="24"/>
          <w:color w:val="auto"/>
        </w:rPr>
      </w:pPr>
    </w:p>
    <w:p>
      <w:pPr>
        <w:ind w:left="4" w:right="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1" w:lineRule="exact"/>
        <w:rPr>
          <w:sz w:val="24"/>
          <w:szCs w:val="24"/>
          <w:color w:val="auto"/>
        </w:rPr>
      </w:pPr>
    </w:p>
    <w:p>
      <w:pPr>
        <w:jc w:val="both"/>
        <w:ind w:left="4" w:right="2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1" w:lineRule="exact"/>
        <w:rPr>
          <w:sz w:val="24"/>
          <w:szCs w:val="24"/>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04"/>
          </w:cols>
          <w:pgMar w:left="896" w:top="698" w:right="899" w:bottom="1440" w:gutter="0" w:footer="0" w:header="0"/>
        </w:sectPr>
      </w:pPr>
    </w:p>
    <w:p>
      <w:pPr>
        <w:spacing w:after="0" w:line="12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207" w:lineRule="exact"/>
        <w:tabs>
          <w:tab w:leader="none" w:pos="5400" w:val="left"/>
          <w:tab w:leader="none" w:pos="75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207" w:lineRule="exact"/>
        <w:tabs>
          <w:tab w:leader="none" w:pos="5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r>
        <w:rPr>
          <w:sz w:val="20"/>
          <w:szCs w:val="20"/>
          <w:color w:val="auto"/>
        </w:rPr>
        <w:tab/>
      </w: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71" w:lineRule="exact"/>
        <w:rPr>
          <w:sz w:val="24"/>
          <w:szCs w:val="24"/>
          <w:color w:val="auto"/>
        </w:rPr>
      </w:pPr>
    </w:p>
    <w:p>
      <w:pPr>
        <w:sectPr>
          <w:pgSz w:w="11900" w:h="16838" w:orient="portrait"/>
          <w:cols w:equalWidth="0" w:num="2">
            <w:col w:w="1964" w:space="320"/>
            <w:col w:w="7820"/>
          </w:cols>
          <w:pgMar w:left="896" w:top="698" w:right="899" w:bottom="1440" w:gutter="0" w:footer="0" w:header="0"/>
          <w:type w:val="continuous"/>
        </w:sectPr>
      </w:pPr>
    </w:p>
    <w:p>
      <w:pPr>
        <w:ind w:left="4" w:right="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 w:right="700"/>
        <w:spacing w:after="0" w:line="31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As of October 23, 2017, there were 52,158,065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146685</wp:posOffset>
            </wp:positionV>
            <wp:extent cx="6423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121285</wp:posOffset>
            </wp:positionV>
            <wp:extent cx="6423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906145</wp:posOffset>
            </wp:positionV>
            <wp:extent cx="646557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698" w:right="89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700" w:type="dxa"/>
            <w:vAlign w:val="bottom"/>
            <w:gridSpan w:val="8"/>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9"/>
              </w:rPr>
              <w:t>TILE SHOP HOLDINGS, INC.</w:t>
            </w:r>
          </w:p>
        </w:tc>
        <w:tc>
          <w:tcPr>
            <w:tcW w:w="2620" w:type="dxa"/>
            <w:vAlign w:val="bottom"/>
          </w:tcPr>
          <w:p>
            <w:pPr>
              <w:spacing w:after="0"/>
              <w:rPr>
                <w:sz w:val="18"/>
                <w:szCs w:val="18"/>
                <w:color w:val="auto"/>
              </w:rPr>
            </w:pPr>
          </w:p>
        </w:tc>
      </w:tr>
      <w:tr>
        <w:trPr>
          <w:trHeight w:val="238"/>
        </w:trPr>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60" w:type="dxa"/>
            <w:vAlign w:val="bottom"/>
            <w:gridSpan w:val="6"/>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620" w:type="dxa"/>
            <w:vAlign w:val="bottom"/>
          </w:tcPr>
          <w:p>
            <w:pPr>
              <w:spacing w:after="0"/>
              <w:rPr>
                <w:sz w:val="20"/>
                <w:szCs w:val="20"/>
                <w:color w:val="auto"/>
              </w:rPr>
            </w:pPr>
          </w:p>
        </w:tc>
      </w:tr>
      <w:tr>
        <w:trPr>
          <w:trHeight w:val="675"/>
        </w:trPr>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2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0"/>
        </w:trPr>
        <w:tc>
          <w:tcPr>
            <w:tcW w:w="120" w:type="dxa"/>
            <w:vAlign w:val="bottom"/>
            <w:shd w:val="clear" w:color="auto" w:fill="CCEEFF"/>
          </w:tcPr>
          <w:p>
            <w:pPr>
              <w:spacing w:after="0"/>
              <w:rPr>
                <w:sz w:val="16"/>
                <w:szCs w:val="16"/>
                <w:color w:val="auto"/>
              </w:rPr>
            </w:pPr>
          </w:p>
        </w:tc>
        <w:tc>
          <w:tcPr>
            <w:tcW w:w="7380" w:type="dxa"/>
            <w:vAlign w:val="bottom"/>
            <w:gridSpan w:val="24"/>
            <w:shd w:val="clear" w:color="auto" w:fill="CCEEFF"/>
          </w:tcPr>
          <w:p>
            <w:pPr>
              <w:spacing w:after="0" w:line="156" w:lineRule="exact"/>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 FINANCIAL INFORMATION</w:t>
              </w:r>
            </w:hyperlink>
          </w:p>
        </w:tc>
        <w:tc>
          <w:tcPr>
            <w:tcW w:w="2620" w:type="dxa"/>
            <w:vAlign w:val="bottom"/>
            <w:shd w:val="clear" w:color="auto" w:fill="CCEEFF"/>
          </w:tcPr>
          <w:p>
            <w:pPr>
              <w:spacing w:after="0"/>
              <w:rPr>
                <w:sz w:val="16"/>
                <w:szCs w:val="16"/>
                <w:color w:val="auto"/>
              </w:rPr>
            </w:pPr>
          </w:p>
        </w:tc>
      </w:tr>
      <w:tr>
        <w:trPr>
          <w:trHeight w:val="176"/>
        </w:trPr>
        <w:tc>
          <w:tcPr>
            <w:tcW w:w="120" w:type="dxa"/>
            <w:vAlign w:val="bottom"/>
            <w:tcBorders>
              <w:top w:val="single" w:sz="8" w:color="CCEEFF"/>
            </w:tcBorders>
          </w:tcPr>
          <w:p>
            <w:pPr>
              <w:spacing w:after="0"/>
              <w:rPr>
                <w:sz w:val="15"/>
                <w:szCs w:val="15"/>
                <w:color w:val="auto"/>
              </w:rPr>
            </w:pPr>
          </w:p>
        </w:tc>
        <w:tc>
          <w:tcPr>
            <w:tcW w:w="760" w:type="dxa"/>
            <w:vAlign w:val="bottom"/>
            <w:tcBorders>
              <w:top w:val="single" w:sz="8" w:color="0000EE"/>
            </w:tcBorders>
            <w:gridSpan w:val="3"/>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2300" w:type="dxa"/>
            <w:vAlign w:val="bottom"/>
            <w:tcBorders>
              <w:top w:val="single" w:sz="8" w:color="0000EE"/>
            </w:tcBorders>
            <w:gridSpan w:val="11"/>
          </w:tcPr>
          <w:p>
            <w:pPr>
              <w:ind w:left="120"/>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4320" w:type="dxa"/>
            <w:vAlign w:val="bottom"/>
            <w:tcBorders>
              <w:top w:val="single" w:sz="8" w:color="CCEEFF"/>
            </w:tcBorders>
            <w:gridSpan w:val="10"/>
          </w:tcPr>
          <w:p>
            <w:pPr>
              <w:spacing w:after="0"/>
              <w:rPr>
                <w:sz w:val="15"/>
                <w:szCs w:val="15"/>
                <w:color w:val="auto"/>
              </w:rPr>
            </w:pPr>
          </w:p>
        </w:tc>
        <w:tc>
          <w:tcPr>
            <w:tcW w:w="26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20" w:type="dxa"/>
            <w:vAlign w:val="bottom"/>
            <w:gridSpan w:val="21"/>
            <w:shd w:val="clear" w:color="auto" w:fill="CCEEFF"/>
          </w:tcPr>
          <w:p>
            <w:pPr>
              <w:ind w:left="120"/>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Balance Sheets</w:t>
              </w:r>
            </w:hyperlink>
          </w:p>
        </w:tc>
        <w:tc>
          <w:tcPr>
            <w:tcW w:w="2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20" w:type="dxa"/>
            <w:vAlign w:val="bottom"/>
            <w:gridSpan w:val="21"/>
          </w:tcPr>
          <w:p>
            <w:pPr>
              <w:ind w:left="120"/>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Statements of Operations</w:t>
              </w:r>
            </w:hyperlink>
          </w:p>
        </w:tc>
        <w:tc>
          <w:tcPr>
            <w:tcW w:w="2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20" w:type="dxa"/>
            <w:vAlign w:val="bottom"/>
            <w:gridSpan w:val="21"/>
            <w:shd w:val="clear" w:color="auto" w:fill="CCEEFF"/>
          </w:tcPr>
          <w:p>
            <w:pPr>
              <w:ind w:left="120"/>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Comprehensive Income</w:t>
              </w:r>
            </w:hyperlink>
          </w:p>
        </w:tc>
        <w:tc>
          <w:tcPr>
            <w:tcW w:w="2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20" w:type="dxa"/>
            <w:vAlign w:val="bottom"/>
            <w:gridSpan w:val="21"/>
          </w:tcPr>
          <w:p>
            <w:pPr>
              <w:ind w:left="120"/>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Stockholders’ Equity (Deficit)</w:t>
              </w:r>
            </w:hyperlink>
          </w:p>
        </w:tc>
        <w:tc>
          <w:tcPr>
            <w:tcW w:w="2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20" w:type="dxa"/>
            <w:vAlign w:val="bottom"/>
            <w:gridSpan w:val="21"/>
            <w:shd w:val="clear" w:color="auto" w:fill="CCEEFF"/>
          </w:tcPr>
          <w:p>
            <w:pPr>
              <w:ind w:left="120"/>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Statements of Cash Flows</w:t>
              </w:r>
            </w:hyperlink>
          </w:p>
        </w:tc>
        <w:tc>
          <w:tcPr>
            <w:tcW w:w="2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20" w:type="dxa"/>
            <w:vAlign w:val="bottom"/>
            <w:gridSpan w:val="21"/>
          </w:tcPr>
          <w:p>
            <w:pPr>
              <w:ind w:left="120"/>
              <w:spacing w:after="0" w:line="17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Consolidated Financial Statements</w:t>
              </w:r>
            </w:hyperlink>
          </w:p>
        </w:tc>
        <w:tc>
          <w:tcPr>
            <w:tcW w:w="2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Item 2.</w:t>
              </w:r>
            </w:hyperlink>
          </w:p>
        </w:tc>
        <w:tc>
          <w:tcPr>
            <w:tcW w:w="6620" w:type="dxa"/>
            <w:vAlign w:val="bottom"/>
            <w:gridSpan w:val="21"/>
            <w:shd w:val="clear" w:color="auto" w:fill="CCEEFF"/>
          </w:tcPr>
          <w:p>
            <w:pPr>
              <w:ind w:left="120"/>
              <w:spacing w:after="0" w:line="17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Management’s Discussion and Analysis of Financial Condition and Results of</w:t>
              </w:r>
            </w:hyperlink>
          </w:p>
        </w:tc>
        <w:tc>
          <w:tcPr>
            <w:tcW w:w="2620" w:type="dxa"/>
            <w:vAlign w:val="bottom"/>
            <w:shd w:val="clear" w:color="auto" w:fill="CCEEFF"/>
          </w:tcPr>
          <w:p>
            <w:pPr>
              <w:spacing w:after="0"/>
              <w:rPr>
                <w:sz w:val="15"/>
                <w:szCs w:val="15"/>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r>
      <w:tr>
        <w:trPr>
          <w:trHeight w:val="196"/>
        </w:trPr>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20" w:type="dxa"/>
            <w:vAlign w:val="bottom"/>
            <w:gridSpan w:val="21"/>
            <w:shd w:val="clear" w:color="auto" w:fill="CCEEFF"/>
          </w:tcPr>
          <w:p>
            <w:pPr>
              <w:ind w:left="120"/>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Operations</w:t>
              </w:r>
            </w:hyperlink>
          </w:p>
        </w:tc>
        <w:tc>
          <w:tcPr>
            <w:tcW w:w="2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3.</w:t>
              </w:r>
            </w:hyperlink>
          </w:p>
        </w:tc>
        <w:tc>
          <w:tcPr>
            <w:tcW w:w="6620" w:type="dxa"/>
            <w:vAlign w:val="bottom"/>
            <w:gridSpan w:val="21"/>
          </w:tcPr>
          <w:p>
            <w:pPr>
              <w:ind w:left="120"/>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Quantitative and Qualitative Disclosures About Market Risk</w:t>
              </w:r>
            </w:hyperlink>
          </w:p>
        </w:tc>
        <w:tc>
          <w:tcPr>
            <w:tcW w:w="2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4.</w:t>
              </w:r>
            </w:hyperlink>
          </w:p>
        </w:tc>
        <w:tc>
          <w:tcPr>
            <w:tcW w:w="6620" w:type="dxa"/>
            <w:vAlign w:val="bottom"/>
            <w:gridSpan w:val="21"/>
            <w:shd w:val="clear" w:color="auto" w:fill="CCEEFF"/>
          </w:tcPr>
          <w:p>
            <w:pPr>
              <w:ind w:left="120"/>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Controls and Procedures</w:t>
              </w:r>
            </w:hyperlink>
          </w:p>
        </w:tc>
        <w:tc>
          <w:tcPr>
            <w:tcW w:w="2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380" w:type="dxa"/>
            <w:vAlign w:val="bottom"/>
            <w:gridSpan w:val="24"/>
          </w:tcPr>
          <w:p>
            <w:pPr>
              <w:spacing w:after="0" w:line="176" w:lineRule="exact"/>
              <w:rPr>
                <w:rFonts w:ascii="Times New Roman" w:cs="Times New Roman" w:eastAsia="Times New Roman" w:hAnsi="Times New Roman"/>
                <w:sz w:val="18"/>
                <w:szCs w:val="18"/>
                <w:b w:val="1"/>
                <w:bCs w:val="1"/>
                <w:color w:val="0000EE"/>
              </w:rPr>
            </w:pPr>
            <w:hyperlink w:anchor="page24">
              <w:r>
                <w:rPr>
                  <w:rFonts w:ascii="Times New Roman" w:cs="Times New Roman" w:eastAsia="Times New Roman" w:hAnsi="Times New Roman"/>
                  <w:sz w:val="18"/>
                  <w:szCs w:val="18"/>
                  <w:b w:val="1"/>
                  <w:bCs w:val="1"/>
                  <w:color w:val="0000EE"/>
                </w:rPr>
                <w:t>PART II. OTHER INFORMATION</w:t>
              </w:r>
            </w:hyperlink>
          </w:p>
        </w:tc>
        <w:tc>
          <w:tcPr>
            <w:tcW w:w="26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Item 1.</w:t>
              </w:r>
            </w:hyperlink>
          </w:p>
        </w:tc>
        <w:tc>
          <w:tcPr>
            <w:tcW w:w="6620" w:type="dxa"/>
            <w:vAlign w:val="bottom"/>
            <w:gridSpan w:val="21"/>
            <w:shd w:val="clear" w:color="auto" w:fill="CCEEFF"/>
          </w:tcPr>
          <w:p>
            <w:pPr>
              <w:ind w:left="120"/>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Legal Proceedings</w:t>
              </w:r>
            </w:hyperlink>
          </w:p>
        </w:tc>
        <w:tc>
          <w:tcPr>
            <w:tcW w:w="2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Item 1A.</w:t>
              </w:r>
            </w:hyperlink>
          </w:p>
        </w:tc>
        <w:tc>
          <w:tcPr>
            <w:tcW w:w="6620" w:type="dxa"/>
            <w:vAlign w:val="bottom"/>
            <w:gridSpan w:val="21"/>
          </w:tcPr>
          <w:p>
            <w:pPr>
              <w:ind w:left="120"/>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Risk Factors</w:t>
              </w:r>
            </w:hyperlink>
          </w:p>
        </w:tc>
        <w:tc>
          <w:tcPr>
            <w:tcW w:w="2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Item 2.</w:t>
              </w:r>
            </w:hyperlink>
          </w:p>
        </w:tc>
        <w:tc>
          <w:tcPr>
            <w:tcW w:w="6620" w:type="dxa"/>
            <w:vAlign w:val="bottom"/>
            <w:gridSpan w:val="21"/>
            <w:shd w:val="clear" w:color="auto" w:fill="CCEEFF"/>
          </w:tcPr>
          <w:p>
            <w:pPr>
              <w:ind w:left="120"/>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Unregistered Sales of Equity Securities and Use of Proceeds</w:t>
              </w:r>
            </w:hyperlink>
          </w:p>
        </w:tc>
        <w:tc>
          <w:tcPr>
            <w:tcW w:w="2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Item 3.</w:t>
              </w:r>
            </w:hyperlink>
          </w:p>
        </w:tc>
        <w:tc>
          <w:tcPr>
            <w:tcW w:w="6620" w:type="dxa"/>
            <w:vAlign w:val="bottom"/>
            <w:gridSpan w:val="21"/>
          </w:tcPr>
          <w:p>
            <w:pPr>
              <w:ind w:left="120"/>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Defaults Upon Senior Securities</w:t>
              </w:r>
            </w:hyperlink>
          </w:p>
        </w:tc>
        <w:tc>
          <w:tcPr>
            <w:tcW w:w="2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Item 4.</w:t>
              </w:r>
            </w:hyperlink>
          </w:p>
        </w:tc>
        <w:tc>
          <w:tcPr>
            <w:tcW w:w="6620" w:type="dxa"/>
            <w:vAlign w:val="bottom"/>
            <w:gridSpan w:val="21"/>
            <w:shd w:val="clear" w:color="auto" w:fill="CCEEFF"/>
          </w:tcPr>
          <w:p>
            <w:pPr>
              <w:ind w:left="120"/>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Mine Safety Disclosures</w:t>
              </w:r>
            </w:hyperlink>
          </w:p>
        </w:tc>
        <w:tc>
          <w:tcPr>
            <w:tcW w:w="2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Item 5.</w:t>
              </w:r>
            </w:hyperlink>
          </w:p>
        </w:tc>
        <w:tc>
          <w:tcPr>
            <w:tcW w:w="6620" w:type="dxa"/>
            <w:vAlign w:val="bottom"/>
            <w:gridSpan w:val="21"/>
          </w:tcPr>
          <w:p>
            <w:pPr>
              <w:ind w:left="120"/>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Other Information</w:t>
              </w:r>
            </w:hyperlink>
          </w:p>
        </w:tc>
        <w:tc>
          <w:tcPr>
            <w:tcW w:w="2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6.</w:t>
              </w:r>
            </w:hyperlink>
          </w:p>
        </w:tc>
        <w:tc>
          <w:tcPr>
            <w:tcW w:w="6620" w:type="dxa"/>
            <w:vAlign w:val="bottom"/>
            <w:gridSpan w:val="21"/>
            <w:shd w:val="clear" w:color="auto" w:fill="CCEEFF"/>
          </w:tcPr>
          <w:p>
            <w:pPr>
              <w:ind w:left="120"/>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Exhibits</w:t>
              </w:r>
            </w:hyperlink>
          </w:p>
        </w:tc>
        <w:tc>
          <w:tcPr>
            <w:tcW w:w="2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tcBorders>
              <w:bottom w:val="single" w:sz="8" w:color="0000EE"/>
            </w:tcBorders>
            <w:gridSpan w:val="3"/>
          </w:tcPr>
          <w:p>
            <w:pPr>
              <w:spacing w:after="0" w:line="176" w:lineRule="exact"/>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Signatures</w:t>
              </w:r>
            </w:hyperlink>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September 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2017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current assets, net</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151,388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0" w:type="dxa"/>
            <w:vAlign w:val="bottom"/>
          </w:tcPr>
          <w:p>
            <w:pPr>
              <w:spacing w:after="0"/>
              <w:rPr>
                <w:sz w:val="1"/>
                <w:szCs w:val="1"/>
                <w:color w:val="auto"/>
              </w:rPr>
            </w:pPr>
          </w:p>
        </w:tc>
      </w:tr>
      <w:tr>
        <w:trPr>
          <w:trHeight w:val="21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28,406</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60,726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112,438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$0.0001; authorized: 100,000,000 shares; issued and outstanding:</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52,071,789 and 51,607,143 shares, respectively</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par value $0.0001; authorized: 10,000,000 shares; issued and outstanding: 0 shares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(28,888)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153,511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138,899</w:t>
            </w:r>
          </w:p>
        </w:tc>
        <w:tc>
          <w:tcPr>
            <w:tcW w:w="0" w:type="dxa"/>
            <w:vAlign w:val="bottom"/>
          </w:tcPr>
          <w:p>
            <w:pPr>
              <w:spacing w:after="0"/>
              <w:rPr>
                <w:sz w:val="1"/>
                <w:szCs w:val="1"/>
                <w:color w:val="auto"/>
              </w:rPr>
            </w:pPr>
          </w:p>
        </w:tc>
      </w:tr>
      <w:tr>
        <w:trPr>
          <w:trHeight w:val="21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265,949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265,273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340" w:type="dxa"/>
            <w:vAlign w:val="bottom"/>
            <w:gridSpan w:val="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4080" w:type="dxa"/>
            <w:vAlign w:val="bottom"/>
            <w:gridSpan w:val="7"/>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140" w:type="dxa"/>
            <w:vAlign w:val="bottom"/>
            <w:gridSpan w:val="5"/>
          </w:tcPr>
          <w:p>
            <w:pPr>
              <w:jc w:val="center"/>
              <w:ind w:left="190"/>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80" w:type="dxa"/>
            <w:vAlign w:val="bottom"/>
            <w:gridSpan w:val="7"/>
          </w:tcPr>
          <w:p>
            <w:pPr>
              <w:jc w:val="center"/>
              <w:ind w:right="640"/>
              <w:spacing w:after="0"/>
              <w:rPr>
                <w:sz w:val="20"/>
                <w:szCs w:val="20"/>
                <w:color w:val="auto"/>
              </w:rPr>
            </w:pPr>
            <w:r>
              <w:rPr>
                <w:rFonts w:ascii="Times New Roman" w:cs="Times New Roman" w:eastAsia="Times New Roman" w:hAnsi="Times New Roman"/>
                <w:sz w:val="18"/>
                <w:szCs w:val="18"/>
                <w:color w:val="auto"/>
                <w:w w:val="99"/>
              </w:rPr>
              <w:t>(dollars in thousands, except per share data)</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80" w:type="dxa"/>
            <w:vAlign w:val="bottom"/>
            <w:gridSpan w:val="4"/>
          </w:tcPr>
          <w:p>
            <w:pPr>
              <w:jc w:val="center"/>
              <w:ind w:left="550"/>
              <w:spacing w:after="0"/>
              <w:rPr>
                <w:sz w:val="20"/>
                <w:szCs w:val="20"/>
                <w:color w:val="auto"/>
              </w:rPr>
            </w:pPr>
            <w:r>
              <w:rPr>
                <w:rFonts w:ascii="Times New Roman" w:cs="Times New Roman" w:eastAsia="Times New Roman" w:hAnsi="Times New Roman"/>
                <w:sz w:val="18"/>
                <w:szCs w:val="18"/>
                <w:color w:val="auto"/>
                <w:w w:val="98"/>
              </w:rPr>
              <w:t>(unaudited)</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5"/>
          </w:tcPr>
          <w:p>
            <w:pPr>
              <w:jc w:val="right"/>
              <w:ind w:right="51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rPr>
              <w:t>September 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5"/>
          </w:tcPr>
          <w:p>
            <w:pPr>
              <w:jc w:val="right"/>
              <w:ind w:right="71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84,421</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266,020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27,759</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82,265</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52,285</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47,361</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154,245</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(505)</w:t>
            </w:r>
          </w:p>
        </w:tc>
        <w:tc>
          <w:tcPr>
            <w:tcW w:w="3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(2,886)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(10,034)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(11,793)</w:t>
            </w:r>
          </w:p>
        </w:tc>
        <w:tc>
          <w:tcPr>
            <w:tcW w:w="0" w:type="dxa"/>
            <w:vAlign w:val="bottom"/>
          </w:tcPr>
          <w:p>
            <w:pPr>
              <w:spacing w:after="0"/>
              <w:rPr>
                <w:sz w:val="1"/>
                <w:szCs w:val="1"/>
                <w:color w:val="auto"/>
              </w:rPr>
            </w:pPr>
          </w:p>
        </w:tc>
      </w:tr>
      <w:tr>
        <w:trPr>
          <w:trHeight w:val="217"/>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20" w:type="dxa"/>
            <w:vAlign w:val="bottom"/>
          </w:tcPr>
          <w:p>
            <w:pPr>
              <w:spacing w:after="0"/>
              <w:rPr>
                <w:sz w:val="18"/>
                <w:szCs w:val="18"/>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60" w:type="dxa"/>
            <w:vAlign w:val="bottom"/>
          </w:tcPr>
          <w:p>
            <w:pPr>
              <w:spacing w:after="0"/>
              <w:rPr>
                <w:sz w:val="18"/>
                <w:szCs w:val="18"/>
                <w:color w:val="auto"/>
              </w:rPr>
            </w:pPr>
          </w:p>
        </w:tc>
        <w:tc>
          <w:tcPr>
            <w:tcW w:w="36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per common share:</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6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6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tcPr>
          <w:p>
            <w:pPr>
              <w:spacing w:after="0"/>
              <w:rPr>
                <w:sz w:val="19"/>
                <w:szCs w:val="19"/>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Pr>
          <w:p>
            <w:pPr>
              <w:spacing w:after="0"/>
              <w:rPr>
                <w:sz w:val="19"/>
                <w:szCs w:val="19"/>
                <w:color w:val="auto"/>
              </w:rPr>
            </w:pP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tcPr>
          <w:p>
            <w:pPr>
              <w:spacing w:after="0"/>
              <w:rPr>
                <w:sz w:val="19"/>
                <w:szCs w:val="19"/>
                <w:color w:val="auto"/>
              </w:rPr>
            </w:pP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51,757,248</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51,426,104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51,638,864</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51,388,058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52,053,655</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51,929,226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52,011,208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51,817,588</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5"/>
          </w:tcPr>
          <w:p>
            <w:pPr>
              <w:jc w:val="right"/>
              <w:ind w:right="51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rPr>
              <w:t>September 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5"/>
          </w:tcPr>
          <w:p>
            <w:pPr>
              <w:jc w:val="right"/>
              <w:ind w:right="710"/>
              <w:spacing w:after="0"/>
              <w:rPr>
                <w:sz w:val="20"/>
                <w:szCs w:val="20"/>
                <w:color w:val="auto"/>
              </w:rPr>
            </w:pPr>
            <w:r>
              <w:rPr>
                <w:rFonts w:ascii="Times New Roman" w:cs="Times New Roman" w:eastAsia="Times New Roman" w:hAnsi="Times New Roman"/>
                <w:sz w:val="18"/>
                <w:szCs w:val="18"/>
                <w:color w:val="auto"/>
              </w:rPr>
              <w:t>September 30,</w:t>
            </w:r>
          </w:p>
        </w:tc>
      </w:tr>
      <w:tr>
        <w:trPr>
          <w:trHeight w:val="210"/>
        </w:trPr>
        <w:tc>
          <w:tcPr>
            <w:tcW w:w="47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18,190</w:t>
            </w: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7"/>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2,460</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18,200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18,180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Common stock</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Accumulated</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Additional</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4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capital</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4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income (loss)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2015</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51,437,973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180,192</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115,201</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impact of ASU 2016-09</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2016</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51,437,973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180,879</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115,352</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restricted shares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18,463</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2016</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51,607,143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185,998</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138,899</w:t>
            </w:r>
          </w:p>
        </w:tc>
        <w:tc>
          <w:tcPr>
            <w:tcW w:w="0" w:type="dxa"/>
            <w:vAlign w:val="bottom"/>
          </w:tcPr>
          <w:p>
            <w:pPr>
              <w:spacing w:after="0"/>
              <w:rPr>
                <w:sz w:val="1"/>
                <w:szCs w:val="1"/>
                <w:color w:val="auto"/>
              </w:rPr>
            </w:pPr>
          </w:p>
        </w:tc>
      </w:tr>
      <w:tr>
        <w:trPr>
          <w:trHeight w:val="203"/>
        </w:trPr>
        <w:tc>
          <w:tcPr>
            <w:tcW w:w="34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Issuance of restricted shares</w:t>
            </w: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161,213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center"/>
              <w:ind w:left="351"/>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 of restricted shares</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(9,939)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(7,764)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18,170</w:t>
            </w:r>
          </w:p>
        </w:tc>
        <w:tc>
          <w:tcPr>
            <w:tcW w:w="0" w:type="dxa"/>
            <w:vAlign w:val="bottom"/>
          </w:tcPr>
          <w:p>
            <w:pPr>
              <w:spacing w:after="0"/>
              <w:rPr>
                <w:sz w:val="1"/>
                <w:szCs w:val="1"/>
                <w:color w:val="auto"/>
              </w:rPr>
            </w:pPr>
          </w:p>
        </w:tc>
      </w:tr>
      <w:tr>
        <w:trPr>
          <w:trHeight w:val="217"/>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2017</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52,071,789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182,410</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280" w:type="dxa"/>
            <w:vAlign w:val="bottom"/>
            <w:gridSpan w:val="2"/>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34"/>
        </w:trPr>
        <w:tc>
          <w:tcPr>
            <w:tcW w:w="1340" w:type="dxa"/>
            <w:vAlign w:val="bottom"/>
            <w:tcBorders>
              <w:top w:val="single" w:sz="8" w:color="0000EE"/>
            </w:tcBorders>
          </w:tcPr>
          <w:p>
            <w:pPr>
              <w:spacing w:after="0"/>
              <w:rPr>
                <w:sz w:val="24"/>
                <w:szCs w:val="24"/>
                <w:color w:val="auto"/>
              </w:rPr>
            </w:pPr>
          </w:p>
        </w:tc>
        <w:tc>
          <w:tcPr>
            <w:tcW w:w="594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59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Consolidated Statements of Cash Flows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59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(dollars in thousands)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p>
        </w:tc>
        <w:tc>
          <w:tcPr>
            <w:tcW w:w="59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95"/>
        </w:trPr>
        <w:tc>
          <w:tcPr>
            <w:tcW w:w="134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5"/>
          </w:tcPr>
          <w:p>
            <w:pPr>
              <w:jc w:val="right"/>
              <w:ind w:right="51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134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710"/>
              <w:spacing w:after="0"/>
              <w:rPr>
                <w:sz w:val="20"/>
                <w:szCs w:val="20"/>
                <w:color w:val="auto"/>
              </w:rPr>
            </w:pPr>
            <w:r>
              <w:rPr>
                <w:rFonts w:ascii="Times New Roman" w:cs="Times New Roman" w:eastAsia="Times New Roman" w:hAnsi="Times New Roman"/>
                <w:sz w:val="18"/>
                <w:szCs w:val="18"/>
                <w:color w:val="auto"/>
              </w:rPr>
              <w:t>September 30,</w:t>
            </w:r>
          </w:p>
        </w:tc>
      </w:tr>
      <w:tr>
        <w:trPr>
          <w:trHeight w:val="210"/>
        </w:trPr>
        <w:tc>
          <w:tcPr>
            <w:tcW w:w="1340" w:type="dxa"/>
            <w:vAlign w:val="bottom"/>
            <w:tcBorders>
              <w:bottom w:val="single" w:sz="8" w:color="CCEEFF"/>
            </w:tcBorders>
          </w:tcPr>
          <w:p>
            <w:pPr>
              <w:spacing w:after="0"/>
              <w:rPr>
                <w:sz w:val="18"/>
                <w:szCs w:val="18"/>
                <w:color w:val="auto"/>
              </w:rPr>
            </w:pPr>
          </w:p>
        </w:tc>
        <w:tc>
          <w:tcPr>
            <w:tcW w:w="59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r>
      <w:tr>
        <w:trPr>
          <w:trHeight w:val="210"/>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7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18,170</w:t>
            </w:r>
          </w:p>
        </w:tc>
        <w:tc>
          <w:tcPr>
            <w:tcW w:w="80" w:type="dxa"/>
            <w:vAlign w:val="bottom"/>
          </w:tcPr>
          <w:p>
            <w:pPr>
              <w:spacing w:after="0"/>
              <w:rPr>
                <w:sz w:val="19"/>
                <w:szCs w:val="19"/>
                <w:color w:val="auto"/>
              </w:rPr>
            </w:pP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18,190</w:t>
            </w:r>
          </w:p>
        </w:tc>
      </w:tr>
      <w:tr>
        <w:trPr>
          <w:trHeight w:val="230"/>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7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16,954</w:t>
            </w:r>
          </w:p>
        </w:tc>
      </w:tr>
      <w:tr>
        <w:trPr>
          <w:trHeight w:val="230"/>
        </w:trPr>
        <w:tc>
          <w:tcPr>
            <w:tcW w:w="72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30"/>
        </w:trPr>
        <w:tc>
          <w:tcPr>
            <w:tcW w:w="7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Loss on disposals of property, plant and equipment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30"/>
        </w:trPr>
        <w:tc>
          <w:tcPr>
            <w:tcW w:w="72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rent</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r>
      <w:tr>
        <w:trPr>
          <w:trHeight w:val="230"/>
        </w:trPr>
        <w:tc>
          <w:tcPr>
            <w:tcW w:w="7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w:t>
            </w:r>
          </w:p>
        </w:tc>
      </w:tr>
      <w:tr>
        <w:trPr>
          <w:trHeight w:val="230"/>
        </w:trPr>
        <w:tc>
          <w:tcPr>
            <w:tcW w:w="72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30"/>
        </w:trPr>
        <w:tc>
          <w:tcPr>
            <w:tcW w:w="7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2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Trade receivables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(249)</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30"/>
        </w:trPr>
        <w:tc>
          <w:tcPr>
            <w:tcW w:w="72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w:t>
            </w:r>
          </w:p>
        </w:tc>
      </w:tr>
      <w:tr>
        <w:trPr>
          <w:trHeight w:val="230"/>
        </w:trPr>
        <w:tc>
          <w:tcPr>
            <w:tcW w:w="72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30"/>
        </w:trPr>
        <w:tc>
          <w:tcPr>
            <w:tcW w:w="72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w:t>
            </w:r>
          </w:p>
        </w:tc>
      </w:tr>
      <w:tr>
        <w:trPr>
          <w:trHeight w:val="230"/>
        </w:trPr>
        <w:tc>
          <w:tcPr>
            <w:tcW w:w="72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Income tax receivable / payable</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(1,163)</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30"/>
        </w:trPr>
        <w:tc>
          <w:tcPr>
            <w:tcW w:w="72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(9,624)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w:t>
            </w:r>
          </w:p>
        </w:tc>
      </w:tr>
      <w:tr>
        <w:trPr>
          <w:trHeight w:val="210"/>
        </w:trPr>
        <w:tc>
          <w:tcPr>
            <w:tcW w:w="7280" w:type="dxa"/>
            <w:vAlign w:val="bottom"/>
            <w:tcBorders>
              <w:top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50,678</w:t>
            </w:r>
          </w:p>
        </w:tc>
      </w:tr>
      <w:tr>
        <w:trPr>
          <w:trHeight w:val="210"/>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7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(28,031)</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(19,645)</w:t>
            </w:r>
          </w:p>
        </w:tc>
      </w:tr>
      <w:tr>
        <w:trPr>
          <w:trHeight w:val="210"/>
        </w:trPr>
        <w:tc>
          <w:tcPr>
            <w:tcW w:w="7280" w:type="dxa"/>
            <w:vAlign w:val="bottom"/>
            <w:tcBorders>
              <w:bottom w:val="single" w:sz="8" w:color="CCEEFF"/>
            </w:tcBorders>
            <w:gridSpan w:val="2"/>
          </w:tcPr>
          <w:p>
            <w:pPr>
              <w:ind w:left="8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(28,031)</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(19,645)</w:t>
            </w:r>
          </w:p>
        </w:tc>
      </w:tr>
      <w:tr>
        <w:trPr>
          <w:trHeight w:val="210"/>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7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Release of restricted cash</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long-term debt and capital lease obligations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(44,672)</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(32,132)</w:t>
            </w:r>
          </w:p>
        </w:tc>
      </w:tr>
      <w:tr>
        <w:trPr>
          <w:trHeight w:val="230"/>
        </w:trPr>
        <w:tc>
          <w:tcPr>
            <w:tcW w:w="7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Advances on line of credit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(7,764)</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30"/>
        </w:trPr>
        <w:tc>
          <w:tcPr>
            <w:tcW w:w="7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taxes paid for shares withheld</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(217)</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Security deposits</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72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(31,518)</w:t>
            </w:r>
          </w:p>
        </w:tc>
      </w:tr>
      <w:tr>
        <w:trPr>
          <w:trHeight w:val="210"/>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cash</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30"/>
        </w:trPr>
        <w:tc>
          <w:tcPr>
            <w:tcW w:w="72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10,330</w:t>
            </w:r>
          </w:p>
        </w:tc>
      </w:tr>
      <w:tr>
        <w:trPr>
          <w:trHeight w:val="230"/>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w:t>
            </w:r>
          </w:p>
        </w:tc>
      </w:tr>
      <w:tr>
        <w:trPr>
          <w:trHeight w:val="203"/>
        </w:trPr>
        <w:tc>
          <w:tcPr>
            <w:tcW w:w="72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59"/>
        </w:trPr>
        <w:tc>
          <w:tcPr>
            <w:tcW w:w="7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 included in accounts payable and accrued expenses</w:t>
            </w:r>
          </w:p>
        </w:tc>
        <w:tc>
          <w:tcPr>
            <w:tcW w:w="4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8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30"/>
        </w:trPr>
        <w:tc>
          <w:tcPr>
            <w:tcW w:w="7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Cash paid for interest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r>
      <w:tr>
        <w:trPr>
          <w:trHeight w:val="230"/>
        </w:trPr>
        <w:tc>
          <w:tcPr>
            <w:tcW w:w="7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12,981</w:t>
            </w: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Background</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Tile Shop, LLC was formed on December 30, 2002, as a Delaware limited liability company and began operations on January 1, 2003. Tile Shop Holdings, Inc. (“Holdings,” and together with its wholly owned subsidiaries, the “Company”) was incorporated under the laws of the state of Delaware in June 2012 to become the parent company of The Tile Shop, LLC.</w:t>
      </w:r>
    </w:p>
    <w:p>
      <w:pPr>
        <w:spacing w:after="0" w:line="17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The Company is a specialty retailer of manufactured and natural stone tiles, setting and maintenance materials, and related accessories in the United States. The Company manufactures its own setting and maintenance materials, such as thinset, grout, and sealers. The Company’s primary market is retail sales to consumers, contractors, designers and home builders. As of September 30, 2017, the Company had 134 stores in 31 states and the District of Columbia, as well as an on-line retail operation. The Company also has distribution centers located in Michigan, New Jersey, Oklahoma, Virginia and Wisconsin. The Company has a sourcing operation located in China.</w:t>
      </w:r>
    </w:p>
    <w:p>
      <w:pPr>
        <w:spacing w:after="0" w:line="1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accounting principles generally accepted in the United States for interim financial information and with the rules and regulations for reporting on Form 10-Q.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and nine months ended September 30, 2017 are not necessarily indicative of the results that may be expected for the fiscal year ending December 31, 2017.</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statements should be read in conjunction with the Consolidated Financial Statements and footnotes included in our Annual Report on Form 10-K for the fiscal year ended December 31, 2016. The accounting policies used in preparing these Consolidated Financial Statements are the same as those described in Note 1 to the Consolidated Financial Statements in such Form 10-K.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July 2015, the Financial Accounting Standards Board (“FASB”) issued a standard that simplifies the subsequent measurement of inventory. Previously, an entity was required to measure inventory at the lower of cost or market, whereby market can be replacement cost, net realizable value, or net realizable value less an approximately normal profit margin. The changes required that inventory be measured at the lower of cost and net realizable value, thereby eliminating the use of the other two market methodologies. Net realizable value is defined as the estimated selling prices in the ordinary course of business less reasonably predictable costs of completion, disposal, and transportation. The standard was effective for the Company at the beginning of fiscal 2017. The adoption of this new standard did not have a material effect on the Company’s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22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In May 2014, the FASB issued a final standard on revenue from contracts with customers. This new standard introduces a comprehensive revenue recognition model that requires a company to recognize revenue to depict the transfer of goods or services to a customer at an amount that reflects the consideration it expects to receive in exchange for those goods or services. In 2016, the FASB issued several amendments to the standard, including principal versus agent considerations when another party is involved in providing goods or services to a customer, the application of identifying performance obligations, and the recognition of expected breakage amounts either proportionally in earnings as redemptions occur or when redemption is remote. Upon adoption of the standard, the Company expects to present the gross sales returns reserve as a component of other accrued liabilities and establish a return asset that will be classified as a component of other current assets, net in the Consolidated Balance Sheet. Currently, the Company presents its sales returns reserve net of the value of the return assets as a component of other accrued liabilities in the Consolidated Balance Sheet. The Company continues to assess the impact of other aspects of this standard. As the Company finalizes its assessment, the Company will take steps to finalize its accounting policies, establish new processes and controls when warranted, and ensure information is captured to conform with the disclosure requirements outlined under the new standard. The standard is effective for the Company in fiscal 2018 and provides for either full retrospective adoption or modified retrospective adoption by which the cumulative effect of the change is recognized in retained earnings at the date of initial application. The Company has elected to adopt this standard using the modified retrospective approach.</w:t>
      </w:r>
    </w:p>
    <w:p>
      <w:pPr>
        <w:spacing w:after="0" w:line="19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February 2016, the FASB issued a standard that primarily requires organizations that lease assets to recognize the rights and obligations created by those leases on the Consolidated Balance Sheet. The standard is effective in 2019, with early adoption permitted. The Company is currently assessing the effect the new standard will have on its consolidated financial statements.</w:t>
      </w:r>
    </w:p>
    <w:p>
      <w:pPr>
        <w:spacing w:after="0" w:line="176" w:lineRule="exact"/>
        <w:rPr>
          <w:sz w:val="20"/>
          <w:szCs w:val="20"/>
          <w:color w:val="auto"/>
        </w:rPr>
      </w:pPr>
    </w:p>
    <w:p>
      <w:pPr>
        <w:jc w:val="both"/>
        <w:ind w:right="240"/>
        <w:spacing w:after="0" w:line="281" w:lineRule="auto"/>
        <w:rPr>
          <w:sz w:val="20"/>
          <w:szCs w:val="20"/>
          <w:color w:val="auto"/>
        </w:rPr>
      </w:pPr>
      <w:r>
        <w:rPr>
          <w:rFonts w:ascii="Times New Roman" w:cs="Times New Roman" w:eastAsia="Times New Roman" w:hAnsi="Times New Roman"/>
          <w:sz w:val="17"/>
          <w:szCs w:val="17"/>
          <w:color w:val="auto"/>
        </w:rPr>
        <w:t>In August 2016, the FASB issued an accounting standards update with new guidance on how certain cash receipts and cash payments are presented and classified in the statement of cash flows. The amendments in the standards update provide guidance on eight specific cash flow issues. The standards update is effective for the Company in fiscal 2018 and shall be applied to the Company’s financial statements retrospectively. The Company is currently assessing the effect the new standard will have on its consolidated financial statements.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7" w:right="89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In November 2016, the FASB issued new guidance on restricted cash on the statement of cash flows. The new guidance requires the classification and presentation of changes in restricted cash and cash equivalents in the statement of cash flows. Therefore, amounts generally described as restricted cash and restricted cash equivalents should be included with cash and cash equivalents when reconciling the beginning and ending balances shown on the statement of cash flows. The new standard is effective for the Company in fiscal 2018, with early adoption permitted. The guidance should be applied retrospectively after adoption. The Company’s restricted cash balance was $0.9 million as of September 30, 2017. Upon adopting the new standard, the Company anticipates that it will no longer present the release of restricted cash as a financing cash inflow. Instead, restricted cash and long-term restricted cash balances will be included in the beginning and ending cash, cash equivalents and restricted cash balances in the statement of cash flows.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Inventories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(determined on the weighted-average cost method) or market. Inventories consist primarily of merchandise held for sale. Inventories were comprised of the following as of September 30, 2017 and December 31, 2016:</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40" w:type="dxa"/>
            <w:vAlign w:val="bottom"/>
            <w:gridSpan w:val="5"/>
          </w:tcPr>
          <w:p>
            <w:pPr>
              <w:jc w:val="right"/>
              <w:ind w:right="71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0"/>
        </w:trPr>
        <w:tc>
          <w:tcPr>
            <w:tcW w:w="7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75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r>
      <w:tr>
        <w:trPr>
          <w:trHeight w:val="21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61,949</w:t>
            </w:r>
          </w:p>
        </w:tc>
      </w:tr>
      <w:tr>
        <w:trPr>
          <w:trHeight w:val="23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r>
      <w:tr>
        <w:trPr>
          <w:trHeight w:val="23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 in transit</w:t>
            </w:r>
          </w:p>
        </w:tc>
        <w:tc>
          <w:tcPr>
            <w:tcW w:w="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10,034</w:t>
            </w:r>
          </w:p>
        </w:tc>
      </w:tr>
      <w:tr>
        <w:trPr>
          <w:trHeight w:val="217"/>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70,927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74,295</w:t>
            </w:r>
          </w:p>
        </w:tc>
      </w:tr>
    </w:tbl>
    <w:p>
      <w:pPr>
        <w:spacing w:after="0" w:line="198"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The Company records provisions for losses related to shrinkage and other amounts that are otherwise not expected to be fully recoverable. These provisions are calculated based on historical shrinkage, selling price, margin and current business trends. The provision for losses related to shrinkage and other amounts was $0.7 million and $0.2 million as of September 30, 2017 and December 31, 2016,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Income taxes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Company’s effective tax rate on net income before income taxes for the three months ended September 30, 2017 and 2016, was 37.6% and 38.6%, respectively. For the three months ended September 30, 2017 and 2016, the Company recorded a provision for income taxes of $1.5 million and $2.9 million, respectively.</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effective tax rate on net income before income taxes for the nine months ended September 30, 2017 and 2016 was 35.6% and 39.3%, respectively. The improvement in the effective tax rate is attributable to an increase in excess tax benefits recognized in connection with the exercise of stock options during 2017. For the nine months ended September 30, 2017 and 2016, the Company recorded a provision for income taxes of $10.0 million and $11.8 million, respectively.</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records interest and penalties relating to uncertain tax positions in income tax expense. As of September 30, 2017 and 2016, the Company has not recognized any liabilities for uncertain tax positions, nor have interest and penalties related to uncertain tax positions been accrued.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Earnings Per Share</w:t>
      </w:r>
    </w:p>
    <w:p>
      <w:pPr>
        <w:spacing w:after="0" w:line="2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weighted-average number of common shares outstanding during the period. Diluted earnings per share is calculated by dividing net income by the weighted-average number of common shares outstanding, after taking into consideration all dilutive potential shares outstanding during the period.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share were calculated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(dollars in thousands)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color w:val="auto"/>
                <w:w w:val="99"/>
              </w:rPr>
              <w:t>For the nine months ended</w:t>
            </w:r>
          </w:p>
        </w:tc>
      </w:tr>
      <w:tr>
        <w:trPr>
          <w:trHeight w:val="234"/>
        </w:trPr>
        <w:tc>
          <w:tcPr>
            <w:tcW w:w="4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10"/>
        </w:trPr>
        <w:tc>
          <w:tcPr>
            <w:tcW w:w="4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51,757,248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51,426,104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51,638,864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51,388,058</w:t>
            </w:r>
          </w:p>
        </w:tc>
      </w:tr>
      <w:tr>
        <w:trPr>
          <w:trHeight w:val="198"/>
        </w:trPr>
        <w:tc>
          <w:tcPr>
            <w:tcW w:w="47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Effect of dilutive securities attributable to stock-based</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4"/>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awards</w:t>
            </w: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296,407</w:t>
            </w: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503,122</w:t>
            </w: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372,344</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429,530</w:t>
            </w:r>
          </w:p>
        </w:tc>
      </w:tr>
      <w:tr>
        <w:trPr>
          <w:trHeight w:val="210"/>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52,053,655</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51,929,226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52,011,208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51,817,588</w:t>
            </w: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per common share:</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r>
      <w:tr>
        <w:trPr>
          <w:trHeight w:val="216"/>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Anti-dilutive securities excluded from EPS calculation</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511,122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347,699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298,721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409,599</w:t>
            </w:r>
          </w:p>
        </w:tc>
      </w:tr>
      <w:tr>
        <w:trPr>
          <w:trHeight w:val="630"/>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Other Accrued Liabilities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 consisted of the following:</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95"/>
        </w:trPr>
        <w:tc>
          <w:tcPr>
            <w:tcW w:w="4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0"/>
        </w:trPr>
        <w:tc>
          <w:tcPr>
            <w:tcW w:w="4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September 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47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w:t>
            </w: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Sales return reserve</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r>
      <w:tr>
        <w:trPr>
          <w:trHeight w:val="23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sales taxes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Accrued wages and salaries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w:t>
            </w:r>
          </w:p>
        </w:tc>
      </w:tr>
      <w:tr>
        <w:trPr>
          <w:trHeight w:val="23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 litigation accrual</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r>
      <w:tr>
        <w:trPr>
          <w:trHeight w:val="230"/>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5,486</w:t>
            </w:r>
          </w:p>
        </w:tc>
      </w:tr>
      <w:tr>
        <w:trPr>
          <w:trHeight w:val="217"/>
        </w:trPr>
        <w:tc>
          <w:tcPr>
            <w:tcW w:w="4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accrued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Long-term Debt</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June 2, 2015, the Company and its operating subsidiary, The Tile Shop, LLC, entered into a credit agreement with Fifth Third Bank, Bank of America, N.A., and Huntington National Bank (as amended, the “Credit Agreement”). On December 9, 2016, the Credit Agreement was amended to permit an additional New Markets Tax Credit Financing arrangement and on February 10, 2017, the Credit Agreement was amended to permit the Company to make certain dividend payments. The Credit Agreement again was amended on July 17, 2017 to adjust the consolidated fixed charge coverage ratio from 2.00:1.00 to 1.50:1.00 to provide greater flexibility in declaring and making dividend payments or other distributions to stockholders. The Credit Agreement provides the Company with a $125.0 million senior secured credit facility, comprised of a five-year $50.0 million term loan and a $75.0 million revolving line of credit. The Credit Agreement is secured by virtually all of the assets of the Company, including but not limited to, inventory, receivables, equipment and real property. Borrowings pursuant to the Credit Agreement bear interest at either a base rate or a LIBOR-based rate, at the option of the Company. The LIBOR-based rate will range from LIBOR plus 1.50% to 2.00%, depending on The Tile Shop’s leverage ratio. The base rate is equal to the greatest of: (a) the Federal funds rate plus 0.50%, (b) the Fifth Third Bank “prime rate,” and (c) the Eurodollar rate plus 1.00%, in each case plus 0.50% to 1.00% depending on The Tile Shop’s leverage ratio. At September 30, 2017 the base interest rate was 4.75% and the LIBOR-based interest rate was 2.73%. Borrowings outstanding consisted of $13.2 million on the term loan and no outstanding balance on the revolving line of credit as of September 30, 2017. There was $75.0 million available for borrowing on the revolving line of credit as of September 30, 2017. The Company can elect to prepay the term loan without incurring a penalty. Additional borrowings pursuant to the Credit Agreement may be used to support the Company’s growth and for working capital purposes. The term loan requires quarterly principal payments as follows (in thousands):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880" w:type="dxa"/>
            <w:vAlign w:val="bottom"/>
          </w:tcPr>
          <w:p>
            <w:pPr>
              <w:spacing w:after="0"/>
              <w:rPr>
                <w:sz w:val="20"/>
                <w:szCs w:val="20"/>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2017 to June 30, 2018</w:t>
            </w:r>
          </w:p>
        </w:tc>
        <w:tc>
          <w:tcPr>
            <w:tcW w:w="3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2018 to March 31, 2020</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bl>
    <w:p>
      <w:pPr>
        <w:spacing w:after="0" w:line="1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Credit Agreement contains customary events of default, conditions to borrowings, and restrictive covenants, including restrictions on the Company’s ability to dispose of assets, make acquisitions, incur additional debt, incur liens, make investments, or enter into transactions with affiliates on other than terms that could be obtained in an arm’s length transaction. The Credit Agreement also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includes financial and other covenants including covenants to maintain certain fixed charge coverage ratios and rent adjusted leverage ratios. The Company was in compliance with the covenants as of September 30, 2017.</w:t>
      </w:r>
    </w:p>
    <w:p>
      <w:pPr>
        <w:spacing w:after="0" w:line="16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Company has standby letters of credit outstanding related to its workers compensation and medical insurance policies. As of September 30, 2017 and 2016, the standby letters of credit totaled $1.1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at September 30, 2017 and December 31, 2016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September 30, 2017</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December 31, 2016</w:t>
            </w:r>
          </w:p>
        </w:tc>
      </w:tr>
      <w:tr>
        <w:trPr>
          <w:trHeight w:val="191"/>
        </w:trPr>
        <w:tc>
          <w:tcPr>
            <w:tcW w:w="5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Unamortized</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Unamortized</w:t>
            </w:r>
          </w:p>
        </w:tc>
        <w:tc>
          <w:tcPr>
            <w:tcW w:w="20" w:type="dxa"/>
            <w:vAlign w:val="bottom"/>
          </w:tcPr>
          <w:p>
            <w:pPr>
              <w:spacing w:after="0"/>
              <w:rPr>
                <w:sz w:val="16"/>
                <w:szCs w:val="16"/>
                <w:color w:val="auto"/>
              </w:rPr>
            </w:pPr>
          </w:p>
        </w:tc>
      </w:tr>
      <w:tr>
        <w:trPr>
          <w:trHeight w:val="216"/>
        </w:trPr>
        <w:tc>
          <w:tcPr>
            <w:tcW w:w="5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Debt Issuance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Debt Issuance</w:t>
            </w:r>
          </w:p>
        </w:tc>
      </w:tr>
      <w:tr>
        <w:trPr>
          <w:trHeight w:val="234"/>
        </w:trPr>
        <w:tc>
          <w:tcPr>
            <w:tcW w:w="5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8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Costs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Principal</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Costs</w:t>
            </w:r>
          </w:p>
        </w:tc>
      </w:tr>
      <w:tr>
        <w:trPr>
          <w:trHeight w:val="178"/>
        </w:trPr>
        <w:tc>
          <w:tcPr>
            <w:tcW w:w="594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Term note payable - interest at 2.73% and 2.27% at September 30, 2017 and</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 respectively</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13,221</w:t>
            </w: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jc w:val="center"/>
              <w:ind w:right="6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(44)</w:t>
            </w:r>
          </w:p>
        </w:tc>
        <w:tc>
          <w:tcPr>
            <w:tcW w:w="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17,721</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20"/>
                <w:szCs w:val="20"/>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Commercial bank credit facility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198"/>
        </w:trPr>
        <w:tc>
          <w:tcPr>
            <w:tcW w:w="5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Variable interest rate bonds (1.29% and 0.89% at September 30, 2017 and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 which mature April 1, 2023, collateralized by buildings and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6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debt obligations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w:t>
            </w:r>
          </w:p>
        </w:tc>
        <w:tc>
          <w:tcPr>
            <w:tcW w:w="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r>
      <w:tr>
        <w:trPr>
          <w:trHeight w:val="21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Debt obligations, net of current portion</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60" w:type="dxa"/>
            <w:vAlign w:val="bottom"/>
          </w:tcPr>
          <w:p>
            <w:pPr>
              <w:spacing w:after="0"/>
              <w:rPr>
                <w:sz w:val="18"/>
                <w:szCs w:val="18"/>
                <w:color w:val="auto"/>
              </w:rPr>
            </w:pPr>
          </w:p>
        </w:tc>
        <w:tc>
          <w:tcPr>
            <w:tcW w:w="800" w:type="dxa"/>
            <w:vAlign w:val="bottom"/>
            <w:tcBorders>
              <w:bottom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22,176</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 of Financial Instruments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76" w:lineRule="exact"/>
        <w:rPr>
          <w:sz w:val="20"/>
          <w:szCs w:val="20"/>
          <w:color w:val="auto"/>
        </w:rPr>
      </w:pPr>
    </w:p>
    <w:p>
      <w:pPr>
        <w:ind w:left="640" w:right="360"/>
        <w:spacing w:after="0" w:line="282" w:lineRule="auto"/>
        <w:rPr>
          <w:sz w:val="20"/>
          <w:szCs w:val="20"/>
          <w:color w:val="auto"/>
        </w:rPr>
      </w:pPr>
      <w:r>
        <w:rPr>
          <w:rFonts w:ascii="Times New Roman" w:cs="Times New Roman" w:eastAsia="Times New Roman" w:hAnsi="Times New Roman"/>
          <w:sz w:val="18"/>
          <w:szCs w:val="18"/>
          <w:color w:val="auto"/>
        </w:rPr>
        <w:t>Level 1 – Unadjusted quoted prices that are available in active markets for the identical assets or liabilities at the measurement date.</w:t>
      </w:r>
    </w:p>
    <w:p>
      <w:pPr>
        <w:spacing w:after="0" w:line="162" w:lineRule="exact"/>
        <w:rPr>
          <w:sz w:val="20"/>
          <w:szCs w:val="20"/>
          <w:color w:val="auto"/>
        </w:rPr>
      </w:pPr>
    </w:p>
    <w:p>
      <w:pPr>
        <w:ind w:left="640" w:right="440"/>
        <w:spacing w:after="0" w:line="282" w:lineRule="auto"/>
        <w:rPr>
          <w:sz w:val="20"/>
          <w:szCs w:val="20"/>
          <w:color w:val="auto"/>
        </w:rPr>
      </w:pPr>
      <w:r>
        <w:rPr>
          <w:rFonts w:ascii="Times New Roman" w:cs="Times New Roman" w:eastAsia="Times New Roman" w:hAnsi="Times New Roman"/>
          <w:sz w:val="18"/>
          <w:szCs w:val="18"/>
          <w:color w:val="auto"/>
        </w:rPr>
        <w:t>Level 2 – Significant other observable inputs available at the measurement date, other than quoted prices included in Level 1, either directly or indirectly, including:</w:t>
      </w:r>
    </w:p>
    <w:p>
      <w:pPr>
        <w:spacing w:after="0" w:line="121" w:lineRule="exact"/>
        <w:rPr>
          <w:sz w:val="20"/>
          <w:szCs w:val="20"/>
          <w:color w:val="auto"/>
        </w:rPr>
      </w:pPr>
    </w:p>
    <w:p>
      <w:pPr>
        <w:ind w:left="960" w:hanging="315"/>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184"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in non-active markets;</w:t>
      </w:r>
    </w:p>
    <w:p>
      <w:pPr>
        <w:spacing w:after="0" w:line="184"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 and</w:t>
      </w:r>
    </w:p>
    <w:p>
      <w:pPr>
        <w:spacing w:after="0" w:line="184"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other observable market data.</w:t>
      </w:r>
    </w:p>
    <w:p>
      <w:pPr>
        <w:spacing w:after="0" w:line="225" w:lineRule="exact"/>
        <w:rPr>
          <w:sz w:val="20"/>
          <w:szCs w:val="20"/>
          <w:color w:val="auto"/>
        </w:rPr>
      </w:pPr>
    </w:p>
    <w:p>
      <w:pPr>
        <w:ind w:left="640" w:right="160"/>
        <w:spacing w:after="0" w:line="261" w:lineRule="auto"/>
        <w:rPr>
          <w:sz w:val="20"/>
          <w:szCs w:val="20"/>
          <w:color w:val="auto"/>
        </w:rPr>
      </w:pPr>
      <w:r>
        <w:rPr>
          <w:rFonts w:ascii="Times New Roman" w:cs="Times New Roman" w:eastAsia="Times New Roman" w:hAnsi="Times New Roman"/>
          <w:sz w:val="18"/>
          <w:szCs w:val="18"/>
          <w:color w:val="auto"/>
        </w:rPr>
        <w:t>Level 3 – Significant unobservable inputs that cannot be corroborated by observable market data and reflect the use of significant management judgment.</w:t>
      </w: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Company’s financial assets that were accounted for at fair value on a recurring basis at September 30, 2017 and December 31, 2016 according to the valuation techniques the Company uses to determine their fair values. There have been no transfers of assets among the fair value hierarchies presented.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2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Fair Value at</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Pricing</w:t>
            </w:r>
          </w:p>
        </w:tc>
        <w:tc>
          <w:tcPr>
            <w:tcW w:w="260" w:type="dxa"/>
            <w:vAlign w:val="bottom"/>
          </w:tcPr>
          <w:p>
            <w:pPr>
              <w:spacing w:after="0"/>
              <w:rPr>
                <w:sz w:val="19"/>
                <w:szCs w:val="19"/>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8"/>
              </w:rPr>
              <w:t>September 30,</w:t>
            </w:r>
          </w:p>
        </w:tc>
        <w:tc>
          <w:tcPr>
            <w:tcW w:w="260" w:type="dxa"/>
            <w:vAlign w:val="bottom"/>
          </w:tcPr>
          <w:p>
            <w:pPr>
              <w:spacing w:after="0"/>
              <w:rPr>
                <w:sz w:val="19"/>
                <w:szCs w:val="19"/>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6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Category</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2017</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10"/>
        </w:trPr>
        <w:tc>
          <w:tcPr>
            <w:tcW w:w="604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(in thousands)</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12,429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855</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 There have been no changes in the valuation techniques used by the Company to value the Company’s financial instruments.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7" w:lineRule="exact"/>
        <w:rPr>
          <w:sz w:val="20"/>
          <w:szCs w:val="20"/>
          <w:color w:val="auto"/>
        </w:rPr>
      </w:pPr>
    </w:p>
    <w:p>
      <w:pPr>
        <w:ind w:left="960" w:right="80" w:hanging="315"/>
        <w:spacing w:after="0" w:line="284"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Consists of cash on hand and bank deposits. The value was measured using quoted market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active markets. The carrying amount approximates fair value.</w:t>
      </w:r>
    </w:p>
    <w:p>
      <w:pPr>
        <w:spacing w:after="0" w:line="158" w:lineRule="exact"/>
        <w:rPr>
          <w:rFonts w:ascii="Times New Roman" w:cs="Times New Roman" w:eastAsia="Times New Roman" w:hAnsi="Times New Roman"/>
          <w:sz w:val="18"/>
          <w:szCs w:val="18"/>
          <w:color w:val="auto"/>
        </w:rPr>
      </w:pPr>
    </w:p>
    <w:p>
      <w:pPr>
        <w:jc w:val="both"/>
        <w:ind w:left="960" w:right="320" w:hanging="315"/>
        <w:spacing w:after="0" w:line="267"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cash: </w:t>
      </w:r>
      <w:r>
        <w:rPr>
          <w:rFonts w:ascii="Times New Roman" w:cs="Times New Roman" w:eastAsia="Times New Roman" w:hAnsi="Times New Roman"/>
          <w:sz w:val="18"/>
          <w:szCs w:val="18"/>
          <w:color w:val="auto"/>
        </w:rPr>
        <w:t>Consists of cash and cash equivalents held in bank deposit accounts restricted as to withdrawal or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terms of use for current operations. The value was measured using quoted market prices in active markets. The carrying amount approximates fair value.</w:t>
      </w:r>
    </w:p>
    <w:p>
      <w:pPr>
        <w:spacing w:after="0" w:line="173" w:lineRule="exact"/>
        <w:rPr>
          <w:rFonts w:ascii="Times New Roman" w:cs="Times New Roman" w:eastAsia="Times New Roman" w:hAnsi="Times New Roman"/>
          <w:sz w:val="18"/>
          <w:szCs w:val="18"/>
          <w:color w:val="auto"/>
        </w:rPr>
      </w:pPr>
    </w:p>
    <w:p>
      <w:pPr>
        <w:ind w:left="960" w:right="40" w:hanging="315"/>
        <w:spacing w:after="0" w:line="267"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Long-term restricted cash: </w:t>
      </w:r>
      <w:r>
        <w:rPr>
          <w:rFonts w:ascii="Times New Roman" w:cs="Times New Roman" w:eastAsia="Times New Roman" w:hAnsi="Times New Roman"/>
          <w:sz w:val="18"/>
          <w:szCs w:val="18"/>
          <w:color w:val="auto"/>
        </w:rPr>
        <w:t>Consists of cash and cash equivalents held in bank deposit accounts restricted as to withdrawal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designated for expenditure in the construction of noncurrent assets. The value was measured using quoted market prices in active markets. The carrying amount approximates fair value.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Fair value measurements also apply to certain non-financial assets and liabilities measured at fair value on a nonrecurring basis. Property, plant and equipment is measured at fair value when an impairment is recognized and the related assets are written down to fair value. The Company did not recognize any significant impairment losses during 2017 or 2016. The carrying value of the Company’s borrowings under its credit agreement approximate fair value based upon the market interest rates available to the Company for debt obligations with similar risks and maturities.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Equity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all stock-based awards at fair value. The financial statements for the three and nine months ended September 30, 2017 and 2016 include compensation cost for the portion of outstanding awards that vested during those periods. The Company recognizes stock-based compensation costs on a straight-line basis over the requisite service period of the award, which is generally the option vesting term. Total stock-based compensation expense related to stock options was $0.6 million for both the three months ended September 30, 2017 and 2016. Total stock-based compensation expense related to stock options was $1.7 million and $2.6 million for the nine months ended September 30, 2017 and 2016, respectively. Stock-based compensation expense pertaining to stock options is included in selling, general and administrative expenses in the accompanying Consolidated Statements of Operations.</w:t>
      </w:r>
    </w:p>
    <w:p>
      <w:pPr>
        <w:spacing w:after="0" w:line="18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September 30, 2017, the Company had outstanding stock options to purchase 1,920,621 shares of common stock at a weighted average exercise price of $15.10.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awards restricted common shares to selected employees and to non-employee directors. Recipients are not required to provide any consideration other than continued service. Restricted share awards are subject to certain restrictions on transfer, and all or part of the shares awarded may be subject to forfeiture upon the occurrence of certain events, including employment termination. Certain awards are also subject to forfeiture if the Company fails to attain its adjusted EBITDA targets. The restricted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 Total stock-based compensation expense related to restricted stock was $0.4 million and $0.3 million for the three months ended September 30, 2017 and 2016, respectively. Total stock-based compensation expense related to restricted stock was $1.1 million and $0.8 million for the nine months ended September 30, 2017 and 2016, respectively. Stock-based compensation expense pertaining to restricted stock awards is included in selling, general and administrative expenses in the accompanying Consolidated Statements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2017, the Company had 198,406 outstanding restricted common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New Market Tax Credit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New Market Tax Credit</w:t>
      </w:r>
    </w:p>
    <w:p>
      <w:pPr>
        <w:spacing w:after="0" w:line="22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December 2016, the Company entered into a financing transaction with U.S. Bank Community, LLC (“U.S. Bank”) related to a $9.2 million expansion of the Company’s facility in Durant, Oklahoma. U.S. Bank made a capital contribution to, and Tile Shop Lending, Inc. (“Tile Shop Lending”) made a loan to, Twain Investment Fund 192 LLC (the “Investment Fund”) under a qualified New Markets Tax Credit (“NMTC”) program. The NMTC program was provided for in the Community Renewal Tax Relief Act of 2000 (the “Act”) and is intended to induce capital investment in qualified lower income communities. The Act permits taxpayers to claim credits against their Federal income taxes for up to 39% of qualified investments in the equity of community development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7" w:right="89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entities (“CDEs”). CDEs are privately managed investment institutions that are certified to make qualified low-income community investments.</w:t>
      </w:r>
    </w:p>
    <w:p>
      <w:pPr>
        <w:spacing w:after="0" w:line="162"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In December 2016, Tile Shop Lending loaned $6.7 million to the Investment Fund at an interest rate of 1.37% per year and with a maturity of December 31, 2046. The Investment Fund then contributed the loan to a CDE, which, in turn, loaned the funds on similar terms to Tile Shop of Oklahoma, LLC, an indirect, wholly-owned subsidiary of Holdings. The proceeds of the loans from the CDEs (including loans representing the capital contribution made by U.S. Bank, net of syndication fees) were used to partially fund the distribution center project.</w:t>
      </w:r>
    </w:p>
    <w:p>
      <w:pPr>
        <w:spacing w:after="0" w:line="18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December 2016, U.S. Bank also contributed $3.1 million to the Investment Funds and, by virtue of such contribution, is entitled to substantially all of the tax benefits derived from the NMTCs, while the Company effectively received net loan proceeds equal to U.S. Bank’s contributions to the Investment Fund. This transaction includes a put/call provision whereby the Company may be obligated or entitled to repurchase U.S. Bank’s interest. The Company believes that U.S. Bank will exercise the put option in December 2023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U.S. Bank for any loss or recapture of NMTCs related to the financing until such time as the obligation to deliver tax benefits is relieved. The Company does not anticipate any credit recaptures will be required in connection with this arrangement.</w:t>
      </w:r>
    </w:p>
    <w:p>
      <w:pPr>
        <w:spacing w:after="0" w:line="18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Company has determined that the financing arrangement with the Investment Fund and CDEs contains a variable interest entity (“VIE”). The ongoing activities of the Investment Fund – collecting and remitting interest and fees and NMTC compliance – were all considered in the initial design and are not expected to significantly affect economic performance throughout the life of the Investment Fund. Management considered the contractual arrangements that obligate the Company to deliver tax benefits and provide various other guarantees to the structure; U.S. Bank’s lack of a material interest in the underling economics of the project; and the fact that the Company is obligated to absorb losses of the Investment Fund. The Company concluded that it is the primary beneficiary of the VIE and consolidated the Investment Fund, as a VIE, in accordance with the accounting standards for consolidation. In 2016, U.S. Bank’s contributions of $3.1 million, net of syndications fees, were included in cash, restricted cash, other accrued liabilities and other long-term liabilities in the Consolidated Balance Sheet. The Company incurred $1.2 million of syndication fees in connection with this transaction, which were classified as other current assets and other non-current assets in the Consolidated Balance Sheet. The Company is recognizing the benefit of this net $1.9 million contribution over the seven-year compliance period as it is being earned through the on-going compliance with the conditions of the NMTC program. As of September 30, 2017, the balance of the contribution liability was $2.9 million, of which $0.5 million is classified as other accrued liabilities on the Consolidated Balance Sheet and $2.4 million is classified as other long-term liabilities on the Consolidated Balance Sheet.</w:t>
      </w:r>
    </w:p>
    <w:p>
      <w:pPr>
        <w:spacing w:after="0" w:line="19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is able to request reimbursement for certain expenditures made in connection with the expansion of the distribution center in Durant, Oklahoma from the Investment Fund. Expenditures that qualify for reimbursement include building costs, equipment purchases, and other expenditures tied to the expansion of the facility. During the nine months ended September 30, 2017, the Company received reimbursements totaling $6.0 million from the investment fund. As of September 30, 2017, the balance in the Investment Fund available for reimbursement to the Company was $0.9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2013 New Market Tax Credit</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July 2013, the Company entered into a financing transaction with U.S. Bank and Chase Community Equity (“Chase”, and collectively with US. Bank, the “investors”) related to a $19.1 million acquisition, rehabilitation, and construction of the Company’s distribution center and manufacturing facilities in Durant, Oklahoma. In this transaction, Tile Shop Lending loaned $13.5 million to the Tile Shop Investment Fund LLC. The investors contributed $5.6 million to the Tile Shop Investment Fund LLC. The investors are entitled to the tax benefits derived from the NMTC by virtue of their contribution while the Company received the proceeds, net of syndication fees, to apply toward the construction project. This transaction includes a put/call provision whereby the Company may be obligated or entitled to repurchase the investors’ interest. The Company believes that the investors will exercise the put option in September 2020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the investors for any loss or recapture of NMTCs related to the financing until such time as the obligation to deliver tax benefits is relieved. The Company does not anticipate any credit recaptures will be required in connection with this arrangement.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determined that this financing arrangement contains a VIE. The ongoing activities of the Tile Shop Investment Fund LLC</w:t>
      </w:r>
    </w:p>
    <w:p>
      <w:pPr>
        <w:spacing w:after="0" w:line="27"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 collecting and remitting interest and fees and NMTC compliance – were all considered in the initial design and are not expected to significantly affect economic performance throughout the life of the Tile Shop Investment Fund LLC. Management</w:t>
      </w:r>
    </w:p>
    <w:p>
      <w:pPr>
        <w:spacing w:after="0" w:line="3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980"/>
          </w:cols>
          <w:pgMar w:left="900" w:top="117" w:right="101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considered the contractual arrangements that obligate the Company to deliver tax benefits and provide various other guarantees to the structure; the investors lack of a material interest in the underling economics of the project; and the fact that the Company is obligated to absorb losses of the Investment Fund. The Company concluded that it is the primary beneficiary of the VIE and consolidated the Tile Shop Investment Fund LLC, as a VIE, in accordance with the accounting standards for consolidation. In 2013, the investors’ contributions, of $5.6 million, net of syndication fees, were included in cash, restricted cash, other accrued liabilities and other long-term liabilities in the Consolidated Balance Sheet. The Company incurred $1.2 million of syndication fees in connection with this transaction which were classified as other current assets and other non-current assets in the Consolidated Balance Sheet. The Company is recognizing the benefit of this net $4.4 million contribution over the seven-year compliance period as it is being earned through the on-going compliance with the conditions of the NMTC program. As of September 30, 2017, the balance of the contribution liability was $1.9 million, of which $0.7 million is classified as other accrued liabilities on the Consolidated Balance Sheet and $1.2 million is classified as other long-term liabilities on the Consolidated Balance Sheet.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was a defendant in a consolidated class action arising in 2013 alleging it failed to disclose certain related party transactions in the Company’s SEC filings and press releases. In January 2017, the plaintiffs and the Company agreed to settle the lawsuit for $9.5 million. The court approved the settlement, and entered an order dismissing the action on June 14, 2017.</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also is a nominal defendant in three actions brought derivatively on behalf of the Company by three shareholders in 2015. The plaintiffs allege that the defendant-directors and/or officers breached their fiduciary duties by failing to adopt adequate internal controls for the Company, by approving false and misleading statements issued by the Company, by causing the Company to violate generally accepted accounting principles and SEC regulations, by engaging in or approving alleged insider trading, and by permitting the Company’s primary product to contain illegal amounts of lead. The complaints also allege claims for insider trading and/or unjust enrichment. The Company moved to dismiss the actions, or in the alternative, to stay the actions. Those motions have not yet been decided.</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By letter dated May 19, 2016, a shareholder of the Company demanded that the Board of Directors investigate alleged breaches of fiduciary duty related to the same matters described above and take action against certain present and former officers and directors of the Company. The Board of Directors has appointed a committee of two independent directors to investigate and evaluate the matters raised in the demand letter, and to recommend to the Company’s Board of Directors what actions, if any, should be taken by the Company with respect to the matters raised in the demand letter.</w:t>
      </w:r>
    </w:p>
    <w:p>
      <w:pPr>
        <w:spacing w:after="0" w:line="18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Given the uncertainty of litigation and the current stage of the derivative actions, the Company cannot reasonably estimate the possible loss or range of loss that may result. The Company maintains directors and officers liability insurance policies that may reduce the Company’s exposure, if any. In the event the Company incurs a loss, the Company will pursue recoveries to the maximum extent available under these policies.</w:t>
      </w:r>
    </w:p>
    <w:p>
      <w:pPr>
        <w:spacing w:after="0" w:line="180"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Company is also, from time to time, subject to claims and disputes arising in the normal course of business. In the opinion of management, while the outcome of such claims and disputes cannot be predicted with certainty, the Company’s ultimate liability in connection with these matters is not expected to have a material adverse effect on the results of operations, financial position,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17, 2017, the Company declared a $0.05 dividend to stockholders of record as of the close of business on October 31,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dividend will be paid on November 14,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960"/>
          </w:cols>
          <w:pgMar w:left="900" w:top="117" w:right="10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39"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Annual Report on Form 10-K for the year ended December 31, 2016 and our consolidated financial statements and related notes appearing elsewhere in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or Securities Act, and Section 21E of the Securities Exchange Act of 1934, as amended, or Exchange Act. Forward-looking statements are often identified by the use of words such as, but not limited to, “anticipate,” “believe,” “can,” “continue,” “could,” “estimate,” “expect,” “intend,” “may,” “might,” “plan,” “project,” “seek,” “should,” “target,” “will,” “will likely result,”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unexpected delays or expenses related to opening new stores and maintaining or renovating existing stores, changes to economic or market conditions and customer preferences, disruptions in our supply chain, or inventory management, competitive factors, increases to interest rates or other impacts on our ability to obtain or maintain financing, unanticipated expenses related to operating as a public company including but not limited to litigation-related expenses, and those factors disclosed in the section captioned “Risk Factors” in our Annual Report for the fiscal year ended December 31, 2016, filed with the Securities and Exchange Commission.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Trends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a specialty retailer of manufactured and natural stone tiles, setting and maintenance materials, and related accessories in the United States. We offer a wide selection of products, attractive prices, and exceptional customer service in an extensive showroom setting. As of September 30, 2017, we operated 134 stores in 31 states and the District of Columbia, with an average size of 20,500 square feet. We also sell our products on our website.</w:t>
      </w:r>
    </w:p>
    <w:p>
      <w:pPr>
        <w:spacing w:after="0" w:line="18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We purchase our tile products and accessories directly from suppliers and manufacture our own setting and maintenance materials, such as thinset, grout, and sealers. We believe that our long-term supplier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manufactured and natural stone tiles, accessories, and related materials in the United States.</w:t>
      </w:r>
    </w:p>
    <w:p>
      <w:pPr>
        <w:spacing w:after="0" w:line="1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that the highly-fragmented United States retail tile market provides us with a significant opportunity to expand our store base. We opened 11 new stores in the first nine months of 2017, and opened 9 new stores in the United States during 2016. Between October 1, 2016 and September 30, 2017, we opened 14 new store locations. We plan to open approximately 15 stores in 2017. We believe that there will continue to be additional expansion opportunities in the United States and Canada. We expect store base growth will drive productivity and operational efficiencies. Our growth plans also require us to maintain significant inventory on-hand in order to fulfill transactions at these new locations.</w:t>
      </w:r>
    </w:p>
    <w:p>
      <w:pPr>
        <w:spacing w:after="0" w:line="188"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2017, we reported net sales of $84.4 million and $266.0 million, respectively. For the three and nine months ended September 30, 2016, we reported net sales of $78.6 million and $247.5 million, respectively. The increase in sales for the three and nine months ended September 30, 2017 was primarily due to sales generated by stores opened since September 30, 2016, as well as comparable store sales increases of 1.1% and 2.2%, respectively.</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2017, we experienced a decrease in the growth rate of comparable store sales compared to 2016. Comparable store sales increased 7.6% during the year ended December 31, 2016. The deceleration in sales at comparable stores for the three and nine months ended September 30, 2017 was due to an increase in competitive activity, increased consumer demand for opening price point offerings, and a significant product transition which caused disruption to our product availability in our stores during the period. In addition, inconsistent execution across certain markets also contributed to a lower conversion rate and lower sales.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40"/>
          </w:cols>
          <w:pgMar w:left="900" w:top="117" w:right="9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table below sets forth information about our same store sales growth for the three and nine months ended September 30, 2017 and 2016.</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tcPr>
          <w:p>
            <w:pPr>
              <w:spacing w:after="0"/>
              <w:rPr>
                <w:sz w:val="19"/>
                <w:szCs w:val="19"/>
                <w:color w:val="auto"/>
              </w:rPr>
            </w:pPr>
          </w:p>
        </w:tc>
        <w:tc>
          <w:tcPr>
            <w:tcW w:w="27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9"/>
              </w:rPr>
              <w:t>For the three months ended</w:t>
            </w: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For the nine months ended</w:t>
            </w:r>
          </w:p>
        </w:tc>
      </w:tr>
      <w:tr>
        <w:trPr>
          <w:trHeight w:val="234"/>
        </w:trPr>
        <w:tc>
          <w:tcPr>
            <w:tcW w:w="4880" w:type="dxa"/>
            <w:vAlign w:val="bottom"/>
          </w:tcPr>
          <w:p>
            <w:pPr>
              <w:spacing w:after="0"/>
              <w:rPr>
                <w:sz w:val="20"/>
                <w:szCs w:val="20"/>
                <w:color w:val="auto"/>
              </w:rPr>
            </w:pPr>
          </w:p>
        </w:tc>
        <w:tc>
          <w:tcPr>
            <w:tcW w:w="27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September 30,</w:t>
            </w: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10"/>
        </w:trPr>
        <w:tc>
          <w:tcPr>
            <w:tcW w:w="488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2016</w:t>
            </w: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Same store sales growth</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5.7 %</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2.2 %</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9.0 %</w:t>
            </w:r>
          </w:p>
        </w:tc>
      </w:tr>
    </w:tbl>
    <w:p>
      <w:pPr>
        <w:spacing w:after="0" w:line="200" w:lineRule="exact"/>
        <w:rPr>
          <w:sz w:val="20"/>
          <w:szCs w:val="20"/>
          <w:color w:val="auto"/>
        </w:rPr>
      </w:pPr>
    </w:p>
    <w:p>
      <w:pPr>
        <w:spacing w:after="0" w:line="21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2017, we reported gross profit of $56.7 million and $183.8 million, respectively. For the three and nine months ended September 30, 2016, we reported gross profit of $55.2 million and $173.6 million, respectively. The gross margin rate for the three and nine months ended September 30, 2017 was 67.1% and 69.1%, respectively. The gross margin rate for the three and nine months ended September 30, 2016 was 70.2% and 70.1%, respectively. The decrease in the gross margin rate was primarily due to promotional pricing and increased demand for opening price point product. Additionally, sales growth of installation and setting materials, which carry a lower gross margin rate, outpaced the sales performance of other product categories.</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2017, we reported income from operations of $4.4 million and $29.5 million, respectively. For the three and nine months ended September 30, 2016, we reported income from operations of $7.8 million and $31.3 million. The decrease in income from operations during the period was primarily driven by a deceleration in comparable store sales growth, a decrease in our gross margin rate and an increase in occupancy costs due to the opening of new stores since October 1, 2016.</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$49.4 million and $50.7 million for the nine months ended September 30, 2017 and 2016, respectively, which was used to fund operations, new store construction activities, and debt repayments. We expect to continue to fund our capital expenditures and daily operations from our operating cash flows. As of September 30, 2017, we had cash of $12.4 million and working capital of $33.7 million compared with cash of $9.8 million and working capital of $37.7 million at September 30, 2016.</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Year to date free cash flow in 2017 of $21.3 million enabled an additional $5.0 million reduction to long-term debt during the third quarter, bringing our net debt position to $1.5 million at quarter end. See the “Non-GAAP Measures” section below for a reconciliation of these Non-GAAP measures to the comparable GAAP measures.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Consolidated Statements of Operations</w:t>
      </w:r>
    </w:p>
    <w:p>
      <w:pPr>
        <w:spacing w:after="0" w:line="22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represents total charges to customers, net of returns, and includes freight charged to customers. We recognize sales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time that the customer takes possession of the merchandise or final delivery of the product has occurred. We recognize service revenue, which consists primarily of freight charges for home delivery, when the service has been rendered. We are required to charge and collect sales and other taxes on sales to our customers and remit these taxes back to government authorities. Total revenues do not include sales tax because we are a pass-through conduit for collecting and remitting sales tax.</w:t>
      </w:r>
    </w:p>
    <w:p>
      <w:pPr>
        <w:spacing w:after="0" w:line="1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Same store sales amounts include total charges to customers less any actual returns, and the change in the returns provision related to comparable stores. In general, we consider a new or relocated store in the comparable store sales calculation on the first day of the 13th full month of operation.</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Cost of sales consists primarily of material costs, freight, duties, and storage and delivery of product to the customers, as well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costs associated with manufacturing of setting and maintenance materials.</w:t>
      </w:r>
    </w:p>
    <w:p>
      <w:pPr>
        <w:spacing w:after="0" w:line="155"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consists primarily of payroll and benefit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occupancy, utilities, and maintenance costs, advertising cost, freight expenses to move inventory from the Company’s distribution centers to the Company’s stores, depreciation and amortization.</w:t>
      </w:r>
    </w:p>
    <w:p>
      <w:pPr>
        <w:spacing w:after="0" w:line="171"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Pre-opening Costs </w:t>
      </w:r>
      <w:r>
        <w:rPr>
          <w:rFonts w:ascii="Times New Roman" w:cs="Times New Roman" w:eastAsia="Times New Roman" w:hAnsi="Times New Roman"/>
          <w:sz w:val="18"/>
          <w:szCs w:val="18"/>
          <w:color w:val="auto"/>
        </w:rPr>
        <w:t>Our pre-opening costs are those typically associated with the opening of a new stores and generally include rent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payroll costs and promotional costs. We expense pre-opening costs as incurred and include these costs in selling, general, and administrative expenses.</w:t>
      </w:r>
    </w:p>
    <w:p>
      <w:pPr>
        <w:spacing w:after="0" w:line="17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We are subject to income tax in the United States as well as other tax jurisdictions in which we conduct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Measures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calculate Adjusted EBITDA by taking net income calculated in accordance with accounting principles generally accepted in the United States (“GAAP”), and adjusting for interest expense, income taxes, depreciation and amortization, stock based compensation expense, and special charges, which consist of litigation costs. Adjusted EBITDA margin is equal to Adjusted EBITDA divided by net sales. Free cash flows is calculated by taking net cash provided by operating activities and subtracting net cash used for the purchase of property, plant and equipment. Non-GAAP net income excludes the special charges, which consist of litigation costs, and is net of tax. Net debt equals long-term debt, net, plus the current portion of long-term debt, minus cash and cash equivalents.</w:t>
      </w:r>
    </w:p>
    <w:p>
      <w:pPr>
        <w:spacing w:after="0" w:line="18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and for budgeting and planning purposes.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Adjusted EBITDA to net income for the three and nine months ended September 30, 2017 and 2016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rPr>
              <w:t>(in thousands)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4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9"/>
              </w:rPr>
              <w:t>September 30,</w:t>
            </w: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10"/>
        </w:trPr>
        <w:tc>
          <w:tcPr>
            <w:tcW w:w="48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3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of sales</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4"/>
              </w:rPr>
              <w:t>2016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of sales</w:t>
            </w: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2.9 %</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5.8 %</w:t>
            </w: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3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0.6 %</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0.5 %</w:t>
            </w:r>
          </w:p>
        </w:tc>
      </w:tr>
      <w:tr>
        <w:trPr>
          <w:trHeight w:val="23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1.7 %</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3.7 %</w:t>
            </w: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6,803</w:t>
            </w:r>
          </w:p>
        </w:tc>
        <w:tc>
          <w:tcPr>
            <w:tcW w:w="3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8.1 %</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7.3 %</w:t>
            </w:r>
          </w:p>
        </w:tc>
      </w:tr>
      <w:tr>
        <w:trPr>
          <w:trHeight w:val="23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charges: Litigation costs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0.5 %</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0.9 %</w:t>
            </w:r>
          </w:p>
        </w:tc>
      </w:tr>
      <w:tr>
        <w:trPr>
          <w:trHeight w:val="230"/>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3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1.2 %</w:t>
            </w:r>
          </w:p>
        </w:tc>
      </w:tr>
      <w:tr>
        <w:trPr>
          <w:trHeight w:val="217"/>
        </w:trPr>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12,639</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15.0 %</w:t>
            </w:r>
          </w:p>
        </w:tc>
        <w:tc>
          <w:tcPr>
            <w:tcW w:w="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19.4 %</w:t>
            </w:r>
          </w:p>
        </w:tc>
      </w:tr>
      <w:tr>
        <w:trPr>
          <w:trHeight w:val="495"/>
        </w:trPr>
        <w:tc>
          <w:tcPr>
            <w:tcW w:w="4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right"/>
              <w:ind w:right="55"/>
              <w:spacing w:after="0"/>
              <w:rPr>
                <w:sz w:val="20"/>
                <w:szCs w:val="20"/>
                <w:color w:val="auto"/>
              </w:rPr>
            </w:pPr>
            <w:r>
              <w:rPr>
                <w:rFonts w:ascii="Times New Roman" w:cs="Times New Roman" w:eastAsia="Times New Roman" w:hAnsi="Times New Roman"/>
                <w:sz w:val="18"/>
                <w:szCs w:val="18"/>
                <w:color w:val="auto"/>
              </w:rPr>
              <w:t>(in thousands)</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0"/>
        </w:trPr>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4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9"/>
              </w:rPr>
              <w:t>September 30,</w:t>
            </w: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64"/>
        </w:trPr>
        <w:tc>
          <w:tcPr>
            <w:tcW w:w="48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3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of sales</w:t>
            </w:r>
            <w:r>
              <w:rPr>
                <w:rFonts w:ascii="Times New Roman" w:cs="Times New Roman" w:eastAsia="Times New Roman" w:hAnsi="Times New Roman"/>
                <w:sz w:val="8"/>
                <w:szCs w:val="8"/>
                <w:color w:val="auto"/>
              </w:rPr>
              <w:t>(1)</w:t>
            </w:r>
          </w:p>
        </w:tc>
        <w:tc>
          <w:tcPr>
            <w:tcW w:w="1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4"/>
              </w:rPr>
              <w:t>2016</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of sales</w:t>
            </w: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6.8 %</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7.3 %</w:t>
            </w: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3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0.5 %</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0.6 %</w:t>
            </w:r>
          </w:p>
        </w:tc>
      </w:tr>
      <w:tr>
        <w:trPr>
          <w:trHeight w:val="23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10,034</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3.8 %</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4.8 %</w:t>
            </w: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19,395</w:t>
            </w:r>
          </w:p>
        </w:tc>
        <w:tc>
          <w:tcPr>
            <w:tcW w:w="3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7.3 %</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6.8 %</w:t>
            </w:r>
          </w:p>
        </w:tc>
      </w:tr>
      <w:tr>
        <w:trPr>
          <w:trHeight w:val="23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charges: Litigation costs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0.4 %</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0.7 %</w:t>
            </w:r>
          </w:p>
        </w:tc>
      </w:tr>
      <w:tr>
        <w:trPr>
          <w:trHeight w:val="230"/>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3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1.4 %</w:t>
            </w:r>
          </w:p>
        </w:tc>
      </w:tr>
      <w:tr>
        <w:trPr>
          <w:trHeight w:val="217"/>
        </w:trPr>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52,880</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19.9 %</w:t>
            </w:r>
          </w:p>
        </w:tc>
        <w:tc>
          <w:tcPr>
            <w:tcW w:w="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21.6 %</w:t>
            </w:r>
          </w:p>
        </w:tc>
      </w:tr>
    </w:tbl>
    <w:p>
      <w:pPr>
        <w:ind w:left="160" w:hanging="141"/>
        <w:spacing w:after="0"/>
        <w:tabs>
          <w:tab w:leader="none" w:pos="16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Amounts may not foot due to rounding.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reconciliation of free cash flows to net cash provided by operating activities for the three and nine months ended September 30, 2017 and 2016 is as follows:</w:t>
      </w:r>
    </w:p>
    <w:p>
      <w:pPr>
        <w:spacing w:after="0" w:line="229"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8"/>
          <w:szCs w:val="18"/>
          <w:color w:val="auto"/>
        </w:rPr>
        <w:t>Nine Months Ended</w:t>
      </w:r>
    </w:p>
    <w:p>
      <w:pPr>
        <w:spacing w:after="0" w:line="23"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8"/>
          <w:szCs w:val="18"/>
          <w:color w:val="auto"/>
        </w:rPr>
        <w:t>September 30,</w:t>
      </w:r>
    </w:p>
    <w:p>
      <w:pPr>
        <w:spacing w:after="0" w:line="23" w:lineRule="exact"/>
        <w:rPr>
          <w:sz w:val="20"/>
          <w:szCs w:val="20"/>
          <w:color w:val="auto"/>
        </w:rPr>
      </w:pPr>
    </w:p>
    <w:p>
      <w:pPr>
        <w:ind w:left="7920"/>
        <w:spacing w:after="0"/>
        <w:tabs>
          <w:tab w:leader="none" w:pos="9300" w:val="left"/>
        </w:tabs>
        <w:rPr>
          <w:sz w:val="20"/>
          <w:szCs w:val="20"/>
          <w:color w:val="auto"/>
        </w:rPr>
      </w:pPr>
      <w:r>
        <w:rPr>
          <w:rFonts w:ascii="Times New Roman" w:cs="Times New Roman" w:eastAsia="Times New Roman" w:hAnsi="Times New Roman"/>
          <w:sz w:val="18"/>
          <w:szCs w:val="18"/>
          <w:color w:val="auto"/>
        </w:rPr>
        <w:t>2017</w:t>
      </w:r>
      <w:r>
        <w:rPr>
          <w:sz w:val="20"/>
          <w:szCs w:val="20"/>
          <w:color w:val="auto"/>
        </w:rPr>
        <w:tab/>
      </w:r>
      <w:r>
        <w:rPr>
          <w:rFonts w:ascii="Times New Roman" w:cs="Times New Roman" w:eastAsia="Times New Roman" w:hAnsi="Times New Roman"/>
          <w:sz w:val="18"/>
          <w:szCs w:val="18"/>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-130810</wp:posOffset>
            </wp:positionV>
            <wp:extent cx="1663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26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192"/>
        </w:trPr>
        <w:tc>
          <w:tcPr>
            <w:tcW w:w="52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2580" w:type="dxa"/>
            <w:vAlign w:val="bottom"/>
            <w:gridSpan w:val="2"/>
            <w:shd w:val="clear" w:color="auto" w:fill="CCEEFF"/>
          </w:tcPr>
          <w:p>
            <w:pPr>
              <w:jc w:val="right"/>
              <w:ind w:right="175"/>
              <w:spacing w:after="0" w:line="19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210"/>
              <w:spacing w:after="0" w:line="192" w:lineRule="exact"/>
              <w:rPr>
                <w:sz w:val="20"/>
                <w:szCs w:val="20"/>
                <w:color w:val="auto"/>
              </w:rPr>
            </w:pPr>
            <w:r>
              <w:rPr>
                <w:rFonts w:ascii="Times New Roman" w:cs="Times New Roman" w:eastAsia="Times New Roman" w:hAnsi="Times New Roman"/>
                <w:sz w:val="18"/>
                <w:szCs w:val="18"/>
                <w:color w:val="auto"/>
              </w:rPr>
              <w:t>49,355</w:t>
            </w:r>
          </w:p>
        </w:tc>
        <w:tc>
          <w:tcPr>
            <w:tcW w:w="14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jc w:val="right"/>
              <w:ind w:right="170"/>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center"/>
              <w:ind w:left="210"/>
              <w:spacing w:after="0" w:line="192" w:lineRule="exact"/>
              <w:rPr>
                <w:sz w:val="20"/>
                <w:szCs w:val="20"/>
                <w:color w:val="auto"/>
              </w:rPr>
            </w:pPr>
            <w:r>
              <w:rPr>
                <w:rFonts w:ascii="Times New Roman" w:cs="Times New Roman" w:eastAsia="Times New Roman" w:hAnsi="Times New Roman"/>
                <w:sz w:val="18"/>
                <w:szCs w:val="18"/>
                <w:color w:val="auto"/>
                <w:w w:val="96"/>
              </w:rPr>
              <w:t>50,678</w:t>
            </w: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(28,031)</w:t>
            </w:r>
          </w:p>
        </w:tc>
        <w:tc>
          <w:tcPr>
            <w:tcW w:w="360" w:type="dxa"/>
            <w:vAlign w:val="bottom"/>
          </w:tcPr>
          <w:p>
            <w:pPr>
              <w:spacing w:after="0"/>
              <w:rPr>
                <w:sz w:val="19"/>
                <w:szCs w:val="19"/>
                <w:color w:val="auto"/>
              </w:rPr>
            </w:pPr>
          </w:p>
        </w:tc>
        <w:tc>
          <w:tcPr>
            <w:tcW w:w="9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(19,645)</w:t>
            </w:r>
          </w:p>
        </w:tc>
      </w:tr>
      <w:tr>
        <w:trPr>
          <w:trHeight w:val="217"/>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flows</w:t>
            </w:r>
          </w:p>
        </w:tc>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21,324</w:t>
            </w:r>
          </w:p>
        </w:tc>
        <w:tc>
          <w:tcPr>
            <w:tcW w:w="1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6"/>
              </w:rPr>
              <w:t>31,033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GAAP income to Non-GAAP income for the three and nine months ended September 30, 2017 and 2016 is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7"/>
          </w:tcPr>
          <w:p>
            <w:pPr>
              <w:jc w:val="center"/>
              <w:ind w:right="9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00" w:type="dxa"/>
            <w:vAlign w:val="bottom"/>
            <w:gridSpan w:val="9"/>
          </w:tcPr>
          <w:p>
            <w:pPr>
              <w:jc w:val="center"/>
              <w:ind w:right="9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jc w:val="center"/>
              <w:ind w:right="90"/>
              <w:spacing w:after="0"/>
              <w:rPr>
                <w:sz w:val="20"/>
                <w:szCs w:val="20"/>
                <w:color w:val="auto"/>
              </w:rPr>
            </w:pPr>
            <w:r>
              <w:rPr>
                <w:rFonts w:ascii="Times New Roman" w:cs="Times New Roman" w:eastAsia="Times New Roman" w:hAnsi="Times New Roman"/>
                <w:sz w:val="18"/>
                <w:szCs w:val="18"/>
                <w:color w:val="auto"/>
                <w:w w:val="99"/>
              </w:rPr>
              <w:t>September 30, 2017</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8"/>
          </w:tcPr>
          <w:p>
            <w:pPr>
              <w:jc w:val="center"/>
              <w:ind w:left="550"/>
              <w:spacing w:after="0"/>
              <w:rPr>
                <w:sz w:val="20"/>
                <w:szCs w:val="20"/>
                <w:color w:val="auto"/>
              </w:rPr>
            </w:pPr>
            <w:r>
              <w:rPr>
                <w:rFonts w:ascii="Times New Roman" w:cs="Times New Roman" w:eastAsia="Times New Roman" w:hAnsi="Times New Roman"/>
                <w:sz w:val="18"/>
                <w:szCs w:val="18"/>
                <w:color w:val="auto"/>
                <w:w w:val="99"/>
              </w:rPr>
              <w:t>September 30, 2016</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 Share</w:t>
            </w:r>
          </w:p>
        </w:tc>
        <w:tc>
          <w:tcPr>
            <w:tcW w:w="0" w:type="dxa"/>
            <w:vAlign w:val="bottom"/>
          </w:tcPr>
          <w:p>
            <w:pPr>
              <w:spacing w:after="0"/>
              <w:rPr>
                <w:sz w:val="1"/>
                <w:szCs w:val="1"/>
                <w:color w:val="auto"/>
              </w:rPr>
            </w:pPr>
          </w:p>
        </w:tc>
      </w:tr>
      <w:tr>
        <w:trPr>
          <w:trHeight w:val="234"/>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Pretax</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Net of Tax</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Amounts</w:t>
            </w:r>
            <w:r>
              <w:rPr>
                <w:rFonts w:ascii="Times New Roman" w:cs="Times New Roman" w:eastAsia="Times New Roman" w:hAnsi="Times New Roman"/>
                <w:sz w:val="8"/>
                <w:szCs w:val="8"/>
                <w:color w:val="auto"/>
              </w:rPr>
              <w:t>(1)</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Pretax</w:t>
            </w: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Net of Tax</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Amounts</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income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7,469</w:t>
            </w:r>
          </w:p>
        </w:tc>
        <w:tc>
          <w:tcPr>
            <w:tcW w:w="120" w:type="dxa"/>
            <w:vAlign w:val="bottom"/>
            <w:shd w:val="clear" w:color="auto" w:fill="CCEEFF"/>
          </w:tcPr>
          <w:p>
            <w:pPr>
              <w:spacing w:after="0"/>
              <w:rPr>
                <w:sz w:val="18"/>
                <w:szCs w:val="18"/>
                <w:color w:val="auto"/>
              </w:rPr>
            </w:pPr>
          </w:p>
        </w:tc>
        <w:tc>
          <w:tcPr>
            <w:tcW w:w="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Special charges: Litigation costs</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income</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08"/>
        </w:trPr>
        <w:tc>
          <w:tcPr>
            <w:tcW w:w="3520" w:type="dxa"/>
            <w:vAlign w:val="bottom"/>
          </w:tcPr>
          <w:p>
            <w:pPr>
              <w:spacing w:after="0"/>
              <w:rPr>
                <w:sz w:val="20"/>
                <w:szCs w:val="20"/>
                <w:color w:val="auto"/>
              </w:rPr>
            </w:pPr>
            <w:r>
              <w:rPr>
                <w:rFonts w:ascii="Times New Roman" w:cs="Times New Roman" w:eastAsia="Times New Roman" w:hAnsi="Times New Roman"/>
                <w:sz w:val="9"/>
                <w:szCs w:val="9"/>
                <w:color w:val="auto"/>
              </w:rPr>
              <w:t xml:space="preserve">(1) </w:t>
            </w:r>
            <w:r>
              <w:rPr>
                <w:rFonts w:ascii="Times New Roman" w:cs="Times New Roman" w:eastAsia="Times New Roman" w:hAnsi="Times New Roman"/>
                <w:sz w:val="18"/>
                <w:szCs w:val="18"/>
                <w:color w:val="auto"/>
              </w:rPr>
              <w:t>Amounts may not foot due to rounding.</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7"/>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8"/>
            <w:vMerge w:val="restart"/>
          </w:tcPr>
          <w:p>
            <w:pPr>
              <w:jc w:val="center"/>
              <w:ind w:left="55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4"/>
        </w:trPr>
        <w:tc>
          <w:tcPr>
            <w:tcW w:w="3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7"/>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8"/>
            <w:vMerge w:val="continue"/>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jc w:val="center"/>
              <w:ind w:right="90"/>
              <w:spacing w:after="0"/>
              <w:rPr>
                <w:sz w:val="20"/>
                <w:szCs w:val="20"/>
                <w:color w:val="auto"/>
              </w:rPr>
            </w:pPr>
            <w:r>
              <w:rPr>
                <w:rFonts w:ascii="Times New Roman" w:cs="Times New Roman" w:eastAsia="Times New Roman" w:hAnsi="Times New Roman"/>
                <w:sz w:val="18"/>
                <w:szCs w:val="18"/>
                <w:color w:val="auto"/>
                <w:w w:val="99"/>
              </w:rPr>
              <w:t>September 30, 2017</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8"/>
          </w:tcPr>
          <w:p>
            <w:pPr>
              <w:jc w:val="center"/>
              <w:ind w:left="550"/>
              <w:spacing w:after="0"/>
              <w:rPr>
                <w:sz w:val="20"/>
                <w:szCs w:val="20"/>
                <w:color w:val="auto"/>
              </w:rPr>
            </w:pPr>
            <w:r>
              <w:rPr>
                <w:rFonts w:ascii="Times New Roman" w:cs="Times New Roman" w:eastAsia="Times New Roman" w:hAnsi="Times New Roman"/>
                <w:sz w:val="18"/>
                <w:szCs w:val="18"/>
                <w:color w:val="auto"/>
                <w:w w:val="99"/>
              </w:rPr>
              <w:t>September 30, 2016</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 Share</w:t>
            </w:r>
          </w:p>
        </w:tc>
        <w:tc>
          <w:tcPr>
            <w:tcW w:w="0" w:type="dxa"/>
            <w:vAlign w:val="bottom"/>
          </w:tcPr>
          <w:p>
            <w:pPr>
              <w:spacing w:after="0"/>
              <w:rPr>
                <w:sz w:val="1"/>
                <w:szCs w:val="1"/>
                <w:color w:val="auto"/>
              </w:rPr>
            </w:pPr>
          </w:p>
        </w:tc>
      </w:tr>
      <w:tr>
        <w:trPr>
          <w:trHeight w:val="234"/>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Pretax</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Net of Tax</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Amounts</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Pretax</w:t>
            </w: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Net of Tax</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Amounts</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income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29,983</w:t>
            </w:r>
          </w:p>
        </w:tc>
        <w:tc>
          <w:tcPr>
            <w:tcW w:w="120" w:type="dxa"/>
            <w:vAlign w:val="bottom"/>
            <w:shd w:val="clear" w:color="auto" w:fill="CCEEFF"/>
          </w:tcPr>
          <w:p>
            <w:pPr>
              <w:spacing w:after="0"/>
              <w:rPr>
                <w:sz w:val="18"/>
                <w:szCs w:val="18"/>
                <w:color w:val="auto"/>
              </w:rPr>
            </w:pPr>
          </w:p>
        </w:tc>
        <w:tc>
          <w:tcPr>
            <w:tcW w:w="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Special charges: Litigation costs</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7"/>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income</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446"/>
        </w:trPr>
        <w:tc>
          <w:tcPr>
            <w:tcW w:w="68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reconciliation of long-term debt, net to net debt as of September 30, 2017 is as follows: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3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35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center"/>
              <w:ind w:left="10"/>
              <w:spacing w:after="0"/>
              <w:rPr>
                <w:sz w:val="20"/>
                <w:szCs w:val="20"/>
                <w:color w:val="auto"/>
              </w:rPr>
            </w:pPr>
            <w:r>
              <w:rPr>
                <w:rFonts w:ascii="Times New Roman" w:cs="Times New Roman" w:eastAsia="Times New Roman" w:hAnsi="Times New Roman"/>
                <w:sz w:val="18"/>
                <w:szCs w:val="18"/>
                <w:color w:val="auto"/>
                <w:w w:val="99"/>
              </w:rPr>
              <w:t>September 30, 2017</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gridSpan w:val="3"/>
            <w:shd w:val="clear" w:color="auto" w:fill="CCEEFF"/>
          </w:tcPr>
          <w:p>
            <w:pPr>
              <w:spacing w:after="0"/>
              <w:rPr>
                <w:sz w:val="18"/>
                <w:szCs w:val="18"/>
                <w:color w:val="auto"/>
              </w:rPr>
            </w:pPr>
          </w:p>
        </w:tc>
        <w:tc>
          <w:tcPr>
            <w:tcW w:w="90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0" w:type="dxa"/>
            <w:vAlign w:val="bottom"/>
          </w:tcPr>
          <w:p>
            <w:pPr>
              <w:spacing w:after="0"/>
              <w:rPr>
                <w:sz w:val="1"/>
                <w:szCs w:val="1"/>
                <w:color w:val="auto"/>
              </w:rPr>
            </w:pPr>
          </w:p>
        </w:tc>
      </w:tr>
      <w:tr>
        <w:trPr>
          <w:trHeight w:val="217"/>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Net Debt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750"/>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the three months ended September 30, 2017 to the three months ended September 30, 2016</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4"/>
        </w:trPr>
        <w:tc>
          <w:tcPr>
            <w:tcW w:w="4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24"/>
                <w:szCs w:val="24"/>
                <w:color w:val="auto"/>
              </w:rPr>
            </w:pPr>
          </w:p>
        </w:tc>
        <w:tc>
          <w:tcPr>
            <w:tcW w:w="1760" w:type="dxa"/>
            <w:vAlign w:val="bottom"/>
            <w:gridSpan w:val="3"/>
          </w:tcPr>
          <w:p>
            <w:pPr>
              <w:jc w:val="right"/>
              <w:ind w:right="715"/>
              <w:spacing w:after="0"/>
              <w:rPr>
                <w:sz w:val="20"/>
                <w:szCs w:val="20"/>
                <w:color w:val="auto"/>
              </w:rPr>
            </w:pPr>
            <w:r>
              <w:rPr>
                <w:rFonts w:ascii="Times New Roman" w:cs="Times New Roman" w:eastAsia="Times New Roman" w:hAnsi="Times New Roman"/>
                <w:sz w:val="18"/>
                <w:szCs w:val="18"/>
                <w:color w:val="auto"/>
              </w:rPr>
              <w:t>% of sales</w:t>
            </w:r>
          </w:p>
        </w:tc>
        <w:tc>
          <w:tcPr>
            <w:tcW w:w="8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4"/>
              </w:rPr>
              <w:t>2016</w:t>
            </w:r>
          </w:p>
        </w:tc>
        <w:tc>
          <w:tcPr>
            <w:tcW w:w="16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of sales</w:t>
            </w:r>
            <w:r>
              <w:rPr>
                <w:rFonts w:ascii="Times New Roman" w:cs="Times New Roman" w:eastAsia="Times New Roman" w:hAnsi="Times New Roman"/>
                <w:sz w:val="8"/>
                <w:szCs w:val="8"/>
                <w:color w:val="auto"/>
              </w:rPr>
              <w:t>(1)</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84,421</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78,559</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27,759</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32.9 %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29.8 %</w:t>
            </w: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56,662</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67.1 %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55,159</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70.2 %</w:t>
            </w:r>
          </w:p>
        </w:tc>
      </w:tr>
      <w:tr>
        <w:trPr>
          <w:trHeight w:val="230"/>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52,285</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61.9 %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47,361</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60.3 %</w:t>
            </w: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9.9 %</w:t>
            </w: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(505)</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8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0.0 %</w:t>
            </w: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7,469</w:t>
            </w: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9.5 %</w:t>
            </w: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(1,468)</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(2,886)</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r>
      <w:tr>
        <w:trPr>
          <w:trHeight w:val="21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2.9 %</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1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5.8 %</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9"/>
                <w:szCs w:val="9"/>
                <w:color w:val="auto"/>
              </w:rPr>
              <w:t xml:space="preserve">(1) </w:t>
            </w:r>
            <w:r>
              <w:rPr>
                <w:rFonts w:ascii="Times New Roman" w:cs="Times New Roman" w:eastAsia="Times New Roman" w:hAnsi="Times New Roman"/>
                <w:sz w:val="18"/>
                <w:szCs w:val="18"/>
                <w:color w:val="auto"/>
              </w:rPr>
              <w:t>Amounts may not foot due to rounding.</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19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for the third quarter of 2017 increased $5.9 million, or 7.5%, over the third quarter of 2016, primarily due to an increase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sales generated by new stores and a comparable store sales increase of 1.1%. Net sales for the 14 new stores open less than twelve months were $5.0 million during the third quarter of 2017. Comparable store sales increased $0.9 million for the third quarter of 2017 due to an increase in the average order value, which was partially offset by modest declines in traffic and conversion rate.</w:t>
      </w:r>
    </w:p>
    <w:p>
      <w:pPr>
        <w:spacing w:after="0" w:line="177"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for the third quarter of 2017 increased $1.5 million, or 2.7%, compared with the third quarter of 2016,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to an increase in net sales. The gross margin rate decreased from 70.2% for the third quarter of 2016 to 67.1% for the third quarter of 2017. The decrease in the gross margin rate was primarily due to promotional pricing and increased demand for opening price point product. Additionally, sales growth of installation and setting materials, which carry a lower gross margin rate, outpaced the sales performance of other product categories.</w:t>
      </w:r>
    </w:p>
    <w:p>
      <w:pPr>
        <w:spacing w:after="0" w:line="18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for the third quarter of 2017 increased $4.9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10.4%, compared with the third quarter of 2016. The increase in selling, general, and administrative expenses was primarily due to an increase in occupancy, compensation, benefit, and advertising costs associated with opening 14 new stores during the period from October 1, 2016 through September 30, 2017. Selling, general, and administrative expenses as a percentage of net sales increased to 61.9% for the third quarter of 2017 compared with 60.3% for the third quarter of 2016. The increase was primarily attributable to an increase in occupancy, compensation, benefit and advertising costs, which outpaced the growth of sales.</w:t>
      </w:r>
    </w:p>
    <w:p>
      <w:pPr>
        <w:spacing w:after="0" w:line="18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include costs of $0.4 million and $0.7 million for the third quarters of 2017 and 2016, respectively, which relate to special charges consisting of litigation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Pre-opening Costs </w:t>
      </w:r>
      <w:r>
        <w:rPr>
          <w:rFonts w:ascii="Times New Roman" w:cs="Times New Roman" w:eastAsia="Times New Roman" w:hAnsi="Times New Roman"/>
          <w:sz w:val="17"/>
          <w:szCs w:val="17"/>
          <w:color w:val="auto"/>
        </w:rPr>
        <w:t>During the third quarters of 2017 and 2016, we incurred pre-opening costs of $0.5 million and $0.2 million, respectively.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was $0.5 million and $0.4 million for the three months ended September 30, 2017 and 2016, respectively.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the average debt balance outstanding was offset by a higher interest rate during the third quarter of 2017.</w:t>
      </w:r>
    </w:p>
    <w:p>
      <w:pPr>
        <w:spacing w:after="0" w:line="203"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Income tax provision decreased $1.4 million for the third quarter of 2017 compared with the third quarter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2016 due to a decrease in income before income taxes during the third quarter of 2017. Our effective tax rate for the three months ended September 30, 2017 and 2016 was 37.6% and 38.6%, respectively.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4000" w:type="dxa"/>
            <w:vAlign w:val="bottom"/>
            <w:gridSpan w:val="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7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1060" w:type="dxa"/>
            <w:vAlign w:val="bottom"/>
          </w:tcPr>
          <w:p>
            <w:pPr>
              <w:spacing w:after="0"/>
              <w:rPr>
                <w:sz w:val="24"/>
                <w:szCs w:val="24"/>
                <w:color w:val="auto"/>
              </w:rPr>
            </w:pPr>
          </w:p>
        </w:tc>
        <w:tc>
          <w:tcPr>
            <w:tcW w:w="802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w w:val="99"/>
              </w:rPr>
              <w:t>Comparison of the nine months ended September 30, 2017 to the nine months ended September 30, 2016</w:t>
            </w:r>
          </w:p>
        </w:tc>
        <w:tc>
          <w:tcPr>
            <w:tcW w:w="1040" w:type="dxa"/>
            <w:vAlign w:val="bottom"/>
          </w:tcPr>
          <w:p>
            <w:pPr>
              <w:spacing w:after="0"/>
              <w:rPr>
                <w:sz w:val="24"/>
                <w:szCs w:val="24"/>
                <w:color w:val="auto"/>
              </w:rPr>
            </w:pPr>
          </w:p>
        </w:tc>
      </w:tr>
      <w:tr>
        <w:trPr>
          <w:trHeight w:val="520"/>
        </w:trPr>
        <w:tc>
          <w:tcPr>
            <w:tcW w:w="10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24"/>
                <w:szCs w:val="24"/>
                <w:color w:val="auto"/>
              </w:rPr>
            </w:pPr>
          </w:p>
        </w:tc>
        <w:tc>
          <w:tcPr>
            <w:tcW w:w="1760" w:type="dxa"/>
            <w:vAlign w:val="bottom"/>
            <w:gridSpan w:val="3"/>
          </w:tcPr>
          <w:p>
            <w:pPr>
              <w:jc w:val="right"/>
              <w:ind w:right="715"/>
              <w:spacing w:after="0"/>
              <w:rPr>
                <w:sz w:val="20"/>
                <w:szCs w:val="20"/>
                <w:color w:val="auto"/>
              </w:rPr>
            </w:pPr>
            <w:r>
              <w:rPr>
                <w:rFonts w:ascii="Times New Roman" w:cs="Times New Roman" w:eastAsia="Times New Roman" w:hAnsi="Times New Roman"/>
                <w:sz w:val="18"/>
                <w:szCs w:val="18"/>
                <w:color w:val="auto"/>
              </w:rPr>
              <w:t>% of sales</w:t>
            </w:r>
          </w:p>
        </w:tc>
        <w:tc>
          <w:tcPr>
            <w:tcW w:w="8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4"/>
              </w:rPr>
              <w:t>2016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of sales</w:t>
            </w:r>
            <w:r>
              <w:rPr>
                <w:rFonts w:ascii="Times New Roman" w:cs="Times New Roman" w:eastAsia="Times New Roman" w:hAnsi="Times New Roman"/>
                <w:sz w:val="8"/>
                <w:szCs w:val="8"/>
                <w:color w:val="auto"/>
              </w:rPr>
              <w:t>(1)</w:t>
            </w:r>
          </w:p>
        </w:tc>
      </w:tr>
      <w:tr>
        <w:trPr>
          <w:trHeight w:val="210"/>
        </w:trPr>
        <w:tc>
          <w:tcPr>
            <w:tcW w:w="40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266,020</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247,543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4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82,265</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30.9 %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73,980</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29.9 %</w:t>
            </w:r>
          </w:p>
        </w:tc>
      </w:tr>
      <w:tr>
        <w:trPr>
          <w:trHeight w:val="210"/>
        </w:trPr>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183,755</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69.1 %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70.1 %</w:t>
            </w:r>
          </w:p>
        </w:tc>
      </w:tr>
      <w:tr>
        <w:trPr>
          <w:trHeight w:val="230"/>
        </w:trPr>
        <w:tc>
          <w:tcPr>
            <w:tcW w:w="4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154,245</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58.0 %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142,300</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57.5 %</w:t>
            </w:r>
          </w:p>
        </w:tc>
      </w:tr>
      <w:tr>
        <w:trPr>
          <w:trHeight w:val="210"/>
        </w:trPr>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29,510</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12.6 %</w:t>
            </w:r>
          </w:p>
        </w:tc>
      </w:tr>
      <w:tr>
        <w:trPr>
          <w:trHeight w:val="230"/>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(1,438)</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8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0.0 %</w:t>
            </w:r>
          </w:p>
        </w:tc>
      </w:tr>
      <w:tr>
        <w:trPr>
          <w:trHeight w:val="210"/>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28,204</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12.1 %</w:t>
            </w:r>
          </w:p>
        </w:tc>
      </w:tr>
      <w:tr>
        <w:trPr>
          <w:trHeight w:val="230"/>
        </w:trPr>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(10,034)</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(11,793)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r>
      <w:tr>
        <w:trPr>
          <w:trHeight w:val="217"/>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18,170</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6.8 %</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18,190</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7.3 %</w:t>
            </w:r>
          </w:p>
        </w:tc>
      </w:tr>
      <w:tr>
        <w:trPr>
          <w:trHeight w:val="216"/>
        </w:trPr>
        <w:tc>
          <w:tcPr>
            <w:tcW w:w="4000" w:type="dxa"/>
            <w:vAlign w:val="bottom"/>
            <w:gridSpan w:val="3"/>
          </w:tcPr>
          <w:p>
            <w:pPr>
              <w:spacing w:after="0"/>
              <w:rPr>
                <w:sz w:val="20"/>
                <w:szCs w:val="20"/>
                <w:color w:val="auto"/>
              </w:rPr>
            </w:pPr>
            <w:r>
              <w:rPr>
                <w:rFonts w:ascii="Times New Roman" w:cs="Times New Roman" w:eastAsia="Times New Roman" w:hAnsi="Times New Roman"/>
                <w:sz w:val="9"/>
                <w:szCs w:val="9"/>
                <w:color w:val="auto"/>
              </w:rPr>
              <w:t xml:space="preserve">(1) </w:t>
            </w:r>
            <w:r>
              <w:rPr>
                <w:rFonts w:ascii="Times New Roman" w:cs="Times New Roman" w:eastAsia="Times New Roman" w:hAnsi="Times New Roman"/>
                <w:sz w:val="18"/>
                <w:szCs w:val="18"/>
                <w:color w:val="auto"/>
              </w:rPr>
              <w:t>Amounts may not foot due to rounding.</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r>
    </w:tbl>
    <w:p>
      <w:pPr>
        <w:spacing w:after="0" w:line="194"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for the nine months ended September 30, 2017 increased $18.5 million, or 7.5%, over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2016. The increase in sales for the nine months ended September 30, 2017 was primarily due to sales generated by stores opened since October 1, 2016, as well as a comparable store sales increase of 2.2%. Net sales for the 14 new stores open less than twelve months were $13.1 million during the nine months ended September 30, 2017. Comparable store sales increased $5.4 million for the nine months ended September 30, 2017 due to modest increases in traffic and average order value partially offset by a modest decline in conversion rate.</w:t>
      </w:r>
    </w:p>
    <w:p>
      <w:pPr>
        <w:spacing w:after="0" w:line="18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for the nine months ended September 30, 2017 increased $10.2 million, or 5.9%, compared with the nine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September 30, 2016 due to the increase in net sales. The gross margin rate decreased from 70.1% during the nine months ended September 30, 2016 to 69.1% during the nine months ended September 30, 2017. The decrease was primarily attributable to promotional pricing, increased demand for opening price point product and increased sales of lower margin installation and setting materials during the third quarter of 2017.</w:t>
      </w:r>
    </w:p>
    <w:p>
      <w:pPr>
        <w:spacing w:after="0" w:line="18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for the nine months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2017 increased $11.9 million, or 8.4%, compared with the nine months ended September 30, 2016. The increase in selling, general, and administrative expenses was primarily due to an increase in occupancy, compensation, benefit, and advertising costs associated with opening 14 new stores during the period from October 1, 2016 through September 30, 2017. Selling, general, and administrative expenses as a percentage of net sales increased to 58.0% for the nine months ended September 30, 2017 compared with 57.5% for the nine months ended September 30, 2016. The increase in selling, general, and administrative expenses as a percentage of net sales was primarily attributable to an increase in occupancy, compensation, benefit, and advertising costs that outpaced the growth of sales.</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include costs of $1.1 million and $1.8 million for the nine months ended September 30, 2017 and 2016, respectively, which relate to special charges consisting of litigation expenses.</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Pre-opening Costs </w:t>
      </w:r>
      <w:r>
        <w:rPr>
          <w:rFonts w:ascii="Times New Roman" w:cs="Times New Roman" w:eastAsia="Times New Roman" w:hAnsi="Times New Roman"/>
          <w:sz w:val="18"/>
          <w:szCs w:val="18"/>
          <w:color w:val="auto"/>
        </w:rPr>
        <w:t>During the nine months ended September 30, 2017 and 2016, we incurred pre-opening costs of $1.3 million and $0.6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respectively.</w:t>
      </w:r>
    </w:p>
    <w:p>
      <w:pPr>
        <w:spacing w:after="0" w:line="15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was $1.4 million for each of the nine months ended September 30, 2017 and 2016. The decrease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average debt balance outstanding was offset by a higher interest rate in 2017.</w:t>
      </w:r>
    </w:p>
    <w:p>
      <w:pPr>
        <w:spacing w:after="0" w:line="15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Our income tax provision decreased $1.8 million for the nine months ended September 30, 2017 compared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nine months ended September 30, 2016 due to a decrease in income before income taxes and our tax rate for the nine months ended September 30, 2017. Our effective tax rate for the nine months ended September 30, 2017 and 2016 was 35.6% and 39.3%, respectively. The decrease in our tax rate was due to increases in excess tax benefits recognized in connection with the exercise of non-qualified stock options and disqualifying dispositions of incentive stock options during the second quarter of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uses of liquidity have been investments in working capital and capital expenditures. Our principal sources of liquidity are</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$12.4 million of cash and cash equivalents at September 30, 2017, our cash flow from operations, and borrowings available under our credit facility. We expect to use this liquidity for opening new stores, purchasing additional merchandise inventory, maintaining our existing stores, reducing outstanding debt, paying dividends to our shareholders and general corporate purposes.</w:t>
      </w:r>
    </w:p>
    <w:p>
      <w:pPr>
        <w:spacing w:after="0" w:line="18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June 2, 2015, we, and our operating subsidiary, The Tile Shop, LLC, entered into a credit agreement with Fifth Third Bank, Bank of America, N.A., and Huntington National Bank (as subsequently amended, the “Credit Agreement”). On December 9, 2016, the Credit Agreement was amended to permit an additional New Markets Tax Credit Financing arrangement and on February 10, 2017, the Credit Agreement was amended to permit us to make certain dividend payments. The Credit Agreement again was amended on July 17, 2017 to adjust the consolidated fixed charge coverage ratio from 2.00:1.00 to 1.50:1.00 to provide greater flexibility in declaring and making dividend payments or other distributions to stockholders. The Credit Agreement provides us with a $125.0 million senior secured credit facility, comprised of a five-year $50.0 million term loan and a $75.0 million revolving line of credit. The Credit Agreement is secured by virtually all of our assets, including but not limited to inventory, receivables, equipment and real property. Borrowings pursuant to the Credit Agreement bear interest at either a base rate or a LIBOR-based rate, at our option. The LIBOR-based rate will range from LIBOR plus 1.50% to 2.00%, depending on our leverage ratio. The base rate is equal to the greatest of: (a) the Federal funds rate plus 0.50%, (b) the Fifth Third Bank “prime rate,” and (c) the Eurodollar rate plus 1.00%, in each case plus 0.50% to 1.00% depending on our leverage ratio. At September 30, 2017 the base interest rate was 4.75% and the LIBOR-based interest rate was 2.73%. Borrowings outstanding consisted of $13.2 million on the term loan and no outstanding balance on the revolving line of credit as of September 30, 2017. There was $75.0 million available for borrowing on the revolving line of credit as of September 30, 2017. We can elect to prepay the term loan without incurring a penalty. To the extent we have an outstanding balance on our term loan, the credit agreement requires quarterly principal payments as follows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880" w:type="dxa"/>
            <w:vAlign w:val="bottom"/>
          </w:tcPr>
          <w:p>
            <w:pPr>
              <w:spacing w:after="0"/>
              <w:rPr>
                <w:sz w:val="20"/>
                <w:szCs w:val="20"/>
                <w:color w:val="auto"/>
              </w:rPr>
            </w:pPr>
          </w:p>
        </w:tc>
      </w:tr>
      <w:tr>
        <w:trPr>
          <w:trHeight w:val="23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2017 to June 30, 2018</w:t>
            </w:r>
          </w:p>
        </w:tc>
        <w:tc>
          <w:tcPr>
            <w:tcW w:w="3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2018 to March 31, 2020</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bl>
    <w:p>
      <w:pPr>
        <w:spacing w:after="0" w:line="193"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The Credit Agreement contains customary events of default, conditions to borrowings, and restrictive covenants, including restrictions on our ability to dispose of assets, make acquisitions, incur additional debt, incur liens, make investments, or enter into transactions with affiliates on other than terms that could be obtained in an arm’s length transaction. The Credit Agreement also includes financial and other covenants, including covenants to maintain certain fixed charge coverage ratios and rent adjusted leverage ratios. We were in compliance with the covenants as of September 30, 2017. We intend to make principal payments due in future periods using cash from operations.</w:t>
      </w:r>
    </w:p>
    <w:p>
      <w:pPr>
        <w:spacing w:after="0" w:line="16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have standby letters of credit outstanding related to our workers compensation and medical insurance policies. As of September 30, 2017 and 2016, the standby letters of credit totaled $1.1 million.</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believe that our cash flow from operations, together with our existing cash and cash equivalents, and borrowings available under our credit facility, will be sufficient to fund our operations and anticipated capital expenditures over at least the next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Capital expenditures were $28.0 million and $19.6 million for the nine months ended September 30, 2017 and 2016, respectively. The increase in capital expenditures is primarily due to the accelerated pace of new store openings. We opened 11 and 6 new stores during the nine months ended September 30, 2017 and 2016, respectively. Additionally, we made incremental investments in our distribution facilities and information technology infrastructure. During the first nine months of 2017, capital expenditures included $17.6 million associated with new store build-outs, remodels of existing stores, and merchandising projects, $6.4 million for general corporate purposes, including information technology infrastructure projects, and $4.0 million for distribution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nine months ended September 30, 2017 and 2016.</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0"/>
        </w:trPr>
        <w:tc>
          <w:tcPr>
            <w:tcW w:w="7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34"/>
        </w:trPr>
        <w:tc>
          <w:tcPr>
            <w:tcW w:w="7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10"/>
        </w:trPr>
        <w:tc>
          <w:tcPr>
            <w:tcW w:w="7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r>
      <w:tr>
        <w:trPr>
          <w:trHeight w:val="21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rPr>
              <w:t>49,355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6"/>
              </w:rPr>
              <w:t>50,678</w:t>
            </w:r>
          </w:p>
        </w:tc>
      </w:tr>
      <w:tr>
        <w:trPr>
          <w:trHeight w:val="23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11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(28,031)</w:t>
            </w:r>
          </w:p>
        </w:tc>
        <w:tc>
          <w:tcPr>
            <w:tcW w:w="280" w:type="dxa"/>
            <w:vAlign w:val="bottom"/>
          </w:tcPr>
          <w:p>
            <w:pPr>
              <w:spacing w:after="0"/>
              <w:rPr>
                <w:sz w:val="19"/>
                <w:szCs w:val="19"/>
                <w:color w:val="auto"/>
              </w:rPr>
            </w:pPr>
          </w:p>
        </w:tc>
        <w:tc>
          <w:tcPr>
            <w:tcW w:w="9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(19,645)</w:t>
            </w:r>
          </w:p>
        </w:tc>
      </w:tr>
      <w:tr>
        <w:trPr>
          <w:trHeight w:val="23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(14,992)</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(31,518)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Net cash provided by operating activities during the nine months ended September 30, 2017 was $49.4 million compared with $50.7 million during the nine months ended September 30, 2016. The decrease is attributable to payment of the shareholder litigation settlement to an escrow account, which occurred during the nine months ended September 30, 2017, offset by increases in depreciation and amortization.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totaled $28.0 million for the nine months ended September 30, 2017 compared with $19.6 million for the nine months ended September 30, 2016. Net cash used in investing activities in each period was primarily for capital purchases of store fixtures, equipment, building improvements and leasehold improvements for stores opened or remodeled, asset additions in our distribution and manufacturing facilities, information technology infrastructure, and general corporate information technology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$15.0 million for the nine months ended September 30, 2017 compared with $31.5 million for the nine months ended September 30, 2016. Net cash used in financing activities during the nine months ended September 30, 2017 was primarily for the payments of long-term debt and capital lease obligations of $44.7 million and an aggregate of $7.8 million in dividends paid to stockholders, offset by advances on the line of credit of $30.0 million and the release of restricted cash totaling $6.0 million.</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Cash and cash equivalents totaled $12.4 million at September 30, 2017 compared with $6.1 million at December 31, 2016. Working capital was $33.7 million at September 30, 2017 compared with $36.0 million at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September 30, 2017 and December 31, 2016, we did not have any “off-balance sheet arrangements” (as such term is defined in Item 303 of Regulation S-K) that could have a current or future effect on our financial condition, changes in financial condition, net sales or expenses, results of operations, liquidity, capital expenditures or capital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2017, there were no material changes to our contractual obligations outside the ordinary course of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July 2015, the Financial Accounting Standards Board (“FASB”) issued a standard that simplifies the subsequent measurement of inventory. Previously, an entity was required to measure inventory at the lower of cost or market, whereby market can be replacement cost, net realizable value, or net realizable value less an approximately normal profit margin. The changes required that inventory be measured at the lower of cost and net realizable value, thereby eliminating the use of the other two market methodologies. Net realizable value is defined as the estimated selling prices in the ordinary course of business less reasonably predictable costs of completion, disposal, and transportation. The standard was effective for the Company at the beginning of fiscal 2017. The adoption of this new standard did not have a material effect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22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In May 2014, the FASB issued a final standard on revenue from contracts with customers. This new standard introduces a comprehensive revenue recognition model that requires a company to recognize revenue to depict the transfer of goods or services to a customer at an amount that reflects the consideration it expects to receive in exchange for those goods or services. In 2016, the FASB issued several amendments to the standard, including principal versus agent considerations when another party is involved in providing goods or services to a customer, the application of identifying performance obligations, and the recognition of expected breakage amounts either proportionally in earnings as redemptions occur or when redemption is remote. Upon adoption of the standard, the Company expects to present the gross sales returns reserve as a component of other accrued liabilities and establish a return asset that will be classified as a component of other current assets, net in the Consolidated Balance Sheet. Currently, the Company presents its sales returns reserve net of the value of the return assets as a component of other accrued liabilities in the Consolidated Balance Sheet. The Company continues to assess the impact of other aspects of this standard. As the Company finalizes its assessment, the Company will take steps to finalize its accounting policies, establish new processes and controls when warranted, and ensure information is captured to conform with the disclosure requirements outlined under the new standard. The standard is effective for the Company in fiscal 2018 and provides for either full retrospective adoption or modified retrospective adoption by which the cumulative effect of the change is recognized in retained earnings at the date of initial application. The Company has elected to adopt this standard using the modified retrospective approach.</w:t>
      </w:r>
    </w:p>
    <w:p>
      <w:pPr>
        <w:spacing w:after="0" w:line="19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February 2016, the FASB issued a standard that primarily requires organizations that lease assets to recognize the rights and obligations created by those leases on the Consolidated Balance Sheet. The standard is effective in 2019, with early adoption permitted. The Company is currently assessing the effect the new standard will have on its consolidated financial statements.</w:t>
      </w:r>
    </w:p>
    <w:p>
      <w:pPr>
        <w:spacing w:after="0" w:line="176" w:lineRule="exact"/>
        <w:rPr>
          <w:sz w:val="20"/>
          <w:szCs w:val="20"/>
          <w:color w:val="auto"/>
        </w:rPr>
      </w:pPr>
    </w:p>
    <w:p>
      <w:pPr>
        <w:jc w:val="both"/>
        <w:ind w:right="200"/>
        <w:spacing w:after="0" w:line="281" w:lineRule="auto"/>
        <w:rPr>
          <w:sz w:val="20"/>
          <w:szCs w:val="20"/>
          <w:color w:val="auto"/>
        </w:rPr>
      </w:pPr>
      <w:r>
        <w:rPr>
          <w:rFonts w:ascii="Times New Roman" w:cs="Times New Roman" w:eastAsia="Times New Roman" w:hAnsi="Times New Roman"/>
          <w:sz w:val="17"/>
          <w:szCs w:val="17"/>
          <w:color w:val="auto"/>
        </w:rPr>
        <w:t>In August 2016, the FASB issued an accounting standards update with new guidance on how certain cash receipts and cash payments are presented and classified in the statement of cash flows. The amendments in the standards update provide guidance on eight specific cash flow issues. The standards update is effective for the Company in fiscal 2018 and shall be applied to the Company’s financial statements retrospectively. The Company is currently assessing the effect the new standard will have on its consolidated financial statements.</w:t>
      </w:r>
    </w:p>
    <w:p>
      <w:pPr>
        <w:spacing w:after="0" w:line="16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November 2016, the FASB issued new guidance on restricted cash on the statement of cash flows. The new guidance requires the classification and presentation of changes in restricted cash and cash equivalents in the statement of cash flows. Therefore, amounts generally described as restricted cash and restricted cash equivalents should be included with cash and cash equivalents when reconciling the beginning and ending balances shown on the statement of cash flows. The new standard is effective for fiscal year 2018, with early adoption permitted. The guidance should be applied retrospectively after adoption. The Company’s restricted cash balance was $0.9 million as of September 30, 2017. Upon adopting the new standard, the Company anticipates that it will no longer present the release of restricted cash as a financing cash inflow. Instead, restricted cash and long-term restricted cash balances will be included in the beginning and ending cash, cash equivalents and restricted cash balances in the statement of cash flows.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primary risk exposures or management of market risks from those disclosed in our Annual Report Form 10-K for the fiscal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Securities and Exchange Commission, and that information relating to the Company is accumulated and communicated to management, including our principal officers as appropriate to allow timely decisions regarding required disclosure. Our Chief Executive Officer and Chief Financial Officer have evaluated the effectiveness of our disclosure controls and procedures as of September 30, 2017 and have concluded that such disclosure controls and procedures were effective as of the end of the period covered by this Quarterly Report on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No changes to our internal control over financial reporting occurred during the quarter ended September 30, 2017 that have materially affected, or are reasonably likely to materially affect, our internal control over financial reporting (as defined in Rules 13a-15(f) and 15d-15(f) under the Exchange Act).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117" w:right="9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was a defendant in a consolidated class action arising in 2013 alleging it failed to disclose certain related party transactions in the Company’s SEC filings and press releases. In January 2017, the plaintiffs and the Company agreed to settle the lawsuit for $9.5 million. The court approved the settlement and entered an order dismissing the action on June 14, 2017.</w:t>
      </w:r>
    </w:p>
    <w:p>
      <w:pPr>
        <w:spacing w:after="0" w:line="176"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The Company also is a nominal defendant in three actions brought derivatively on behalf of the Company by three shareholders in 2015. The plaintiffs allege that the defendant-directors and/or officer breached their fiduciary duties by failing to adopt adequate internal controls for the Company, by approving false and misleading statements issued by the Company, by causing the Company to violate generally accepted accounting principles and SEC regulations, by engaging in or approving alleged insider trading, and by permitting the Company’s primary product to contain illegal amounts of lead. The complaints also allege claims for insider trading and/or unjust enrichment. The Company moved to dismiss the actions, or in the alternative, to stay the actions. Those motions have not yet been decided.</w:t>
      </w:r>
    </w:p>
    <w:p>
      <w:pPr>
        <w:spacing w:after="0" w:line="17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By letter dated May 19, 2016, a shareholder of the Company demanded that the Board of Directors investigate alleged breaches of fiduciary duty related to the same matters described above and take action against certain present and former officers and directors of the Company. The Board of Directors has appointed a committee of two independent directors to investigate and evaluate the matters raised in the demand letter, and to recommend to the Company’s Board of Directors what actions, if any, should be taken by the Company with respect to the matters raised in the demand letter.</w:t>
      </w:r>
    </w:p>
    <w:p>
      <w:pPr>
        <w:spacing w:after="0" w:line="1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Given the uncertainty of litigation and the current stage of the derivative actions, the Company cannot reasonably estimate the possible loss or range of loss that may result. The Company maintains directors and officers liability insurance policies that may reduce the Company’s exposure, if any. In the event the Company incurs a loss, the Company will pursue recoveries to the maximum extent available under these policies.</w:t>
      </w:r>
    </w:p>
    <w:p>
      <w:pPr>
        <w:spacing w:after="0" w:line="180"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The Company is also, from time to time, subject to claims and disputes arising in the normal course of business. In the opinion of management, while the outcome of such claims and disputes cannot be predicted with certainty, the Company’s ultimate liability in connection with these matters is not expected to have a material adverse effect on the results of operations, financial position, or cash flows.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Annual Report on Form 10-K for the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7" w:right="899" w:bottom="1440" w:gutter="0" w:footer="0" w:header="0"/>
        </w:sectPr>
      </w:pPr>
    </w:p>
    <w:bookmarkStart w:id="24" w:name="page25"/>
    <w:bookmarkEnd w:id="24"/>
    <w:p>
      <w:pPr>
        <w:ind w:left="160"/>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u w:val="single" w:color="auto"/>
          <w:color w:val="auto"/>
        </w:rPr>
        <w:t>Exhibits</w:t>
      </w:r>
    </w:p>
    <w:tbl>
      <w:tblPr>
        <w:tblLayout w:type="fixed"/>
        <w:tblInd w:w="1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00" w:type="dxa"/>
            <w:vAlign w:val="bottom"/>
            <w:gridSpan w:val="2"/>
            <w:shd w:val="clear" w:color="auto" w:fill="CCEEFF"/>
          </w:tcPr>
          <w:p>
            <w:pPr>
              <w:spacing w:after="0" w:line="203"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80" w:type="dxa"/>
            <w:vAlign w:val="bottom"/>
            <w:gridSpan w:val="13"/>
            <w:shd w:val="clear" w:color="auto" w:fill="CCEEFF"/>
          </w:tcPr>
          <w:p>
            <w:pPr>
              <w:spacing w:after="0" w:line="203"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Certificate of Incorporation of Tile Shop Holdings, Inc. (incorporated by reference to Exhibit 3.1 to the Company’s Registration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9200" w:type="dxa"/>
            <w:vAlign w:val="bottom"/>
            <w:tcBorders>
              <w:top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Statement on Form S-4 (Reg. No. 333-182482) filed with the Securities and Exchange Commission on July 2, 2012).</w:t>
              </w:r>
            </w:hyperlink>
          </w:p>
        </w:tc>
        <w:tc>
          <w:tcPr>
            <w:tcW w:w="8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940" w:type="dxa"/>
            <w:vAlign w:val="bottom"/>
            <w:tcBorders>
              <w:top w:val="single" w:sz="8" w:color="0000EE"/>
            </w:tcBorders>
            <w:shd w:val="clear" w:color="auto" w:fill="CCEEFF"/>
          </w:tcPr>
          <w:p>
            <w:pPr>
              <w:spacing w:after="0"/>
              <w:rPr>
                <w:sz w:val="17"/>
                <w:szCs w:val="17"/>
                <w:color w:val="auto"/>
              </w:rPr>
            </w:pPr>
          </w:p>
        </w:tc>
        <w:tc>
          <w:tcPr>
            <w:tcW w:w="1140" w:type="dxa"/>
            <w:vAlign w:val="bottom"/>
            <w:tcBorders>
              <w:top w:val="single" w:sz="8" w:color="0000EE"/>
            </w:tcBorders>
            <w:shd w:val="clear" w:color="auto" w:fill="CCEEFF"/>
          </w:tcPr>
          <w:p>
            <w:pPr>
              <w:spacing w:after="0"/>
              <w:rPr>
                <w:sz w:val="17"/>
                <w:szCs w:val="17"/>
                <w:color w:val="auto"/>
              </w:rPr>
            </w:pPr>
          </w:p>
        </w:tc>
        <w:tc>
          <w:tcPr>
            <w:tcW w:w="20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98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gridSpan w:val="2"/>
          </w:tcPr>
          <w:p>
            <w:pPr>
              <w:spacing w:after="0" w:line="17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80" w:type="dxa"/>
            <w:vAlign w:val="bottom"/>
            <w:gridSpan w:val="13"/>
          </w:tcPr>
          <w:p>
            <w:pPr>
              <w:spacing w:after="0" w:line="17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By-Laws of Tile Shop Holdings, Inc. (incorporated by reference to Exhibit 3.2 to the Company’s Registration Statement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Form S-4 (Reg. No. 333-182482) filed with the Securities and Exchange Commission on July 2, 2012).</w:t>
              </w:r>
            </w:hyperlink>
          </w:p>
        </w:tc>
        <w:tc>
          <w:tcPr>
            <w:tcW w:w="4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4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w w:val="88"/>
              </w:rPr>
            </w:pPr>
            <w:hyperlink r:id="rId39">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1</w:t>
              </w:r>
            </w:hyperlink>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8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Third Amendment to Credit Agreement, dated July 17, 2017, among Tile Shop, LLC, Tile Shop Holdings, Inc., Fifth Third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24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Bank, and other parties named therein (incorporated by reference to Exhibit 10.1 to the Company’s Current Report on Form 8-K</w:t>
              </w:r>
            </w:hyperlink>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8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filed with the Securities and Exchange Commission on July 19, 2017).</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940" w:type="dxa"/>
            <w:vAlign w:val="bottom"/>
            <w:tcBorders>
              <w:top w:val="single" w:sz="8" w:color="0000EE"/>
            </w:tcBorders>
            <w:shd w:val="clear" w:color="auto" w:fill="CCEEFF"/>
          </w:tcPr>
          <w:p>
            <w:pPr>
              <w:spacing w:after="0"/>
              <w:rPr>
                <w:sz w:val="17"/>
                <w:szCs w:val="17"/>
                <w:color w:val="auto"/>
              </w:rPr>
            </w:pPr>
          </w:p>
        </w:tc>
        <w:tc>
          <w:tcPr>
            <w:tcW w:w="1140" w:type="dxa"/>
            <w:vAlign w:val="bottom"/>
            <w:tcBorders>
              <w:top w:val="single" w:sz="8" w:color="0000EE"/>
            </w:tcBorders>
            <w:shd w:val="clear" w:color="auto" w:fill="CCEEFF"/>
          </w:tcPr>
          <w:p>
            <w:pPr>
              <w:spacing w:after="0"/>
              <w:rPr>
                <w:sz w:val="17"/>
                <w:szCs w:val="17"/>
                <w:color w:val="auto"/>
              </w:rPr>
            </w:pPr>
          </w:p>
        </w:tc>
        <w:tc>
          <w:tcPr>
            <w:tcW w:w="20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tcPr>
          <w:p>
            <w:pPr>
              <w:spacing w:after="0" w:line="17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340" w:type="dxa"/>
            <w:vAlign w:val="bottom"/>
          </w:tcPr>
          <w:p>
            <w:pPr>
              <w:spacing w:after="0"/>
              <w:rPr>
                <w:sz w:val="15"/>
                <w:szCs w:val="15"/>
                <w:color w:val="auto"/>
              </w:rPr>
            </w:pPr>
          </w:p>
        </w:tc>
        <w:tc>
          <w:tcPr>
            <w:tcW w:w="9280" w:type="dxa"/>
            <w:vAlign w:val="bottom"/>
            <w:gridSpan w:val="13"/>
          </w:tcPr>
          <w:p>
            <w:pPr>
              <w:spacing w:after="0" w:line="17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Tile Shop Holdings, Inc. Stock Restriction Agreement.</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40" w:type="dxa"/>
            <w:vAlign w:val="bottom"/>
            <w:tcBorders>
              <w:top w:val="single" w:sz="8" w:color="0000EE"/>
            </w:tcBorders>
          </w:tcPr>
          <w:p>
            <w:pPr>
              <w:spacing w:after="0"/>
              <w:rPr>
                <w:sz w:val="17"/>
                <w:szCs w:val="17"/>
                <w:color w:val="auto"/>
              </w:rPr>
            </w:pPr>
          </w:p>
        </w:tc>
        <w:tc>
          <w:tcPr>
            <w:tcW w:w="11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hyperlink>
          </w:p>
        </w:tc>
        <w:tc>
          <w:tcPr>
            <w:tcW w:w="340" w:type="dxa"/>
            <w:vAlign w:val="bottom"/>
            <w:shd w:val="clear" w:color="auto" w:fill="CCEEFF"/>
          </w:tcPr>
          <w:p>
            <w:pPr>
              <w:spacing w:after="0"/>
              <w:rPr>
                <w:sz w:val="15"/>
                <w:szCs w:val="15"/>
                <w:color w:val="auto"/>
              </w:rPr>
            </w:pPr>
          </w:p>
        </w:tc>
        <w:tc>
          <w:tcPr>
            <w:tcW w:w="928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Certification of Chief Executive Officer Pursuant to Section 302 of the Sarbanes Oxley Act of 2002.</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940" w:type="dxa"/>
            <w:vAlign w:val="bottom"/>
            <w:tcBorders>
              <w:top w:val="single" w:sz="8" w:color="0000EE"/>
            </w:tcBorders>
            <w:shd w:val="clear" w:color="auto" w:fill="CCEEFF"/>
          </w:tcPr>
          <w:p>
            <w:pPr>
              <w:spacing w:after="0"/>
              <w:rPr>
                <w:sz w:val="17"/>
                <w:szCs w:val="17"/>
                <w:color w:val="auto"/>
              </w:rPr>
            </w:pPr>
          </w:p>
        </w:tc>
        <w:tc>
          <w:tcPr>
            <w:tcW w:w="1140" w:type="dxa"/>
            <w:vAlign w:val="bottom"/>
            <w:tcBorders>
              <w:top w:val="single" w:sz="8" w:color="0000EE"/>
            </w:tcBorders>
            <w:shd w:val="clear" w:color="auto" w:fill="CCEEFF"/>
          </w:tcPr>
          <w:p>
            <w:pPr>
              <w:spacing w:after="0"/>
              <w:rPr>
                <w:sz w:val="17"/>
                <w:szCs w:val="17"/>
                <w:color w:val="auto"/>
              </w:rPr>
            </w:pPr>
          </w:p>
        </w:tc>
        <w:tc>
          <w:tcPr>
            <w:tcW w:w="20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hyperlink>
          </w:p>
        </w:tc>
        <w:tc>
          <w:tcPr>
            <w:tcW w:w="340" w:type="dxa"/>
            <w:vAlign w:val="bottom"/>
          </w:tcPr>
          <w:p>
            <w:pPr>
              <w:spacing w:after="0"/>
              <w:rPr>
                <w:sz w:val="15"/>
                <w:szCs w:val="15"/>
                <w:color w:val="auto"/>
              </w:rPr>
            </w:pPr>
          </w:p>
        </w:tc>
        <w:tc>
          <w:tcPr>
            <w:tcW w:w="9280" w:type="dxa"/>
            <w:vAlign w:val="bottom"/>
            <w:gridSpan w:val="13"/>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Certification of Chief Financial Officer Pursuant to Section 302 of the Sarbanes Oxley Act of 2002.</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4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w w:val="92"/>
              </w:rPr>
            </w:pPr>
            <w:hyperlink w:anchor="page32">
              <w:r>
                <w:rPr>
                  <w:rFonts w:ascii="Times New Roman" w:cs="Times New Roman" w:eastAsia="Times New Roman" w:hAnsi="Times New Roman"/>
                  <w:sz w:val="18"/>
                  <w:szCs w:val="18"/>
                  <w:color w:val="0000EE"/>
                  <w:w w:val="92"/>
                </w:rPr>
                <w:t>32.</w:t>
              </w:r>
              <w:r>
                <w:rPr>
                  <w:rFonts w:ascii="Times New Roman" w:cs="Times New Roman" w:eastAsia="Times New Roman" w:hAnsi="Times New Roman"/>
                  <w:sz w:val="18"/>
                  <w:szCs w:val="18"/>
                  <w:u w:val="single" w:color="auto"/>
                  <w:color w:val="0000EE"/>
                  <w:w w:val="92"/>
                </w:rPr>
                <w:t>1**</w:t>
              </w:r>
            </w:hyperlink>
          </w:p>
        </w:tc>
        <w:tc>
          <w:tcPr>
            <w:tcW w:w="340" w:type="dxa"/>
            <w:vAlign w:val="bottom"/>
            <w:shd w:val="clear" w:color="auto" w:fill="CCEEFF"/>
          </w:tcPr>
          <w:p>
            <w:pPr>
              <w:spacing w:after="0"/>
              <w:rPr>
                <w:sz w:val="15"/>
                <w:szCs w:val="15"/>
                <w:color w:val="auto"/>
              </w:rPr>
            </w:pPr>
          </w:p>
        </w:tc>
        <w:tc>
          <w:tcPr>
            <w:tcW w:w="928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Certifications of Chief Executive Officer Pursuant to Section 906 of the Sarbanes Oxley Act of 2002.</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940" w:type="dxa"/>
            <w:vAlign w:val="bottom"/>
            <w:tcBorders>
              <w:top w:val="single" w:sz="8" w:color="0000EE"/>
            </w:tcBorders>
            <w:shd w:val="clear" w:color="auto" w:fill="CCEEFF"/>
          </w:tcPr>
          <w:p>
            <w:pPr>
              <w:spacing w:after="0"/>
              <w:rPr>
                <w:sz w:val="17"/>
                <w:szCs w:val="17"/>
                <w:color w:val="auto"/>
              </w:rPr>
            </w:pPr>
          </w:p>
        </w:tc>
        <w:tc>
          <w:tcPr>
            <w:tcW w:w="1140" w:type="dxa"/>
            <w:vAlign w:val="bottom"/>
            <w:tcBorders>
              <w:top w:val="single" w:sz="8" w:color="0000EE"/>
            </w:tcBorders>
            <w:shd w:val="clear" w:color="auto" w:fill="CCEEFF"/>
          </w:tcPr>
          <w:p>
            <w:pPr>
              <w:spacing w:after="0"/>
              <w:rPr>
                <w:sz w:val="17"/>
                <w:szCs w:val="17"/>
                <w:color w:val="auto"/>
              </w:rPr>
            </w:pPr>
          </w:p>
        </w:tc>
        <w:tc>
          <w:tcPr>
            <w:tcW w:w="20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vMerge w:val="continue"/>
          </w:tcPr>
          <w:p>
            <w:pPr>
              <w:spacing w:after="0"/>
              <w:rPr>
                <w:sz w:val="15"/>
                <w:szCs w:val="15"/>
                <w:color w:val="auto"/>
              </w:rPr>
            </w:pPr>
          </w:p>
        </w:tc>
        <w:tc>
          <w:tcPr>
            <w:tcW w:w="480" w:type="dxa"/>
            <w:vAlign w:val="bottom"/>
            <w:tcBorders>
              <w:bottom w:val="single" w:sz="8" w:color="0000EE"/>
            </w:tcBorders>
            <w:gridSpan w:val="4"/>
          </w:tcPr>
          <w:p>
            <w:pPr>
              <w:spacing w:after="0" w:line="176" w:lineRule="exact"/>
              <w:rPr>
                <w:rFonts w:ascii="Times New Roman" w:cs="Times New Roman" w:eastAsia="Times New Roman" w:hAnsi="Times New Roman"/>
                <w:sz w:val="18"/>
                <w:szCs w:val="18"/>
                <w:color w:val="0000EE"/>
                <w:w w:val="92"/>
              </w:rPr>
            </w:pPr>
            <w:hyperlink w:anchor="page33">
              <w:r>
                <w:rPr>
                  <w:rFonts w:ascii="Times New Roman" w:cs="Times New Roman" w:eastAsia="Times New Roman" w:hAnsi="Times New Roman"/>
                  <w:sz w:val="18"/>
                  <w:szCs w:val="18"/>
                  <w:color w:val="0000EE"/>
                  <w:w w:val="92"/>
                </w:rPr>
                <w:t>32.</w:t>
              </w:r>
              <w:r>
                <w:rPr>
                  <w:rFonts w:ascii="Times New Roman" w:cs="Times New Roman" w:eastAsia="Times New Roman" w:hAnsi="Times New Roman"/>
                  <w:sz w:val="18"/>
                  <w:szCs w:val="18"/>
                  <w:u w:val="single" w:color="auto"/>
                  <w:color w:val="0000EE"/>
                  <w:w w:val="92"/>
                </w:rPr>
                <w:t>2**</w:t>
              </w:r>
            </w:hyperlink>
          </w:p>
        </w:tc>
        <w:tc>
          <w:tcPr>
            <w:tcW w:w="340" w:type="dxa"/>
            <w:vAlign w:val="bottom"/>
          </w:tcPr>
          <w:p>
            <w:pPr>
              <w:spacing w:after="0"/>
              <w:rPr>
                <w:sz w:val="15"/>
                <w:szCs w:val="15"/>
                <w:color w:val="auto"/>
              </w:rPr>
            </w:pPr>
          </w:p>
        </w:tc>
        <w:tc>
          <w:tcPr>
            <w:tcW w:w="7240" w:type="dxa"/>
            <w:vAlign w:val="bottom"/>
            <w:tcBorders>
              <w:bottom w:val="single" w:sz="8" w:color="0000EE"/>
            </w:tcBorders>
            <w:gridSpan w:val="5"/>
          </w:tcPr>
          <w:p>
            <w:pPr>
              <w:spacing w:after="0" w:line="176" w:lineRule="exact"/>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Certifications of Chief Financial Officer Pursuant to Section 906 of the Sarbanes Oxley Act of 2002.</w:t>
              </w:r>
            </w:hyperlink>
          </w:p>
        </w:tc>
        <w:tc>
          <w:tcPr>
            <w:tcW w:w="204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60"/>
        <w:spacing w:after="0"/>
        <w:tabs>
          <w:tab w:leader="none" w:pos="98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7"/>
          <w:szCs w:val="17"/>
          <w:color w:val="auto"/>
        </w:rPr>
        <w:t>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-119380</wp:posOffset>
            </wp:positionV>
            <wp:extent cx="6423025" cy="248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1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101.SCH* XBRL Taxonomy Extension Schema Document.</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101.CAL*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-119380</wp:posOffset>
            </wp:positionV>
            <wp:extent cx="6423025" cy="248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1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101.DEF* XBRL Taxonomy Extension Definition Linkbase Document.</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101.LAB*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-119380</wp:posOffset>
            </wp:positionV>
            <wp:extent cx="6423025" cy="2489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1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101.PRE* XBRL Taxonomy Extension Presentation Linkbase Document.</w:t>
      </w:r>
    </w:p>
    <w:p>
      <w:pPr>
        <w:spacing w:after="0" w:line="200" w:lineRule="exact"/>
        <w:rPr>
          <w:sz w:val="20"/>
          <w:szCs w:val="20"/>
          <w:color w:val="auto"/>
        </w:rPr>
      </w:pPr>
    </w:p>
    <w:p>
      <w:pPr>
        <w:spacing w:after="0" w:line="201" w:lineRule="exact"/>
        <w:rPr>
          <w:sz w:val="20"/>
          <w:szCs w:val="20"/>
          <w:color w:val="auto"/>
        </w:rPr>
      </w:pPr>
    </w:p>
    <w:p>
      <w:pPr>
        <w:ind w:left="160"/>
        <w:spacing w:after="0"/>
        <w:tabs>
          <w:tab w:leader="none" w:pos="400" w:val="left"/>
        </w:tabs>
        <w:rPr>
          <w:sz w:val="20"/>
          <w:szCs w:val="20"/>
          <w:color w:val="auto"/>
        </w:rPr>
      </w:pPr>
      <w:r>
        <w:rPr>
          <w:rFonts w:ascii="Times New Roman" w:cs="Times New Roman" w:eastAsia="Times New Roman" w:hAnsi="Times New Roman"/>
          <w:sz w:val="18"/>
          <w:szCs w:val="18"/>
          <w:color w:val="auto"/>
        </w:rPr>
        <w:t>*</w:t>
        <w:tab/>
        <w:t>Filed herewith</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73025</wp:posOffset>
            </wp:positionV>
            <wp:extent cx="646557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280"/>
          </w:cols>
          <w:pgMar w:left="740" w:top="117" w:right="8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5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TILE SHOP HOLDINGS, INC.</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26, 2017</w:t>
            </w:r>
          </w:p>
        </w:tc>
        <w:tc>
          <w:tcPr>
            <w:tcW w:w="54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By: /s/ CHRIS R. HOMEISTER</w:t>
            </w:r>
          </w:p>
        </w:tc>
      </w:tr>
      <w:tr>
        <w:trPr>
          <w:trHeight w:val="191"/>
        </w:trPr>
        <w:tc>
          <w:tcPr>
            <w:tcW w:w="34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520" w:type="dxa"/>
            <w:vAlign w:val="bottom"/>
            <w:tcBorders>
              <w:top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Chris R. Homeister</w:t>
            </w:r>
          </w:p>
        </w:tc>
      </w:tr>
      <w:tr>
        <w:trPr>
          <w:trHeight w:val="234"/>
        </w:trPr>
        <w:tc>
          <w:tcPr>
            <w:tcW w:w="34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6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26, 2017</w:t>
            </w:r>
          </w:p>
        </w:tc>
        <w:tc>
          <w:tcPr>
            <w:tcW w:w="54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By: /s/ KIRK L. GEADELMANN</w:t>
            </w:r>
          </w:p>
        </w:tc>
      </w:tr>
      <w:tr>
        <w:trPr>
          <w:trHeight w:val="191"/>
        </w:trPr>
        <w:tc>
          <w:tcPr>
            <w:tcW w:w="34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520" w:type="dxa"/>
            <w:vAlign w:val="bottom"/>
            <w:tcBorders>
              <w:top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Kirk L. Geadelmann</w:t>
            </w:r>
          </w:p>
        </w:tc>
      </w:tr>
      <w:tr>
        <w:trPr>
          <w:trHeight w:val="234"/>
        </w:trPr>
        <w:tc>
          <w:tcPr>
            <w:tcW w:w="34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00"/>
          </w:cols>
          <w:pgMar w:left="900" w:top="117" w:right="99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RESTRICTION AGREEMENT</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This Agreement (the “Agreement”) is made this the [_____] day of [_______], 20[__], by and between Tile Shop</w:t>
      </w:r>
    </w:p>
    <w:p>
      <w:pPr>
        <w:spacing w:after="0" w:line="39" w:lineRule="exact"/>
        <w:rPr>
          <w:sz w:val="20"/>
          <w:szCs w:val="20"/>
          <w:color w:val="auto"/>
        </w:rPr>
      </w:pPr>
    </w:p>
    <w:p>
      <w:pPr>
        <w:jc w:val="both"/>
        <w:ind w:left="100" w:right="99"/>
        <w:spacing w:after="0" w:line="250" w:lineRule="auto"/>
        <w:rPr>
          <w:sz w:val="20"/>
          <w:szCs w:val="20"/>
          <w:color w:val="auto"/>
        </w:rPr>
      </w:pPr>
      <w:r>
        <w:rPr>
          <w:rFonts w:ascii="Times New Roman" w:cs="Times New Roman" w:eastAsia="Times New Roman" w:hAnsi="Times New Roman"/>
          <w:sz w:val="18"/>
          <w:szCs w:val="18"/>
          <w:color w:val="auto"/>
        </w:rPr>
        <w:t>Holdings, Inc. (the “Company”), a Delaware corporation with its principal place of business at 14000 Carlson Parkway, Plymouth, MN 55441 and [______________], an individual having an address at</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[________________________________] (the “Stockholder”). Capitalized terms used but not otherwise defined herein</w:t>
      </w:r>
    </w:p>
    <w:p>
      <w:pPr>
        <w:spacing w:after="0" w:line="9" w:lineRule="exact"/>
        <w:rPr>
          <w:sz w:val="20"/>
          <w:szCs w:val="20"/>
          <w:color w:val="auto"/>
        </w:rPr>
      </w:pPr>
    </w:p>
    <w:p>
      <w:pPr>
        <w:jc w:val="both"/>
        <w:ind w:left="100" w:right="99"/>
        <w:spacing w:after="0" w:line="255" w:lineRule="auto"/>
        <w:rPr>
          <w:sz w:val="20"/>
          <w:szCs w:val="20"/>
          <w:color w:val="auto"/>
        </w:rPr>
      </w:pPr>
      <w:r>
        <w:rPr>
          <w:rFonts w:ascii="Times New Roman" w:cs="Times New Roman" w:eastAsia="Times New Roman" w:hAnsi="Times New Roman"/>
          <w:sz w:val="18"/>
          <w:szCs w:val="18"/>
          <w:color w:val="auto"/>
        </w:rPr>
        <w:t>shall have the meaning ascribed to such terms in the Company’s 2012 Omnibus Award Plan (the “Plan”). To the extent that any term of this Agreement conflicts or is otherwise inconsistent with any term of the Plan, as amended from time to time, the terms of the Plan shall take precedence and supersede any such conflict or inconsistent term contained herein.</w:t>
      </w:r>
    </w:p>
    <w:p>
      <w:pPr>
        <w:spacing w:after="0" w:line="186" w:lineRule="exact"/>
        <w:rPr>
          <w:sz w:val="20"/>
          <w:szCs w:val="20"/>
          <w:color w:val="auto"/>
        </w:rPr>
      </w:pPr>
    </w:p>
    <w:p>
      <w:pPr>
        <w:jc w:val="both"/>
        <w:ind w:left="100" w:right="99" w:firstLine="648"/>
        <w:spacing w:after="0" w:line="282" w:lineRule="auto"/>
        <w:rPr>
          <w:sz w:val="20"/>
          <w:szCs w:val="20"/>
          <w:color w:val="auto"/>
        </w:rPr>
      </w:pPr>
      <w:r>
        <w:rPr>
          <w:rFonts w:ascii="Times New Roman" w:cs="Times New Roman" w:eastAsia="Times New Roman" w:hAnsi="Times New Roman"/>
          <w:sz w:val="18"/>
          <w:szCs w:val="18"/>
          <w:color w:val="auto"/>
        </w:rPr>
        <w:t>WHEREAS, the Stockholder is, on the date hereof, an executive officer, employee, or Director of, or a Consultant to, the Company; and</w:t>
      </w:r>
    </w:p>
    <w:p>
      <w:pPr>
        <w:spacing w:after="0" w:line="162" w:lineRule="exact"/>
        <w:rPr>
          <w:sz w:val="20"/>
          <w:szCs w:val="20"/>
          <w:color w:val="auto"/>
        </w:rPr>
      </w:pPr>
    </w:p>
    <w:p>
      <w:pPr>
        <w:jc w:val="both"/>
        <w:ind w:left="100" w:right="99"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the Plan, the Company wishes to grant a restricted stock award to the Stockholder for [______] shares (the “Shares”) of Common Stock, par value $0.0001 per share, of the Company (the “Common Stock”).</w:t>
      </w:r>
    </w:p>
    <w:p>
      <w:pPr>
        <w:spacing w:after="0" w:line="162" w:lineRule="exact"/>
        <w:rPr>
          <w:sz w:val="20"/>
          <w:szCs w:val="20"/>
          <w:color w:val="auto"/>
        </w:rPr>
      </w:pPr>
    </w:p>
    <w:p>
      <w:pPr>
        <w:jc w:val="both"/>
        <w:ind w:left="100" w:right="99" w:firstLine="648"/>
        <w:spacing w:after="0" w:line="282" w:lineRule="auto"/>
        <w:rPr>
          <w:sz w:val="20"/>
          <w:szCs w:val="20"/>
          <w:color w:val="auto"/>
        </w:rPr>
      </w:pPr>
      <w:r>
        <w:rPr>
          <w:rFonts w:ascii="Times New Roman" w:cs="Times New Roman" w:eastAsia="Times New Roman" w:hAnsi="Times New Roman"/>
          <w:sz w:val="18"/>
          <w:szCs w:val="18"/>
          <w:color w:val="auto"/>
        </w:rPr>
        <w:t>NOW, THEREFORE, for valuable consideration, the receipt and sufficiency of which is hereby acknowledged, the Company and the Stockholder agree as follows:</w:t>
      </w:r>
    </w:p>
    <w:p>
      <w:pPr>
        <w:spacing w:after="0" w:line="162" w:lineRule="exact"/>
        <w:rPr>
          <w:sz w:val="20"/>
          <w:szCs w:val="20"/>
          <w:color w:val="auto"/>
        </w:rPr>
      </w:pPr>
    </w:p>
    <w:p>
      <w:pPr>
        <w:jc w:val="both"/>
        <w:ind w:left="100" w:right="99" w:firstLine="653"/>
        <w:spacing w:after="0" w:line="266" w:lineRule="auto"/>
        <w:tabs>
          <w:tab w:leader="none" w:pos="13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to be Subject to Restriction</w:t>
      </w:r>
      <w:r>
        <w:rPr>
          <w:rFonts w:ascii="Times New Roman" w:cs="Times New Roman" w:eastAsia="Times New Roman" w:hAnsi="Times New Roman"/>
          <w:sz w:val="18"/>
          <w:szCs w:val="18"/>
          <w:color w:val="auto"/>
        </w:rPr>
        <w:t>. The Stockholder agrees that the Shares shall be subject to the risk of forfeiture set forth in Section 2 of this Agreement, to the restrictions on transfers set forth in Section 4 of this Agreement, and to any additional provisions of the Plan applicable to such Shares during the Restriction Period.</w:t>
      </w:r>
    </w:p>
    <w:p>
      <w:pPr>
        <w:spacing w:after="0" w:line="176" w:lineRule="exact"/>
        <w:rPr>
          <w:rFonts w:ascii="Times New Roman" w:cs="Times New Roman" w:eastAsia="Times New Roman" w:hAnsi="Times New Roman"/>
          <w:sz w:val="18"/>
          <w:szCs w:val="18"/>
          <w:color w:val="auto"/>
        </w:rPr>
      </w:pPr>
    </w:p>
    <w:p>
      <w:pPr>
        <w:ind w:left="1340" w:hanging="587"/>
        <w:spacing w:after="0"/>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760" w:right="99" w:firstLine="641"/>
        <w:spacing w:after="0" w:line="261" w:lineRule="auto"/>
        <w:tabs>
          <w:tab w:leader="none" w:pos="207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Shares shall be forfeitable until the risks of forfeiture lapse according to the following schedule: [Vesting schedule to be specified by the Compensation Committee of the Board of Directors. The date and time of day of vesting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process for certification of achievement of performance metrics for vesting should be approved when award is granted and specified in this section.]</w:t>
      </w:r>
    </w:p>
    <w:p>
      <w:pPr>
        <w:spacing w:after="0" w:line="180" w:lineRule="exact"/>
        <w:rPr>
          <w:rFonts w:ascii="Times New Roman" w:cs="Times New Roman" w:eastAsia="Times New Roman" w:hAnsi="Times New Roman"/>
          <w:sz w:val="18"/>
          <w:szCs w:val="18"/>
          <w:color w:val="auto"/>
        </w:rPr>
      </w:pPr>
    </w:p>
    <w:p>
      <w:pPr>
        <w:jc w:val="both"/>
        <w:ind w:left="760" w:right="99" w:firstLine="641"/>
        <w:spacing w:after="0" w:line="266" w:lineRule="auto"/>
        <w:tabs>
          <w:tab w:leader="none" w:pos="207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Stockholder ceases to be an executive officer, employee, or Director of, or a Consultant to, the Company for any reason or no reason, with or without cause, the Stockholder shall immediately forfeit all Shares as to which the risks of forfeiture have not lapsed.</w:t>
      </w:r>
    </w:p>
    <w:p>
      <w:pPr>
        <w:spacing w:after="0" w:line="176" w:lineRule="exact"/>
        <w:rPr>
          <w:rFonts w:ascii="Times New Roman" w:cs="Times New Roman" w:eastAsia="Times New Roman" w:hAnsi="Times New Roman"/>
          <w:sz w:val="18"/>
          <w:szCs w:val="18"/>
          <w:color w:val="auto"/>
        </w:rPr>
      </w:pPr>
    </w:p>
    <w:p>
      <w:pPr>
        <w:jc w:val="both"/>
        <w:ind w:left="760" w:right="99" w:firstLine="641"/>
        <w:spacing w:after="0" w:line="266" w:lineRule="auto"/>
        <w:tabs>
          <w:tab w:leader="none" w:pos="20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2, in the event of a Change of Control during the Restriction Period, the vesting schedule set forth in this Section 2 may be accelerated in whole or in part at the sole discretion of the Committee.</w:t>
      </w:r>
    </w:p>
    <w:p>
      <w:pPr>
        <w:spacing w:after="0" w:line="176" w:lineRule="exact"/>
        <w:rPr>
          <w:rFonts w:ascii="Times New Roman" w:cs="Times New Roman" w:eastAsia="Times New Roman" w:hAnsi="Times New Roman"/>
          <w:sz w:val="18"/>
          <w:szCs w:val="18"/>
          <w:color w:val="auto"/>
        </w:rPr>
      </w:pPr>
    </w:p>
    <w:p>
      <w:pPr>
        <w:jc w:val="both"/>
        <w:ind w:left="100" w:right="99" w:firstLine="653"/>
        <w:spacing w:after="0" w:line="261" w:lineRule="auto"/>
        <w:tabs>
          <w:tab w:leader="none" w:pos="14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xml:space="preserve">. The Stockholder shall have all rights as a stockholder with respect to the Shares subject to forfeiture, including the right to vote,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the Stockholder shall not have the right to receive cash dividends or distributions or any other dividends or distributions specified by the Committee (other than stock dividends or distributions, as contemplated by and subject to Section 7).</w:t>
      </w:r>
    </w:p>
    <w:p>
      <w:pPr>
        <w:spacing w:after="0" w:line="180" w:lineRule="exact"/>
        <w:rPr>
          <w:rFonts w:ascii="Times New Roman" w:cs="Times New Roman" w:eastAsia="Times New Roman" w:hAnsi="Times New Roman"/>
          <w:sz w:val="18"/>
          <w:szCs w:val="18"/>
          <w:color w:val="auto"/>
        </w:rPr>
      </w:pPr>
    </w:p>
    <w:p>
      <w:pPr>
        <w:jc w:val="both"/>
        <w:ind w:left="100" w:right="99" w:firstLine="653"/>
        <w:spacing w:after="0" w:line="266" w:lineRule="auto"/>
        <w:tabs>
          <w:tab w:leader="none" w:pos="160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The Stockholder shall not, until the risks of forfeiture lapse, sell, assign, transfer, pledge, hypothecate or otherwise dispose of, by operation of law or otherwise, any of the Shares, or any interest therein, unless and until such are no longer subject to a risk of forfeiture.</w:t>
      </w:r>
    </w:p>
    <w:p>
      <w:pPr>
        <w:spacing w:after="0" w:line="176" w:lineRule="exact"/>
        <w:rPr>
          <w:rFonts w:ascii="Times New Roman" w:cs="Times New Roman" w:eastAsia="Times New Roman" w:hAnsi="Times New Roman"/>
          <w:sz w:val="18"/>
          <w:szCs w:val="18"/>
          <w:color w:val="auto"/>
        </w:rPr>
      </w:pPr>
    </w:p>
    <w:p>
      <w:pPr>
        <w:jc w:val="both"/>
        <w:ind w:left="100" w:right="99" w:firstLine="653"/>
        <w:spacing w:after="0" w:line="266" w:lineRule="auto"/>
        <w:tabs>
          <w:tab w:leader="none" w:pos="14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Prohibited Transfer</w:t>
      </w:r>
      <w:r>
        <w:rPr>
          <w:rFonts w:ascii="Times New Roman" w:cs="Times New Roman" w:eastAsia="Times New Roman" w:hAnsi="Times New Roman"/>
          <w:sz w:val="18"/>
          <w:szCs w:val="18"/>
          <w:color w:val="auto"/>
        </w:rPr>
        <w:t>. The Company will not be required (a) to transfer on its books any Shares which have been sold or transferred in violation of any of the provisions set forth in this Agreement, or (b) to treat as owner of such Shares, or to pay dividends to, any transferee to whom any such Shares have been so sold or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471170</wp:posOffset>
            </wp:positionV>
            <wp:extent cx="564261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27" w:name="page28"/>
    <w:bookmarkEnd w:id="27"/>
    <w:p>
      <w:pPr>
        <w:jc w:val="both"/>
        <w:ind w:left="100" w:right="99" w:firstLine="653"/>
        <w:spacing w:after="0" w:line="266" w:lineRule="auto"/>
        <w:tabs>
          <w:tab w:leader="none" w:pos="14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Legend</w:t>
      </w:r>
      <w:r>
        <w:rPr>
          <w:rFonts w:ascii="Times New Roman" w:cs="Times New Roman" w:eastAsia="Times New Roman" w:hAnsi="Times New Roman"/>
          <w:sz w:val="18"/>
          <w:szCs w:val="18"/>
          <w:color w:val="auto"/>
        </w:rPr>
        <w:t>. All certificates representing Shares subject to this Agreement shall bear a legend in substantially the following form, in addition to any other legends that may be required under applicable federal or state securities laws:</w:t>
      </w:r>
    </w:p>
    <w:p>
      <w:pPr>
        <w:spacing w:after="0" w:line="176" w:lineRule="exact"/>
        <w:rPr>
          <w:sz w:val="20"/>
          <w:szCs w:val="20"/>
          <w:color w:val="auto"/>
        </w:rPr>
      </w:pPr>
    </w:p>
    <w:p>
      <w:pPr>
        <w:jc w:val="both"/>
        <w:ind w:left="760" w:right="739"/>
        <w:spacing w:after="0" w:line="261" w:lineRule="auto"/>
        <w:rPr>
          <w:sz w:val="20"/>
          <w:szCs w:val="20"/>
          <w:color w:val="auto"/>
        </w:rPr>
      </w:pPr>
      <w:r>
        <w:rPr>
          <w:rFonts w:ascii="Times New Roman" w:cs="Times New Roman" w:eastAsia="Times New Roman" w:hAnsi="Times New Roman"/>
          <w:sz w:val="18"/>
          <w:szCs w:val="18"/>
          <w:color w:val="auto"/>
        </w:rPr>
        <w:t>“The shares represented by this certificate are subject to a risk of forfeiture and restrictions on transfer set forth in a certain Stock Restriction Agreement between the corporation and the registered owner of this certificate, a copy of which is available for inspection at the offices of the Secretary of the corporation.”</w:t>
      </w:r>
    </w:p>
    <w:p>
      <w:pPr>
        <w:spacing w:after="0" w:line="180" w:lineRule="exact"/>
        <w:rPr>
          <w:sz w:val="20"/>
          <w:szCs w:val="20"/>
          <w:color w:val="auto"/>
        </w:rPr>
      </w:pPr>
    </w:p>
    <w:p>
      <w:pPr>
        <w:jc w:val="both"/>
        <w:ind w:left="100" w:right="99" w:firstLine="653"/>
        <w:spacing w:after="0" w:line="256" w:lineRule="auto"/>
        <w:tabs>
          <w:tab w:leader="none" w:pos="14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Stock Splits, Stock Dividends, etc.</w:t>
      </w:r>
      <w:r>
        <w:rPr>
          <w:rFonts w:ascii="Times New Roman" w:cs="Times New Roman" w:eastAsia="Times New Roman" w:hAnsi="Times New Roman"/>
          <w:sz w:val="18"/>
          <w:szCs w:val="18"/>
          <w:color w:val="auto"/>
        </w:rPr>
        <w:t xml:space="preserve"> Subject to the provisions of Section 15 of the Plan, if from time to time until the risks of forfeiture lapse there is any stock split-up, stock dividend, stock distribution or other reclassification of the Common Stock of the Company, any and all new, substituted or additional securities to which the Stockholder is entitled by reason of its ownership of the Shares will be immediately subject to the risks of forfeiture, the restrictions on transfer and the other provisions of this Agreement in the same manner and to the same extent as the Shares.</w:t>
      </w:r>
    </w:p>
    <w:p>
      <w:pPr>
        <w:spacing w:after="0" w:line="187" w:lineRule="exact"/>
        <w:rPr>
          <w:rFonts w:ascii="Times New Roman" w:cs="Times New Roman" w:eastAsia="Times New Roman" w:hAnsi="Times New Roman"/>
          <w:sz w:val="18"/>
          <w:szCs w:val="18"/>
          <w:color w:val="auto"/>
        </w:rPr>
      </w:pPr>
    </w:p>
    <w:p>
      <w:pPr>
        <w:jc w:val="both"/>
        <w:ind w:left="100" w:right="99" w:firstLine="653"/>
        <w:spacing w:after="0" w:line="266" w:lineRule="auto"/>
        <w:tabs>
          <w:tab w:leader="none" w:pos="148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of this Agreement will not affect the validity or enforceability of any other provision of this Agreement and each other provision of this Agreement will be severable and enforceable to the extent permitted by law.</w:t>
      </w:r>
    </w:p>
    <w:p>
      <w:pPr>
        <w:spacing w:after="0" w:line="176" w:lineRule="exact"/>
        <w:rPr>
          <w:rFonts w:ascii="Times New Roman" w:cs="Times New Roman" w:eastAsia="Times New Roman" w:hAnsi="Times New Roman"/>
          <w:sz w:val="18"/>
          <w:szCs w:val="18"/>
          <w:color w:val="auto"/>
        </w:rPr>
      </w:pPr>
    </w:p>
    <w:p>
      <w:pPr>
        <w:jc w:val="both"/>
        <w:ind w:left="100" w:right="99" w:firstLine="653"/>
        <w:spacing w:after="0" w:line="266" w:lineRule="auto"/>
        <w:tabs>
          <w:tab w:leader="none" w:pos="14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is binding upon and shall inure to the benefit of the Company and the Stockholder and their respective heirs, executors, administrators, legal representatives, successors and assigns, as applicable, subject to the restrictions on transfer set forth in Section 4 herein.</w:t>
      </w:r>
    </w:p>
    <w:p>
      <w:pPr>
        <w:spacing w:after="0" w:line="176" w:lineRule="exact"/>
        <w:rPr>
          <w:rFonts w:ascii="Times New Roman" w:cs="Times New Roman" w:eastAsia="Times New Roman" w:hAnsi="Times New Roman"/>
          <w:sz w:val="18"/>
          <w:szCs w:val="18"/>
          <w:color w:val="auto"/>
        </w:rPr>
      </w:pPr>
    </w:p>
    <w:p>
      <w:pPr>
        <w:ind w:left="100" w:right="99" w:firstLine="653"/>
        <w:spacing w:after="0" w:line="282" w:lineRule="auto"/>
        <w:tabs>
          <w:tab w:leader="none" w:pos="159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to Employment</w:t>
      </w:r>
      <w:r>
        <w:rPr>
          <w:rFonts w:ascii="Times New Roman" w:cs="Times New Roman" w:eastAsia="Times New Roman" w:hAnsi="Times New Roman"/>
          <w:sz w:val="18"/>
          <w:szCs w:val="18"/>
          <w:color w:val="auto"/>
        </w:rPr>
        <w:t>. Nothing contained in this Agreement is to be construed as giving the Stockholder any right to be retained, in any position, as an employee of the Company.</w:t>
      </w:r>
    </w:p>
    <w:p>
      <w:pPr>
        <w:spacing w:after="0" w:line="161" w:lineRule="exact"/>
        <w:rPr>
          <w:rFonts w:ascii="Times New Roman" w:cs="Times New Roman" w:eastAsia="Times New Roman" w:hAnsi="Times New Roman"/>
          <w:sz w:val="18"/>
          <w:szCs w:val="18"/>
          <w:color w:val="auto"/>
        </w:rPr>
      </w:pPr>
    </w:p>
    <w:p>
      <w:pPr>
        <w:jc w:val="both"/>
        <w:ind w:left="100" w:right="99" w:firstLine="653"/>
        <w:spacing w:after="0" w:line="261" w:lineRule="auto"/>
        <w:tabs>
          <w:tab w:leader="none" w:pos="13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All notices required or permitted hereunder must be in writing and are deemed effectively given upon personal delivery or upon deposit in the United States Post Office, by registered or certified mail, postage prepaid, addressed to the other party to this Agreement at the address shown above, or at such other address as one party will designate to the other in accordance with this Section 11.</w:t>
      </w:r>
    </w:p>
    <w:p>
      <w:pPr>
        <w:spacing w:after="0" w:line="180" w:lineRule="exact"/>
        <w:rPr>
          <w:rFonts w:ascii="Times New Roman" w:cs="Times New Roman" w:eastAsia="Times New Roman" w:hAnsi="Times New Roman"/>
          <w:sz w:val="18"/>
          <w:szCs w:val="18"/>
          <w:color w:val="auto"/>
        </w:rPr>
      </w:pPr>
    </w:p>
    <w:p>
      <w:pPr>
        <w:jc w:val="both"/>
        <w:ind w:left="100" w:right="99" w:firstLine="653"/>
        <w:spacing w:after="0" w:line="266" w:lineRule="auto"/>
        <w:tabs>
          <w:tab w:leader="none" w:pos="15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Pronouns</w:t>
      </w:r>
      <w:r>
        <w:rPr>
          <w:rFonts w:ascii="Times New Roman" w:cs="Times New Roman" w:eastAsia="Times New Roman" w:hAnsi="Times New Roman"/>
          <w:sz w:val="18"/>
          <w:szCs w:val="18"/>
          <w:color w:val="auto"/>
        </w:rPr>
        <w:t>. Whenever the context may require, any pronouns used in this Agreement are deemed to include the corresponding masculine, feminine or neuter forms, and the singular form of nouns and pronouns are deemed to include the plural, and vice versa.</w:t>
      </w:r>
    </w:p>
    <w:p>
      <w:pPr>
        <w:spacing w:after="0" w:line="176" w:lineRule="exact"/>
        <w:rPr>
          <w:rFonts w:ascii="Times New Roman" w:cs="Times New Roman" w:eastAsia="Times New Roman" w:hAnsi="Times New Roman"/>
          <w:sz w:val="18"/>
          <w:szCs w:val="18"/>
          <w:color w:val="auto"/>
        </w:rPr>
      </w:pPr>
    </w:p>
    <w:p>
      <w:pPr>
        <w:ind w:left="100" w:right="99" w:firstLine="653"/>
        <w:spacing w:after="0" w:line="282" w:lineRule="auto"/>
        <w:tabs>
          <w:tab w:leader="none" w:pos="14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between the parties, and supersedes all prior agreements and understandings, relating to the subject matter of this Agreement.</w:t>
      </w:r>
    </w:p>
    <w:p>
      <w:pPr>
        <w:spacing w:after="0" w:line="161" w:lineRule="exact"/>
        <w:rPr>
          <w:rFonts w:ascii="Times New Roman" w:cs="Times New Roman" w:eastAsia="Times New Roman" w:hAnsi="Times New Roman"/>
          <w:sz w:val="18"/>
          <w:szCs w:val="18"/>
          <w:color w:val="auto"/>
        </w:rPr>
      </w:pPr>
    </w:p>
    <w:p>
      <w:pPr>
        <w:ind w:left="100" w:right="99" w:firstLine="653"/>
        <w:spacing w:after="0" w:line="282" w:lineRule="auto"/>
        <w:tabs>
          <w:tab w:leader="none" w:pos="147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or modified only by a written instrument executed by both the Company and the Stockholder.</w:t>
      </w:r>
    </w:p>
    <w:p>
      <w:pPr>
        <w:spacing w:after="0" w:line="161" w:lineRule="exact"/>
        <w:rPr>
          <w:rFonts w:ascii="Times New Roman" w:cs="Times New Roman" w:eastAsia="Times New Roman" w:hAnsi="Times New Roman"/>
          <w:sz w:val="18"/>
          <w:szCs w:val="18"/>
          <w:color w:val="auto"/>
        </w:rPr>
      </w:pPr>
    </w:p>
    <w:p>
      <w:pPr>
        <w:jc w:val="both"/>
        <w:ind w:left="100" w:right="99" w:firstLine="653"/>
        <w:spacing w:after="0" w:line="261" w:lineRule="auto"/>
        <w:tabs>
          <w:tab w:leader="none" w:pos="14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and enforced in accordance with and governed by the General Corporation Law of the State of Delaware as to matters within the scope thereof, and as to all other matters shall be governed by and construed in accordance with the internal laws of the State of Delaware, without giving effect to the principles of conflicts of laws thereof.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[Next Page is Signature Page]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73025</wp:posOffset>
            </wp:positionV>
            <wp:extent cx="564261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8" w:name="page29"/>
    <w:bookmarkEnd w:id="28"/>
    <w:p>
      <w:pPr>
        <w:ind w:left="10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as of the day and year first above written.</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TILE SHOP HOLDINGS, INC.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25730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STOCKHOLDER</w:t>
      </w:r>
    </w:p>
    <w:p>
      <w:pPr>
        <w:spacing w:after="0" w:line="200" w:lineRule="exact"/>
        <w:rPr>
          <w:sz w:val="20"/>
          <w:szCs w:val="20"/>
          <w:color w:val="auto"/>
        </w:rPr>
      </w:pPr>
    </w:p>
    <w:p>
      <w:pPr>
        <w:spacing w:after="0" w:line="2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27959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73025</wp:posOffset>
            </wp:positionV>
            <wp:extent cx="564261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9" w:name="page30"/>
    <w:bookmarkEnd w:id="29"/>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 Chris R. Homeister, certify that:</w:t>
      </w:r>
    </w:p>
    <w:p>
      <w:pPr>
        <w:spacing w:after="0" w:line="144" w:lineRule="exact"/>
        <w:rPr>
          <w:sz w:val="20"/>
          <w:szCs w:val="20"/>
          <w:color w:val="auto"/>
        </w:rPr>
      </w:pPr>
    </w:p>
    <w:p>
      <w:pPr>
        <w:ind w:left="420" w:hanging="315"/>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Tile Shop Holdings, Inc.;</w:t>
      </w:r>
    </w:p>
    <w:p>
      <w:pPr>
        <w:spacing w:after="0" w:line="144" w:lineRule="exact"/>
        <w:rPr>
          <w:rFonts w:ascii="Times New Roman" w:cs="Times New Roman" w:eastAsia="Times New Roman" w:hAnsi="Times New Roman"/>
          <w:sz w:val="18"/>
          <w:szCs w:val="18"/>
          <w:color w:val="auto"/>
        </w:rPr>
      </w:pPr>
    </w:p>
    <w:p>
      <w:pPr>
        <w:ind w:left="420" w:right="179" w:hanging="315"/>
        <w:spacing w:after="0" w:line="226" w:lineRule="auto"/>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420" w:right="139" w:hanging="315"/>
        <w:spacing w:after="0" w:line="226" w:lineRule="auto"/>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jc w:val="both"/>
        <w:ind w:left="420" w:right="179" w:hanging="315"/>
        <w:spacing w:after="0" w:line="226" w:lineRule="auto"/>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17" w:lineRule="exact"/>
        <w:rPr>
          <w:rFonts w:ascii="Times New Roman" w:cs="Times New Roman" w:eastAsia="Times New Roman" w:hAnsi="Times New Roman"/>
          <w:sz w:val="18"/>
          <w:szCs w:val="18"/>
          <w:color w:val="auto"/>
        </w:rPr>
      </w:pPr>
    </w:p>
    <w:p>
      <w:pPr>
        <w:ind w:left="760" w:right="299" w:hanging="331"/>
        <w:spacing w:after="0" w:line="220" w:lineRule="auto"/>
        <w:tabs>
          <w:tab w:leader="none" w:pos="7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760" w:right="139" w:hanging="331"/>
        <w:spacing w:after="0" w:line="220" w:lineRule="auto"/>
        <w:tabs>
          <w:tab w:leader="none" w:pos="7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jc w:val="both"/>
        <w:ind w:left="760" w:right="139" w:hanging="331"/>
        <w:spacing w:after="0" w:line="226" w:lineRule="auto"/>
        <w:tabs>
          <w:tab w:leader="none" w:pos="7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760" w:right="379" w:hanging="331"/>
        <w:spacing w:after="0" w:line="220" w:lineRule="auto"/>
        <w:tabs>
          <w:tab w:leader="none" w:pos="7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jc w:val="both"/>
        <w:ind w:left="420" w:right="239" w:hanging="315"/>
        <w:spacing w:after="0" w:line="226" w:lineRule="auto"/>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760" w:right="239" w:hanging="331"/>
        <w:spacing w:after="0" w:line="226" w:lineRule="auto"/>
        <w:tabs>
          <w:tab w:leader="none" w:pos="7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760" w:right="179" w:hanging="331"/>
        <w:spacing w:after="0" w:line="237" w:lineRule="auto"/>
        <w:tabs>
          <w:tab w:leader="none" w:pos="7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Dated: October 26, 2017</w:t>
      </w:r>
    </w:p>
    <w:p>
      <w:pPr>
        <w:ind w:left="4800"/>
        <w:spacing w:after="0" w:line="219" w:lineRule="auto"/>
        <w:rPr>
          <w:sz w:val="20"/>
          <w:szCs w:val="20"/>
          <w:color w:val="auto"/>
        </w:rPr>
      </w:pPr>
      <w:r>
        <w:rPr>
          <w:rFonts w:ascii="Times New Roman" w:cs="Times New Roman" w:eastAsia="Times New Roman" w:hAnsi="Times New Roman"/>
          <w:sz w:val="18"/>
          <w:szCs w:val="18"/>
          <w:color w:val="auto"/>
        </w:rPr>
        <w:t>/s/ CHRIS R. HOMEISTER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0</wp:posOffset>
            </wp:positionV>
            <wp:extent cx="19551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4980"/>
        <w:spacing w:after="0" w:line="203" w:lineRule="auto"/>
        <w:rPr>
          <w:sz w:val="20"/>
          <w:szCs w:val="20"/>
          <w:color w:val="auto"/>
        </w:rPr>
      </w:pPr>
      <w:r>
        <w:rPr>
          <w:rFonts w:ascii="Times New Roman" w:cs="Times New Roman" w:eastAsia="Times New Roman" w:hAnsi="Times New Roman"/>
          <w:sz w:val="18"/>
          <w:szCs w:val="18"/>
          <w:color w:val="auto"/>
        </w:rPr>
        <w:t>Chris R. Homeister</w:t>
      </w:r>
    </w:p>
    <w:p>
      <w:pPr>
        <w:spacing w:after="0" w:line="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335280</wp:posOffset>
            </wp:positionV>
            <wp:extent cx="564261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0" w:name="page31"/>
    <w:bookmarkEnd w:id="30"/>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 Kirk L. Geadelmann, certify that:</w:t>
      </w:r>
    </w:p>
    <w:p>
      <w:pPr>
        <w:spacing w:after="0" w:line="144" w:lineRule="exact"/>
        <w:rPr>
          <w:sz w:val="20"/>
          <w:szCs w:val="20"/>
          <w:color w:val="auto"/>
        </w:rPr>
      </w:pPr>
    </w:p>
    <w:p>
      <w:pPr>
        <w:ind w:left="420" w:hanging="315"/>
        <w:spacing w:after="0"/>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Tile Shop Holdings, Inc.;</w:t>
      </w:r>
    </w:p>
    <w:p>
      <w:pPr>
        <w:spacing w:after="0" w:line="144" w:lineRule="exact"/>
        <w:rPr>
          <w:rFonts w:ascii="Times New Roman" w:cs="Times New Roman" w:eastAsia="Times New Roman" w:hAnsi="Times New Roman"/>
          <w:sz w:val="18"/>
          <w:szCs w:val="18"/>
          <w:color w:val="auto"/>
        </w:rPr>
      </w:pPr>
    </w:p>
    <w:p>
      <w:pPr>
        <w:ind w:left="420" w:right="179" w:hanging="315"/>
        <w:spacing w:after="0" w:line="226" w:lineRule="auto"/>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420" w:right="139" w:hanging="315"/>
        <w:spacing w:after="0" w:line="226" w:lineRule="auto"/>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jc w:val="both"/>
        <w:ind w:left="420" w:right="179" w:hanging="315"/>
        <w:spacing w:after="0" w:line="226" w:lineRule="auto"/>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17" w:lineRule="exact"/>
        <w:rPr>
          <w:rFonts w:ascii="Times New Roman" w:cs="Times New Roman" w:eastAsia="Times New Roman" w:hAnsi="Times New Roman"/>
          <w:sz w:val="18"/>
          <w:szCs w:val="18"/>
          <w:color w:val="auto"/>
        </w:rPr>
      </w:pPr>
    </w:p>
    <w:p>
      <w:pPr>
        <w:ind w:left="760" w:right="299" w:hanging="331"/>
        <w:spacing w:after="0" w:line="220" w:lineRule="auto"/>
        <w:tabs>
          <w:tab w:leader="none" w:pos="7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760" w:right="139" w:hanging="331"/>
        <w:spacing w:after="0" w:line="220" w:lineRule="auto"/>
        <w:tabs>
          <w:tab w:leader="none" w:pos="7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jc w:val="both"/>
        <w:ind w:left="760" w:right="139" w:hanging="331"/>
        <w:spacing w:after="0" w:line="226" w:lineRule="auto"/>
        <w:tabs>
          <w:tab w:leader="none" w:pos="7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760" w:right="379" w:hanging="331"/>
        <w:spacing w:after="0" w:line="220" w:lineRule="auto"/>
        <w:tabs>
          <w:tab w:leader="none" w:pos="7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jc w:val="both"/>
        <w:ind w:left="420" w:right="239" w:hanging="315"/>
        <w:spacing w:after="0" w:line="226" w:lineRule="auto"/>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760" w:right="239" w:hanging="331"/>
        <w:spacing w:after="0" w:line="226" w:lineRule="auto"/>
        <w:tabs>
          <w:tab w:leader="none" w:pos="7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760" w:right="179" w:hanging="331"/>
        <w:spacing w:after="0" w:line="237" w:lineRule="auto"/>
        <w:tabs>
          <w:tab w:leader="none" w:pos="7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Dated: October 26, 2017</w:t>
      </w:r>
    </w:p>
    <w:p>
      <w:pPr>
        <w:ind w:left="4800"/>
        <w:spacing w:after="0" w:line="219" w:lineRule="auto"/>
        <w:rPr>
          <w:sz w:val="20"/>
          <w:szCs w:val="20"/>
          <w:color w:val="auto"/>
        </w:rPr>
      </w:pPr>
      <w:r>
        <w:rPr>
          <w:rFonts w:ascii="Times New Roman" w:cs="Times New Roman" w:eastAsia="Times New Roman" w:hAnsi="Times New Roman"/>
          <w:sz w:val="18"/>
          <w:szCs w:val="18"/>
          <w:color w:val="auto"/>
        </w:rPr>
        <w:t>/s/ KIRK L.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0</wp:posOffset>
            </wp:positionV>
            <wp:extent cx="19551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4980"/>
        <w:spacing w:after="0" w:line="203" w:lineRule="auto"/>
        <w:rPr>
          <w:sz w:val="20"/>
          <w:szCs w:val="20"/>
          <w:color w:val="auto"/>
        </w:rPr>
      </w:pPr>
      <w:r>
        <w:rPr>
          <w:rFonts w:ascii="Times New Roman" w:cs="Times New Roman" w:eastAsia="Times New Roman" w:hAnsi="Times New Roman"/>
          <w:sz w:val="18"/>
          <w:szCs w:val="18"/>
          <w:color w:val="auto"/>
        </w:rPr>
        <w:t>Kirk L. Geadelmann</w:t>
      </w:r>
    </w:p>
    <w:p>
      <w:pPr>
        <w:spacing w:after="0" w:line="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335280</wp:posOffset>
            </wp:positionV>
            <wp:extent cx="564261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1" w:name="page32"/>
    <w:bookmarkEnd w:id="31"/>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48" w:lineRule="exact"/>
        <w:rPr>
          <w:sz w:val="20"/>
          <w:szCs w:val="20"/>
          <w:color w:val="auto"/>
        </w:rPr>
      </w:pPr>
    </w:p>
    <w:p>
      <w:pPr>
        <w:jc w:val="center"/>
        <w:ind w:left="100" w:right="99"/>
        <w:spacing w:after="0" w:line="226"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118" w:lineRule="exact"/>
        <w:rPr>
          <w:sz w:val="20"/>
          <w:szCs w:val="20"/>
          <w:color w:val="auto"/>
        </w:rPr>
      </w:pPr>
    </w:p>
    <w:p>
      <w:pPr>
        <w:ind w:left="100" w:right="99"/>
        <w:spacing w:after="0" w:line="220" w:lineRule="auto"/>
        <w:rPr>
          <w:sz w:val="20"/>
          <w:szCs w:val="20"/>
          <w:color w:val="auto"/>
        </w:rPr>
      </w:pPr>
      <w:r>
        <w:rPr>
          <w:rFonts w:ascii="Times New Roman" w:cs="Times New Roman" w:eastAsia="Times New Roman" w:hAnsi="Times New Roman"/>
          <w:sz w:val="18"/>
          <w:szCs w:val="18"/>
          <w:color w:val="auto"/>
        </w:rPr>
        <w:t>In connection with the Quarterly Report of Tile Shop Holdings, Inc. (the “Company”) on Form 10-Q for the period ending September 30, 2017 as filed with the Securities and Exchange Commission on the date hereof (the “Report”), I, Chris R. Homeister, Chief Executive Officer of the Company, certify, pursuant to 18 U.S.C. Section 1350, as adopted pursuant to Section 906 of the Sarbanes-Oxley Act of 2002, that:</w:t>
      </w:r>
    </w:p>
    <w:p>
      <w:pPr>
        <w:spacing w:after="0" w:line="294" w:lineRule="exact"/>
        <w:rPr>
          <w:sz w:val="20"/>
          <w:szCs w:val="20"/>
          <w:color w:val="auto"/>
        </w:rPr>
      </w:pPr>
    </w:p>
    <w:p>
      <w:pPr>
        <w:ind w:left="760" w:right="459" w:hanging="331"/>
        <w:spacing w:after="0" w:line="237"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60" w:right="559" w:hanging="331"/>
        <w:spacing w:after="0" w:line="237"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CHRIS R. HOMEISTER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0</wp:posOffset>
            </wp:positionV>
            <wp:extent cx="19640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ind w:left="300"/>
        <w:spacing w:after="0" w:line="205" w:lineRule="auto"/>
        <w:rPr>
          <w:sz w:val="20"/>
          <w:szCs w:val="20"/>
          <w:color w:val="auto"/>
        </w:rPr>
      </w:pPr>
      <w:r>
        <w:rPr>
          <w:rFonts w:ascii="Times New Roman" w:cs="Times New Roman" w:eastAsia="Times New Roman" w:hAnsi="Times New Roman"/>
          <w:sz w:val="18"/>
          <w:szCs w:val="18"/>
          <w:color w:val="auto"/>
        </w:rPr>
        <w:t>Chris R. Homeister</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October 26, 2017</w:t>
      </w:r>
    </w:p>
    <w:p>
      <w:pPr>
        <w:spacing w:after="0" w:line="320" w:lineRule="exact"/>
        <w:rPr>
          <w:sz w:val="20"/>
          <w:szCs w:val="20"/>
          <w:color w:val="auto"/>
        </w:rPr>
      </w:pPr>
    </w:p>
    <w:p>
      <w:pPr>
        <w:ind w:left="100" w:right="719"/>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219710</wp:posOffset>
            </wp:positionV>
            <wp:extent cx="564261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2" w:name="page33"/>
    <w:bookmarkEnd w:id="32"/>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48" w:lineRule="exact"/>
        <w:rPr>
          <w:sz w:val="20"/>
          <w:szCs w:val="20"/>
          <w:color w:val="auto"/>
        </w:rPr>
      </w:pPr>
    </w:p>
    <w:p>
      <w:pPr>
        <w:jc w:val="center"/>
        <w:ind w:left="100" w:right="99"/>
        <w:spacing w:after="0" w:line="226"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118" w:lineRule="exact"/>
        <w:rPr>
          <w:sz w:val="20"/>
          <w:szCs w:val="20"/>
          <w:color w:val="auto"/>
        </w:rPr>
      </w:pPr>
    </w:p>
    <w:p>
      <w:pPr>
        <w:ind w:left="100" w:right="99"/>
        <w:spacing w:after="0" w:line="220" w:lineRule="auto"/>
        <w:rPr>
          <w:sz w:val="20"/>
          <w:szCs w:val="20"/>
          <w:color w:val="auto"/>
        </w:rPr>
      </w:pPr>
      <w:r>
        <w:rPr>
          <w:rFonts w:ascii="Times New Roman" w:cs="Times New Roman" w:eastAsia="Times New Roman" w:hAnsi="Times New Roman"/>
          <w:sz w:val="18"/>
          <w:szCs w:val="18"/>
          <w:color w:val="auto"/>
        </w:rPr>
        <w:t>In connection with the Quarterly Report of Tile Shop Holdings, Inc. (the “Company”) on Form 10-Q for the period ending September 30, 2017 as filed with the Securities and Exchange Commission on the date hereof (the “Report”), I, Kirk L. Geadelmann, Chief Financial Officer of the Company, certify, pursuant to 18 U.S.C. Section 1350, as adopted pursuant to Section 906 of the Sarbanes-Oxley Act of 2002, that:</w:t>
      </w:r>
    </w:p>
    <w:p>
      <w:pPr>
        <w:spacing w:after="0" w:line="119" w:lineRule="exact"/>
        <w:rPr>
          <w:sz w:val="20"/>
          <w:szCs w:val="20"/>
          <w:color w:val="auto"/>
        </w:rPr>
      </w:pPr>
    </w:p>
    <w:p>
      <w:pPr>
        <w:ind w:left="760" w:right="459" w:hanging="331"/>
        <w:spacing w:after="0" w:line="237"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60" w:right="559" w:hanging="331"/>
        <w:spacing w:after="0" w:line="237"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KIRK L.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0</wp:posOffset>
            </wp:positionV>
            <wp:extent cx="19640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ind w:left="300"/>
        <w:spacing w:after="0" w:line="205" w:lineRule="auto"/>
        <w:rPr>
          <w:sz w:val="20"/>
          <w:szCs w:val="20"/>
          <w:color w:val="auto"/>
        </w:rPr>
      </w:pPr>
      <w:r>
        <w:rPr>
          <w:rFonts w:ascii="Times New Roman" w:cs="Times New Roman" w:eastAsia="Times New Roman" w:hAnsi="Times New Roman"/>
          <w:sz w:val="18"/>
          <w:szCs w:val="18"/>
          <w:color w:val="auto"/>
        </w:rPr>
        <w:t>Kirk L. Geadelmann</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October 26, 2017</w:t>
      </w:r>
    </w:p>
    <w:p>
      <w:pPr>
        <w:spacing w:after="0" w:line="320" w:lineRule="exact"/>
        <w:rPr>
          <w:sz w:val="20"/>
          <w:szCs w:val="20"/>
          <w:color w:val="auto"/>
        </w:rPr>
      </w:pPr>
    </w:p>
    <w:p>
      <w:pPr>
        <w:ind w:left="100" w:right="719"/>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330835</wp:posOffset>
            </wp:positionV>
            <wp:extent cx="564261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endash "/>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lvl w:ilvl="1">
      <w:lvlJc w:val="left"/>
      <w:lvlText w:val="%2."/>
      <w:numFmt w:val="lowerLetter"/>
      <w:start w:val="1"/>
    </w:lvl>
  </w:abstractNum>
  <w:abstractNum w:abstractNumId="7">
    <w:nsid w:val="216231B"/>
    <w:multiLevelType w:val="hybridMultilevel"/>
    <w:lvl w:ilvl="0">
      <w:lvlJc w:val="left"/>
      <w:lvlText w:val="%1."/>
      <w:numFmt w:val="decimal"/>
      <w:start w:val="6"/>
    </w:lvl>
  </w:abstractNum>
  <w:abstractNum w:abstractNumId="8">
    <w:nsid w:val="1F16E9E8"/>
    <w:multiLevelType w:val="hybridMultilevel"/>
    <w:lvl w:ilvl="0">
      <w:lvlJc w:val="left"/>
      <w:lvlText w:val="%1."/>
      <w:numFmt w:val="decimal"/>
      <w:start w:val="7"/>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37" Type="http://schemas.openxmlformats.org/officeDocument/2006/relationships/hyperlink" Target="http://www.sec.gov/Archives/edgar/data/1552800/000114420412037509/v316486_ex3-1.htm" TargetMode="External"/><Relationship Id="rId38" Type="http://schemas.openxmlformats.org/officeDocument/2006/relationships/hyperlink" Target="http://www.sec.gov/Archives/edgar/data/1552800/000114420412037509/v316486_ex3-2.htm" TargetMode="External"/><Relationship Id="rId39" Type="http://schemas.openxmlformats.org/officeDocument/2006/relationships/hyperlink" Target="http://www.sec.gov/Archives/edgar/data/1552800/000155280017000041/tts-20170719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2019-12-29T04:14:08Z</dcterms:created>
  <dcterms:modified xsi:type="dcterms:W3CDTF">2019-12-29T04:14:08Z</dcterms:modified>
</cp:coreProperties>
</file>