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568960</wp:posOffset>
            </wp:positionH>
            <wp:positionV relativeFrom="page">
              <wp:posOffset>354965</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page">
              <wp:posOffset>568960</wp:posOffset>
            </wp:positionH>
            <wp:positionV relativeFrom="page">
              <wp:posOffset>320675</wp:posOffset>
            </wp:positionV>
            <wp:extent cx="64230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1714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12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ind w:left="4"/>
        <w:spacing w:after="0"/>
        <w:rPr>
          <w:sz w:val="20"/>
          <w:szCs w:val="20"/>
          <w:color w:val="auto"/>
        </w:rPr>
      </w:pPr>
      <w:r>
        <w:rPr>
          <w:rFonts w:ascii="Times New Roman" w:cs="Times New Roman" w:eastAsia="Times New Roman" w:hAnsi="Times New Roman"/>
          <w:sz w:val="18"/>
          <w:szCs w:val="18"/>
          <w:color w:val="auto"/>
        </w:rPr>
        <w:t>(Mark One)</w:t>
      </w:r>
    </w:p>
    <w:p>
      <w:pPr>
        <w:spacing w:after="0" w:line="7"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2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15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3684" w:right="620" w:hanging="3684"/>
        <w:spacing w:after="0" w:line="422" w:lineRule="auto"/>
        <w:tabs>
          <w:tab w:leader="none" w:pos="28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 to –</w:t>
      </w:r>
    </w:p>
    <w:p>
      <w:pPr>
        <w:spacing w:after="0" w:line="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Commission file number: 001-35629</w:t>
      </w:r>
    </w:p>
    <w:p>
      <w:pPr>
        <w:spacing w:after="0" w:line="25"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96"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TILE SHOP HOLDINGS, INC.</w:t>
      </w:r>
    </w:p>
    <w:p>
      <w:pPr>
        <w:spacing w:after="0" w:line="46"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sectPr>
          <w:pgSz w:w="11900" w:h="16838" w:orient="portrait"/>
          <w:cols w:equalWidth="0" w:num="1">
            <w:col w:w="10064"/>
          </w:cols>
          <w:pgMar w:left="896" w:top="698" w:right="939" w:bottom="1440" w:gutter="0" w:footer="0" w:header="0"/>
        </w:sectPr>
      </w:pPr>
    </w:p>
    <w:p>
      <w:pPr>
        <w:spacing w:after="0" w:line="134" w:lineRule="exact"/>
        <w:rPr>
          <w:sz w:val="24"/>
          <w:szCs w:val="24"/>
          <w:color w:val="auto"/>
        </w:rPr>
      </w:pPr>
    </w:p>
    <w:p>
      <w:pPr>
        <w:jc w:val="center"/>
        <w:ind w:right="516"/>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416"/>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45-5538095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2">
            <w:col w:w="5484" w:space="720"/>
            <w:col w:w="3860"/>
          </w:cols>
          <w:pgMar w:left="896" w:top="698" w:right="939" w:bottom="1440" w:gutter="0" w:footer="0" w:header="0"/>
          <w:type w:val="continuous"/>
        </w:sectPr>
      </w:pPr>
    </w:p>
    <w:p>
      <w:pPr>
        <w:spacing w:after="0" w:line="30" w:lineRule="exact"/>
        <w:rPr>
          <w:sz w:val="24"/>
          <w:szCs w:val="24"/>
          <w:color w:val="auto"/>
        </w:rPr>
      </w:pPr>
    </w:p>
    <w:p>
      <w:pPr>
        <w:jc w:val="center"/>
        <w:ind w:right="1376"/>
        <w:spacing w:after="0"/>
        <w:rPr>
          <w:sz w:val="20"/>
          <w:szCs w:val="20"/>
          <w:color w:val="auto"/>
        </w:rPr>
      </w:pPr>
      <w:r>
        <w:rPr>
          <w:rFonts w:ascii="Times New Roman" w:cs="Times New Roman" w:eastAsia="Times New Roman" w:hAnsi="Times New Roman"/>
          <w:sz w:val="18"/>
          <w:szCs w:val="18"/>
          <w:b w:val="1"/>
          <w:bCs w:val="1"/>
          <w:color w:val="auto"/>
        </w:rPr>
        <w:t>14000 Carlson Parkway</w:t>
      </w:r>
    </w:p>
    <w:p>
      <w:pPr>
        <w:spacing w:after="0" w:line="31" w:lineRule="exact"/>
        <w:rPr>
          <w:sz w:val="24"/>
          <w:szCs w:val="24"/>
          <w:color w:val="auto"/>
        </w:rPr>
      </w:pPr>
    </w:p>
    <w:p>
      <w:pPr>
        <w:jc w:val="center"/>
        <w:ind w:right="1416"/>
        <w:spacing w:after="0"/>
        <w:rPr>
          <w:sz w:val="20"/>
          <w:szCs w:val="20"/>
          <w:color w:val="auto"/>
        </w:rPr>
      </w:pPr>
      <w:r>
        <w:rPr>
          <w:rFonts w:ascii="Times New Roman" w:cs="Times New Roman" w:eastAsia="Times New Roman" w:hAnsi="Times New Roman"/>
          <w:sz w:val="18"/>
          <w:szCs w:val="18"/>
          <w:b w:val="1"/>
          <w:bCs w:val="1"/>
          <w:color w:val="auto"/>
        </w:rPr>
        <w:t>Plymouth, Minnesota</w:t>
      </w:r>
    </w:p>
    <w:p>
      <w:pPr>
        <w:spacing w:after="0" w:line="9" w:lineRule="exact"/>
        <w:rPr>
          <w:sz w:val="24"/>
          <w:szCs w:val="24"/>
          <w:color w:val="auto"/>
        </w:rPr>
      </w:pPr>
    </w:p>
    <w:p>
      <w:pPr>
        <w:jc w:val="center"/>
        <w:ind w:right="1456"/>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55441</w:t>
      </w:r>
    </w:p>
    <w:p>
      <w:pPr>
        <w:spacing w:after="0" w:line="3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6444" w:space="720"/>
            <w:col w:w="2900"/>
          </w:cols>
          <w:pgMar w:left="896" w:top="698" w:right="939" w:bottom="1440" w:gutter="0" w:footer="0" w:header="0"/>
          <w:type w:val="continuous"/>
        </w:sectPr>
      </w:pPr>
    </w:p>
    <w:p>
      <w:pPr>
        <w:spacing w:after="0" w:line="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(763) 852-2950</w:t>
      </w:r>
    </w:p>
    <w:p>
      <w:pPr>
        <w:spacing w:after="0" w:line="3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4" w:lineRule="exact"/>
        <w:rPr>
          <w:sz w:val="24"/>
          <w:szCs w:val="24"/>
          <w:color w:val="auto"/>
        </w:rPr>
      </w:pPr>
    </w:p>
    <w:p>
      <w:pPr>
        <w:ind w:left="4024"/>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1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0064"/>
          </w:cols>
          <w:pgMar w:left="896" w:top="698" w:right="939" w:bottom="1440" w:gutter="0" w:footer="0" w:header="0"/>
          <w:type w:val="continuous"/>
        </w:sectPr>
      </w:pPr>
    </w:p>
    <w:p>
      <w:pPr>
        <w:spacing w:after="0" w:line="27" w:lineRule="exact"/>
        <w:rPr>
          <w:sz w:val="24"/>
          <w:szCs w:val="24"/>
          <w:color w:val="auto"/>
        </w:rPr>
      </w:pPr>
    </w:p>
    <w:p>
      <w:pPr>
        <w:jc w:val="center"/>
        <w:ind w:right="56"/>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3" w:lineRule="exact"/>
        <w:rPr>
          <w:sz w:val="24"/>
          <w:szCs w:val="24"/>
          <w:color w:val="auto"/>
        </w:rPr>
      </w:pPr>
    </w:p>
    <w:p>
      <w:pPr>
        <w:jc w:val="center"/>
        <w:ind w:right="56"/>
        <w:spacing w:after="0"/>
        <w:rPr>
          <w:sz w:val="20"/>
          <w:szCs w:val="20"/>
          <w:color w:val="auto"/>
        </w:rPr>
      </w:pPr>
      <w:r>
        <w:rPr>
          <w:rFonts w:ascii="Times New Roman" w:cs="Times New Roman" w:eastAsia="Times New Roman" w:hAnsi="Times New Roman"/>
          <w:sz w:val="17"/>
          <w:szCs w:val="17"/>
          <w:color w:val="auto"/>
        </w:rPr>
        <w:t>Common stock, $0.0001 par value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4"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TTS</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4"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3664" w:space="720"/>
            <w:col w:w="1620" w:space="720"/>
            <w:col w:w="3340"/>
          </w:cols>
          <w:pgMar w:left="896" w:top="698" w:right="939" w:bottom="1440" w:gutter="0" w:footer="0" w:header="0"/>
          <w:type w:val="continuous"/>
        </w:sectPr>
      </w:pPr>
    </w:p>
    <w:p>
      <w:pPr>
        <w:spacing w:after="0" w:line="7" w:lineRule="exact"/>
        <w:rPr>
          <w:sz w:val="24"/>
          <w:szCs w:val="24"/>
          <w:color w:val="auto"/>
        </w:rPr>
      </w:pPr>
    </w:p>
    <w:p>
      <w:pPr>
        <w:ind w:left="4"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1" w:lineRule="exact"/>
        <w:rPr>
          <w:sz w:val="24"/>
          <w:szCs w:val="24"/>
          <w:color w:val="auto"/>
        </w:rPr>
      </w:pPr>
    </w:p>
    <w:p>
      <w:pPr>
        <w:ind w:left="4" w:right="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1" w:lineRule="exact"/>
        <w:rPr>
          <w:sz w:val="24"/>
          <w:szCs w:val="24"/>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4" w:lineRule="exact"/>
        <w:rPr>
          <w:sz w:val="24"/>
          <w:szCs w:val="24"/>
          <w:color w:val="auto"/>
        </w:rPr>
      </w:pPr>
    </w:p>
    <w:tbl>
      <w:tblPr>
        <w:tblLayout w:type="fixed"/>
        <w:tblInd w:w="4"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0" w:lineRule="exact"/>
        <w:rPr>
          <w:sz w:val="24"/>
          <w:szCs w:val="24"/>
          <w:color w:val="auto"/>
        </w:rPr>
      </w:pPr>
    </w:p>
    <w:p>
      <w:pPr>
        <w:ind w:left="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4"/>
        <w:spacing w:after="0" w:line="207" w:lineRule="exact"/>
        <w:tabs>
          <w:tab w:leader="none" w:pos="8843"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2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As of October 28, 2019, there were 50,883,029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6423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664845</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4"/>
          </w:cols>
          <w:pgMar w:left="896" w:top="698" w:right="9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gridSpan w:val="8"/>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TILE SHOP HOLDINGS, INC.</w:t>
            </w:r>
          </w:p>
        </w:tc>
        <w:tc>
          <w:tcPr>
            <w:tcW w:w="2620" w:type="dxa"/>
            <w:vAlign w:val="bottom"/>
          </w:tcPr>
          <w:p>
            <w:pPr>
              <w:spacing w:after="0"/>
              <w:rPr>
                <w:sz w:val="18"/>
                <w:szCs w:val="18"/>
                <w:color w:val="auto"/>
              </w:rPr>
            </w:pPr>
          </w:p>
        </w:tc>
      </w:tr>
      <w:tr>
        <w:trPr>
          <w:trHeight w:val="238"/>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60" w:type="dxa"/>
            <w:vAlign w:val="bottom"/>
            <w:gridSpan w:val="6"/>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620" w:type="dxa"/>
            <w:vAlign w:val="bottom"/>
          </w:tcPr>
          <w:p>
            <w:pPr>
              <w:spacing w:after="0"/>
              <w:rPr>
                <w:sz w:val="20"/>
                <w:szCs w:val="20"/>
                <w:color w:val="auto"/>
              </w:rPr>
            </w:pPr>
          </w:p>
        </w:tc>
      </w:tr>
      <w:tr>
        <w:trPr>
          <w:trHeight w:val="675"/>
        </w:trPr>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120" w:type="dxa"/>
            <w:vAlign w:val="bottom"/>
            <w:shd w:val="clear" w:color="auto" w:fill="CCEEFF"/>
          </w:tcPr>
          <w:p>
            <w:pPr>
              <w:spacing w:after="0"/>
              <w:rPr>
                <w:sz w:val="16"/>
                <w:szCs w:val="16"/>
                <w:color w:val="auto"/>
              </w:rPr>
            </w:pPr>
          </w:p>
        </w:tc>
        <w:tc>
          <w:tcPr>
            <w:tcW w:w="7380" w:type="dxa"/>
            <w:vAlign w:val="bottom"/>
            <w:gridSpan w:val="24"/>
            <w:shd w:val="clear" w:color="auto" w:fill="CCEEFF"/>
          </w:tcPr>
          <w:p>
            <w:pPr>
              <w:spacing w:after="0" w:line="156"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w:t>
              </w:r>
            </w:hyperlink>
          </w:p>
        </w:tc>
        <w:tc>
          <w:tcPr>
            <w:tcW w:w="2620" w:type="dxa"/>
            <w:vAlign w:val="bottom"/>
            <w:shd w:val="clear" w:color="auto" w:fill="CCEEFF"/>
          </w:tcPr>
          <w:p>
            <w:pPr>
              <w:spacing w:after="0"/>
              <w:rPr>
                <w:sz w:val="16"/>
                <w:szCs w:val="16"/>
                <w:color w:val="auto"/>
              </w:rPr>
            </w:pPr>
          </w:p>
        </w:tc>
      </w:tr>
      <w:tr>
        <w:trPr>
          <w:trHeight w:val="176"/>
        </w:trPr>
        <w:tc>
          <w:tcPr>
            <w:tcW w:w="120" w:type="dxa"/>
            <w:vAlign w:val="bottom"/>
            <w:tcBorders>
              <w:top w:val="single" w:sz="8" w:color="CCEEFF"/>
            </w:tcBorders>
          </w:tcPr>
          <w:p>
            <w:pPr>
              <w:spacing w:after="0"/>
              <w:rPr>
                <w:sz w:val="15"/>
                <w:szCs w:val="15"/>
                <w:color w:val="auto"/>
              </w:rPr>
            </w:pPr>
          </w:p>
        </w:tc>
        <w:tc>
          <w:tcPr>
            <w:tcW w:w="760" w:type="dxa"/>
            <w:vAlign w:val="bottom"/>
            <w:tcBorders>
              <w:top w:val="single" w:sz="8" w:color="0000EE"/>
            </w:tcBorders>
            <w:gridSpan w:val="3"/>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2300" w:type="dxa"/>
            <w:vAlign w:val="bottom"/>
            <w:tcBorders>
              <w:top w:val="single" w:sz="8" w:color="0000EE"/>
            </w:tcBorders>
            <w:gridSpan w:val="11"/>
          </w:tcPr>
          <w:p>
            <w:pPr>
              <w:ind w:left="12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4320" w:type="dxa"/>
            <w:vAlign w:val="bottom"/>
            <w:tcBorders>
              <w:top w:val="single" w:sz="8" w:color="CCEEFF"/>
            </w:tcBorders>
            <w:gridSpan w:val="10"/>
          </w:tcPr>
          <w:p>
            <w:pPr>
              <w:spacing w:after="0"/>
              <w:rPr>
                <w:sz w:val="15"/>
                <w:szCs w:val="15"/>
                <w:color w:val="auto"/>
              </w:rPr>
            </w:pPr>
          </w:p>
        </w:tc>
        <w:tc>
          <w:tcPr>
            <w:tcW w:w="26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w:t>
              </w:r>
            </w:hyperlink>
          </w:p>
        </w:tc>
        <w:tc>
          <w:tcPr>
            <w:tcW w:w="2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Income</w:t>
              </w:r>
            </w:hyperlink>
          </w:p>
        </w:tc>
        <w:tc>
          <w:tcPr>
            <w:tcW w:w="2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Comprehensive Income</w:t>
              </w:r>
            </w:hyperlink>
          </w:p>
        </w:tc>
        <w:tc>
          <w:tcPr>
            <w:tcW w:w="2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Stockholders’ Equity (Deficit)</w:t>
              </w:r>
            </w:hyperlink>
          </w:p>
        </w:tc>
        <w:tc>
          <w:tcPr>
            <w:tcW w:w="2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Statements of Cash Flows</w:t>
              </w:r>
            </w:hyperlink>
          </w:p>
        </w:tc>
        <w:tc>
          <w:tcPr>
            <w:tcW w:w="2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20" w:type="dxa"/>
            <w:vAlign w:val="bottom"/>
            <w:gridSpan w:val="21"/>
          </w:tcPr>
          <w:p>
            <w:pPr>
              <w:ind w:left="120"/>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Consolidated Financial Statements</w:t>
              </w:r>
            </w:hyperlink>
          </w:p>
        </w:tc>
        <w:tc>
          <w:tcPr>
            <w:tcW w:w="2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1"/>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Item 2.</w:t>
              </w:r>
            </w:hyperlink>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w:t>
              </w:r>
            </w:hyperlink>
          </w:p>
        </w:tc>
        <w:tc>
          <w:tcPr>
            <w:tcW w:w="2620" w:type="dxa"/>
            <w:vAlign w:val="bottom"/>
            <w:shd w:val="clear" w:color="auto" w:fill="CCEEFF"/>
          </w:tcPr>
          <w:p>
            <w:pPr>
              <w:spacing w:after="0"/>
              <w:rPr>
                <w:sz w:val="15"/>
                <w:szCs w:val="15"/>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20" w:type="dxa"/>
            <w:vAlign w:val="bottom"/>
            <w:gridSpan w:val="21"/>
            <w:shd w:val="clear" w:color="auto" w:fill="CCEEFF"/>
          </w:tcPr>
          <w:p>
            <w:pPr>
              <w:ind w:left="120"/>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Operations</w:t>
              </w:r>
            </w:hyperlink>
          </w:p>
        </w:tc>
        <w:tc>
          <w:tcPr>
            <w:tcW w:w="2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3.</w:t>
              </w:r>
            </w:hyperlink>
          </w:p>
        </w:tc>
        <w:tc>
          <w:tcPr>
            <w:tcW w:w="6620" w:type="dxa"/>
            <w:vAlign w:val="bottom"/>
            <w:gridSpan w:val="21"/>
          </w:tcPr>
          <w:p>
            <w:pPr>
              <w:ind w:left="120"/>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Quantitative and Qualitative Disclosures About Market Risk</w:t>
              </w:r>
            </w:hyperlink>
          </w:p>
        </w:tc>
        <w:tc>
          <w:tcPr>
            <w:tcW w:w="2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4.</w:t>
              </w:r>
            </w:hyperlink>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Controls and Procedures</w:t>
              </w:r>
            </w:hyperlink>
          </w:p>
        </w:tc>
        <w:tc>
          <w:tcPr>
            <w:tcW w:w="2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38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2620" w:type="dxa"/>
            <w:vAlign w:val="bottom"/>
          </w:tcPr>
          <w:p>
            <w:pPr>
              <w:spacing w:after="0"/>
              <w:rPr>
                <w:sz w:val="15"/>
                <w:szCs w:val="15"/>
                <w:color w:val="auto"/>
              </w:rPr>
            </w:pP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1.</w:t>
              </w:r>
            </w:hyperlink>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Legal Proceedings</w:t>
              </w:r>
            </w:hyperlink>
          </w:p>
        </w:tc>
        <w:tc>
          <w:tcPr>
            <w:tcW w:w="2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1A.</w:t>
              </w:r>
            </w:hyperlink>
          </w:p>
        </w:tc>
        <w:tc>
          <w:tcPr>
            <w:tcW w:w="6620" w:type="dxa"/>
            <w:vAlign w:val="bottom"/>
            <w:gridSpan w:val="21"/>
          </w:tcPr>
          <w:p>
            <w:pPr>
              <w:ind w:left="120"/>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Risk Factors</w:t>
              </w:r>
            </w:hyperlink>
          </w:p>
        </w:tc>
        <w:tc>
          <w:tcPr>
            <w:tcW w:w="2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2.</w:t>
              </w:r>
            </w:hyperlink>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Unregistered Sales of Equity Securities and Use of Proceeds</w:t>
              </w:r>
            </w:hyperlink>
          </w:p>
        </w:tc>
        <w:tc>
          <w:tcPr>
            <w:tcW w:w="2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3.</w:t>
              </w:r>
            </w:hyperlink>
          </w:p>
        </w:tc>
        <w:tc>
          <w:tcPr>
            <w:tcW w:w="6620" w:type="dxa"/>
            <w:vAlign w:val="bottom"/>
            <w:gridSpan w:val="21"/>
          </w:tcPr>
          <w:p>
            <w:pPr>
              <w:ind w:left="120"/>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Defaults Upon Senior Securities</w:t>
              </w:r>
            </w:hyperlink>
          </w:p>
        </w:tc>
        <w:tc>
          <w:tcPr>
            <w:tcW w:w="2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4.</w:t>
              </w:r>
            </w:hyperlink>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Mine Safety Disclosures</w:t>
              </w:r>
            </w:hyperlink>
          </w:p>
        </w:tc>
        <w:tc>
          <w:tcPr>
            <w:tcW w:w="2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gridSpan w:val="3"/>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5.</w:t>
              </w:r>
            </w:hyperlink>
          </w:p>
        </w:tc>
        <w:tc>
          <w:tcPr>
            <w:tcW w:w="6620" w:type="dxa"/>
            <w:vAlign w:val="bottom"/>
            <w:gridSpan w:val="21"/>
          </w:tcPr>
          <w:p>
            <w:pPr>
              <w:ind w:left="120"/>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Other Information</w:t>
              </w:r>
            </w:hyperlink>
          </w:p>
        </w:tc>
        <w:tc>
          <w:tcPr>
            <w:tcW w:w="2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r>
      <w:tr>
        <w:trPr>
          <w:trHeight w:val="21"/>
        </w:trPr>
        <w:tc>
          <w:tcPr>
            <w:tcW w:w="1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6.</w:t>
              </w:r>
            </w:hyperlink>
          </w:p>
        </w:tc>
        <w:tc>
          <w:tcPr>
            <w:tcW w:w="6620" w:type="dxa"/>
            <w:vAlign w:val="bottom"/>
            <w:gridSpan w:val="21"/>
            <w:shd w:val="clear" w:color="auto" w:fill="CCEEFF"/>
          </w:tcPr>
          <w:p>
            <w:pPr>
              <w:ind w:left="120"/>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Exhibits</w:t>
              </w:r>
            </w:hyperlink>
          </w:p>
        </w:tc>
        <w:tc>
          <w:tcPr>
            <w:tcW w:w="2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r>
      <w:tr>
        <w:trPr>
          <w:trHeight w:val="21"/>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6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w w:val="97"/>
              </w:rPr>
            </w:pPr>
            <w:hyperlink w:anchor="page30">
              <w:r>
                <w:rPr>
                  <w:rFonts w:ascii="Times New Roman" w:cs="Times New Roman" w:eastAsia="Times New Roman" w:hAnsi="Times New Roman"/>
                  <w:sz w:val="18"/>
                  <w:szCs w:val="18"/>
                  <w:color w:val="0000EE"/>
                  <w:w w:val="97"/>
                </w:rPr>
                <w:t>Signatures</w:t>
              </w:r>
            </w:hyperlink>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September 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(unaudited)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assets, net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137,151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1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412,359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19,855</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liability,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138,489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obligation,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277,680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$0.0001; authorized: 100,000,000 shares; issued and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50,812,054 and 52,707,879 shares, respectively</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par value $0.0001; authorized: 10,000,000 shares; issued and outstanding: 0 shares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412,359</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297,630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160" w:type="dxa"/>
            <w:vAlign w:val="bottom"/>
            <w:gridSpan w:val="7"/>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8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color w:val="auto"/>
                <w:w w:val="99"/>
              </w:rPr>
              <w:t>Consolidated Statements of Income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160" w:type="dxa"/>
            <w:vAlign w:val="bottom"/>
            <w:gridSpan w:val="7"/>
          </w:tcPr>
          <w:p>
            <w:pPr>
              <w:jc w:val="center"/>
              <w:ind w:right="720"/>
              <w:spacing w:after="0"/>
              <w:rPr>
                <w:sz w:val="20"/>
                <w:szCs w:val="20"/>
                <w:color w:val="auto"/>
              </w:rPr>
            </w:pPr>
            <w:r>
              <w:rPr>
                <w:rFonts w:ascii="Times New Roman" w:cs="Times New Roman" w:eastAsia="Times New Roman" w:hAnsi="Times New Roman"/>
                <w:sz w:val="18"/>
                <w:szCs w:val="18"/>
                <w:color w:val="auto"/>
                <w:w w:val="99"/>
              </w:rPr>
              <w:t>(dollars in thousands, except per share data)</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8"/>
              </w:rPr>
              <w:t>(unaudited)</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24"/>
                <w:szCs w:val="24"/>
                <w:color w:val="auto"/>
              </w:rPr>
            </w:pPr>
          </w:p>
        </w:tc>
        <w:tc>
          <w:tcPr>
            <w:tcW w:w="238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238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261,755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79,384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179,314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(715)</w:t>
            </w:r>
          </w:p>
        </w:tc>
        <w:tc>
          <w:tcPr>
            <w:tcW w:w="2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(2,948)</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0" w:type="dxa"/>
            <w:vAlign w:val="bottom"/>
          </w:tcPr>
          <w:p>
            <w:pPr>
              <w:spacing w:after="0"/>
              <w:rPr>
                <w:sz w:val="1"/>
                <w:szCs w:val="1"/>
                <w:color w:val="auto"/>
              </w:rPr>
            </w:pPr>
          </w:p>
        </w:tc>
      </w:tr>
      <w:tr>
        <w:trPr>
          <w:trHeight w:val="217"/>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44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per common share:</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49,769,739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51,920,830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50,901,289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51,896,678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49,769,739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52,303,777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50,901,289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52,056,136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16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08" w:right="8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9"/>
                <w:szCs w:val="19"/>
                <w:color w:val="auto"/>
              </w:rPr>
            </w:pPr>
          </w:p>
        </w:tc>
        <w:tc>
          <w:tcPr>
            <w:tcW w:w="18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20"/>
                <w:szCs w:val="20"/>
                <w:color w:val="auto"/>
              </w:rPr>
            </w:pPr>
          </w:p>
        </w:tc>
        <w:tc>
          <w:tcPr>
            <w:tcW w:w="186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412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11,522</w:t>
            </w: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7"/>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18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11,478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Common stock</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Additional</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40" w:type="dxa"/>
            <w:vAlign w:val="bottom"/>
          </w:tcPr>
          <w:p>
            <w:pPr>
              <w:spacing w:after="0"/>
              <w:rPr>
                <w:sz w:val="12"/>
                <w:szCs w:val="12"/>
                <w:color w:val="auto"/>
              </w:rPr>
            </w:pPr>
          </w:p>
        </w:tc>
        <w:tc>
          <w:tcPr>
            <w:tcW w:w="8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capital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income (loss)</w:t>
            </w: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2018</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52,508,090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176,124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148,790</w:t>
            </w:r>
          </w:p>
        </w:tc>
        <w:tc>
          <w:tcPr>
            <w:tcW w:w="0" w:type="dxa"/>
            <w:vAlign w:val="bottom"/>
          </w:tcPr>
          <w:p>
            <w:pPr>
              <w:spacing w:after="0"/>
              <w:rPr>
                <w:sz w:val="1"/>
                <w:szCs w:val="1"/>
                <w:color w:val="auto"/>
              </w:rPr>
            </w:pPr>
          </w:p>
        </w:tc>
      </w:tr>
      <w:tr>
        <w:trPr>
          <w:trHeight w:val="203"/>
        </w:trPr>
        <w:tc>
          <w:tcPr>
            <w:tcW w:w="33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199,843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center"/>
              <w:ind w:left="351"/>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restricted shares</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(29,349)</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 withholdings related to net share</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of stock based compensation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0" w:type="dxa"/>
            <w:vAlign w:val="bottom"/>
          </w:tcPr>
          <w:p>
            <w:pPr>
              <w:spacing w:after="0"/>
              <w:rPr>
                <w:sz w:val="1"/>
                <w:szCs w:val="1"/>
                <w:color w:val="auto"/>
              </w:rPr>
            </w:pPr>
          </w:p>
        </w:tc>
      </w:tr>
      <w:tr>
        <w:trPr>
          <w:trHeight w:val="217"/>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52,678,584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174,207</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149,390</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50,615,489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157,961</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138,023</w:t>
            </w:r>
          </w:p>
        </w:tc>
        <w:tc>
          <w:tcPr>
            <w:tcW w:w="0" w:type="dxa"/>
            <w:vAlign w:val="bottom"/>
          </w:tcPr>
          <w:p>
            <w:pPr>
              <w:spacing w:after="0"/>
              <w:rPr>
                <w:sz w:val="1"/>
                <w:szCs w:val="1"/>
                <w:color w:val="auto"/>
              </w:rPr>
            </w:pPr>
          </w:p>
        </w:tc>
      </w:tr>
      <w:tr>
        <w:trPr>
          <w:trHeight w:val="203"/>
        </w:trPr>
        <w:tc>
          <w:tcPr>
            <w:tcW w:w="33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309,305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center"/>
              <w:ind w:left="351"/>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restricted shares</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(112,740)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 withholdings related to net share</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of stock based compensation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17"/>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50,812,054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center"/>
              <w:ind w:left="371"/>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156,037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134,679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Common stock</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Additional</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capital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4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income (loss)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52,156,850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Adoption of revenue recognition standard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2018</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52,156,850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595,125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ind w:left="351"/>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restricted shares</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(73,391)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 withholdings related to net share</w:t>
            </w: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of stock based compensation</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52,678,584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174,207</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52,707,879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172,255</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Adoption of lease standard (see Note 1)</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2019</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52,707,879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172,255</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666,753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ind w:left="351"/>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restricted shares</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(255,555)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(2,307,023)</w:t>
            </w: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(10,455)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 withholdings related to net share</w:t>
            </w: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settlements of stock based compensation</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7"/>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50,812,054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center"/>
              <w:ind w:left="35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156,037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 income</w:t>
            </w:r>
          </w:p>
        </w:tc>
        <w:tc>
          <w:tcPr>
            <w:tcW w:w="4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on disposals of property, plant and equipment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Impairment charges on property, plant and equipment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leases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receivable / payable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(22,839)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insurance</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 of long-term debt and financing lease obligations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(43,153)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Advances on line of credit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(7,706)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(10,455)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taxes paid for shares withheld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0" w:type="dxa"/>
            <w:vAlign w:val="bottom"/>
          </w:tcPr>
          <w:p>
            <w:pPr>
              <w:spacing w:after="0"/>
              <w:rPr>
                <w:sz w:val="1"/>
                <w:szCs w:val="1"/>
                <w:color w:val="auto"/>
              </w:rPr>
            </w:pPr>
          </w:p>
        </w:tc>
      </w:tr>
      <w:tr>
        <w:trPr>
          <w:trHeight w:val="217"/>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2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80" w:type="dxa"/>
            <w:vAlign w:val="bottom"/>
          </w:tcPr>
          <w:p>
            <w:pPr>
              <w:spacing w:after="0"/>
              <w:rPr>
                <w:sz w:val="18"/>
                <w:szCs w:val="18"/>
                <w:color w:val="auto"/>
              </w:rPr>
            </w:pP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7"/>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2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 included in accounts payable and accrued expenses</w:t>
            </w:r>
          </w:p>
        </w:tc>
        <w:tc>
          <w:tcPr>
            <w:tcW w:w="4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Tile Shop Holdings, Inc. (“Holdings,” and together with its wholly owned subsidiaries, the “Company”) was incorporated in Delaware in June 2012.</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is a specialty retailer of natural stone and man-made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September 30, 2019, the Company had 140 stores in 31 states and the District of Columbia, with an average size of approximately 20,200 square feet. The Company has distribution centers located in Michigan, New Jersey, Oklahoma, Virginia and Wisconsin. The Company has a sourcing operation located in China.</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nine months ended September 30, 2019 are not necessarily indicative of the results that may be expected for the fiscal year ending December 31, 2019.</w:t>
      </w:r>
    </w:p>
    <w:p>
      <w:pPr>
        <w:spacing w:after="0" w:line="188" w:lineRule="exact"/>
        <w:rPr>
          <w:sz w:val="20"/>
          <w:szCs w:val="20"/>
          <w:color w:val="auto"/>
        </w:rPr>
      </w:pPr>
    </w:p>
    <w:p>
      <w:pPr>
        <w:ind w:right="520"/>
        <w:spacing w:after="0" w:line="289" w:lineRule="auto"/>
        <w:rPr>
          <w:sz w:val="20"/>
          <w:szCs w:val="20"/>
          <w:color w:val="auto"/>
        </w:rPr>
      </w:pPr>
      <w:r>
        <w:rPr>
          <w:rFonts w:ascii="Times New Roman" w:cs="Times New Roman" w:eastAsia="Times New Roman" w:hAnsi="Times New Roman"/>
          <w:sz w:val="17"/>
          <w:szCs w:val="17"/>
          <w:color w:val="auto"/>
        </w:rPr>
        <w:t>These statements should be read in conjunction with the Consolidated Financial Statements and footnotes included in the Company’s Annual Report on Form 10-K for the year ended December 31, 2018. The accounting policies used in preparing these Consolidated Financial Statements are the same as those described in Note 1 to the Consolidated Financial Statements in such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 final standard that primarily requires organizations that lease assets to recognize the rights and obligations created by those leases on the consolidated balance sheet. This standard also requires expanded disclosures to help financial statement users better understand the amount, timing and uncertainty of cash flows arising from leases. The Company adopted this standard effective January 1, 2019 using a modified retrospective approach through a cumulative effect adjustment to retained earnings as of the beginning of the period of adoption.</w:t>
      </w:r>
    </w:p>
    <w:p>
      <w:pPr>
        <w:spacing w:after="0" w:line="1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right of use assets and lease liabilities on the consolidated balance sheets. The right of use assets and lease liabilities are recognized as the present value of the future minimum lease payments over the lease term at commencement date. As most of the leases do not provide an implicit rate, the Company uses its incremental borrowing rate based on the information available at commencement date in determining the present value of future payments. The right of use asset is also adjusted for any lease payments made and excludes lease incentives and initial direct costs incurred. The Company’s lease terms may include options to extend or terminate the lease typically at the Company’s own discretion. The Company regularly evaluates the renewal options and when they are reasonably certain of exercise, the Company includes the renewal period in its lease term.</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standard provides a number of optional practical expedients in transition. The Company elected the package of three practical expedients permitted under the transition guidance within this standard, which among other things, allows the Company to carryforward the historical lease classification. The Company did not separate non-lease components from lease components by class of underlying assets and the Company did not apply the recognition requirements of the standard to short-term leases, as allowed by the standard.</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also elected to apply the hindsight practical expedient. Its election of the hindsight practical expedient resulted in the shortening of lease terms for certain existing leases and the useful lives of corresponding leasehold improvements. In its application of the hindsight practical expedient, the Company considered recent investments in leased properties and its overall real estate strategy, which resulted in the determination that most renewal options would not be reasonably certain in determining the expected lease term.</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Upon adopting this standard, the Company established a right of use asset of $147.2 million and lease liabilities of $169.9 million, reduced deferred rent by $44.6 million, and recorded a cumulative effect adjustment to retained earnings of $22.0 million. This retained earnings impact was due to the election of the hindsight practical expedient which resulted in a decrease in the cumulative difference between the straight-line rent expense and rental payments that had been made between the inception of each lease and January 1, 2019. The change in the useful life assigned to certain leasehold improvements resulted in a $15.3 million reduction in fixed assets and retained earnings. The net impact of the cumulative effect adjustments also resulted in a $1.7 million reduction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deferred tax assets and a corresponding adjustment to retained earnings that was recorded during the nine months ended September 30, 2019. The adoption of this standard did not have a material impact on net income or cash flows during the three and nine months ended September 30, 2019. See Note 8 for further details.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2016, the FASB issued a final standard on accounting for credit losses. The standard is effective for the Company in fiscal year</w:t>
      </w:r>
    </w:p>
    <w:p>
      <w:pPr>
        <w:spacing w:after="0" w:line="27"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color w:val="auto"/>
        </w:rPr>
        <w:t>2020 and requires a change in credit loss calculations using the expected loss method. The Company is evaluating the effect of this standard on its consolidated financial statements and related disclosures.</w:t>
      </w:r>
    </w:p>
    <w:p>
      <w:pPr>
        <w:spacing w:after="0" w:line="1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August 2018, the FASB issued a final standard which provides guidance on the accounting for costs of implementation activities performed in a cloud computing arrangement that is a service contract. The standard requires customers of cloud computing services to recognize an intangible asset for the software license and, to the extent that payments attributable to the software license are made over time, a liability is also recognized. The standard also allows customers of cloud computing services to capitalize certain implementation costs. The standard is effective for fiscal years, and interim periods within those fiscal years, beginning after December 15, 2019. The standard will become effective for the Company at the beginning of its fiscal year 2020, although early adoption is permitted for all entities. The Company is evaluating the effect of the standard on its consolidated financial statements and related disclosures.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product category:</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9"/>
        </w:trPr>
        <w:tc>
          <w:tcPr>
            <w:tcW w:w="5640" w:type="dxa"/>
            <w:vAlign w:val="bottom"/>
          </w:tcPr>
          <w:p>
            <w:pPr>
              <w:spacing w:after="0"/>
              <w:rPr>
                <w:sz w:val="24"/>
                <w:szCs w:val="24"/>
                <w:color w:val="auto"/>
              </w:rPr>
            </w:pPr>
          </w:p>
        </w:tc>
        <w:tc>
          <w:tcPr>
            <w:tcW w:w="2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 the three months ended</w:t>
            </w:r>
          </w:p>
        </w:tc>
        <w:tc>
          <w:tcPr>
            <w:tcW w:w="21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234"/>
        </w:trPr>
        <w:tc>
          <w:tcPr>
            <w:tcW w:w="5640" w:type="dxa"/>
            <w:vAlign w:val="bottom"/>
          </w:tcPr>
          <w:p>
            <w:pPr>
              <w:spacing w:after="0"/>
              <w:rPr>
                <w:sz w:val="20"/>
                <w:szCs w:val="20"/>
                <w:color w:val="auto"/>
              </w:rPr>
            </w:pPr>
          </w:p>
        </w:tc>
        <w:tc>
          <w:tcPr>
            <w:tcW w:w="2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30,</w:t>
            </w:r>
          </w:p>
        </w:tc>
        <w:tc>
          <w:tcPr>
            <w:tcW w:w="216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56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Man-made tiles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Natural stone tiles</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Setting and maintenance materials</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Accessories</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Delivery service</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generates revenues by selling tile products, setting and maintenance materials, accessories, and delivery services to its customers through its store locations. The timing of revenue recognition coincides with the transfer of control of goods and services ordered by the customer which falls into one of three categories described below:</w:t>
      </w:r>
    </w:p>
    <w:p>
      <w:pPr>
        <w:spacing w:after="0" w:line="176" w:lineRule="exact"/>
        <w:rPr>
          <w:sz w:val="20"/>
          <w:szCs w:val="20"/>
          <w:color w:val="auto"/>
        </w:rPr>
      </w:pPr>
    </w:p>
    <w:p>
      <w:pPr>
        <w:ind w:left="640" w:right="20" w:hanging="320"/>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61" w:lineRule="exact"/>
        <w:rPr>
          <w:rFonts w:ascii="Times New Roman" w:cs="Times New Roman" w:eastAsia="Times New Roman" w:hAnsi="Times New Roman"/>
          <w:sz w:val="18"/>
          <w:szCs w:val="18"/>
          <w:color w:val="auto"/>
        </w:rPr>
      </w:pPr>
    </w:p>
    <w:p>
      <w:pPr>
        <w:jc w:val="both"/>
        <w:ind w:left="640" w:hanging="320"/>
        <w:spacing w:after="0" w:line="26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80" w:lineRule="exact"/>
        <w:rPr>
          <w:rFonts w:ascii="Times New Roman" w:cs="Times New Roman" w:eastAsia="Times New Roman" w:hAnsi="Times New Roman"/>
          <w:sz w:val="18"/>
          <w:szCs w:val="18"/>
          <w:color w:val="auto"/>
        </w:rPr>
      </w:pPr>
    </w:p>
    <w:p>
      <w:pPr>
        <w:jc w:val="both"/>
        <w:ind w:left="640" w:hanging="320"/>
        <w:spacing w:after="0" w:line="26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of a reporting period, revenue will be recognized based on the transaction price allocated to the goods delivered and services rendered. The customer deposit balance was $7.8 million and $7.4 million as of September 30, 2019 and December 31, 2018, respectively. Revenues recognized during the nine months ended September 30, 2019 that were included in the customer deposit balance as of the beginning of the period were $7.1 million.</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Accounts receivable include amounts due from qualified professional customers who apply for credit. Customers who qualify for an account receive 30-day payment terms. The accounts receivable balance was $4.6 million and $3.1 million at September 30, 2019 and December 31, 2018, respectively.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8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Customers may return purchased items for an exchange or refund. The Company records a reserve for estimated product returns based on the historical returns trends and the current product sales performance. Historically, the sales returns reserve was presented net of cost of sales in other current liabilities. The Company presents the sales returns reserve as an other current liability and the estimated value of the inventory that will be returned as an other current asset in the consolidated balance sheet. The components of the sales returns reserve reflected in the consolidated balance sheet as of September 30, 2019 and December 31, 2018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7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75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5,224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r>
      <w:tr>
        <w:trPr>
          <w:trHeight w:val="230"/>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1,601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17"/>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returns reserve, net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3,623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p>
      <w:pPr>
        <w:spacing w:after="0" w:line="229" w:lineRule="exact"/>
        <w:rPr>
          <w:sz w:val="20"/>
          <w:szCs w:val="20"/>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(determined on the weighted-average cost method) or net realizable value. Inventories consist primarily of merchandise held for sale. Inventories were comprised of the following as of September 30, 2019 and December 31, 2018:</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7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75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98,776</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r>
      <w:tr>
        <w:trPr>
          <w:trHeight w:val="23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 transit</w:t>
            </w: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w:t>
            </w:r>
          </w:p>
        </w:tc>
      </w:tr>
      <w:tr>
        <w:trPr>
          <w:trHeight w:val="217"/>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100,080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110,095</w:t>
            </w:r>
          </w:p>
        </w:tc>
      </w:tr>
    </w:tbl>
    <w:p>
      <w:pPr>
        <w:spacing w:after="0" w:line="198"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$0.8 million and $0.3 million as of September 30, 2019 and December 31, 2018,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Income Taxes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effective tax rate on net income (loss) before income taxes for the three months ended September 30, 2019 and 2018 was 16.5% and 20.3%, respectively. The Company’s effective tax rate on net income (loss) before income taxes for the nine months ended September 30, 2019 and 2018 was 265.7% and 26.5%, respectively. For the three months ended September 30, 2019 and 2018, the Company recorded a benefit from income taxes of $0.3 million and a provision for income taxes of $0.7 million, respectively. For the nine months ended September 30, 2019 and 2018, the Company recorded a provision for income taxes of $0.3 million and $4.2 million, respectively. The decrease in the provision for income taxes is due to lower pretax earnings.</w:t>
      </w:r>
    </w:p>
    <w:p>
      <w:pPr>
        <w:spacing w:after="0" w:line="18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records interest and penalties relating to uncertain tax positions in income tax expense. As of September 30, 2019 and 2018, the Company has not recognized any liabilities for uncertain tax positions, nor have interest and penalties related to uncertain tax positions been accrued.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Earnings Per Share</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9"/>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40" w:type="dxa"/>
            <w:vAlign w:val="bottom"/>
            <w:gridSpan w:val="15"/>
          </w:tcPr>
          <w:p>
            <w:pPr>
              <w:jc w:val="right"/>
              <w:ind w:right="330"/>
              <w:spacing w:after="0"/>
              <w:rPr>
                <w:sz w:val="20"/>
                <w:szCs w:val="20"/>
                <w:color w:val="auto"/>
              </w:rPr>
            </w:pPr>
            <w:r>
              <w:rPr>
                <w:rFonts w:ascii="Times New Roman" w:cs="Times New Roman" w:eastAsia="Times New Roman" w:hAnsi="Times New Roman"/>
                <w:sz w:val="18"/>
                <w:szCs w:val="18"/>
                <w:color w:val="auto"/>
              </w:rPr>
              <w:t>(all amounts in thousands except share and per share data)</w:t>
            </w:r>
          </w:p>
        </w:tc>
      </w:tr>
      <w:tr>
        <w:trPr>
          <w:trHeight w:val="230"/>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6"/>
          </w:tcPr>
          <w:p>
            <w:pPr>
              <w:jc w:val="right"/>
              <w:ind w:right="95"/>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7"/>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 the nine months ended</w:t>
            </w:r>
          </w:p>
        </w:tc>
      </w:tr>
      <w:tr>
        <w:trPr>
          <w:trHeight w:val="234"/>
        </w:trPr>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right"/>
              <w:ind w:right="555"/>
              <w:spacing w:after="0"/>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10"/>
        </w:trPr>
        <w:tc>
          <w:tcPr>
            <w:tcW w:w="5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11,522</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49,769,739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51,920,830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50,901,289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51,896,678</w:t>
            </w: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dilutive securities attributable to stock based awards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382,947</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159,458</w:t>
            </w:r>
          </w:p>
        </w:tc>
      </w:tr>
      <w:tr>
        <w:trPr>
          <w:trHeight w:val="210"/>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49,769,739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52,303,777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50,901,289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52,056,136</w:t>
            </w: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per common share: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securities excluded from earnings per share calculation</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5,047,633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1,730,948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2,614,058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2,116,198</w:t>
            </w:r>
          </w:p>
        </w:tc>
      </w:tr>
      <w:tr>
        <w:trPr>
          <w:trHeight w:val="535"/>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Other Accrued Liabilities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consisted of the following:</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5"/>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7"/>
          </w:tcPr>
          <w:p>
            <w:pPr>
              <w:jc w:val="right"/>
              <w:ind w:right="71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2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Sales returns reserve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w:t>
            </w: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sales taxes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wages and salaries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r>
      <w:tr>
        <w:trPr>
          <w:trHeight w:val="217"/>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25,871</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18, 2018, Holdings and its operating subsidiary, The Tile Shop, LLC, entered into a credit agreement with Bank of America, N.A., Fifth Third Bank and Citizens Bank (the “Credit Agreement”). The Credit Agreement provides the Company with a senior credit facility consisting of a $100.0 million revolving line of credit through September 18, 2023. Borrowings pursuant to the Credit Agreement initially bear interest at a rate of adjusted LIBOR plus 1.75% and may bear interest in a range between adjusted LIBOR plus 1.50% to adjusted LIBOR plus 2.25%, depending on The Tile Shop’s consolidated total rent adjusted leverage ratio. At September 30, 2019 the base interest rate was 6.00% and the LIBOR-based interest rate was 4.02%. Borrowings outstanding consisted of $63.0 million on the revolving line of credit as of September 30, 2019. In addition, the Company has standby letters of credit outstanding related to its workers compensation and medical insurance policies. As of September 30, 2019 and 2018, the standby letters of credit totaled $1.3 million and $1.1 million, respectively. There was $35.7 million available for borrowing on the revolving line of credit as of September 30, 2019, which may be used to support the Company’s growth and for working capital purposes.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The Company was in compliance with the covenants as of September 30, 2019.</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2" w:name="page13"/>
    <w:bookmarkEnd w:id="12"/>
    <w:p>
      <w:pPr>
        <w:ind w:left="4"/>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29"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The Company leases its retail stores, certain distribution space, and office space. Leases generally have a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The depreciable life of assets and leasehold improvements is limited by the expected lease term.</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Leases (in thousands)</w:t>
            </w:r>
          </w:p>
        </w:tc>
        <w:tc>
          <w:tcPr>
            <w:tcW w:w="46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Classification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46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Right of use asset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assets</w:t>
            </w:r>
          </w:p>
        </w:tc>
        <w:tc>
          <w:tcPr>
            <w:tcW w:w="6100" w:type="dxa"/>
            <w:vAlign w:val="bottom"/>
            <w:gridSpan w:val="5"/>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7"/>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leased assets</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w:t>
            </w:r>
          </w:p>
        </w:tc>
        <w:tc>
          <w:tcPr>
            <w:tcW w:w="46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Financing</w:t>
            </w:r>
          </w:p>
        </w:tc>
        <w:tc>
          <w:tcPr>
            <w:tcW w:w="46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w:t>
            </w:r>
          </w:p>
        </w:tc>
        <w:tc>
          <w:tcPr>
            <w:tcW w:w="46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Long-term lease liability, net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Financing</w:t>
            </w:r>
          </w:p>
        </w:tc>
        <w:tc>
          <w:tcPr>
            <w:tcW w:w="460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165,615</w:t>
            </w: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Three Months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Nine Months</w:t>
            </w:r>
          </w:p>
        </w:tc>
        <w:tc>
          <w:tcPr>
            <w:tcW w:w="0" w:type="dxa"/>
            <w:vAlign w:val="bottom"/>
          </w:tcPr>
          <w:p>
            <w:pPr>
              <w:spacing w:after="0"/>
              <w:rPr>
                <w:sz w:val="1"/>
                <w:szCs w:val="1"/>
                <w:color w:val="auto"/>
              </w:rPr>
            </w:pPr>
          </w:p>
        </w:tc>
      </w:tr>
      <w:tr>
        <w:trPr>
          <w:trHeight w:val="234"/>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Lease cost (in thousands)</w:t>
            </w:r>
          </w:p>
        </w:tc>
        <w:tc>
          <w:tcPr>
            <w:tcW w:w="46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Classification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Ended</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Ended</w:t>
            </w:r>
          </w:p>
        </w:tc>
        <w:tc>
          <w:tcPr>
            <w:tcW w:w="0" w:type="dxa"/>
            <w:vAlign w:val="bottom"/>
          </w:tcPr>
          <w:p>
            <w:pPr>
              <w:spacing w:after="0"/>
              <w:rPr>
                <w:sz w:val="1"/>
                <w:szCs w:val="1"/>
                <w:color w:val="auto"/>
              </w:rPr>
            </w:pPr>
          </w:p>
        </w:tc>
      </w:tr>
      <w:tr>
        <w:trPr>
          <w:trHeight w:val="210"/>
        </w:trPr>
        <w:tc>
          <w:tcPr>
            <w:tcW w:w="2540" w:type="dxa"/>
            <w:vAlign w:val="bottom"/>
            <w:gridSpan w:val="2"/>
            <w:vMerge w:val="continue"/>
          </w:tcPr>
          <w:p>
            <w:pPr>
              <w:spacing w:after="0"/>
              <w:rPr>
                <w:sz w:val="18"/>
                <w:szCs w:val="18"/>
                <w:color w:val="auto"/>
              </w:rPr>
            </w:pPr>
          </w:p>
        </w:tc>
        <w:tc>
          <w:tcPr>
            <w:tcW w:w="4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6"/>
          </w:tcPr>
          <w:p>
            <w:pPr>
              <w:jc w:val="right"/>
              <w:ind w:right="630"/>
              <w:spacing w:after="0"/>
              <w:rPr>
                <w:sz w:val="20"/>
                <w:szCs w:val="20"/>
                <w:color w:val="auto"/>
              </w:rPr>
            </w:pPr>
            <w:r>
              <w:rPr>
                <w:rFonts w:ascii="Times New Roman" w:cs="Times New Roman" w:eastAsia="Times New Roman" w:hAnsi="Times New Roman"/>
                <w:sz w:val="18"/>
                <w:szCs w:val="18"/>
                <w:color w:val="auto"/>
              </w:rPr>
              <w:t>September 30,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6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8,258</w:t>
            </w:r>
          </w:p>
        </w:tc>
        <w:tc>
          <w:tcPr>
            <w:tcW w:w="2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cost</w:t>
            </w:r>
          </w:p>
        </w:tc>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4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8"/>
                <w:szCs w:val="8"/>
                <w:color w:val="auto"/>
              </w:rPr>
              <w:t>(1)</w:t>
            </w:r>
          </w:p>
        </w:tc>
        <w:tc>
          <w:tcPr>
            <w:tcW w:w="4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3,470</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46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4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11,957</w:t>
            </w: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35,220</w:t>
            </w:r>
          </w:p>
        </w:tc>
        <w:tc>
          <w:tcPr>
            <w:tcW w:w="0" w:type="dxa"/>
            <w:vAlign w:val="bottom"/>
          </w:tcPr>
          <w:p>
            <w:pPr>
              <w:spacing w:after="0"/>
              <w:rPr>
                <w:sz w:val="1"/>
                <w:szCs w:val="1"/>
                <w:color w:val="auto"/>
              </w:rPr>
            </w:pPr>
          </w:p>
        </w:tc>
      </w:tr>
    </w:tbl>
    <w:p>
      <w:pPr>
        <w:ind w:left="124" w:hanging="124"/>
        <w:spacing w:after="0"/>
        <w:tabs>
          <w:tab w:leader="none" w:pos="124"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Variable lease costs consist primarily of taxes, insurance, and common area or other maintenance costs for the Company’s leased facilities.</w:t>
      </w:r>
    </w:p>
    <w:p>
      <w:pPr>
        <w:spacing w:after="0" w:line="274"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Maturity of Lease Liabilities (in thousands)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26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31,895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61,354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(34,913)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Information (in thousands)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8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8"/>
                <w:szCs w:val="18"/>
                <w:color w:val="auto"/>
              </w:rPr>
              <w:t>September 30, 2019</w:t>
            </w:r>
          </w:p>
        </w:tc>
        <w:tc>
          <w:tcPr>
            <w:tcW w:w="10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53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6419215</wp:posOffset>
            </wp:positionH>
            <wp:positionV relativeFrom="paragraph">
              <wp:posOffset>-38100</wp:posOffset>
            </wp:positionV>
            <wp:extent cx="342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4"/>
          </w:cols>
          <w:pgMar w:left="896" w:top="117" w:right="8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cash flows from financing leases</w:t>
            </w:r>
          </w:p>
        </w:tc>
        <w:tc>
          <w:tcPr>
            <w:tcW w:w="13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right-of-use assets obtained or modified in exchange for lease obligations</w:t>
            </w:r>
          </w:p>
        </w:tc>
        <w:tc>
          <w:tcPr>
            <w:tcW w:w="13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5,993</w:t>
            </w:r>
          </w:p>
        </w:tc>
      </w:tr>
      <w:tr>
        <w:trPr>
          <w:trHeight w:val="7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Lease Term and Discount Rate</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September 30, 2019</w:t>
            </w:r>
          </w:p>
        </w:tc>
      </w:tr>
      <w:tr>
        <w:trPr>
          <w:trHeight w:val="210"/>
        </w:trPr>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term (years)</w:t>
            </w:r>
          </w:p>
        </w:tc>
        <w:tc>
          <w:tcPr>
            <w:tcW w:w="1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9"/>
                <w:szCs w:val="19"/>
                <w:color w:val="auto"/>
              </w:rPr>
            </w:pPr>
          </w:p>
        </w:tc>
      </w:tr>
      <w:tr>
        <w:trPr>
          <w:trHeight w:val="230"/>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Financing leases</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6.22 %</w:t>
            </w:r>
          </w:p>
        </w:tc>
      </w:tr>
      <w:tr>
        <w:trPr>
          <w:trHeight w:val="234"/>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leases</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14.73 %</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of Financial Instruments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76" w:lineRule="exact"/>
        <w:rPr>
          <w:sz w:val="20"/>
          <w:szCs w:val="20"/>
          <w:color w:val="auto"/>
        </w:rPr>
      </w:pPr>
    </w:p>
    <w:p>
      <w:pPr>
        <w:ind w:left="640" w:right="360"/>
        <w:spacing w:after="0" w:line="282" w:lineRule="auto"/>
        <w:rPr>
          <w:sz w:val="20"/>
          <w:szCs w:val="20"/>
          <w:color w:val="auto"/>
        </w:rPr>
      </w:pPr>
      <w:r>
        <w:rPr>
          <w:rFonts w:ascii="Times New Roman" w:cs="Times New Roman" w:eastAsia="Times New Roman" w:hAnsi="Times New Roman"/>
          <w:sz w:val="18"/>
          <w:szCs w:val="18"/>
          <w:color w:val="auto"/>
        </w:rPr>
        <w:t>Level 1 – Unadjusted quoted prices that are available in active markets for the identical assets or liabilities at the measurement date.</w:t>
      </w:r>
    </w:p>
    <w:p>
      <w:pPr>
        <w:spacing w:after="0" w:line="162" w:lineRule="exact"/>
        <w:rPr>
          <w:sz w:val="20"/>
          <w:szCs w:val="20"/>
          <w:color w:val="auto"/>
        </w:rPr>
      </w:pPr>
    </w:p>
    <w:p>
      <w:pPr>
        <w:ind w:left="640" w:right="440"/>
        <w:spacing w:after="0" w:line="282" w:lineRule="auto"/>
        <w:rPr>
          <w:sz w:val="20"/>
          <w:szCs w:val="20"/>
          <w:color w:val="auto"/>
        </w:rPr>
      </w:pPr>
      <w:r>
        <w:rPr>
          <w:rFonts w:ascii="Times New Roman" w:cs="Times New Roman" w:eastAsia="Times New Roman" w:hAnsi="Times New Roman"/>
          <w:sz w:val="18"/>
          <w:szCs w:val="18"/>
          <w:color w:val="auto"/>
        </w:rPr>
        <w:t>Level 2 – Significant other observable inputs available at the measurement date, other than quoted prices included in Level 1, either directly or indirectly, including:</w:t>
      </w:r>
    </w:p>
    <w:p>
      <w:pPr>
        <w:spacing w:after="0" w:line="121" w:lineRule="exact"/>
        <w:rPr>
          <w:sz w:val="20"/>
          <w:szCs w:val="20"/>
          <w:color w:val="auto"/>
        </w:rPr>
      </w:pPr>
    </w:p>
    <w:p>
      <w:pPr>
        <w:ind w:left="960" w:hanging="31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18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in non-active markets;</w:t>
      </w:r>
    </w:p>
    <w:p>
      <w:pPr>
        <w:spacing w:after="0" w:line="18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18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other observable market data.</w:t>
      </w:r>
    </w:p>
    <w:p>
      <w:pPr>
        <w:spacing w:after="0" w:line="225" w:lineRule="exact"/>
        <w:rPr>
          <w:sz w:val="20"/>
          <w:szCs w:val="20"/>
          <w:color w:val="auto"/>
        </w:rPr>
      </w:pPr>
    </w:p>
    <w:p>
      <w:pPr>
        <w:ind w:left="640" w:right="160"/>
        <w:spacing w:after="0" w:line="282" w:lineRule="auto"/>
        <w:rPr>
          <w:sz w:val="20"/>
          <w:szCs w:val="20"/>
          <w:color w:val="auto"/>
        </w:rPr>
      </w:pPr>
      <w:r>
        <w:rPr>
          <w:rFonts w:ascii="Times New Roman" w:cs="Times New Roman" w:eastAsia="Times New Roman" w:hAnsi="Times New Roman"/>
          <w:sz w:val="18"/>
          <w:szCs w:val="18"/>
          <w:color w:val="auto"/>
        </w:rPr>
        <w:t>Level 3 – Significant unobservable inputs that cannot be corroborated by observable market data and reflect the use of significant management judgment.</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financial assets that were accounted for at fair value on a recurring basis at September 30, 2019 and December 31, 2018 according to the valuation techniques the Company uses to determine their fair values. There have been no transfers of assets among the fair value hierarchies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Pricing</w:t>
            </w:r>
          </w:p>
        </w:tc>
        <w:tc>
          <w:tcPr>
            <w:tcW w:w="440" w:type="dxa"/>
            <w:vAlign w:val="bottom"/>
          </w:tcPr>
          <w:p>
            <w:pPr>
              <w:spacing w:after="0"/>
              <w:rPr>
                <w:sz w:val="19"/>
                <w:szCs w:val="19"/>
                <w:color w:val="auto"/>
              </w:rPr>
            </w:pPr>
          </w:p>
        </w:tc>
        <w:tc>
          <w:tcPr>
            <w:tcW w:w="20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Fair Value at</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Category</w:t>
            </w:r>
          </w:p>
        </w:tc>
        <w:tc>
          <w:tcPr>
            <w:tcW w:w="1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September 30, 2019</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2018</w:t>
            </w: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8,371</w:t>
            </w:r>
          </w:p>
        </w:tc>
        <w:tc>
          <w:tcPr>
            <w:tcW w:w="7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4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825</w:t>
            </w:r>
          </w:p>
        </w:tc>
        <w:tc>
          <w:tcPr>
            <w:tcW w:w="7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60" w:lineRule="exact"/>
        <w:rPr>
          <w:sz w:val="20"/>
          <w:szCs w:val="20"/>
          <w:color w:val="auto"/>
        </w:rPr>
      </w:pPr>
    </w:p>
    <w:p>
      <w:pPr>
        <w:ind w:left="960" w:right="100" w:hanging="315"/>
        <w:spacing w:after="0" w:line="284"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Consists of cash on hand and bank deposits. The value was measured using quoted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active markets. The carrying amount approximates fair value.</w:t>
      </w:r>
    </w:p>
    <w:p>
      <w:pPr>
        <w:spacing w:after="0" w:line="158" w:lineRule="exact"/>
        <w:rPr>
          <w:rFonts w:ascii="Times New Roman" w:cs="Times New Roman" w:eastAsia="Times New Roman" w:hAnsi="Times New Roman"/>
          <w:sz w:val="18"/>
          <w:szCs w:val="18"/>
          <w:color w:val="auto"/>
        </w:rPr>
      </w:pPr>
    </w:p>
    <w:p>
      <w:pPr>
        <w:jc w:val="both"/>
        <w:ind w:left="960" w:right="340" w:hanging="315"/>
        <w:spacing w:after="0" w:line="267"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Consists of cash and cash equivalents held in bank deposit accounts restricted as to withdrawal or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terms of use for current operations. The value was measured using quoted market prices in active markets. The carrying amount approximates fair value.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The Company measured the fair value of these assets based on projected cash flows and an estimated risk-adjusted rate of return. Projected cash flows are considered Level 3 inputs. During the nine months ended September 30, 2018, the Company identified property, plant and equipment that would be disposed of prior to the end of their useful lives, which resulted in the recognition of a $0.3 million charge to write-down these assets to their estimated fair value. The Company did not recognize any significant impairment losses during the three and nine months ended September 30, 2019.</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borrowings under its Credit Agreement approximate fair value based upon Level 2 inputs of the market interest rates available to the Company for debt obligations with similar risks and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Company measures and recognizes compensation expense for all stock based awards at fair value. The financial statements for the three and nine months ended September 30, 2019 and 2018 include compensation expense for the portion of outstanding awards that vested during those periods. The Company recognizes stock based compensation expenses on a straight-line basis over the requisite service period of the award, which is generally the option vesting term. Total stock based compensation expense related to stock options was $0.2 million and $0.3 million for the three months ended September 30, 2019 and 2018, respectively. Total stock based compensation expense related to stock options was $0.7 million for both the nine months ended September 30, 2019 and 2018. Stock based compensation expense pertaining to stock options is included in selling, general and administrative expenses in the accompanying consolidated statements of income.</w:t>
      </w:r>
    </w:p>
    <w:p>
      <w:pPr>
        <w:spacing w:after="0" w:line="17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outstanding stock options to purchase 1,443,382 shares of common stock at a weighted average exercise price of $10.96.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$0.5 million for both the three months ended September 30, 2019 and 2018. Total stock based compensation expense related to restricted stock was $1.5 million and $1.2 million for the three months ended September 30, 2019 and 2018, respectively. Stock based compensation expense pertaining to restricted stock awards is included in selling, general and administrative expenses in the accompanying Consolidated Statements of Income.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the Company had 1,031,723 outstanding restricted common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New Market Tax Credit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New Market Tax Credit</w:t>
      </w:r>
    </w:p>
    <w:p>
      <w:pPr>
        <w:spacing w:after="0" w:line="2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December 2016, the Company entered into a financing transaction with U.S. Bank Community, LLC (“U.S. Bank”) related to a $9.2 million expansion of the Company’s facility in Durant, Oklahoma. In this transaction, which was conducted under a qualified New Markets Tax Credit (“NMTC”) program, Tile Shop Lending, Inc. (“Tile Shop Lending”) loaned $6.7 million to Twain Investment Fund 192 LLC (the “Investment Fund”) at an interest rate of 1.37% per year and with a maturity date of December 31, 2046. The Investment Fund then contributed the loan to a community development entity (a “CDE”), which, in turn, loaned the funds on similar terms to Tile Shop of Oklahoma, LLC, an indirect, wholly-owned subsidiary of Holdings. In December 2016, U.S. Bank also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17" w:right="9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8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Company has determined that the financing arrangement with the Investment Fund and the CDE contains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Bank’s contributions of $3.2 million, net of syndication fees, were included in cash, restricted cash, other accrued liabilities and other long-term liabilities in the consolidated balance sheet. The Company incurred $1.3 million of syndication fees in connection with this transaction, which were classified as other current assets and other non-current assets in the consolidated balance sheet. The Company is recognizing the benefit of this net $1.9 million contribution over the seven-year compliance period as it is being earned through the on-going compliance with the conditions of the NMTC program. As of September 30, 2019, the balance of the contribution liability was $1.9 million, of which $0.5 million was classified as other accrued liabilities on the Consolidated Balance Sheet and $1.4 million was classified as other long-term liabilities on the Consolidated Balance Sheet.</w:t>
      </w:r>
    </w:p>
    <w:p>
      <w:pPr>
        <w:spacing w:after="0" w:line="1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able to request reimbursement for certain expenditures made in connection with the expansion of its distribution center in Durant, Oklahoma from the Investment Fund. Expenditures that qualify for reimbursement include building costs, equipment purchases, and other expenditures tied to the expansion of the facility. As of September 30, 2019, the balance in the Investment Fund available for reimbursement to the Company was $0.8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2013 New Market Tax Credit</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July 2013, the Company entered into a financing transaction with U.S. Bank and Chase Community Equity (“Chase”, and collectively with US. Bank, the “investors”) related to the $19.1 million acquisition, rehabilitation, and construction of the Company’s distribution center and manufacturing facilities in Durant, Oklahoma. In this transaction, Tile Shop Lending loaned $13.5 million to the Tile Shop Investment Fund LLC. The investors contributed $5.6 million to the Tile Shop Investment Fund LLC. The investors are entitled to the tax benefits derived from the NMTC by virtue of their contribution while the Company received the proceeds, net of syndication fees, to apply toward the construction project. This transaction includes a put/call provision whereby the Company may be obligated or entitled to repurchase the investors’ interest. The Company believes that the 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determined that this financing arrangement contains a VIE. The ongoing activities of the Tile Shop Investment Fund LLC</w:t>
      </w:r>
    </w:p>
    <w:p>
      <w:pPr>
        <w:spacing w:after="0" w:line="2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 collecting and remitting interest and fees and NMTC compliance – were all considered in the initial design and are not expected to significantly affect economic performance throughout the life of the Tile Shop Investment Fund LLC. Management considered the contractual arrangements that obligate the Company to deliver tax benefits and provide various other guarantees to the structure; the investors lack of a material interest in the underling economics of the project; and the fact that the Company is obligated to absorb losses of The Tile Shop Investment Fund LLC. The Company concluded that it is the primary beneficiary of the VIE and consolidated the Tile Shop Investment Fund LLC, as a VIE, in accordance with the accounting standards for consolidation. In 2013, the investors’ contributions, of $5.6 million, net of syndication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$4.4 million contribution over the seven-year compliance period as it is being earned through the on-going compliance with the conditions of the NMTC program. As of September 30, 2019, the balance of the contribution liability was $0.6 million, of which $0.6 million was classified as other accrued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80"/>
          </w:cols>
          <w:pgMar w:left="900" w:top="117" w:right="10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July 9, 2018, Fumitake Nishi, the brother-in-law of the Company’s director Robert Rucker and a former Company employee, informed the Company he had reacquired a majority of the equity of one of its key vendors, Nanyang Helin Stone Co. Ltd (“Nanyang”). Nanyang supplies the Company with natural stone products including hand-crafted mosaics, listellos and other accessories. During the twelve months ended December 31, 2018, the Company purchased $12.0 million of products from Nanyang. During the three and nine months ended September 30, 2019, the Company purchased $1.4 million and $3.5 million of products from Nanyang, respectively. Mr. Nishi’s employment with the Company was terminated on January 1, 2014 as a result of several violations of the Company’s code of business conduct and ethics policy. Certain of those violations involved his undisclosed ownership of Nanyang at that time.</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Management and the Audit Committee have evaluated the relationship and determined that it would be in the Company’s best interests to continue purchasing products from Nanyang. The Company believes Nanyang provides an important combination of quality, product availability and pricing, and relying solely on other vendors to supply similar product to the Company would not be in the Company’s best interests. The Company and the Audit Committee have and will continue to review future purchases from Nanyang and compare the pricing for products purchased from Nanyang to the pricing of same or similar products purchased from unrelated vendors.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Share Repurchase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29, 2019, the Board of Directors of the Company authorized a share repurchase program (the “Program”), pursuant to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was able to, from time to time, purchase shares of its common stock for an aggregate repurchase price not to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 The Program began on May 2, 2019 and was to continue indefinitely until the full repurchase amount had been utilized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terminated the Program.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repurchases were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74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September 30, 2019</w:t>
            </w:r>
          </w:p>
        </w:tc>
      </w:tr>
      <w:tr>
        <w:trPr>
          <w:trHeight w:val="21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w:t>
            </w:r>
          </w:p>
        </w:tc>
        <w:tc>
          <w:tcPr>
            <w:tcW w:w="42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2,307,023</w:t>
            </w:r>
          </w:p>
        </w:tc>
      </w:tr>
      <w:tr>
        <w:trPr>
          <w:trHeight w:val="23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Aggregate purchase price (in thousands)</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w:t>
            </w:r>
          </w:p>
        </w:tc>
      </w:tr>
    </w:tbl>
    <w:p>
      <w:pPr>
        <w:spacing w:after="0" w:line="19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Board of Directors decided to terminate the Program effective October 18, 2019, to focus on debt reduction and continued investment in strategic initiatives.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October 22, 2019, the Company announced its intention to delist from the Nasdaq Stock Market (“Nasdaq”), deregister its common stock, suspend the quarterly cash dividend, and terminate the share repurchase program.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Annual Report on Form 10-K for the year ended December 31, 2018 and our consolidated financial statements and related notes appearing elsewhere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relate to, among other things, our intentions regarding delisting from Nasdaq and deregistering our common stock, our anticipated new store openings, remodeling plans, and growth opportunities; our business strengths, marketing strategies, competitive advantages and role in our industry and markets; our expectations regarding financing arrangements; our expectations with respect to dividend payments; our expectations with respect to ongoing compliance with the terms of our credit facility; and our expectations with respect to remediation of our identified material weaknesses.</w:t>
      </w:r>
    </w:p>
    <w:p>
      <w:pPr>
        <w:spacing w:after="0" w:line="19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These risks and uncertainties include, but are not limited to, the level of demand for our products and our ability to introduce new products that satisfy market demand; our ability to grow and remain profitable in the highly competitive retail tile industry, our ability to access additional capital; our ability to attract and retain qualified personnel; unexpected delays or expenses related to opening new stores and maintaining or renovating existing stores; changes to economic or market conditions and customer preferences; disruptions in our supply chain or inventory management; unanticipated issues with respect to remediation of our identified material weaknesses; and those Risk Factors set forth in Part I, Item IA of our Annual Report on Form 10-K for the year ended December 31, 2018 and the additional Risk Factors set forth in Part II, Item 1A of this Quarterly Report on Form 10-Q.</w:t>
      </w:r>
    </w:p>
    <w:p>
      <w:pPr>
        <w:spacing w:after="0" w:line="18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Trends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September 30, 2019, we operated 140 stores in 31 states and the District of Columbia, with an average size of approximately 20,200 square feet.</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opened one new store and closed one store at the end of its lease in the first nine months of 2019, and opened two new stores during 2018. Between October 1, 2018 and September 30, 2019, we opened one new store and closed one store. We plan to open an additional four stores in 2019, of which one is a relocation. We believe that there will continue to be additional expansion opportunities in the United States and Canada. We expect store base growth will drive productivity and operational efficiencies. Our growth plans also require us to maintain significant inventory on-hand in order to fulfill transactions at these new locations.</w:t>
      </w:r>
    </w:p>
    <w:p>
      <w:pPr>
        <w:spacing w:after="0" w:line="18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2019 and 2018, we reported net sales of $85.9 million and $89.3 million, respectively. The decrease in sales for the three months ended September 30, 2019 compared to the three months ended September 30, 2018 was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17" w:right="9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primarily due to a decline in comparable stores sales of 3.5%, or $3.1 million. In addition, net sales generated by stores not included in the comparable store base decreased by $0.2 million.</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2019 and 2018, we reported net sales of $261.8 million and $273.3 million, respectively. The decrease in sales for the nine months ended September 30, 2019 compared to the nine months ended September 30, 2018 was primarily due to a decline in comparable store sales of 4.0%, or $10.8 million. In addition, net sales generated by stores not included in the comparable store base decreased by $0.8 million.</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decrease in sales at comparable stores for the three months ended September 30, 2019 was due to weaker store traffic. The decrease in sales at comparable stores for the nine months ended September 30, 2019 was due to weaker store traffic and customer experience issues following the implementation of a new enterprise resource planning system and the launch of our new website.</w:t>
      </w:r>
    </w:p>
    <w:p>
      <w:pPr>
        <w:spacing w:after="0" w:line="176"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about our comparable store sales (decline) growth for the three and nine months ended September 30, 2019 and 2018.</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19"/>
                <w:szCs w:val="19"/>
                <w:color w:val="auto"/>
              </w:rPr>
            </w:pPr>
          </w:p>
        </w:tc>
        <w:tc>
          <w:tcPr>
            <w:tcW w:w="21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For the nine months ended</w:t>
            </w:r>
          </w:p>
        </w:tc>
      </w:tr>
      <w:tr>
        <w:trPr>
          <w:trHeight w:val="234"/>
        </w:trPr>
        <w:tc>
          <w:tcPr>
            <w:tcW w:w="6020" w:type="dxa"/>
            <w:vAlign w:val="bottom"/>
          </w:tcPr>
          <w:p>
            <w:pPr>
              <w:spacing w:after="0"/>
              <w:rPr>
                <w:sz w:val="20"/>
                <w:szCs w:val="20"/>
                <w:color w:val="auto"/>
              </w:rPr>
            </w:pPr>
          </w:p>
        </w:tc>
        <w:tc>
          <w:tcPr>
            <w:tcW w:w="21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30,</w:t>
            </w:r>
          </w:p>
        </w:tc>
        <w:tc>
          <w:tcPr>
            <w:tcW w:w="1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10"/>
        </w:trPr>
        <w:tc>
          <w:tcPr>
            <w:tcW w:w="60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store sales (decline) growth</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198"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For the three months ended September 30, 2019 and 2018, we reported gross profit of $59.2 million and $63.0 million, respectively. The gross margin rate was 68.8% and 70.6% for the three months ended September 30, 2019 and 2018, respectively. For the nine months ended September 30, 2019 and 2018, we reported gross profit of $182.4 million and $192.4 million, respectively. The gross margin rate was</w:t>
      </w:r>
    </w:p>
    <w:p>
      <w:pPr>
        <w:spacing w:after="0" w:line="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69.7% and 70.4% for the nine months ended September 30, 2019 and 2018, respectively. The decrease in gross margin rate was primarily due to higher levels of shrink and damaged inventory write-offs combined with a lower freight collection 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September 30, 2019 and 2018, we reported loss from operations of $0.6 million and income from operations</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of $3.9 million, respectively. For the nine months ended September 30, 2019 and 2018, we reported income from operations of $3.1 million and $17.4 million, respectively. The decrease in income from operations was primarily driven by a decrease in net sales and increased selling, general and administrative expenses.</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$33.6 million and $15.7 million for the nine months ended September 30, 2019 and 2018, respectively, which was used to fund operations, new store construction activities, store remodels, merchandising, information technology investment and dividends. Share repurchases were funded by increased debt during the nine months ended September 30, 2019. We expect to continue to fund our capital expenditures and daily operations from our operating cash flows.</w:t>
      </w:r>
    </w:p>
    <w:p>
      <w:pPr>
        <w:spacing w:after="0" w:line="180"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We repurchased 2.3 million shares for $10.5 million during the nine months ended September 30, 2019. Our Board of Directors had previously authorized a $15.0 million share repurchase program. The Board of Directors terminated the share repurchase program effective October 18, 2019.</w:t>
      </w:r>
    </w:p>
    <w:p>
      <w:pPr>
        <w:spacing w:after="0" w:line="17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On October 22, 2019, the Company announced its intention to delist from the Nasdaq Stock Market (“Nasdaq”), deregister its common stock, suspend the quarterly cash dividend, and terminate the share repurchase program. The Company intends to file a Form 25 with the Securities and Exchange Commission (the “SEC”) on or about November 1, 2019 in order to delist from Nasdaq. The Company anticipates that the last day of trading on Nasdaq will be on or about November 8, 2019. On or about November 12, 2019, the Company intends to file a Form 15 with the SEC, at which time the Company anticipates that its obligations to file periodic reports under the Securities Exchange Act of 1934, as amended (the “Exchange Act”), including annual, quarterly and current reports on Form 10-K, Form 10-Q and Form 8-K, respectively, will be suspended, and that all requirements associated with being an Exchange Act-registered company, including the requirement to file current and periodic reports, will terminate 90 days thereafter.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Consolidated Statements of Income</w:t>
      </w:r>
    </w:p>
    <w:p>
      <w:pPr>
        <w:spacing w:after="0" w:line="2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 Net sales represents total charges to customers, net of returns, and includes freight charged to customers. We recognize sales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time that the 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Comparable store sales growth is a percentage change in sales of comparable stores period-over-period. A store is considered comparable on the first day of the 13th full month of operation. When a store is relocated, it is excluded from the comparable stores sales growth calculation. Comparable store sales growth amounts include total charges to customers less any actual returns. We include the change in allowance for anticipated sales returns applicable to comparable stores in the comparable store sales calculation.</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 Cost of sales consists primarily of material costs, freight, customs and duties fees, and storage and delivery of product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customers, as well as physical inventory losses and costs associated with manufacturing of setting and maintenance materials.</w:t>
      </w:r>
    </w:p>
    <w:p>
      <w:pPr>
        <w:spacing w:after="0" w:line="15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 Selling, general, and administrative expenses consists primarily of compensation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occupancy, utilities, maintenance costs, advertising costs, shipping and transportation expenses to move inventory from our distribution centers to our stores, depreciation and amortization.</w:t>
      </w:r>
    </w:p>
    <w:p>
      <w:pPr>
        <w:spacing w:after="0" w:line="17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Pre-opening Costs </w:t>
      </w:r>
      <w:r>
        <w:rPr>
          <w:rFonts w:ascii="Times New Roman" w:cs="Times New Roman" w:eastAsia="Times New Roman" w:hAnsi="Times New Roman"/>
          <w:sz w:val="18"/>
          <w:szCs w:val="18"/>
          <w:color w:val="auto"/>
        </w:rPr>
        <w:t>– Our pre-opening costs are those typically associated with the opening of a new store and generally include 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compensation costs and promotional costs. We expense pre-opening costs as incurred and include these costs in selling, general, and administrative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We are subject to income tax in the United States as well as other tax jurisdictions in which we conduct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believe that this non-GAAP financial measure provides useful information to management and investors regarding certain financial and business trends relating to our financial condition and results of operations. Our management uses this non-GAAP financial measure to compare our performance to that of prior periods for trend analyses, for purposes of determining management incentive compensation, and for budgeting and planning purposes. This non-GAAP financial measure is used in monthly financial reports prepared for management and our Board of Directors. We believe that the use of this non-GAAP financial measure provides an additional tool for investors to use in evaluating ongoing operating results and trends and in comparing our financial performance with other specialty retailers, many of which present a similar non-GAAP financial measure to investors.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Adjusted EBITDA to net income for the three and nine months ended September 30, 2019 and 2018 is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(in thousands)</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Three Months Ended</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3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color w:val="auto"/>
              </w:rPr>
              <w:t>September 30,</w:t>
            </w: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64"/>
        </w:trPr>
        <w:tc>
          <w:tcPr>
            <w:tcW w:w="3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8"/>
                <w:szCs w:val="8"/>
                <w:color w:val="auto"/>
              </w:rPr>
              <w:t>(1)</w:t>
            </w:r>
          </w:p>
        </w:tc>
        <w:tc>
          <w:tcPr>
            <w:tcW w:w="180" w:type="dxa"/>
            <w:vAlign w:val="bottom"/>
          </w:tcPr>
          <w:p>
            <w:pPr>
              <w:spacing w:after="0"/>
              <w:rPr>
                <w:sz w:val="22"/>
                <w:szCs w:val="22"/>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22"/>
                <w:szCs w:val="22"/>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of sales</w:t>
            </w:r>
          </w:p>
        </w:tc>
        <w:tc>
          <w:tcPr>
            <w:tcW w:w="20" w:type="dxa"/>
            <w:vAlign w:val="bottom"/>
          </w:tcPr>
          <w:p>
            <w:pPr>
              <w:spacing w:after="0"/>
              <w:rPr>
                <w:sz w:val="22"/>
                <w:szCs w:val="22"/>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2.9 %</w:t>
            </w:r>
          </w:p>
        </w:tc>
        <w:tc>
          <w:tcPr>
            <w:tcW w:w="2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6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9"/>
                <w:szCs w:val="19"/>
                <w:color w:val="auto"/>
              </w:rPr>
            </w:pP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w:t>
            </w:r>
          </w:p>
        </w:tc>
        <w:tc>
          <w:tcPr>
            <w:tcW w:w="1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6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16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6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9"/>
                <w:szCs w:val="19"/>
                <w:color w:val="auto"/>
              </w:rPr>
            </w:pPr>
          </w:p>
        </w:tc>
      </w:tr>
      <w:tr>
        <w:trPr>
          <w:trHeight w:val="21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2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160" w:type="dxa"/>
            <w:vAlign w:val="bottom"/>
          </w:tcPr>
          <w:p>
            <w:pPr>
              <w:spacing w:after="0"/>
              <w:rPr>
                <w:sz w:val="18"/>
                <w:szCs w:val="18"/>
                <w:color w:val="auto"/>
              </w:rPr>
            </w:pP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9.7 %</w:t>
            </w:r>
          </w:p>
        </w:tc>
        <w:tc>
          <w:tcPr>
            <w:tcW w:w="32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13.3 %</w:t>
            </w:r>
          </w:p>
        </w:tc>
        <w:tc>
          <w:tcPr>
            <w:tcW w:w="20" w:type="dxa"/>
            <w:vAlign w:val="bottom"/>
          </w:tcPr>
          <w:p>
            <w:pPr>
              <w:spacing w:after="0"/>
              <w:rPr>
                <w:sz w:val="18"/>
                <w:szCs w:val="18"/>
                <w:color w:val="auto"/>
              </w:rPr>
            </w:pPr>
          </w:p>
        </w:tc>
      </w:tr>
      <w:tr>
        <w:trPr>
          <w:trHeight w:val="648"/>
        </w:trPr>
        <w:tc>
          <w:tcPr>
            <w:tcW w:w="3520" w:type="dxa"/>
            <w:vAlign w:val="bottom"/>
          </w:tcPr>
          <w:p>
            <w:pPr>
              <w:spacing w:after="0"/>
              <w:rPr>
                <w:sz w:val="24"/>
                <w:szCs w:val="24"/>
                <w:color w:val="auto"/>
              </w:rPr>
            </w:pP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352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r>
        <w:trPr>
          <w:trHeight w:val="20"/>
        </w:trPr>
        <w:tc>
          <w:tcPr>
            <w:tcW w:w="352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7" w:right="859" w:bottom="1440" w:gutter="0" w:footer="0" w:header="0"/>
        </w:sectPr>
      </w:pPr>
    </w:p>
    <w:bookmarkStart w:id="20" w:name="page21"/>
    <w:bookmarkEnd w:id="20"/>
    <w:tbl>
      <w:tblPr>
        <w:tblLayout w:type="fixed"/>
        <w:tblInd w:w="4" w:type="dxa"/>
        <w:tblCellMar>
          <w:top w:w="0" w:type="dxa"/>
          <w:left w:w="0" w:type="dxa"/>
          <w:bottom w:w="0" w:type="dxa"/>
          <w:right w:w="0" w:type="dxa"/>
        </w:tblCellMar>
      </w:tblPr>
      <w:tr>
        <w:trPr>
          <w:trHeight w:val="207"/>
        </w:trPr>
        <w:tc>
          <w:tcPr>
            <w:tcW w:w="5340" w:type="dxa"/>
            <w:vAlign w:val="bottom"/>
            <w:gridSpan w:val="2"/>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731"/>
        </w:trPr>
        <w:tc>
          <w:tcPr>
            <w:tcW w:w="1340" w:type="dxa"/>
            <w:vAlign w:val="bottom"/>
            <w:tcBorders>
              <w:top w:val="single" w:sz="8" w:color="0000EE"/>
            </w:tcBorders>
          </w:tcPr>
          <w:p>
            <w:pPr>
              <w:spacing w:after="0"/>
              <w:rPr>
                <w:sz w:val="24"/>
                <w:szCs w:val="24"/>
                <w:color w:val="auto"/>
              </w:rPr>
            </w:pPr>
          </w:p>
        </w:tc>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(in thousands)</w:t>
            </w:r>
          </w:p>
        </w:tc>
        <w:tc>
          <w:tcPr>
            <w:tcW w:w="1260" w:type="dxa"/>
            <w:vAlign w:val="bottom"/>
          </w:tcPr>
          <w:p>
            <w:pPr>
              <w:spacing w:after="0"/>
              <w:rPr>
                <w:sz w:val="24"/>
                <w:szCs w:val="24"/>
                <w:color w:val="auto"/>
              </w:rPr>
            </w:pPr>
          </w:p>
        </w:tc>
      </w:tr>
      <w:tr>
        <w:trPr>
          <w:trHeight w:val="230"/>
        </w:trPr>
        <w:tc>
          <w:tcPr>
            <w:tcW w:w="13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jc w:val="center"/>
              <w:ind w:left="9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1260" w:type="dxa"/>
            <w:vAlign w:val="bottom"/>
          </w:tcPr>
          <w:p>
            <w:pPr>
              <w:spacing w:after="0"/>
              <w:rPr>
                <w:sz w:val="19"/>
                <w:szCs w:val="19"/>
                <w:color w:val="auto"/>
              </w:rPr>
            </w:pPr>
          </w:p>
        </w:tc>
      </w:tr>
      <w:tr>
        <w:trPr>
          <w:trHeight w:val="234"/>
        </w:trPr>
        <w:tc>
          <w:tcPr>
            <w:tcW w:w="13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center"/>
              <w:ind w:left="90"/>
              <w:spacing w:after="0"/>
              <w:rPr>
                <w:sz w:val="20"/>
                <w:szCs w:val="20"/>
                <w:color w:val="auto"/>
              </w:rPr>
            </w:pPr>
            <w:r>
              <w:rPr>
                <w:rFonts w:ascii="Times New Roman" w:cs="Times New Roman" w:eastAsia="Times New Roman" w:hAnsi="Times New Roman"/>
                <w:sz w:val="18"/>
                <w:szCs w:val="18"/>
                <w:color w:val="auto"/>
                <w:w w:val="99"/>
              </w:rPr>
              <w:t>September 30,</w:t>
            </w:r>
          </w:p>
        </w:tc>
        <w:tc>
          <w:tcPr>
            <w:tcW w:w="1260" w:type="dxa"/>
            <w:vAlign w:val="bottom"/>
            <w:tcBorders>
              <w:bottom w:val="single" w:sz="8" w:color="auto"/>
            </w:tcBorders>
          </w:tcPr>
          <w:p>
            <w:pPr>
              <w:spacing w:after="0"/>
              <w:rPr>
                <w:sz w:val="20"/>
                <w:szCs w:val="20"/>
                <w:color w:val="auto"/>
              </w:rPr>
            </w:pPr>
          </w:p>
        </w:tc>
      </w:tr>
      <w:tr>
        <w:trPr>
          <w:trHeight w:val="264"/>
        </w:trPr>
        <w:tc>
          <w:tcPr>
            <w:tcW w:w="134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8"/>
                <w:szCs w:val="8"/>
                <w:color w:val="auto"/>
              </w:rPr>
              <w:t>(1)</w:t>
            </w:r>
          </w:p>
        </w:tc>
        <w:tc>
          <w:tcPr>
            <w:tcW w:w="180" w:type="dxa"/>
            <w:vAlign w:val="bottom"/>
          </w:tcPr>
          <w:p>
            <w:pPr>
              <w:spacing w:after="0"/>
              <w:rPr>
                <w:sz w:val="22"/>
                <w:szCs w:val="22"/>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22"/>
                <w:szCs w:val="22"/>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of sales</w:t>
            </w:r>
          </w:p>
        </w:tc>
      </w:tr>
      <w:tr>
        <w:trPr>
          <w:trHeight w:val="210"/>
        </w:trPr>
        <w:tc>
          <w:tcPr>
            <w:tcW w:w="5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6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6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24,508</w:t>
            </w:r>
          </w:p>
        </w:tc>
        <w:tc>
          <w:tcPr>
            <w:tcW w:w="16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16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6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6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0.7</w:t>
            </w:r>
          </w:p>
        </w:tc>
      </w:tr>
      <w:tr>
        <w:trPr>
          <w:trHeight w:val="22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29,756</w:t>
            </w:r>
          </w:p>
        </w:tc>
        <w:tc>
          <w:tcPr>
            <w:tcW w:w="16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11.4 %</w:t>
            </w:r>
          </w:p>
        </w:tc>
        <w:tc>
          <w:tcPr>
            <w:tcW w:w="32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40,675</w:t>
            </w:r>
          </w:p>
        </w:tc>
        <w:tc>
          <w:tcPr>
            <w:tcW w:w="16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-10795</wp:posOffset>
            </wp:positionV>
            <wp:extent cx="7975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7560" cy="17145"/>
                    </a:xfrm>
                    <a:prstGeom prst="rect">
                      <a:avLst/>
                    </a:prstGeom>
                    <a:noFill/>
                  </pic:spPr>
                </pic:pic>
              </a:graphicData>
            </a:graphic>
          </wp:anchor>
        </w:drawing>
        <w:drawing>
          <wp:anchor simplePos="0" relativeHeight="251657728" behindDoc="1" locked="0" layoutInCell="0" allowOverlap="1">
            <wp:simplePos x="0" y="0"/>
            <wp:positionH relativeFrom="column">
              <wp:posOffset>4065270</wp:posOffset>
            </wp:positionH>
            <wp:positionV relativeFrom="paragraph">
              <wp:posOffset>-10795</wp:posOffset>
            </wp:positionV>
            <wp:extent cx="6686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8655" cy="17145"/>
                    </a:xfrm>
                    <a:prstGeom prst="rect">
                      <a:avLst/>
                    </a:prstGeom>
                    <a:noFill/>
                  </pic:spPr>
                </pic:pic>
              </a:graphicData>
            </a:graphic>
          </wp:anchor>
        </w:drawing>
      </w:r>
    </w:p>
    <w:p>
      <w:pPr>
        <w:ind w:left="144" w:hanging="144"/>
        <w:spacing w:after="0"/>
        <w:tabs>
          <w:tab w:leader="none" w:pos="144"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Amounts do not foot due to rounding.</w:t>
      </w:r>
    </w:p>
    <w:p>
      <w:pPr>
        <w:spacing w:after="0" w:line="216" w:lineRule="exact"/>
        <w:rPr>
          <w:sz w:val="20"/>
          <w:szCs w:val="20"/>
          <w:color w:val="auto"/>
        </w:rPr>
      </w:pPr>
    </w:p>
    <w:p>
      <w:pPr>
        <w:ind w:left="4" w:right="240"/>
        <w:spacing w:after="0" w:line="258" w:lineRule="auto"/>
        <w:rPr>
          <w:sz w:val="20"/>
          <w:szCs w:val="20"/>
          <w:color w:val="auto"/>
        </w:rPr>
      </w:pPr>
      <w:r>
        <w:rPr>
          <w:rFonts w:ascii="Times New Roman" w:cs="Times New Roman" w:eastAsia="Times New Roman" w:hAnsi="Times New Roman"/>
          <w:sz w:val="18"/>
          <w:szCs w:val="18"/>
          <w:color w:val="auto"/>
        </w:rPr>
        <w:t>We calculate pretax return on capital employed by taking income from operations divided by capital employed. Capital employed equals total assets less accounts payable, income taxes payable, other accrued liabilities, lease liability, deferred rent and other long-term liabilities. We believe this non-GAAP financial measure is useful in assessing the effectiveness of our capital allocation over time. Other companies may calculate pretax return on capital employed differently, which limits the usefulness of the measure for comparative purposes.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calculation of pretax return on capital employed is as follows:</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Pr>
          <w:p>
            <w:pPr>
              <w:spacing w:after="0"/>
              <w:rPr>
                <w:sz w:val="24"/>
                <w:szCs w:val="24"/>
                <w:color w:val="auto"/>
              </w:rPr>
            </w:pPr>
          </w:p>
        </w:tc>
        <w:tc>
          <w:tcPr>
            <w:tcW w:w="268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1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r>
              <w:rPr>
                <w:rFonts w:ascii="Times New Roman" w:cs="Times New Roman" w:eastAsia="Times New Roman" w:hAnsi="Times New Roman"/>
                <w:sz w:val="8"/>
                <w:szCs w:val="8"/>
                <w:color w:val="auto"/>
              </w:rPr>
              <w:t>(1)</w:t>
            </w:r>
          </w:p>
        </w:tc>
        <w:tc>
          <w:tcPr>
            <w:tcW w:w="18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2018</w:t>
            </w:r>
            <w:r>
              <w:rPr>
                <w:rFonts w:ascii="Times New Roman" w:cs="Times New Roman" w:eastAsia="Times New Roman" w:hAnsi="Times New Roman"/>
                <w:sz w:val="8"/>
                <w:szCs w:val="8"/>
                <w:color w:val="auto"/>
              </w:rPr>
              <w:t>(1)</w:t>
            </w:r>
          </w:p>
        </w:tc>
        <w:tc>
          <w:tcPr>
            <w:tcW w:w="3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 (trailing twelve months)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13,769</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389,561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281,996</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Accounts payable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(25,280)</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Income tax payable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Other accrued liabilities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(26,119)</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(26,751)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Lease liability</w:t>
            </w:r>
            <w:r>
              <w:rPr>
                <w:rFonts w:ascii="Times New Roman" w:cs="Times New Roman" w:eastAsia="Times New Roman" w:hAnsi="Times New Roman"/>
                <w:sz w:val="8"/>
                <w:szCs w:val="8"/>
                <w:color w:val="auto"/>
              </w:rPr>
              <w:t>(2)</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(114,490)</w:t>
            </w:r>
          </w:p>
        </w:tc>
        <w:tc>
          <w:tcPr>
            <w:tcW w:w="22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(42,401)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Other long-term liabilities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(3,669)</w:t>
            </w:r>
          </w:p>
        </w:tc>
        <w:tc>
          <w:tcPr>
            <w:tcW w:w="2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Employed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179,412</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Return on Capital Employed</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20" w:hanging="4"/>
        <w:spacing w:after="0" w:line="261" w:lineRule="auto"/>
        <w:tabs>
          <w:tab w:leader="none" w:pos="157"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ind w:left="144" w:hanging="144"/>
        <w:spacing w:after="0"/>
        <w:tabs>
          <w:tab w:leader="none" w:pos="144"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Represents the average lease liability and deferred rent account balances for the four quarters ended as of each of the balance sheet dates.</w:t>
      </w:r>
    </w:p>
    <w:p>
      <w:pPr>
        <w:spacing w:after="0" w:line="207" w:lineRule="exact"/>
        <w:rPr>
          <w:sz w:val="20"/>
          <w:szCs w:val="20"/>
          <w:color w:val="auto"/>
        </w:rPr>
      </w:pPr>
    </w:p>
    <w:p>
      <w:pPr>
        <w:ind w:left="4" w:right="200"/>
        <w:spacing w:after="0" w:line="255" w:lineRule="auto"/>
        <w:rPr>
          <w:sz w:val="20"/>
          <w:szCs w:val="20"/>
          <w:color w:val="auto"/>
        </w:rPr>
      </w:pPr>
      <w:r>
        <w:rPr>
          <w:rFonts w:ascii="Times New Roman" w:cs="Times New Roman" w:eastAsia="Times New Roman" w:hAnsi="Times New Roman"/>
          <w:sz w:val="18"/>
          <w:szCs w:val="18"/>
          <w:color w:val="auto"/>
        </w:rPr>
        <w:t>Our management does not consider these non-GAAP financial measures in isolation or as an alternative to financial measures determined in accordance with GAAP. The principal limitation of these non-GAAP financial measures is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its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08" w:right="8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the three months ended September 30, 2019 to the three months ended September 30, 2018</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4"/>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8"/>
                <w:szCs w:val="8"/>
                <w:color w:val="auto"/>
              </w:rPr>
              <w:t>(1)</w:t>
            </w:r>
          </w:p>
        </w:tc>
        <w:tc>
          <w:tcPr>
            <w:tcW w:w="420" w:type="dxa"/>
            <w:vAlign w:val="bottom"/>
          </w:tcPr>
          <w:p>
            <w:pPr>
              <w:spacing w:after="0"/>
              <w:rPr>
                <w:sz w:val="24"/>
                <w:szCs w:val="24"/>
                <w:color w:val="auto"/>
              </w:rPr>
            </w:pPr>
          </w:p>
        </w:tc>
        <w:tc>
          <w:tcPr>
            <w:tcW w:w="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4"/>
              </w:rPr>
              <w:t>2018</w:t>
            </w:r>
          </w:p>
        </w:tc>
        <w:tc>
          <w:tcPr>
            <w:tcW w:w="16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8"/>
                <w:szCs w:val="8"/>
                <w:color w:val="auto"/>
              </w:rPr>
              <w:t>(1)</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85,944</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89,259</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26,775</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31.2 %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26,248</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29.4 %</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68.8 %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63,011</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70.6 %</w:t>
            </w:r>
          </w:p>
        </w:tc>
      </w:tr>
      <w:tr>
        <w:trPr>
          <w:trHeight w:val="230"/>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59,804</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69.6 %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59,131</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66.2 %</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(1,027)</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0.3 %</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(652)</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r>
      <w:tr>
        <w:trPr>
          <w:trHeight w:val="21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2.9 %</w:t>
            </w: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8"/>
                <w:szCs w:val="18"/>
                <w:color w:val="auto"/>
              </w:rPr>
              <w:t>Amounts do not foot due to rounding.</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19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for the third quarter of 2019 decreased $3.3 million, or 3.7%, compared with the third quarter of 2018, primarily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$3.1 million decrease in net sales generated by comparable stores. The decrease in sales at comparable stores for the three months ended September 30, 2019 was due to weaker store traffic. In addition, net sales generated by stores not included in the comparable store base decreased $0.2 million.</w:t>
      </w:r>
    </w:p>
    <w:p>
      <w:pPr>
        <w:spacing w:after="0" w:line="177"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third quarter of 2019 decreased $3.8 million, or 6.1%, compared with the third quarter of 2018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a decrease in net sales. The gross margin rate was 68.8% and 70.6% for the three months ended September 30, 2019 and 2018, respectively. The decrease in gross margin rate was primarily due to higher levels of shrink and damaged inventory write-offs combined with a lower freight collection rate.</w:t>
      </w:r>
    </w:p>
    <w:p>
      <w:pPr>
        <w:spacing w:after="0" w:line="17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for the third quarter of 2019 increased $0.7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1.1%, compared with the third quarter of 2018. The increase in selling, general, and administrative expenses was due to an increase in advertising costs, partially offset by a decrease in legal and variable store compensation expense.</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was $1.0 million and $0.7 million for the third quarter of 2019 and 2018, respectively. The increase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higher average debt balances and higher interest rates during the third quarter of 2019.</w:t>
      </w:r>
    </w:p>
    <w:p>
      <w:pPr>
        <w:spacing w:after="0" w:line="15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Income tax provision decreased $0.9 million for the third quarter of 2019 compared with the third quarter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due to a decrease in income before income taxes. Our effective tax rate for the three months ended September 30, 2019 and 2018 was 16.5% and 20.3%, respectively.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the nine months ended September 30, 2019 to the nine months ended September 30, 2018</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4"/>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8"/>
                <w:szCs w:val="8"/>
                <w:color w:val="auto"/>
              </w:rPr>
              <w:t>(1)</w:t>
            </w:r>
          </w:p>
        </w:tc>
        <w:tc>
          <w:tcPr>
            <w:tcW w:w="420" w:type="dxa"/>
            <w:vAlign w:val="bottom"/>
          </w:tcPr>
          <w:p>
            <w:pPr>
              <w:spacing w:after="0"/>
              <w:rPr>
                <w:sz w:val="24"/>
                <w:szCs w:val="24"/>
                <w:color w:val="auto"/>
              </w:rPr>
            </w:pPr>
          </w:p>
        </w:tc>
        <w:tc>
          <w:tcPr>
            <w:tcW w:w="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4"/>
              </w:rPr>
              <w:t>2018</w:t>
            </w: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of sales</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261,755</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273,307</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79,384</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30.3 %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80,946</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29.6 %</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182,371</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69.7 %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192,361</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70.4 %</w:t>
            </w:r>
          </w:p>
        </w:tc>
      </w:tr>
      <w:tr>
        <w:trPr>
          <w:trHeight w:val="230"/>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179,314</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68.5 %</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174,928</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64.0 %</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6.4 %</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(2,948)</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(1,866)</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1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(348)</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(4,157)</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1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4.2 %</w:t>
            </w:r>
          </w:p>
        </w:tc>
      </w:tr>
    </w:tbl>
    <w:p>
      <w:pPr>
        <w:spacing w:after="0" w:line="19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for the nine months ended September 30, 2019 decreased $11.6 million, or 4.2%, compared with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2018, primarily due to a $10.8 million decrease in net sales generated by comparable stores. The decrease in sales at comparable stores for the nine months ended September 30, 2019 was due to weaker store traffic, customer experience issues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following the implementation of a new enterprise resource planning system and the launch of our new website. In addition, net sales generated by stores not included in the comparable store base decreased $0.8 million.</w:t>
      </w:r>
    </w:p>
    <w:p>
      <w:pPr>
        <w:spacing w:after="0" w:line="15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nine months ended September 30, 2019 decreased $10.0 million, or 5.2%, compared with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2018. The gross margin rate was 69.7% and 70.4% for the nine months ended September 30, 2019 and 2018, respectively. The decrease in gross margin rate was primarily due to higher levels of shrink and damaged inventory write-offs combined with a lower freight collection rate.</w:t>
      </w:r>
    </w:p>
    <w:p>
      <w:pPr>
        <w:spacing w:after="0" w:line="177" w:lineRule="exact"/>
        <w:rPr>
          <w:sz w:val="20"/>
          <w:szCs w:val="20"/>
          <w:color w:val="auto"/>
        </w:rPr>
      </w:pPr>
    </w:p>
    <w:p>
      <w:pPr>
        <w:jc w:val="both"/>
        <w:ind w:right="3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Selling, General, and Administrative Expenses </w:t>
      </w:r>
      <w:r>
        <w:rPr>
          <w:rFonts w:ascii="Times New Roman" w:cs="Times New Roman" w:eastAsia="Times New Roman" w:hAnsi="Times New Roman"/>
          <w:sz w:val="17"/>
          <w:szCs w:val="17"/>
          <w:color w:val="auto"/>
        </w:rPr>
        <w:t>Selling, general, and administrative expenses for the nine months ended September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2019 increased $4.4 million, or 2.5%, compared with the nine months ended September 30, 2018. The increase in selling, general, and administrative expenses was due to a $3.3 million increase in depreciation expense and $1.3 million increase in advertising expense.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was $2.9 million and $1.9 million for the nine months ended September 30, 2019 and 2018, respectively.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due to higher average debt balances and higher interest rates during the nine months ended September 30, 2019.</w:t>
      </w:r>
    </w:p>
    <w:p>
      <w:pPr>
        <w:spacing w:after="0" w:line="2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Income tax provision decreased $3.8 million for the nine months ended September 30, 2019 compared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nine months ended September 30, 2018 due to a decrease in income before income taxes. The decrease in the tax provision was due to lower net income before tax.</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Our principal liquidity requirements have been for working capital and capital expenditures. Our principal sources of liquidity are $8.4 million of cash and cash equivalents at September 30, 2019, our cash flow from operations, and borrowings available under our credit facility. We expect to use this liquidity for opening new stores, purchasing additional merchandise inventory, maintaining our existing stores, reducing outstanding debt, and general corporate purposes.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September 18, 2018, we and our operating subsidiary, The Tile Shop, LLC, entered into a credit agreement with Bank of America, N.A., Fifth Third Bank and Citizens Bank (the “Credit Agreement”). The Credit Agreement provides us with a senior credit facility consisting of a $100.0 million revolving line of credit through September 18, 2023. Borrowings pursuant to the Credit Agreement initially bear interest at a rate of adjusted LIBOR plus 1.75% and may bear interest in a range between adjusted LIBOR plus 1.50% to adjusted LIBOR plus 2.25%, depending on The Tile Shop’s consolidated total rent adjusted leverage ratio. At September 30, 2019, the base interest rate was 6.00% and the LIBOR-based interest rate was 4.02%. Borrowings outstanding consisted of $63.0 million on the revolving line of credit as of September 30, 2019. We also have standby letters of credit outstanding related to our workers compensation and medical insurance policies. As of September 30, 2019 and 2018, the standby letters of credit totaled $1.3 million and $1.1 million, respectively. There was $35.7 million available for borrowing on the revolving line of credit as of September 30, 2019, which may be used to support our growth and for working capital purposes.</w:t>
      </w:r>
    </w:p>
    <w:p>
      <w:pPr>
        <w:spacing w:after="0" w:line="186"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We were in compliance with the covenants as of September 30, 2019.</w:t>
      </w:r>
    </w:p>
    <w:p>
      <w:pPr>
        <w:spacing w:after="0" w:line="18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believe that our cash flow from operations, together with our existing cash and cash equivalents, and borrowings available under our credit facility, will be sufficient to fund our operations and anticipated capital expenditures over at least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Capital expenditures were $22.8 million and $22.9 million for the nine months ended September 30, 2019 and 2018, respectively. Capital expenditures made in 2019 include investments in store merchandising, store remodels, and information technology.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for the nine months ended September 30, 2019 and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7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6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7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10"/>
        </w:trPr>
        <w:tc>
          <w:tcPr>
            <w:tcW w:w="7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15,721</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(22,229)</w:t>
            </w:r>
          </w:p>
        </w:tc>
        <w:tc>
          <w:tcPr>
            <w:tcW w:w="280" w:type="dxa"/>
            <w:vAlign w:val="bottom"/>
          </w:tcPr>
          <w:p>
            <w:pPr>
              <w:spacing w:after="0"/>
              <w:rPr>
                <w:sz w:val="19"/>
                <w:szCs w:val="19"/>
                <w:color w:val="auto"/>
              </w:rPr>
            </w:pPr>
          </w:p>
        </w:tc>
        <w:tc>
          <w:tcPr>
            <w:tcW w:w="9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(22,880)</w:t>
            </w:r>
          </w:p>
        </w:tc>
      </w:tr>
      <w:tr>
        <w:trPr>
          <w:trHeight w:val="23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(8,540)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6"/>
              </w:rPr>
              <w:t>10,634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during the nine months ended September 30, 2019 was $33.6 million compared with $15.7 million during the nine months ended September 30, 2018. The increase is attributable to improved working capital management, partially offset by lower net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totaled $22.2 million for the nine months ended September 30, 2019 compared with $22.9 million for the nine months ended September 30, 2018. Net cash used in investing activities in each period was primarily for capital purchases of store fixtures, equipment, building improvements and leasehold improvements for stores opened or remodeled, asset additions in our distribution and manufacturing facilities, information technology infrastructure, and general corporate information technology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$8.5 million for the nine months ended September 30, 2019 compared with net cash provided by financing activities of $10.6 million for the nine months ended September 30, 2018. Net cash used in financing activities during the nine months ended September 30, 2019 was primarily $43.2 million for payments of long-term debt and financing lease obligations, $10.5 million for repurchases of common stock, and $7.7 million in dividends paid to stockholders, offset by advances on the revolving line of credit of $53.0 million.</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Cash and cash equivalents totaled $8.4 million at September 30, 2019 compared with $5.6 million at December 31, 2018. Working capital was $52.4 million at September 30, 2019 compared with $79.8 million at December 31, 2018. The decrease in working capital during the third quarter of 2019 was due to the new accounting standard for leases, which added a current portion of lease liability to the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September 30, 2019 and December 31, 2018,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there were no material changes to our contractual obligations outside the ordinary course of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 final standard that primarily requires organizations that lease assets to recognize the rights and obligations created by those leases on the consolidated balance sheet. This standard also requires expanded disclosures to help financial statement users better understand the amount, timing and uncertainty of cash flows arising from leases. We adopted this standard effective January 1, 2019 using a modified retrospective approach through a cumulative effect adjustment to retained earnings as of the beginning of the period of adoption.</w:t>
      </w:r>
    </w:p>
    <w:p>
      <w:pPr>
        <w:spacing w:after="0" w:line="18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right of use assets and lease liabilities on the consolidated balance sheets. The right of use assets and lease liabilities are recognized as the present value of the future minimum lease payments over the lease term at commencement date. As most of the leases do not provide an implicit rate, we use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incremental borrowing rate based on the information available at commencement date in determining the present value of future payments. The right of use asset is also adjusted for any lease payments made and excludes lease incentives and initial direct costs incurred. Our lease terms may include options to extend or terminate the lease typically at our own discretion. We regularly evaluate the renewal options and when they are reasonably certain of exercise, we include the renewal period in its lease term.</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This standard provides a number of optional practical expedients in transition. We elected the package of three practical expedients permitted under the transition guidance within this standard, which among other things, allows us to carryforward the historical lease classification. We did not separate non-lease components from lease components by class of underlying assets and we did not apply the recognition requirements of the standard to short-term leases, as allowed by the standard.</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also elected to apply the hindsight practical expedient. Our election of the hindsight practical expedient resulted in the shortening of lease terms for certain existing leases and the useful lives of corresponding leasehold improvements. In our application of the hindsight practical expedient, we considered recent investments in leased properties and our overall real estate strategy, which resulted in the determination that most renewal options would not be reasonably certain in determining the expected lease term.</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Upon adopting this standard, we established a right of use asset of $147.2 million and lease liabilities of $169.9 million, reduced deferred rent by $44.6 million, and recorded a cumulative effect adjustment to retained earnings of $22.0 million. This retained earnings impact was due to the election of the hindsight practical expedient which resulted in a decrease in the cumulative difference between the straight-line rent expense and rental payments that had been made between the inception of each lease and January 1, 2019. We also adjusted the useful life assigned to certain leasehold improvements, which resulted in a $15.3 million reduction in fixed assets and retained earnings. The net impact of the cumulative effect adjustments also resulted in a $1.7 million reduction of deferred tax assets and a corresponding adjustment to retained earnings that was recorded during the nine months ended September 30, 2019. The adoption of this standard did not have a material impact on net income or cash flows during the three and nine months ended September 30,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229"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8"/>
          <w:szCs w:val="18"/>
          <w:color w:val="auto"/>
        </w:rPr>
        <w:t>In June 2016, the FASB issued a final standard on accounting for credit losses. This standard is effective for us in fiscal year 2020 and requires a change in credit loss calculations using the expected loss method. We are evaluating the effect of this standard on our consolidated financial statements and related disclosures.</w:t>
      </w:r>
    </w:p>
    <w:p>
      <w:pPr>
        <w:spacing w:after="0" w:line="16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 August 2018, the FASB issued a final standard which provides guidance on the accounting for costs of implementation activities performed in a cloud computing arrangement that is a service contract. The standard requires customers of cloud computing services to recognize an intangible asset for the software license and, to the extent that payments attributable to the software license are made over time, a liability is also recognized. The standard also allows customers of cloud computing services to capitalize certain implementation costs. The standard is effective for fiscal years, and interim periods within those fiscal years, beginning after December 15, 2019. The standard will become effective for us at the beginning of its fiscal year 2020, although early adoption is permitted for all entities. We are evaluating the effect of the standard on our consolidated financial statements and related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our Annual Report on Form 10-K for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Securities and Exchange Commission,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September 30, 2019 and have concluded that our disclosure controls and procedures were not effective as of September 30, 2019 due to material weaknesses in our internal control over financial reporting as described below.</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On January 1, 2019, we implemented a new enterprise resource planning (“ERP”) system on a company-wide basis. As previously disclosed, during the nine months ended September 30, 2019, we identified two material weaknesses in internal control over financial reporting that arose from the new ERP system implementation. The two material weaknesses 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17" w:right="9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9" w:lineRule="exact"/>
        <w:rPr>
          <w:sz w:val="20"/>
          <w:szCs w:val="20"/>
          <w:color w:val="auto"/>
        </w:rPr>
      </w:pPr>
    </w:p>
    <w:p>
      <w:pPr>
        <w:ind w:left="640" w:right="180" w:hanging="320"/>
        <w:spacing w:after="0" w:line="255"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ineffective design and implementation of effective controls with respect to the ERP system conversion. Specifically, we did not exercise sufficient corporate governance and oversight, design effective controls over the ERP implementation to ensure appropriate data conversion and data integrity, or provide sufficient end user training to our employees to ensure that our employees could effectively operate the system and carry out their responsibilities.</w:t>
      </w:r>
    </w:p>
    <w:p>
      <w:pPr>
        <w:spacing w:after="0" w:line="2" w:lineRule="exact"/>
        <w:rPr>
          <w:rFonts w:ascii="Times New Roman" w:cs="Times New Roman" w:eastAsia="Times New Roman" w:hAnsi="Times New Roman"/>
          <w:sz w:val="18"/>
          <w:szCs w:val="18"/>
          <w:color w:val="auto"/>
        </w:rPr>
      </w:pPr>
    </w:p>
    <w:p>
      <w:pPr>
        <w:ind w:left="640" w:right="80" w:hanging="320"/>
        <w:spacing w:after="0" w:line="273"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ineffective design and implementation of information technology (“IT”) general controls for the ERP system that are relevant to the preparation of our financial statements. Specifically, we did not (i) maintain adequate control over user access to the ERP system to ensure appropriate segregation of duties and to restrict access to financial applications and data; and (ii) maintain adequate documentation practices surrounding management and control of IT changes affecting financial IT applications.</w:t>
      </w:r>
    </w:p>
    <w:p>
      <w:pPr>
        <w:spacing w:after="0" w:line="17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have adjusted, and intend to consider further adjustments to, our previously disclosed plans relating to addressing these material weaknesses. As discussed in Part I, Item 2 of this Quarterly Report on Form 10-Q, we announced on October 22, 2019 our intention to delist our common stock from the Nasdaq and deregister our common stock with the SEC. Upon the effectiveness of the deregistration with the SEC, our obligations of associated with being an Exchange Act-registered company, including the requirement to file current and periodic reports, will terminate.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No changes to our internal control over financial reporting occurred during the quarter ended September 30, 2019 that have materially affected, or are reasonably likely to materially affect, our internal control over financial reporting (as defined in Rules 13a-15(f) and 15d-15(f) under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from time to time, subject to claims and disputes arising in the normal course of business. In the opinion of management, while the outcome of such claims and disputes cannot be predicted with certainty, our ultimate liability in connection with these matters is not expected to have a material adverse effect on our results of operations, financial position,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31, 2018 other than with respect to the risk factors discussed below.</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Implementation of our new enterprise resource planning system has adversely impacted and could continue to negatively affect our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rely extensively on our information technology (“IT”) systems to assist us in managing our business and summarizing our operational results. On January 1, 2019 we deployed a company-wide new enterprise resource planning (“ERP”) system. The new ERP system was implemented to position the Company for long-term growth, further enhance operating efficiencies and provide more effective management of our business operations, including sales order processing, inventory control, purchasing and supply chain management, and financial reporting. Implementing the new ERP system has been costly and has required, and may continue to require, the investment of significant personnel and financial resources. In addition to the risks inherent in the conversion to any new IT system, including the loss of information, disruption to our normal operations, and changes in accounting procedures, the implementation of our new ERP system has resulted in operational and reporting disruptions related to the conversion of existing customer orders, processing of new customer orders and maintaining an effective internal control environment.</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Failure to properly or adequately address any issues with our new ERP system could result in increased costs and the diversion of management’s and employees’ attention and resources and could materially adversely affect our operating results, internal control over financial reporting and ability to manage our business effectively. While the ERP system is intended to further improve and enhance our information management systems, the ongoing implementation of this new ERP system exposes us to the risks of integrating that system with our existing systems and processes, including possible continued disruption of our financial reporting.</w:t>
      </w:r>
    </w:p>
    <w:p>
      <w:pPr>
        <w:spacing w:after="0" w:line="1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two material weaknesses in our internal control over financial reporting which, if not remediated, could result in material misstatements of our financial statements.</w:t>
      </w:r>
    </w:p>
    <w:p>
      <w:pPr>
        <w:spacing w:after="0" w:line="15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identified material weaknesses in internal control over financial reporting that pertain to our ERP system conversion that took place on January 1, 2019 involving (1) the ineffective design and implementation of effective controls with respect to the ERP system conversion, and (2) the ineffective design and implementation of IT general controls for information systems that are relevant to the preparation of financial statements. A material weakness is a deficiency, or combination of deficiencies, in internal control over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17" w:right="9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material weaknesses could adversely impact our ability to record, process and report financial information accurately, and to prepare financial statements within the time periods specified by the rules and forms of the Securities and Exchange Commission. This failure could negatively affect the market price and trading liquidity of our common stock, cause investors to lose confidence in our reported financial information, subject us to civil and criminal investigations and penalties and materially and adversely impact our business and financial condition. We are adjusting our previously announced plans to address the material weaknesses following our announcement that we plan to delist from Nasdaq and deregister our common stock. We cannot ensure that we will not identify additional material weaknesses in our internal control over financing reporting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delist our common stock from the Nasdaq Stock Market and deregister our common stock under the Exchange Act.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previously disclosed, we have given notice to the Nasdaq Stock Market (“Nasdaq”) of our intent to voluntarily delist our common stock from Nasdaq and to deregister our common stock under the Exchange Act. We intend to file a Form 25 with the SEC on or about November 1, 2019 in order to delist our common stock from Nasdaq, which will terminate the registration of our common stock under Section 12(b) of the Exchange Act ten days thereafter. We anticipate that the last day of trading on Nasdaq will be on or about November 8, 2019. Our common stock may thereafter be eligible for trading on an over-the-counter market, if one or more brokers chooses to make a market for our common stock; however, there can be no assurances regarding any such trading.</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or about November 12, 2019, we intend to file a Form 15 with the SEC, at which time we anticipate that our obligation to file periodic reports under the Exchange Act, including annual reports on Form 10-K, quarterly reports on Form 10-Q, and current reports on Form 8-K will be suspended, and that all requirements associated with being an Exchange Act-registered company, including the requirement to file current and periodic reports, will terminate 90 days thereafter. Accordingly, there will be significantly less information regarding us available to stockholders and potential investors.</w:t>
      </w:r>
    </w:p>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Following delisting and deregistration, the combination of this reduced amount of information and the likelihood of reduced liquidity in the over-the-counter trading environment may impact the value of our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27" w:name="page28"/>
    <w:bookmarkEnd w:id="27"/>
    <w:p>
      <w:pPr>
        <w:ind w:left="4"/>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255"/>
              <w:spacing w:after="0"/>
              <w:rPr>
                <w:sz w:val="20"/>
                <w:szCs w:val="20"/>
                <w:color w:val="auto"/>
              </w:rPr>
            </w:pPr>
            <w:r>
              <w:rPr>
                <w:rFonts w:ascii="Times New Roman" w:cs="Times New Roman" w:eastAsia="Times New Roman" w:hAnsi="Times New Roman"/>
                <w:sz w:val="18"/>
                <w:szCs w:val="18"/>
                <w:color w:val="auto"/>
              </w:rPr>
              <w:t>Approximate</w:t>
            </w:r>
          </w:p>
        </w:tc>
      </w:tr>
      <w:tr>
        <w:trPr>
          <w:trHeight w:val="216"/>
        </w:trPr>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255"/>
              <w:spacing w:after="0"/>
              <w:rPr>
                <w:sz w:val="20"/>
                <w:szCs w:val="20"/>
                <w:color w:val="auto"/>
              </w:rPr>
            </w:pPr>
            <w:r>
              <w:rPr>
                <w:rFonts w:ascii="Times New Roman" w:cs="Times New Roman" w:eastAsia="Times New Roman" w:hAnsi="Times New Roman"/>
                <w:sz w:val="18"/>
                <w:szCs w:val="18"/>
                <w:color w:val="auto"/>
                <w:w w:val="99"/>
              </w:rPr>
              <w:t>Dollar Value of</w:t>
            </w:r>
          </w:p>
        </w:tc>
      </w:tr>
      <w:tr>
        <w:trPr>
          <w:trHeight w:val="216"/>
        </w:trPr>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255"/>
              <w:spacing w:after="0"/>
              <w:rPr>
                <w:sz w:val="20"/>
                <w:szCs w:val="20"/>
                <w:color w:val="auto"/>
              </w:rPr>
            </w:pPr>
            <w:r>
              <w:rPr>
                <w:rFonts w:ascii="Times New Roman" w:cs="Times New Roman" w:eastAsia="Times New Roman" w:hAnsi="Times New Roman"/>
                <w:sz w:val="18"/>
                <w:szCs w:val="18"/>
                <w:color w:val="auto"/>
                <w:w w:val="99"/>
              </w:rPr>
              <w:t>Shares that May</w:t>
            </w:r>
          </w:p>
        </w:tc>
      </w:tr>
      <w:tr>
        <w:trPr>
          <w:trHeight w:val="216"/>
        </w:trPr>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Part of</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255"/>
              <w:spacing w:after="0"/>
              <w:rPr>
                <w:sz w:val="20"/>
                <w:szCs w:val="20"/>
                <w:color w:val="auto"/>
              </w:rPr>
            </w:pPr>
            <w:r>
              <w:rPr>
                <w:rFonts w:ascii="Times New Roman" w:cs="Times New Roman" w:eastAsia="Times New Roman" w:hAnsi="Times New Roman"/>
                <w:sz w:val="18"/>
                <w:szCs w:val="18"/>
                <w:color w:val="auto"/>
                <w:w w:val="98"/>
              </w:rPr>
              <w:t>Yet be Purchased</w:t>
            </w:r>
          </w:p>
        </w:tc>
      </w:tr>
      <w:tr>
        <w:trPr>
          <w:trHeight w:val="216"/>
        </w:trPr>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Publicly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255"/>
              <w:spacing w:after="0"/>
              <w:rPr>
                <w:sz w:val="20"/>
                <w:szCs w:val="20"/>
                <w:color w:val="auto"/>
              </w:rPr>
            </w:pPr>
            <w:r>
              <w:rPr>
                <w:rFonts w:ascii="Times New Roman" w:cs="Times New Roman" w:eastAsia="Times New Roman" w:hAnsi="Times New Roman"/>
                <w:sz w:val="18"/>
                <w:szCs w:val="18"/>
                <w:color w:val="auto"/>
                <w:w w:val="99"/>
              </w:rPr>
              <w:t>Under Plans or</w:t>
            </w:r>
          </w:p>
        </w:tc>
      </w:tr>
      <w:tr>
        <w:trPr>
          <w:trHeight w:val="216"/>
        </w:trPr>
        <w:tc>
          <w:tcPr>
            <w:tcW w:w="41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Average Price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Announced Plans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255"/>
              <w:spacing w:after="0"/>
              <w:rPr>
                <w:sz w:val="20"/>
                <w:szCs w:val="20"/>
                <w:color w:val="auto"/>
              </w:rPr>
            </w:pPr>
            <w:r>
              <w:rPr>
                <w:rFonts w:ascii="Times New Roman" w:cs="Times New Roman" w:eastAsia="Times New Roman" w:hAnsi="Times New Roman"/>
                <w:sz w:val="18"/>
                <w:szCs w:val="18"/>
                <w:color w:val="auto"/>
                <w:w w:val="98"/>
              </w:rPr>
              <w:t>Programs</w:t>
            </w:r>
          </w:p>
        </w:tc>
      </w:tr>
      <w:tr>
        <w:trPr>
          <w:trHeight w:val="234"/>
        </w:trPr>
        <w:tc>
          <w:tcPr>
            <w:tcW w:w="41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Paid per Share</w:t>
            </w:r>
          </w:p>
        </w:tc>
        <w:tc>
          <w:tcPr>
            <w:tcW w:w="2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Program</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CCEEFF"/>
            </w:tcBorders>
          </w:tcPr>
          <w:p>
            <w:pPr>
              <w:spacing w:after="0"/>
              <w:rPr>
                <w:sz w:val="20"/>
                <w:szCs w:val="20"/>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2019 - July 31, 2019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48,053</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w w:val="94"/>
              </w:rPr>
              <w:t>(1)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0.94</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9"/>
                <w:szCs w:val="9"/>
                <w:color w:val="auto"/>
                <w:w w:val="75"/>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22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August 1, 2019 - August 31, 2019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w w:val="94"/>
              </w:rPr>
              <w:t>(2)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xml:space="preserve">0.00 </w:t>
            </w:r>
            <w:r>
              <w:rPr>
                <w:rFonts w:ascii="Times New Roman" w:cs="Times New Roman" w:eastAsia="Times New Roman" w:hAnsi="Times New Roman"/>
                <w:sz w:val="8"/>
                <w:szCs w:val="8"/>
                <w:color w:val="auto"/>
              </w:rPr>
              <w:t>(2)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22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2019 - September 30, 2019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58,297</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9"/>
                <w:szCs w:val="9"/>
                <w:color w:val="auto"/>
                <w:w w:val="94"/>
              </w:rPr>
              <w:t>(2)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xml:space="preserve">0.00 </w:t>
            </w:r>
            <w:r>
              <w:rPr>
                <w:rFonts w:ascii="Times New Roman" w:cs="Times New Roman" w:eastAsia="Times New Roman" w:hAnsi="Times New Roman"/>
                <w:sz w:val="8"/>
                <w:szCs w:val="8"/>
                <w:color w:val="auto"/>
              </w:rPr>
              <w:t>(2)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220" w:type="dxa"/>
            <w:vAlign w:val="bottom"/>
            <w:shd w:val="clear" w:color="auto" w:fill="CCEEFF"/>
          </w:tcPr>
          <w:p>
            <w:pPr>
              <w:spacing w:after="0"/>
              <w:rPr>
                <w:sz w:val="18"/>
                <w:szCs w:val="18"/>
                <w:color w:val="auto"/>
              </w:rPr>
            </w:pPr>
          </w:p>
        </w:tc>
      </w:tr>
      <w:tr>
        <w:trPr>
          <w:trHeight w:val="228"/>
        </w:trPr>
        <w:tc>
          <w:tcPr>
            <w:tcW w:w="418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112,740</w:t>
            </w:r>
          </w:p>
        </w:tc>
        <w:tc>
          <w:tcPr>
            <w:tcW w:w="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w w:val="94"/>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2658745</wp:posOffset>
            </wp:positionH>
            <wp:positionV relativeFrom="paragraph">
              <wp:posOffset>-10795</wp:posOffset>
            </wp:positionV>
            <wp:extent cx="363601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ind w:left="324" w:right="100" w:hanging="324"/>
        <w:spacing w:after="0" w:line="25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10,994 shares were withheld by the Company to satisfy tax withholding obligations due upon the vesting of restricted stock grants, as allowed by the 2012 Omnibus Incentive Plan. The Company did not pay cash to repurchase these shares, nor were these repurchases part of a publicly announced plan or program. An additional 37,059 shares were repurchased by the Company pursuant to the terms of the underlying restricted stock agreements, as allowed by the 2012 Omnibus Incentive Plan. The Company paid $0.0001 per share, the par value, to repurchase these shares. These repurchases were not part of a publicly announced plan or program.</w:t>
      </w:r>
    </w:p>
    <w:p>
      <w:pPr>
        <w:spacing w:after="0" w:line="2" w:lineRule="exact"/>
        <w:rPr>
          <w:rFonts w:ascii="Times New Roman" w:cs="Times New Roman" w:eastAsia="Times New Roman" w:hAnsi="Times New Roman"/>
          <w:sz w:val="18"/>
          <w:szCs w:val="18"/>
          <w:color w:val="auto"/>
        </w:rPr>
      </w:pPr>
    </w:p>
    <w:p>
      <w:pPr>
        <w:ind w:left="324" w:right="60" w:hanging="324"/>
        <w:spacing w:after="0" w:line="250"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were repurchased by the Company pursuant to the terms of the underlying restricted stock agreements, as allowed by the 2012 Omnibus Incentive Plan. The Company paid $0.0001 per share, the par value, to repurchase these shares. These repurchases were not part of a publicly announced plan or program.</w:t>
      </w:r>
    </w:p>
    <w:p>
      <w:pPr>
        <w:spacing w:after="0" w:line="1" w:lineRule="exact"/>
        <w:rPr>
          <w:rFonts w:ascii="Times New Roman" w:cs="Times New Roman" w:eastAsia="Times New Roman" w:hAnsi="Times New Roman"/>
          <w:sz w:val="18"/>
          <w:szCs w:val="18"/>
          <w:color w:val="auto"/>
        </w:rPr>
      </w:pPr>
    </w:p>
    <w:p>
      <w:pPr>
        <w:ind w:left="324" w:right="160" w:hanging="324"/>
        <w:spacing w:after="0" w:line="254"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29, 2019, the Company’s Board of Directors authorized a share repurchase program (the “Program”), pursuant to which the Company was able to, from time to time, purchase shares of its common stock for an aggregate repurchase price not to exceed $15.0 million. The Program began on May 2, 2019 and was to continue indefinitely until the full repurchase amount had been utilized or the Board of Directors terminated the Program. The Board of Directors terminated the Program on October 18, 2019.</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646557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7" w:right="879" w:bottom="1440" w:gutter="0" w:footer="0" w:header="0"/>
        </w:sectPr>
      </w:pPr>
    </w:p>
    <w:bookmarkStart w:id="28" w:name="page29"/>
    <w:bookmarkEnd w:id="28"/>
    <w:p>
      <w:pPr>
        <w:ind w:left="160"/>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Exhibits</w:t>
      </w:r>
    </w:p>
    <w:tbl>
      <w:tblPr>
        <w:tblLayout w:type="fixed"/>
        <w:tblInd w:w="1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0" w:type="dxa"/>
            <w:vAlign w:val="bottom"/>
            <w:gridSpan w:val="2"/>
            <w:shd w:val="clear" w:color="auto" w:fill="CCEEFF"/>
          </w:tcPr>
          <w:p>
            <w:pPr>
              <w:spacing w:after="0" w:line="203"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80" w:type="dxa"/>
            <w:vAlign w:val="bottom"/>
            <w:gridSpan w:val="13"/>
            <w:shd w:val="clear" w:color="auto" w:fill="CCEEFF"/>
          </w:tcPr>
          <w:p>
            <w:pPr>
              <w:spacing w:after="0" w:line="203"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Certificate of Incorporation of Tile Shop Holdings, Inc. (incorporated by reference to Exhibit 3.1 to the Company’s Registration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20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Statement on Form S-4 (Reg. No. 333-182482) filed with the Securities and Exchange Commission on July 2, 2012).</w:t>
              </w:r>
            </w:hyperlink>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66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9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2"/>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80" w:type="dxa"/>
            <w:vAlign w:val="bottom"/>
            <w:gridSpan w:val="13"/>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By-Laws of Tile Shop Holdings, Inc. (incorporated by reference to Exhibit 3.2 to the Company’s Registration Statement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Form S-4 (Reg. No. 333-182482) filed with the Securities and Exchange Commission on July 2, 2012).</w:t>
              </w:r>
            </w:hyperlink>
          </w:p>
        </w:tc>
        <w:tc>
          <w:tcPr>
            <w:tcW w:w="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6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8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Specimen Common Stock Certificate (incorporated by reference to Exhibit 4.1 of Amendment No. 1 to the Company’s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80" w:type="dxa"/>
            <w:vAlign w:val="bottom"/>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Registration Statement on Form S-4 (Reg. No. 333-182482) filed with the Securities and Exchange Commission on July 23,</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2012).</w:t>
              </w:r>
            </w:hyperlink>
          </w:p>
        </w:tc>
        <w:tc>
          <w:tcPr>
            <w:tcW w:w="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98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right w:val="single" w:sz="8" w:color="CCEEFF"/>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66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3"/>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340" w:type="dxa"/>
            <w:vAlign w:val="bottom"/>
          </w:tcPr>
          <w:p>
            <w:pPr>
              <w:spacing w:after="0"/>
              <w:rPr>
                <w:sz w:val="15"/>
                <w:szCs w:val="15"/>
                <w:color w:val="auto"/>
              </w:rPr>
            </w:pPr>
          </w:p>
        </w:tc>
        <w:tc>
          <w:tcPr>
            <w:tcW w:w="9280" w:type="dxa"/>
            <w:vAlign w:val="bottom"/>
            <w:gridSpan w:val="13"/>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Employment Agreement, by and between the Company and Nancy DiMattia, dated September 6, 2019.</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6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340" w:type="dxa"/>
            <w:vAlign w:val="bottom"/>
            <w:shd w:val="clear" w:color="auto" w:fill="CCEEFF"/>
          </w:tcPr>
          <w:p>
            <w:pPr>
              <w:spacing w:after="0"/>
              <w:rPr>
                <w:sz w:val="15"/>
                <w:szCs w:val="15"/>
                <w:color w:val="auto"/>
              </w:rPr>
            </w:pPr>
          </w:p>
        </w:tc>
        <w:tc>
          <w:tcPr>
            <w:tcW w:w="928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Employment Agreement, by and between the Company and Mark Davis, dated September 6, 2019.</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66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3"/>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340" w:type="dxa"/>
            <w:vAlign w:val="bottom"/>
          </w:tcPr>
          <w:p>
            <w:pPr>
              <w:spacing w:after="0"/>
              <w:rPr>
                <w:sz w:val="15"/>
                <w:szCs w:val="15"/>
                <w:color w:val="auto"/>
              </w:rPr>
            </w:pPr>
          </w:p>
        </w:tc>
        <w:tc>
          <w:tcPr>
            <w:tcW w:w="9280" w:type="dxa"/>
            <w:vAlign w:val="bottom"/>
            <w:gridSpan w:val="13"/>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Amendment to Terms of Employment, by and between the Company and Kirk Geadelmann, dated September 6, 2019.</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6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340" w:type="dxa"/>
            <w:vAlign w:val="bottom"/>
            <w:shd w:val="clear" w:color="auto" w:fill="CCEEFF"/>
          </w:tcPr>
          <w:p>
            <w:pPr>
              <w:spacing w:after="0"/>
              <w:rPr>
                <w:sz w:val="15"/>
                <w:szCs w:val="15"/>
                <w:color w:val="auto"/>
              </w:rPr>
            </w:pPr>
          </w:p>
        </w:tc>
        <w:tc>
          <w:tcPr>
            <w:tcW w:w="928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Certification of Chief Executive Officer Pursuant to Section 302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66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3"/>
          </w:tcPr>
          <w:p>
            <w:pPr>
              <w:spacing w:after="0" w:line="17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340" w:type="dxa"/>
            <w:vAlign w:val="bottom"/>
          </w:tcPr>
          <w:p>
            <w:pPr>
              <w:spacing w:after="0"/>
              <w:rPr>
                <w:sz w:val="15"/>
                <w:szCs w:val="15"/>
                <w:color w:val="auto"/>
              </w:rPr>
            </w:pPr>
          </w:p>
        </w:tc>
        <w:tc>
          <w:tcPr>
            <w:tcW w:w="9280" w:type="dxa"/>
            <w:vAlign w:val="bottom"/>
            <w:gridSpan w:val="13"/>
          </w:tcPr>
          <w:p>
            <w:pPr>
              <w:spacing w:after="0" w:line="17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Certification of Chief Financial Officer Pursuant to Section 302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6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w w:val="92"/>
              </w:rPr>
            </w:pPr>
            <w:hyperlink w:anchor="page85">
              <w:r>
                <w:rPr>
                  <w:rFonts w:ascii="Times New Roman" w:cs="Times New Roman" w:eastAsia="Times New Roman" w:hAnsi="Times New Roman"/>
                  <w:sz w:val="18"/>
                  <w:szCs w:val="18"/>
                  <w:color w:val="0000EE"/>
                  <w:w w:val="92"/>
                </w:rPr>
                <w:t>32.</w:t>
              </w:r>
              <w:r>
                <w:rPr>
                  <w:rFonts w:ascii="Times New Roman" w:cs="Times New Roman" w:eastAsia="Times New Roman" w:hAnsi="Times New Roman"/>
                  <w:sz w:val="18"/>
                  <w:szCs w:val="18"/>
                  <w:u w:val="single" w:color="auto"/>
                  <w:color w:val="0000EE"/>
                  <w:w w:val="92"/>
                </w:rPr>
                <w:t>1**</w:t>
              </w:r>
            </w:hyperlink>
          </w:p>
        </w:tc>
        <w:tc>
          <w:tcPr>
            <w:tcW w:w="340" w:type="dxa"/>
            <w:vAlign w:val="bottom"/>
            <w:shd w:val="clear" w:color="auto" w:fill="CCEEFF"/>
          </w:tcPr>
          <w:p>
            <w:pPr>
              <w:spacing w:after="0"/>
              <w:rPr>
                <w:sz w:val="15"/>
                <w:szCs w:val="15"/>
                <w:color w:val="auto"/>
              </w:rPr>
            </w:pPr>
          </w:p>
        </w:tc>
        <w:tc>
          <w:tcPr>
            <w:tcW w:w="928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Certifications of Chief Executive Officer Pursuant to Section 906 of the Sarbanes Oxley Act of 2002.</w:t>
              </w:r>
            </w:hyperlink>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0000EE"/>
            </w:tcBorders>
            <w:shd w:val="clear" w:color="auto" w:fill="CCEEFF"/>
          </w:tcPr>
          <w:p>
            <w:pPr>
              <w:spacing w:after="0"/>
              <w:rPr>
                <w:sz w:val="17"/>
                <w:szCs w:val="17"/>
                <w:color w:val="auto"/>
              </w:rPr>
            </w:pPr>
          </w:p>
        </w:tc>
        <w:tc>
          <w:tcPr>
            <w:tcW w:w="66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48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w w:val="92"/>
              </w:rPr>
            </w:pPr>
            <w:hyperlink w:anchor="page86">
              <w:r>
                <w:rPr>
                  <w:rFonts w:ascii="Times New Roman" w:cs="Times New Roman" w:eastAsia="Times New Roman" w:hAnsi="Times New Roman"/>
                  <w:sz w:val="18"/>
                  <w:szCs w:val="18"/>
                  <w:color w:val="0000EE"/>
                  <w:w w:val="92"/>
                </w:rPr>
                <w:t>32.</w:t>
              </w:r>
              <w:r>
                <w:rPr>
                  <w:rFonts w:ascii="Times New Roman" w:cs="Times New Roman" w:eastAsia="Times New Roman" w:hAnsi="Times New Roman"/>
                  <w:sz w:val="18"/>
                  <w:szCs w:val="18"/>
                  <w:u w:val="single" w:color="auto"/>
                  <w:color w:val="0000EE"/>
                  <w:w w:val="92"/>
                </w:rPr>
                <w:t>2**</w:t>
              </w:r>
            </w:hyperlink>
          </w:p>
        </w:tc>
        <w:tc>
          <w:tcPr>
            <w:tcW w:w="340" w:type="dxa"/>
            <w:vAlign w:val="bottom"/>
          </w:tcPr>
          <w:p>
            <w:pPr>
              <w:spacing w:after="0"/>
              <w:rPr>
                <w:sz w:val="15"/>
                <w:szCs w:val="15"/>
                <w:color w:val="auto"/>
              </w:rPr>
            </w:pPr>
          </w:p>
        </w:tc>
        <w:tc>
          <w:tcPr>
            <w:tcW w:w="7240" w:type="dxa"/>
            <w:vAlign w:val="bottom"/>
            <w:tcBorders>
              <w:bottom w:val="single" w:sz="8" w:color="0000EE"/>
            </w:tcBorders>
            <w:gridSpan w:val="5"/>
          </w:tcPr>
          <w:p>
            <w:pPr>
              <w:spacing w:after="0" w:line="176" w:lineRule="exact"/>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Certifications of Chief Financial Officer Pursuant to Section 906 of the Sarbanes Oxley Act of 2002.</w:t>
              </w:r>
            </w:hyperlink>
          </w:p>
        </w:tc>
        <w:tc>
          <w:tcPr>
            <w:tcW w:w="20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0"/>
        <w:spacing w:after="0"/>
        <w:tabs>
          <w:tab w:leader="none" w:pos="98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-119380</wp:posOffset>
            </wp:positionV>
            <wp:extent cx="6423025" cy="248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101.SCH* XBRL Taxonomy Extension Schema Document.</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101.CAL*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-119380</wp:posOffset>
            </wp:positionV>
            <wp:extent cx="6423025" cy="248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101.DEF* XBRL Taxonomy Extension Definition Linkbase Document.</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101.LAB*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-119380</wp:posOffset>
            </wp:positionV>
            <wp:extent cx="6423025" cy="248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423025" cy="248920"/>
                    </a:xfrm>
                    <a:prstGeom prst="rect">
                      <a:avLst/>
                    </a:prstGeom>
                    <a:noFill/>
                  </pic:spPr>
                </pic:pic>
              </a:graphicData>
            </a:graphic>
          </wp:anchor>
        </w:drawing>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101.PRE* XBRL Taxonomy Extension Presentation Linkbase Document.</w:t>
      </w:r>
    </w:p>
    <w:p>
      <w:pPr>
        <w:spacing w:after="0" w:line="200" w:lineRule="exact"/>
        <w:rPr>
          <w:sz w:val="20"/>
          <w:szCs w:val="20"/>
          <w:color w:val="auto"/>
        </w:rPr>
      </w:pPr>
    </w:p>
    <w:p>
      <w:pPr>
        <w:spacing w:after="0" w:line="201" w:lineRule="exact"/>
        <w:rPr>
          <w:sz w:val="20"/>
          <w:szCs w:val="20"/>
          <w:color w:val="auto"/>
        </w:rPr>
      </w:pPr>
    </w:p>
    <w:p>
      <w:pPr>
        <w:ind w:left="160"/>
        <w:spacing w:after="0"/>
        <w:tabs>
          <w:tab w:leader="none" w:pos="400" w:val="left"/>
        </w:tabs>
        <w:rPr>
          <w:sz w:val="20"/>
          <w:szCs w:val="20"/>
          <w:color w:val="auto"/>
        </w:rPr>
      </w:pPr>
      <w:r>
        <w:rPr>
          <w:rFonts w:ascii="Times New Roman" w:cs="Times New Roman" w:eastAsia="Times New Roman" w:hAnsi="Times New Roman"/>
          <w:sz w:val="18"/>
          <w:szCs w:val="18"/>
          <w:color w:val="auto"/>
        </w:rPr>
        <w:t>*</w:t>
        <w:tab/>
        <w:t>Filed herewith</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73025</wp:posOffset>
            </wp:positionV>
            <wp:extent cx="646557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280"/>
          </w:cols>
          <w:pgMar w:left="740" w:top="117" w:right="8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5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TILE SHOP HOLDINGS,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4, 2019</w:t>
            </w:r>
          </w:p>
        </w:tc>
        <w:tc>
          <w:tcPr>
            <w:tcW w:w="54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CABELL H. LOLMAUGH</w:t>
            </w:r>
          </w:p>
        </w:tc>
      </w:tr>
      <w:tr>
        <w:trPr>
          <w:trHeight w:val="191"/>
        </w:trPr>
        <w:tc>
          <w:tcPr>
            <w:tcW w:w="3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520" w:type="dxa"/>
            <w:vAlign w:val="bottom"/>
            <w:tcBorders>
              <w:top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Cabell H. Lolmaugh</w:t>
            </w:r>
          </w:p>
        </w:tc>
      </w:tr>
      <w:tr>
        <w:trPr>
          <w:trHeight w:val="234"/>
        </w:trPr>
        <w:tc>
          <w:tcPr>
            <w:tcW w:w="34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6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4, 2019</w:t>
            </w:r>
          </w:p>
        </w:tc>
        <w:tc>
          <w:tcPr>
            <w:tcW w:w="54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NANCY DIMATTIA</w:t>
            </w:r>
          </w:p>
        </w:tc>
      </w:tr>
      <w:tr>
        <w:trPr>
          <w:trHeight w:val="191"/>
        </w:trPr>
        <w:tc>
          <w:tcPr>
            <w:tcW w:w="3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520" w:type="dxa"/>
            <w:vAlign w:val="bottom"/>
            <w:tcBorders>
              <w:top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Nancy DiMattia</w:t>
            </w:r>
          </w:p>
        </w:tc>
      </w:tr>
      <w:tr>
        <w:trPr>
          <w:trHeight w:val="234"/>
        </w:trPr>
        <w:tc>
          <w:tcPr>
            <w:tcW w:w="34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wp:posOffset>
            </wp:positionV>
            <wp:extent cx="646557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00"/>
          </w:cols>
          <w:pgMar w:left="900" w:top="117" w:right="999" w:bottom="1440" w:gutter="0" w:footer="0" w:header="0"/>
        </w:sectPr>
      </w:pPr>
    </w:p>
    <w:bookmarkStart w:id="30" w:name="page31"/>
    <w:bookmarkEnd w:id="30"/>
    <w:p>
      <w:pPr>
        <w:ind w:left="7800"/>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13970</wp:posOffset>
            </wp:positionV>
            <wp:extent cx="1560830" cy="3517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560830" cy="3517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September 06, 2019</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Nancy DiMattia</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[Address Omitted]</w:t>
      </w:r>
    </w:p>
    <w:p>
      <w:pPr>
        <w:ind w:left="100"/>
        <w:spacing w:after="0"/>
        <w:rPr>
          <w:sz w:val="20"/>
          <w:szCs w:val="20"/>
          <w:color w:val="auto"/>
        </w:rPr>
      </w:pPr>
      <w:r>
        <w:rPr>
          <w:rFonts w:ascii="Times New Roman" w:cs="Times New Roman" w:eastAsia="Times New Roman" w:hAnsi="Times New Roman"/>
          <w:sz w:val="22"/>
          <w:szCs w:val="22"/>
          <w:color w:val="auto"/>
        </w:rPr>
        <w:t>[Address Omitted]</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Dear Nancy:</w:t>
      </w:r>
    </w:p>
    <w:p>
      <w:pPr>
        <w:spacing w:after="0" w:line="233" w:lineRule="exact"/>
        <w:rPr>
          <w:sz w:val="20"/>
          <w:szCs w:val="20"/>
          <w:color w:val="auto"/>
        </w:rPr>
      </w:pPr>
    </w:p>
    <w:p>
      <w:pPr>
        <w:ind w:left="100" w:right="559"/>
        <w:spacing w:after="0" w:line="258" w:lineRule="auto"/>
        <w:rPr>
          <w:sz w:val="20"/>
          <w:szCs w:val="20"/>
          <w:color w:val="auto"/>
        </w:rPr>
      </w:pPr>
      <w:r>
        <w:rPr>
          <w:rFonts w:ascii="Times New Roman" w:cs="Times New Roman" w:eastAsia="Times New Roman" w:hAnsi="Times New Roman"/>
          <w:sz w:val="22"/>
          <w:szCs w:val="22"/>
          <w:color w:val="auto"/>
        </w:rPr>
        <w:t>We are delighted to offer you a position at Tile Shop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This letter serves as an employment agreement to confirm the terms of your employment:</w:t>
      </w:r>
    </w:p>
    <w:p>
      <w:pPr>
        <w:spacing w:after="0" w:line="200" w:lineRule="exact"/>
        <w:rPr>
          <w:sz w:val="20"/>
          <w:szCs w:val="20"/>
          <w:color w:val="auto"/>
        </w:rPr>
      </w:pPr>
    </w:p>
    <w:p>
      <w:pPr>
        <w:spacing w:after="0" w:line="228"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1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Position:</w:t>
            </w: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Senior Vice President and Chief Financial Officer</w:t>
            </w:r>
          </w:p>
        </w:tc>
      </w:tr>
      <w:tr>
        <w:trPr>
          <w:trHeight w:val="486"/>
        </w:trPr>
        <w:tc>
          <w:tcPr>
            <w:tcW w:w="1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Start Date:</w:t>
            </w: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September 6, 2019</w:t>
            </w:r>
          </w:p>
        </w:tc>
      </w:tr>
      <w:tr>
        <w:trPr>
          <w:trHeight w:val="486"/>
        </w:trPr>
        <w:tc>
          <w:tcPr>
            <w:tcW w:w="1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Status:</w:t>
            </w: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Full-Time, Regular</w:t>
            </w:r>
          </w:p>
        </w:tc>
      </w:tr>
      <w:tr>
        <w:trPr>
          <w:trHeight w:val="447"/>
        </w:trPr>
        <w:tc>
          <w:tcPr>
            <w:tcW w:w="1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Reporting to:</w:t>
            </w: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You will report to the Chief Executive Officer, who will direct your day-to-day</w:t>
            </w:r>
          </w:p>
        </w:tc>
      </w:tr>
      <w:tr>
        <w:trPr>
          <w:trHeight w:val="243"/>
        </w:trPr>
        <w:tc>
          <w:tcPr>
            <w:tcW w:w="1560" w:type="dxa"/>
            <w:vAlign w:val="bottom"/>
          </w:tcPr>
          <w:p>
            <w:pPr>
              <w:spacing w:after="0"/>
              <w:rPr>
                <w:sz w:val="21"/>
                <w:szCs w:val="21"/>
                <w:color w:val="auto"/>
              </w:rPr>
            </w:pPr>
          </w:p>
        </w:tc>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responsibilities, and you will work closely with other senior officers of the</w:t>
            </w:r>
          </w:p>
        </w:tc>
      </w:tr>
      <w:tr>
        <w:trPr>
          <w:trHeight w:val="283"/>
        </w:trPr>
        <w:tc>
          <w:tcPr>
            <w:tcW w:w="1560" w:type="dxa"/>
            <w:vAlign w:val="bottom"/>
          </w:tcPr>
          <w:p>
            <w:pPr>
              <w:spacing w:after="0"/>
              <w:rPr>
                <w:sz w:val="24"/>
                <w:szCs w:val="24"/>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Company.</w:t>
            </w:r>
          </w:p>
        </w:tc>
      </w:tr>
      <w:tr>
        <w:trPr>
          <w:trHeight w:val="447"/>
        </w:trPr>
        <w:tc>
          <w:tcPr>
            <w:tcW w:w="1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Base Salary:</w:t>
            </w: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Base salary (annualized) of $250,000, paid in accordance with the Company’s</w:t>
            </w:r>
          </w:p>
        </w:tc>
      </w:tr>
      <w:tr>
        <w:trPr>
          <w:trHeight w:val="283"/>
        </w:trPr>
        <w:tc>
          <w:tcPr>
            <w:tcW w:w="1560" w:type="dxa"/>
            <w:vAlign w:val="bottom"/>
          </w:tcPr>
          <w:p>
            <w:pPr>
              <w:spacing w:after="0"/>
              <w:rPr>
                <w:sz w:val="24"/>
                <w:szCs w:val="24"/>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normal payroll procedures.</w:t>
            </w:r>
          </w:p>
        </w:tc>
      </w:tr>
      <w:tr>
        <w:trPr>
          <w:trHeight w:val="447"/>
        </w:trPr>
        <w:tc>
          <w:tcPr>
            <w:tcW w:w="1560" w:type="dxa"/>
            <w:vAlign w:val="bottom"/>
          </w:tcPr>
          <w:p>
            <w:pPr>
              <w:spacing w:after="0"/>
              <w:rPr>
                <w:sz w:val="24"/>
                <w:szCs w:val="24"/>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You should note that the Company may modify salaries and benefits from time</w:t>
            </w:r>
          </w:p>
        </w:tc>
      </w:tr>
      <w:tr>
        <w:trPr>
          <w:trHeight w:val="243"/>
        </w:trPr>
        <w:tc>
          <w:tcPr>
            <w:tcW w:w="1560" w:type="dxa"/>
            <w:vAlign w:val="bottom"/>
          </w:tcPr>
          <w:p>
            <w:pPr>
              <w:spacing w:after="0"/>
              <w:rPr>
                <w:sz w:val="21"/>
                <w:szCs w:val="21"/>
                <w:color w:val="auto"/>
              </w:rPr>
            </w:pPr>
          </w:p>
        </w:tc>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to time as its Board of Directors or the Compensation Committee thereof deems</w:t>
            </w:r>
          </w:p>
        </w:tc>
      </w:tr>
      <w:tr>
        <w:trPr>
          <w:trHeight w:val="243"/>
        </w:trPr>
        <w:tc>
          <w:tcPr>
            <w:tcW w:w="1560" w:type="dxa"/>
            <w:vAlign w:val="bottom"/>
          </w:tcPr>
          <w:p>
            <w:pPr>
              <w:spacing w:after="0"/>
              <w:rPr>
                <w:sz w:val="21"/>
                <w:szCs w:val="21"/>
                <w:color w:val="auto"/>
              </w:rPr>
            </w:pPr>
          </w:p>
        </w:tc>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necessary or appropriate, and all forms of compensation referred to in this</w:t>
            </w:r>
          </w:p>
        </w:tc>
      </w:tr>
      <w:tr>
        <w:trPr>
          <w:trHeight w:val="283"/>
        </w:trPr>
        <w:tc>
          <w:tcPr>
            <w:tcW w:w="1560" w:type="dxa"/>
            <w:vAlign w:val="bottom"/>
          </w:tcPr>
          <w:p>
            <w:pPr>
              <w:spacing w:after="0"/>
              <w:rPr>
                <w:sz w:val="24"/>
                <w:szCs w:val="24"/>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agreement are subject to applicable withholding and payroll taxes.</w:t>
            </w:r>
          </w:p>
        </w:tc>
      </w:tr>
      <w:tr>
        <w:trPr>
          <w:trHeight w:val="690"/>
        </w:trPr>
        <w:tc>
          <w:tcPr>
            <w:tcW w:w="1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Cash Incentive</w:t>
            </w: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Beginning in the Company’s 2020 fiscal year, your annual cash incentive</w:t>
            </w:r>
          </w:p>
        </w:tc>
      </w:tr>
      <w:tr>
        <w:trPr>
          <w:trHeight w:val="243"/>
        </w:trPr>
        <w:tc>
          <w:tcPr>
            <w:tcW w:w="15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Compensation:</w:t>
            </w:r>
          </w:p>
        </w:tc>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compensation opportunity will be between 0% and 100% of your base salary,</w:t>
            </w:r>
          </w:p>
        </w:tc>
      </w:tr>
      <w:tr>
        <w:trPr>
          <w:trHeight w:val="243"/>
        </w:trPr>
        <w:tc>
          <w:tcPr>
            <w:tcW w:w="1560" w:type="dxa"/>
            <w:vAlign w:val="bottom"/>
          </w:tcPr>
          <w:p>
            <w:pPr>
              <w:spacing w:after="0"/>
              <w:rPr>
                <w:sz w:val="21"/>
                <w:szCs w:val="21"/>
                <w:color w:val="auto"/>
              </w:rPr>
            </w:pPr>
          </w:p>
        </w:tc>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with a target of 50%, and receipt of such cash incentive compensation will be</w:t>
            </w:r>
          </w:p>
        </w:tc>
      </w:tr>
      <w:tr>
        <w:trPr>
          <w:trHeight w:val="283"/>
        </w:trPr>
        <w:tc>
          <w:tcPr>
            <w:tcW w:w="1560" w:type="dxa"/>
            <w:vAlign w:val="bottom"/>
          </w:tcPr>
          <w:p>
            <w:pPr>
              <w:spacing w:after="0"/>
              <w:rPr>
                <w:sz w:val="24"/>
                <w:szCs w:val="24"/>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based on achieving Company-wide goals and personal goals and objectives.</w:t>
            </w:r>
          </w:p>
        </w:tc>
      </w:tr>
      <w:tr>
        <w:trPr>
          <w:trHeight w:val="447"/>
        </w:trPr>
        <w:tc>
          <w:tcPr>
            <w:tcW w:w="156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r>
        <w:trPr>
          <w:trHeight w:val="20"/>
        </w:trPr>
        <w:tc>
          <w:tcPr>
            <w:tcW w:w="1560" w:type="dxa"/>
            <w:vAlign w:val="bottom"/>
            <w:tcBorders>
              <w:bottom w:val="single" w:sz="8" w:color="EEEEEE"/>
            </w:tcBorders>
          </w:tcPr>
          <w:p>
            <w:pPr>
              <w:spacing w:after="0" w:line="20" w:lineRule="exact"/>
              <w:rPr>
                <w:sz w:val="1"/>
                <w:szCs w:val="1"/>
                <w:color w:val="auto"/>
              </w:rPr>
            </w:pPr>
          </w:p>
        </w:tc>
        <w:tc>
          <w:tcPr>
            <w:tcW w:w="73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tbl>
      <w:tblPr>
        <w:tblLayout w:type="fixed"/>
        <w:tblInd w:w="100" w:type="dxa"/>
        <w:tblCellMar>
          <w:top w:w="0" w:type="dxa"/>
          <w:left w:w="0" w:type="dxa"/>
          <w:bottom w:w="0" w:type="dxa"/>
          <w:right w:w="0" w:type="dxa"/>
        </w:tblCellMar>
      </w:tblPr>
      <w:tr>
        <w:trPr>
          <w:trHeight w:val="253"/>
        </w:trPr>
        <w:tc>
          <w:tcPr>
            <w:tcW w:w="1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Benefits:</w:t>
            </w:r>
          </w:p>
        </w:tc>
        <w:tc>
          <w:tcPr>
            <w:tcW w:w="77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9"/>
              </w:rPr>
              <w:t>You will be eligible to receive the Company’s standard benefit package for employees</w:t>
            </w: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4"/>
                <w:szCs w:val="24"/>
                <w:color w:val="auto"/>
              </w:rPr>
            </w:pPr>
          </w:p>
        </w:tc>
        <w:tc>
          <w:tcPr>
            <w:tcW w:w="77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of your level.</w:t>
            </w:r>
          </w:p>
        </w:tc>
        <w:tc>
          <w:tcPr>
            <w:tcW w:w="0" w:type="dxa"/>
            <w:vAlign w:val="bottom"/>
          </w:tcPr>
          <w:p>
            <w:pPr>
              <w:spacing w:after="0"/>
              <w:rPr>
                <w:sz w:val="1"/>
                <w:szCs w:val="1"/>
                <w:color w:val="auto"/>
              </w:rPr>
            </w:pPr>
          </w:p>
        </w:tc>
      </w:tr>
      <w:tr>
        <w:trPr>
          <w:trHeight w:val="447"/>
        </w:trPr>
        <w:tc>
          <w:tcPr>
            <w:tcW w:w="1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Equity</w:t>
            </w:r>
          </w:p>
        </w:tc>
        <w:tc>
          <w:tcPr>
            <w:tcW w:w="77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Subject to approval by the Company’s Board of Directors, you will be granted equity</w:t>
            </w:r>
          </w:p>
        </w:tc>
        <w:tc>
          <w:tcPr>
            <w:tcW w:w="0" w:type="dxa"/>
            <w:vAlign w:val="bottom"/>
          </w:tcPr>
          <w:p>
            <w:pPr>
              <w:spacing w:after="0"/>
              <w:rPr>
                <w:sz w:val="1"/>
                <w:szCs w:val="1"/>
                <w:color w:val="auto"/>
              </w:rPr>
            </w:pPr>
          </w:p>
        </w:tc>
      </w:tr>
      <w:tr>
        <w:trPr>
          <w:trHeight w:val="243"/>
        </w:trPr>
        <w:tc>
          <w:tcPr>
            <w:tcW w:w="11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Awards:</w:t>
            </w: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awards with an aggregate value of $100,000, up to 50% of which may be restricted</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stock, with the remainder as non-qualified stock options, at your election. The non-</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qualified stock options and restricted stock will vest evenly over a four-year period</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and will otherwise be subject to the terms of the Company’s 2012 Omnibus Award</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7740" w:type="dxa"/>
            <w:vAlign w:val="bottom"/>
            <w:gridSpan w:val="5"/>
          </w:tcPr>
          <w:p>
            <w:pPr>
              <w:ind w:left="120"/>
              <w:spacing w:after="0" w:line="230" w:lineRule="exact"/>
              <w:rPr>
                <w:sz w:val="20"/>
                <w:szCs w:val="20"/>
                <w:color w:val="auto"/>
              </w:rPr>
            </w:pPr>
            <w:r>
              <w:rPr>
                <w:rFonts w:ascii="Times New Roman" w:cs="Times New Roman" w:eastAsia="Times New Roman" w:hAnsi="Times New Roman"/>
                <w:sz w:val="22"/>
                <w:szCs w:val="22"/>
                <w:color w:val="auto"/>
              </w:rPr>
              <w:t>Plan (the “Plan”) and the applicable award agreements for such awards. The non-</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options will have a ten-year life upon issuance. The value of the non-</w:t>
            </w:r>
          </w:p>
        </w:tc>
        <w:tc>
          <w:tcPr>
            <w:tcW w:w="0" w:type="dxa"/>
            <w:vAlign w:val="bottom"/>
          </w:tcPr>
          <w:p>
            <w:pPr>
              <w:spacing w:after="0" w:line="20" w:lineRule="exact"/>
              <w:rPr>
                <w:sz w:val="1"/>
                <w:szCs w:val="1"/>
                <w:color w:val="auto"/>
              </w:rPr>
            </w:pPr>
          </w:p>
        </w:tc>
      </w:tr>
      <w:tr>
        <w:trPr>
          <w:trHeight w:val="236"/>
        </w:trPr>
        <w:tc>
          <w:tcPr>
            <w:tcW w:w="1120" w:type="dxa"/>
            <w:vAlign w:val="bottom"/>
          </w:tcPr>
          <w:p>
            <w:pPr>
              <w:spacing w:after="0"/>
              <w:rPr>
                <w:sz w:val="20"/>
                <w:szCs w:val="20"/>
                <w:color w:val="auto"/>
              </w:rPr>
            </w:pPr>
          </w:p>
        </w:tc>
        <w:tc>
          <w:tcPr>
            <w:tcW w:w="1500" w:type="dxa"/>
            <w:vAlign w:val="bottom"/>
            <w:gridSpan w:val="3"/>
          </w:tcPr>
          <w:p>
            <w:pPr>
              <w:ind w:left="120"/>
              <w:spacing w:after="0" w:line="237" w:lineRule="exact"/>
              <w:rPr>
                <w:sz w:val="20"/>
                <w:szCs w:val="20"/>
                <w:color w:val="auto"/>
              </w:rPr>
            </w:pPr>
            <w:r>
              <w:rPr>
                <w:rFonts w:ascii="Times New Roman" w:cs="Times New Roman" w:eastAsia="Times New Roman" w:hAnsi="Times New Roman"/>
                <w:sz w:val="22"/>
                <w:szCs w:val="22"/>
                <w:color w:val="auto"/>
              </w:rPr>
              <w:t>qualified stock</w:t>
            </w:r>
          </w:p>
        </w:tc>
        <w:tc>
          <w:tcPr>
            <w:tcW w:w="6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qualified stock options and restricted stock and the exercise price of the non-qualified</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stock options will be determined at the close of business on the grant date of the</w:t>
            </w: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4"/>
                <w:szCs w:val="24"/>
                <w:color w:val="auto"/>
              </w:rPr>
            </w:pPr>
          </w:p>
        </w:tc>
        <w:tc>
          <w:tcPr>
            <w:tcW w:w="77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awards.</w:t>
            </w:r>
          </w:p>
        </w:tc>
        <w:tc>
          <w:tcPr>
            <w:tcW w:w="0" w:type="dxa"/>
            <w:vAlign w:val="bottom"/>
          </w:tcPr>
          <w:p>
            <w:pPr>
              <w:spacing w:after="0"/>
              <w:rPr>
                <w:sz w:val="1"/>
                <w:szCs w:val="1"/>
                <w:color w:val="auto"/>
              </w:rPr>
            </w:pPr>
          </w:p>
        </w:tc>
      </w:tr>
      <w:tr>
        <w:trPr>
          <w:trHeight w:val="447"/>
        </w:trPr>
        <w:tc>
          <w:tcPr>
            <w:tcW w:w="1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Vacation:</w:t>
            </w:r>
          </w:p>
        </w:tc>
        <w:tc>
          <w:tcPr>
            <w:tcW w:w="77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The most favorable of (i) 4 weeks or (ii) the then-current Company vacation policy</w:t>
            </w: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4"/>
                <w:szCs w:val="24"/>
                <w:color w:val="auto"/>
              </w:rPr>
            </w:pPr>
          </w:p>
        </w:tc>
        <w:tc>
          <w:tcPr>
            <w:tcW w:w="77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applicable to you.</w:t>
            </w:r>
          </w:p>
        </w:tc>
        <w:tc>
          <w:tcPr>
            <w:tcW w:w="0" w:type="dxa"/>
            <w:vAlign w:val="bottom"/>
          </w:tcPr>
          <w:p>
            <w:pPr>
              <w:spacing w:after="0"/>
              <w:rPr>
                <w:sz w:val="1"/>
                <w:szCs w:val="1"/>
                <w:color w:val="auto"/>
              </w:rPr>
            </w:pPr>
          </w:p>
        </w:tc>
      </w:tr>
      <w:tr>
        <w:trPr>
          <w:trHeight w:val="447"/>
        </w:trPr>
        <w:tc>
          <w:tcPr>
            <w:tcW w:w="1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Moving</w:t>
            </w:r>
          </w:p>
        </w:tc>
        <w:tc>
          <w:tcPr>
            <w:tcW w:w="77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The Company will pay, upon submission of supporting documentation, reasonable</w:t>
            </w:r>
          </w:p>
        </w:tc>
        <w:tc>
          <w:tcPr>
            <w:tcW w:w="0" w:type="dxa"/>
            <w:vAlign w:val="bottom"/>
          </w:tcPr>
          <w:p>
            <w:pPr>
              <w:spacing w:after="0"/>
              <w:rPr>
                <w:sz w:val="1"/>
                <w:szCs w:val="1"/>
                <w:color w:val="auto"/>
              </w:rPr>
            </w:pPr>
          </w:p>
        </w:tc>
      </w:tr>
      <w:tr>
        <w:trPr>
          <w:trHeight w:val="243"/>
        </w:trPr>
        <w:tc>
          <w:tcPr>
            <w:tcW w:w="11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Expenses:</w:t>
            </w: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expenses incurred by you in connection with your move to Minnesota. The Company</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has no obligation to pay for any real estate losses that may be incurred by you in</w:t>
            </w: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4"/>
                <w:szCs w:val="24"/>
                <w:color w:val="auto"/>
              </w:rPr>
            </w:pPr>
          </w:p>
        </w:tc>
        <w:tc>
          <w:tcPr>
            <w:tcW w:w="77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connection with such move.</w:t>
            </w:r>
          </w:p>
        </w:tc>
        <w:tc>
          <w:tcPr>
            <w:tcW w:w="0" w:type="dxa"/>
            <w:vAlign w:val="bottom"/>
          </w:tcPr>
          <w:p>
            <w:pPr>
              <w:spacing w:after="0"/>
              <w:rPr>
                <w:sz w:val="1"/>
                <w:szCs w:val="1"/>
                <w:color w:val="auto"/>
              </w:rPr>
            </w:pPr>
          </w:p>
        </w:tc>
      </w:tr>
      <w:tr>
        <w:trPr>
          <w:trHeight w:val="447"/>
        </w:trPr>
        <w:tc>
          <w:tcPr>
            <w:tcW w:w="1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Change</w:t>
            </w:r>
          </w:p>
        </w:tc>
        <w:tc>
          <w:tcPr>
            <w:tcW w:w="77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0" w:type="dxa"/>
            <w:vAlign w:val="bottom"/>
          </w:tcPr>
          <w:p>
            <w:pPr>
              <w:spacing w:after="0"/>
              <w:rPr>
                <w:sz w:val="1"/>
                <w:szCs w:val="1"/>
                <w:color w:val="auto"/>
              </w:rPr>
            </w:pPr>
          </w:p>
        </w:tc>
      </w:tr>
      <w:tr>
        <w:trPr>
          <w:trHeight w:val="243"/>
        </w:trPr>
        <w:tc>
          <w:tcPr>
            <w:tcW w:w="11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of</w:t>
            </w: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In the event of a Change of Control (as defined in the Plan) of the Company, if (1)</w:t>
            </w:r>
          </w:p>
        </w:tc>
        <w:tc>
          <w:tcPr>
            <w:tcW w:w="0" w:type="dxa"/>
            <w:vAlign w:val="bottom"/>
          </w:tcPr>
          <w:p>
            <w:pPr>
              <w:spacing w:after="0"/>
              <w:rPr>
                <w:sz w:val="1"/>
                <w:szCs w:val="1"/>
                <w:color w:val="auto"/>
              </w:rPr>
            </w:pPr>
          </w:p>
        </w:tc>
      </w:tr>
      <w:tr>
        <w:trPr>
          <w:trHeight w:val="243"/>
        </w:trPr>
        <w:tc>
          <w:tcPr>
            <w:tcW w:w="11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Control:</w:t>
            </w: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you are not offered employment or continued employment by the Successor Entity (as</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defined in the Plan) upon consummation of such Change of Control, or (2) prior to</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the first anniversary of such Change of Control, (a) you are discharged by the</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Successor Entity other than for Cause (as defined in the Plan) or (b) you resign from</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employment with the Successor Entity as a result of a Constructive Termination (as</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defined below), all of your unvested stock options will vest and become exercisable</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immediately prior to such Change of Control or cessation of employment, as</w:t>
            </w: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4"/>
                <w:szCs w:val="24"/>
                <w:color w:val="auto"/>
              </w:rPr>
            </w:pPr>
          </w:p>
        </w:tc>
        <w:tc>
          <w:tcPr>
            <w:tcW w:w="77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applicable.</w:t>
            </w:r>
          </w:p>
        </w:tc>
        <w:tc>
          <w:tcPr>
            <w:tcW w:w="0" w:type="dxa"/>
            <w:vAlign w:val="bottom"/>
          </w:tcPr>
          <w:p>
            <w:pPr>
              <w:spacing w:after="0"/>
              <w:rPr>
                <w:sz w:val="1"/>
                <w:szCs w:val="1"/>
                <w:color w:val="auto"/>
              </w:rPr>
            </w:pPr>
          </w:p>
        </w:tc>
      </w:tr>
      <w:tr>
        <w:trPr>
          <w:trHeight w:val="447"/>
        </w:trPr>
        <w:tc>
          <w:tcPr>
            <w:tcW w:w="1120" w:type="dxa"/>
            <w:vAlign w:val="bottom"/>
          </w:tcPr>
          <w:p>
            <w:pPr>
              <w:spacing w:after="0"/>
              <w:rPr>
                <w:sz w:val="24"/>
                <w:szCs w:val="24"/>
                <w:color w:val="auto"/>
              </w:rPr>
            </w:pPr>
          </w:p>
        </w:tc>
        <w:tc>
          <w:tcPr>
            <w:tcW w:w="77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7740" w:type="dxa"/>
            <w:vAlign w:val="bottom"/>
            <w:gridSpan w:val="5"/>
          </w:tcPr>
          <w:p>
            <w:pPr>
              <w:ind w:left="120"/>
              <w:spacing w:after="0" w:line="230" w:lineRule="exact"/>
              <w:rPr>
                <w:sz w:val="20"/>
                <w:szCs w:val="20"/>
                <w:color w:val="auto"/>
              </w:rPr>
            </w:pPr>
            <w:r>
              <w:rPr>
                <w:rFonts w:ascii="Times New Roman" w:cs="Times New Roman" w:eastAsia="Times New Roman" w:hAnsi="Times New Roman"/>
                <w:sz w:val="22"/>
                <w:szCs w:val="22"/>
                <w:color w:val="auto"/>
              </w:rPr>
              <w:t>“Constructive Termination” will occur if you resign from your employment with the</w:t>
            </w: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Borders>
              <w:top w:val="single" w:sz="8" w:color="auto"/>
            </w:tcBorders>
            <w:gridSpan w:val="3"/>
          </w:tcPr>
          <w:p>
            <w:pPr>
              <w:spacing w:after="0" w:line="237" w:lineRule="exact"/>
              <w:rPr>
                <w:sz w:val="20"/>
                <w:szCs w:val="20"/>
                <w:color w:val="auto"/>
              </w:rPr>
            </w:pPr>
            <w:r>
              <w:rPr>
                <w:rFonts w:ascii="Times New Roman" w:cs="Times New Roman" w:eastAsia="Times New Roman" w:hAnsi="Times New Roman"/>
                <w:sz w:val="22"/>
                <w:szCs w:val="22"/>
                <w:color w:val="auto"/>
                <w:w w:val="92"/>
              </w:rPr>
              <w:t>Successor Entity within 30</w:t>
            </w:r>
          </w:p>
        </w:tc>
        <w:tc>
          <w:tcPr>
            <w:tcW w:w="5320" w:type="dxa"/>
            <w:vAlign w:val="bottom"/>
          </w:tcPr>
          <w:p>
            <w:pPr>
              <w:ind w:left="80"/>
              <w:spacing w:after="0" w:line="237" w:lineRule="exact"/>
              <w:rPr>
                <w:sz w:val="20"/>
                <w:szCs w:val="20"/>
                <w:color w:val="auto"/>
              </w:rPr>
            </w:pPr>
            <w:r>
              <w:rPr>
                <w:rFonts w:ascii="Times New Roman" w:cs="Times New Roman" w:eastAsia="Times New Roman" w:hAnsi="Times New Roman"/>
                <w:sz w:val="22"/>
                <w:szCs w:val="22"/>
                <w:color w:val="auto"/>
              </w:rPr>
              <w:t>days following (1) a material reduction in your annual</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base salary or job responsibility or (2) the relocation of your principal office location</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774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to a facility or location located more than 50 miles from your principal office location</w:t>
            </w: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4"/>
                <w:szCs w:val="24"/>
                <w:color w:val="auto"/>
              </w:rPr>
            </w:pPr>
          </w:p>
        </w:tc>
        <w:tc>
          <w:tcPr>
            <w:tcW w:w="77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on the date of the Change of Control.</w:t>
            </w:r>
          </w:p>
        </w:tc>
        <w:tc>
          <w:tcPr>
            <w:tcW w:w="0" w:type="dxa"/>
            <w:vAlign w:val="bottom"/>
          </w:tcPr>
          <w:p>
            <w:pPr>
              <w:spacing w:after="0"/>
              <w:rPr>
                <w:sz w:val="1"/>
                <w:szCs w:val="1"/>
                <w:color w:val="auto"/>
              </w:rPr>
            </w:pPr>
          </w:p>
        </w:tc>
      </w:tr>
      <w:tr>
        <w:trPr>
          <w:trHeight w:val="447"/>
        </w:trPr>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5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968375</wp:posOffset>
            </wp:positionH>
            <wp:positionV relativeFrom="page">
              <wp:posOffset>367665</wp:posOffset>
            </wp:positionV>
            <wp:extent cx="564261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ind w:left="220"/>
        <w:spacing w:after="0"/>
        <w:tabs>
          <w:tab w:leader="none" w:pos="1400" w:val="left"/>
        </w:tabs>
        <w:rPr>
          <w:sz w:val="20"/>
          <w:szCs w:val="20"/>
          <w:color w:val="auto"/>
        </w:rPr>
      </w:pPr>
      <w:r>
        <w:rPr>
          <w:rFonts w:ascii="Times New Roman" w:cs="Times New Roman" w:eastAsia="Times New Roman" w:hAnsi="Times New Roman"/>
          <w:sz w:val="22"/>
          <w:szCs w:val="22"/>
          <w:color w:val="auto"/>
        </w:rPr>
        <w:t>Severance:</w:t>
        <w:tab/>
        <w:t>(A)</w:t>
      </w:r>
    </w:p>
    <w:p>
      <w:pPr>
        <w:spacing w:after="0" w:line="15" w:lineRule="exact"/>
        <w:rPr>
          <w:sz w:val="20"/>
          <w:szCs w:val="20"/>
          <w:color w:val="auto"/>
        </w:rPr>
      </w:pPr>
    </w:p>
    <w:p>
      <w:pPr>
        <w:ind w:left="1420" w:right="239"/>
        <w:spacing w:after="0" w:line="242" w:lineRule="auto"/>
        <w:rPr>
          <w:sz w:val="20"/>
          <w:szCs w:val="20"/>
          <w:color w:val="auto"/>
        </w:rPr>
      </w:pPr>
      <w:r>
        <w:rPr>
          <w:rFonts w:ascii="Times New Roman" w:cs="Times New Roman" w:eastAsia="Times New Roman" w:hAnsi="Times New Roman"/>
          <w:sz w:val="21"/>
          <w:szCs w:val="21"/>
          <w:color w:val="auto"/>
        </w:rPr>
        <w:t>If you are terminated without Severance Cause (as defined below) or resign for Good Reason (as defined below), you will be entitled to receive an amount equal to (1) your then-current base salary for a six-month period commencing with the effective date of your termination of employment with the Company (the “</w:t>
      </w:r>
      <w:r>
        <w:rPr>
          <w:rFonts w:ascii="Times New Roman" w:cs="Times New Roman" w:eastAsia="Times New Roman" w:hAnsi="Times New Roman"/>
          <w:sz w:val="21"/>
          <w:szCs w:val="21"/>
          <w:u w:val="single" w:color="auto"/>
          <w:color w:val="auto"/>
        </w:rPr>
        <w:t>Severance Period</w:t>
      </w:r>
      <w:r>
        <w:rPr>
          <w:rFonts w:ascii="Times New Roman" w:cs="Times New Roman" w:eastAsia="Times New Roman" w:hAnsi="Times New Roman"/>
          <w:sz w:val="21"/>
          <w:szCs w:val="21"/>
          <w:color w:val="auto"/>
        </w:rPr>
        <w:t xml:space="preserve">”) and (2) an amount equal to six times the monthly amount that the Company paid for your participation in the Company’s health insurance plan during the month immediately preceding your termination date. The foregoing amounts will be payable pro rata over the Severance Period in accordance with the Company’s normal payroll practices; provided, however, that the Company will not make any severance payments unless and until (a) you execute and deliver to the Company a general release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(b) such Release is executed and delivered to the Company within 21 days after your termination date and (c) all time periods for revoking the Release have lapsed. If you are terminated during the month of December of any calendar year and are owed severance hereunder, no severance payments will be made prior to January 1</w:t>
      </w:r>
      <w:r>
        <w:rPr>
          <w:rFonts w:ascii="Times New Roman" w:cs="Times New Roman" w:eastAsia="Times New Roman" w:hAnsi="Times New Roman"/>
          <w:sz w:val="10"/>
          <w:szCs w:val="10"/>
          <w:color w:val="auto"/>
        </w:rPr>
        <w:t>st</w:t>
      </w:r>
      <w:r>
        <w:rPr>
          <w:rFonts w:ascii="Times New Roman" w:cs="Times New Roman" w:eastAsia="Times New Roman" w:hAnsi="Times New Roman"/>
          <w:sz w:val="21"/>
          <w:szCs w:val="21"/>
          <w:color w:val="auto"/>
        </w:rPr>
        <w:t xml:space="preserve"> of the next calendar year and any amount that would have otherwise been payable to you in December of the preceding calendar year will be paid to you on the first date in January on which you would otherwise be entitled to any payment. Following your termination date, all benefits offered by the Company, including health insurance benefits, will cease. From and after such date, you may elect to continue your participation in the Company’s health insurance benefits at your expense pursuant to COBRA by notifying the Company in the time specified in the COBRA notice you will be provided and paying the monthly premium yourself. Notwithstanding the above, if you are a “specified employee” within the meaning of Section 409A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then any amounts payable to you during the first six months and one day following the date of termination that constitute nonqualified deferred compensation within the meaning of Section 409A of the Code (as determined by the Company in its sole discretion) will not be paid to you until the date that is six months and one day following such termination to the extent necessary to avoid adverse tax consequences under Section 409A of the Code.</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(B)</w:t>
      </w:r>
    </w:p>
    <w:p>
      <w:pPr>
        <w:spacing w:after="0" w:line="14" w:lineRule="exact"/>
        <w:rPr>
          <w:sz w:val="20"/>
          <w:szCs w:val="20"/>
          <w:color w:val="auto"/>
        </w:rPr>
      </w:pPr>
    </w:p>
    <w:p>
      <w:pPr>
        <w:ind w:left="1420" w:right="219"/>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Severance Cause</w:t>
      </w:r>
      <w:r>
        <w:rPr>
          <w:rFonts w:ascii="Times New Roman" w:cs="Times New Roman" w:eastAsia="Times New Roman" w:hAnsi="Times New Roman"/>
          <w:sz w:val="22"/>
          <w:szCs w:val="22"/>
          <w:color w:val="auto"/>
        </w:rPr>
        <w:t>” means (1) willful misconduct in connection with your employment or willful failure to perform your responsibilities in the best interests of the Company, as determined by the Company’s Board of Directors; (2) conviction of, or plea of nolo contendre or guilty to, a felony other than an act involving a traffic related infraction; (3) any act of fraud, theft, embezzlement or other material dishonesty by you that harmed the Company; (4) intentional violation of a federal or state law or regulation applicable to the Company’s business, which violation was or is reasonably likely to be injurious to the Company; or (5) repeated failure to perform your duties and obligations of your position with the Company, which failure is not cured within 30 days after notice of such failure from the Company’s Board of Directors to you.</w:t>
      </w:r>
    </w:p>
    <w:p>
      <w:pPr>
        <w:spacing w:after="0" w:line="21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(C)</w:t>
      </w:r>
    </w:p>
    <w:p>
      <w:pPr>
        <w:spacing w:after="0" w:line="14" w:lineRule="exact"/>
        <w:rPr>
          <w:sz w:val="20"/>
          <w:szCs w:val="20"/>
          <w:color w:val="auto"/>
        </w:rPr>
      </w:pPr>
    </w:p>
    <w:p>
      <w:pPr>
        <w:ind w:left="1420" w:right="21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for your resignation will exist if you resign from your employment with the Company as a result of (1) a material reduction in your annual base salary or job responsibility or (2) the relocation of your principal office location to a facility or location located more than 50 miles from your current principal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113030</wp:posOffset>
            </wp:positionV>
            <wp:extent cx="564261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4" w:name="page35"/>
    <w:bookmarkEnd w:id="34"/>
    <w:p>
      <w:pPr>
        <w:jc w:val="both"/>
        <w:ind w:left="100" w:right="99"/>
        <w:spacing w:after="0" w:line="239" w:lineRule="auto"/>
        <w:rPr>
          <w:sz w:val="20"/>
          <w:szCs w:val="20"/>
          <w:color w:val="auto"/>
        </w:rPr>
      </w:pPr>
      <w:r>
        <w:rPr>
          <w:rFonts w:ascii="Times New Roman" w:cs="Times New Roman" w:eastAsia="Times New Roman" w:hAnsi="Times New Roman"/>
          <w:sz w:val="22"/>
          <w:szCs w:val="22"/>
          <w:color w:val="auto"/>
        </w:rPr>
        <w:t>Please understand that your employment with the Company is for no specified period and constitutes “at-will” employment. As a result, you are free to resign at any time, for any reason or for no reason, with or without notice. Similarly, the Company is free to conclude its employment relationship with you at any time, with or without cause, and with or without notice.</w:t>
      </w:r>
    </w:p>
    <w:p>
      <w:pPr>
        <w:spacing w:after="0" w:line="208" w:lineRule="exact"/>
        <w:rPr>
          <w:sz w:val="20"/>
          <w:szCs w:val="20"/>
          <w:color w:val="auto"/>
        </w:rPr>
      </w:pPr>
    </w:p>
    <w:p>
      <w:pPr>
        <w:jc w:val="both"/>
        <w:ind w:left="100" w:right="99"/>
        <w:spacing w:after="0" w:line="239" w:lineRule="auto"/>
        <w:rPr>
          <w:sz w:val="20"/>
          <w:szCs w:val="20"/>
          <w:color w:val="auto"/>
        </w:rPr>
      </w:pPr>
      <w:r>
        <w:rPr>
          <w:rFonts w:ascii="Times New Roman" w:cs="Times New Roman" w:eastAsia="Times New Roman" w:hAnsi="Times New Roman"/>
          <w:sz w:val="22"/>
          <w:szCs w:val="22"/>
          <w:color w:val="auto"/>
        </w:rPr>
        <w:t xml:space="preserve">Like all Company employees of your level, you will be required, as a condition of your employment with the Company, to sign the Company’s Nondisclosure, Confidentiality, Assignment and Noncompetition Agreement, a copy of which is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 Non-Disclosure Agreement”</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left="100" w:right="99"/>
        <w:spacing w:after="0" w:line="239" w:lineRule="auto"/>
        <w:rPr>
          <w:sz w:val="20"/>
          <w:szCs w:val="20"/>
          <w:color w:val="auto"/>
        </w:rPr>
      </w:pPr>
      <w:r>
        <w:rPr>
          <w:rFonts w:ascii="Times New Roman" w:cs="Times New Roman" w:eastAsia="Times New Roman" w:hAnsi="Times New Roman"/>
          <w:sz w:val="22"/>
          <w:szCs w:val="22"/>
          <w:color w:val="auto"/>
        </w:rPr>
        <w:t>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w:t>
      </w:r>
    </w:p>
    <w:p>
      <w:pPr>
        <w:spacing w:after="0" w:line="208" w:lineRule="exact"/>
        <w:rPr>
          <w:sz w:val="20"/>
          <w:szCs w:val="20"/>
          <w:color w:val="auto"/>
        </w:rPr>
      </w:pPr>
    </w:p>
    <w:p>
      <w:pPr>
        <w:jc w:val="both"/>
        <w:ind w:left="100" w:right="99"/>
        <w:spacing w:after="0" w:line="251" w:lineRule="auto"/>
        <w:rPr>
          <w:sz w:val="20"/>
          <w:szCs w:val="20"/>
          <w:color w:val="auto"/>
        </w:rPr>
      </w:pPr>
      <w:r>
        <w:rPr>
          <w:rFonts w:ascii="Times New Roman" w:cs="Times New Roman" w:eastAsia="Times New Roman" w:hAnsi="Times New Roman"/>
          <w:sz w:val="21"/>
          <w:szCs w:val="21"/>
          <w:color w:val="auto"/>
        </w:rPr>
        <w:t>To indicate your acceptance of our offer, please sign and date the attached Acceptance and Acknowledgement. This agreement, along with the Company’s Non-Competition and Non-Disclosure Agreement, set forth the terms of your employment with the Company and supersede any prior representations or agreements, whether written or oral. This agreement may not be modified or amended except by a written agreement, signed by an executive officer of the Company and by you.</w:t>
      </w:r>
    </w:p>
    <w:p>
      <w:pPr>
        <w:spacing w:after="0" w:line="196" w:lineRule="exact"/>
        <w:rPr>
          <w:sz w:val="20"/>
          <w:szCs w:val="20"/>
          <w:color w:val="auto"/>
        </w:rPr>
      </w:pPr>
    </w:p>
    <w:p>
      <w:pPr>
        <w:jc w:val="both"/>
        <w:ind w:left="100" w:right="99"/>
        <w:spacing w:after="0" w:line="258" w:lineRule="auto"/>
        <w:rPr>
          <w:sz w:val="20"/>
          <w:szCs w:val="20"/>
          <w:color w:val="auto"/>
        </w:rPr>
      </w:pPr>
      <w:r>
        <w:rPr>
          <w:rFonts w:ascii="Times New Roman" w:cs="Times New Roman" w:eastAsia="Times New Roman" w:hAnsi="Times New Roman"/>
          <w:sz w:val="22"/>
          <w:szCs w:val="22"/>
          <w:color w:val="auto"/>
        </w:rPr>
        <w:t>Nancy, we are looking forward to your arrival and expect your direct contributions to have a significant positive impact on the organization.</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TILE SHOP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444500</wp:posOffset>
            </wp:positionV>
            <wp:extent cx="564261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35" w:name="page36"/>
    <w:bookmarkEnd w:id="35"/>
    <w:p>
      <w:pPr>
        <w:ind w:left="100"/>
        <w:spacing w:after="0"/>
        <w:rPr>
          <w:sz w:val="20"/>
          <w:szCs w:val="20"/>
          <w:color w:val="auto"/>
        </w:rPr>
      </w:pPr>
      <w:r>
        <w:rPr>
          <w:rFonts w:ascii="Times New Roman" w:cs="Times New Roman" w:eastAsia="Times New Roman" w:hAnsi="Times New Roman"/>
          <w:sz w:val="22"/>
          <w:szCs w:val="22"/>
          <w:color w:val="auto"/>
        </w:rPr>
        <w:t>By: /s/ Cabell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-13335</wp:posOffset>
            </wp:positionV>
            <wp:extent cx="11544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15443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2"/>
          <w:szCs w:val="22"/>
          <w:color w:val="auto"/>
        </w:rPr>
        <w:t>Name: Cabell Lolmaugh</w:t>
      </w:r>
    </w:p>
    <w:p>
      <w:pPr>
        <w:ind w:left="10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127635</wp:posOffset>
            </wp:positionV>
            <wp:extent cx="564261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22"/>
          <w:szCs w:val="22"/>
          <w:b w:val="1"/>
          <w:bCs w:val="1"/>
          <w:color w:val="auto"/>
        </w:rPr>
        <w:t>ACCEPTANCE AND ACKNOWLEDGMENT</w:t>
      </w:r>
    </w:p>
    <w:p>
      <w:pPr>
        <w:spacing w:after="0" w:line="238" w:lineRule="exact"/>
        <w:rPr>
          <w:sz w:val="20"/>
          <w:szCs w:val="20"/>
          <w:color w:val="auto"/>
        </w:rPr>
      </w:pPr>
    </w:p>
    <w:p>
      <w:pPr>
        <w:jc w:val="both"/>
        <w:ind w:left="100" w:right="99" w:firstLine="653"/>
        <w:spacing w:after="0" w:line="238" w:lineRule="auto"/>
        <w:tabs>
          <w:tab w:leader="none" w:pos="9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 the offer of employment from the Company as Senior Vice President and Chief Financial Officer as set forth in the employment agreement dated September 6, 2019. I understand and acknowledge that my employment with the Company is for no particular duration and is at-will, meaning that I, or the Company, may terminate the employment relationship at any time, with or without cause and with or without prior notice.</w:t>
      </w:r>
    </w:p>
    <w:p>
      <w:pPr>
        <w:spacing w:after="0" w:line="204" w:lineRule="exact"/>
        <w:rPr>
          <w:rFonts w:ascii="Times New Roman" w:cs="Times New Roman" w:eastAsia="Times New Roman" w:hAnsi="Times New Roman"/>
          <w:sz w:val="22"/>
          <w:szCs w:val="22"/>
          <w:color w:val="auto"/>
        </w:rPr>
      </w:pPr>
    </w:p>
    <w:p>
      <w:pPr>
        <w:jc w:val="both"/>
        <w:ind w:left="100" w:right="99" w:firstLine="653"/>
        <w:spacing w:after="0" w:line="234" w:lineRule="auto"/>
        <w:tabs>
          <w:tab w:leader="none" w:pos="109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understand and agree that the terms and conditions set forth in the employment agreement represent the entire agreement between the Company and me superseding all prior negotiations and agreements, whether written or oral. I understand that the terms and conditions described in the employment agreement, along with the Company’s Nondisclosure, Confidentiality, Assignment and Noncompetition Agreement are the terms and conditions of my employment. No one other than an executive officer of the Company is authorized to sign any employment or other agreement that modifies the terms of the employment agreement and the Company’s Nondisclosure, Confidentiality, Assignment and Noncompetition Agreement, and any such modification must be in writing and signed by such individual. I understand that the Company may modify salary and benefits as well as other plans and programs from time to time as its Board of Directors or the Compensation Committee thereof deems necessary or appropriate</w:t>
      </w:r>
    </w:p>
    <w:p>
      <w:pPr>
        <w:spacing w:after="0" w:line="200" w:lineRule="exact"/>
        <w:rPr>
          <w:sz w:val="20"/>
          <w:szCs w:val="20"/>
          <w:color w:val="auto"/>
        </w:rPr>
      </w:pPr>
    </w:p>
    <w:p>
      <w:pPr>
        <w:spacing w:after="0" w:line="2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Nancy DiMattia</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 Nancy DiMattia</w:t>
      </w:r>
    </w:p>
    <w:p>
      <w:pPr>
        <w:ind w:left="100"/>
        <w:spacing w:after="0"/>
        <w:rPr>
          <w:sz w:val="20"/>
          <w:szCs w:val="20"/>
          <w:color w:val="auto"/>
        </w:rPr>
      </w:pPr>
      <w:r>
        <w:rPr>
          <w:rFonts w:ascii="Times New Roman" w:cs="Times New Roman" w:eastAsia="Times New Roman" w:hAnsi="Times New Roman"/>
          <w:sz w:val="22"/>
          <w:szCs w:val="22"/>
          <w:color w:val="auto"/>
        </w:rPr>
        <w:t>Date: September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274955</wp:posOffset>
            </wp:positionV>
            <wp:extent cx="564261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7" w:name="page38"/>
    <w:bookmarkEnd w:id="37"/>
    <w:p>
      <w:pPr>
        <w:jc w:val="right"/>
        <w:ind w:right="9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TILE SHOP HOLDINGS, INC.</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NONDISCLOSURE, CONFIDENTIALITY, ASSIGNMENT 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NONCOMPETITION AGREEMENT</w:t>
      </w:r>
    </w:p>
    <w:p>
      <w:pPr>
        <w:spacing w:after="0" w:line="209" w:lineRule="exact"/>
        <w:rPr>
          <w:sz w:val="20"/>
          <w:szCs w:val="20"/>
          <w:color w:val="auto"/>
        </w:rPr>
      </w:pPr>
    </w:p>
    <w:p>
      <w:pPr>
        <w:jc w:val="both"/>
        <w:ind w:left="100" w:right="99" w:firstLine="608"/>
        <w:spacing w:after="0" w:line="238" w:lineRule="auto"/>
        <w:rPr>
          <w:sz w:val="20"/>
          <w:szCs w:val="20"/>
          <w:color w:val="auto"/>
        </w:rPr>
      </w:pPr>
      <w:r>
        <w:rPr>
          <w:rFonts w:ascii="Times New Roman" w:cs="Times New Roman" w:eastAsia="Times New Roman" w:hAnsi="Times New Roman"/>
          <w:sz w:val="22"/>
          <w:szCs w:val="22"/>
          <w:color w:val="auto"/>
        </w:rPr>
        <w:t>THIS NONDISCLOSURE, CONFIDENTIALITY, ASSIGNMENT AND NONCOMPETITION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this 6</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xml:space="preserve"> day of September, 2019, by and between Tile Shop Holdings, Inc., a Delaware corporation (collectively with any predecessors, successors, and assignees,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Nancy DiMattia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me</w:t>
      </w:r>
      <w:r>
        <w:rPr>
          <w:rFonts w:ascii="Times New Roman" w:cs="Times New Roman" w:eastAsia="Times New Roman" w:hAnsi="Times New Roman"/>
          <w:sz w:val="22"/>
          <w:szCs w:val="22"/>
          <w:color w:val="auto"/>
        </w:rPr>
        <w:t>”), to be effective on September 6, 2019.</w:t>
      </w:r>
    </w:p>
    <w:p>
      <w:pPr>
        <w:spacing w:after="0" w:line="204" w:lineRule="exact"/>
        <w:rPr>
          <w:sz w:val="20"/>
          <w:szCs w:val="20"/>
          <w:color w:val="auto"/>
        </w:rPr>
      </w:pPr>
    </w:p>
    <w:p>
      <w:pPr>
        <w:jc w:val="both"/>
        <w:ind w:left="100" w:right="99" w:firstLine="67"/>
        <w:spacing w:after="0" w:line="239" w:lineRule="auto"/>
        <w:rPr>
          <w:sz w:val="20"/>
          <w:szCs w:val="20"/>
          <w:color w:val="auto"/>
        </w:rPr>
      </w:pPr>
      <w:r>
        <w:rPr>
          <w:rFonts w:ascii="Times New Roman" w:cs="Times New Roman" w:eastAsia="Times New Roman" w:hAnsi="Times New Roman"/>
          <w:sz w:val="22"/>
          <w:szCs w:val="22"/>
          <w:color w:val="auto"/>
        </w:rPr>
        <w:t>In consideration of my engagement or continued engagement as an officer, employee, director, advisor, partner, independent contractor or consultant of the Company (an “</w:t>
      </w:r>
      <w:r>
        <w:rPr>
          <w:rFonts w:ascii="Times New Roman" w:cs="Times New Roman" w:eastAsia="Times New Roman" w:hAnsi="Times New Roman"/>
          <w:sz w:val="22"/>
          <w:szCs w:val="22"/>
          <w:u w:val="single" w:color="auto"/>
          <w:color w:val="auto"/>
        </w:rPr>
        <w:t>Associate</w:t>
      </w:r>
      <w:r>
        <w:rPr>
          <w:rFonts w:ascii="Times New Roman" w:cs="Times New Roman" w:eastAsia="Times New Roman" w:hAnsi="Times New Roman"/>
          <w:sz w:val="22"/>
          <w:szCs w:val="22"/>
          <w:color w:val="auto"/>
        </w:rPr>
        <w:t>”), and for other valuable consideration, the receipt and sufficiency of which is hereby acknowledged, I hereby agree as follows:</w:t>
      </w:r>
    </w:p>
    <w:p>
      <w:pPr>
        <w:spacing w:after="0" w:line="208" w:lineRule="exact"/>
        <w:rPr>
          <w:sz w:val="20"/>
          <w:szCs w:val="20"/>
          <w:color w:val="auto"/>
        </w:rPr>
      </w:pPr>
    </w:p>
    <w:p>
      <w:pPr>
        <w:ind w:left="740" w:hanging="635"/>
        <w:spacing w:after="0"/>
        <w:tabs>
          <w:tab w:leader="none" w:pos="7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233"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any direct or indirect subsidiary of the Company.</w:t>
      </w:r>
    </w:p>
    <w:p>
      <w:pPr>
        <w:spacing w:after="0" w:line="233" w:lineRule="exact"/>
        <w:rPr>
          <w:sz w:val="20"/>
          <w:szCs w:val="20"/>
          <w:color w:val="auto"/>
        </w:rPr>
      </w:pPr>
    </w:p>
    <w:p>
      <w:pPr>
        <w:jc w:val="both"/>
        <w:ind w:left="100" w:right="99" w:firstLine="648"/>
        <w:spacing w:after="0" w:line="232"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and all confidential and/or proprietary knowledge, data or information concerning the business, business relationships and financial affairs of the Company or its Affiliates whether or not in writing and whether or not labeled or identified as confidential or proprietary. By way of illustration, but not limitation, Confidential Information includes (a) Inventions and (b) research and development activities of the Company or its Affiliates, services and marketing plans, business plans, budgets and unpublished financial statements, licenses, prices and costs, customer and supplier information and information disclosed to the Company or its Affiliates or to me by third parties of a proprietary or confidential nature or under an obligation of confidence. Confidential Information is contained in various media, including without limitation, patent applications, computer programs in object and/or source code, flow charts and other program documentation, manuals, plans, drawings, designs, technical specifications, laboratory notebooks, supplier and customer lists, internal financial data and other documents and records of the Company or its Affiliates. Notwithstanding the foregoing, nothing in this Agreement is intended to or will be used in any way to prevent disclosure of Confidential Information in accordance with the immunity provisions set forth in the Defend Trade Secrets Act of 2016 (18 U.S.C. § 1833(b)), meaning the disclosure is (1) in confidence to a government official or attorney solely for the purpose of reporting or investigating a suspected legal violation; or (2) under seal in connection with a lawsuit or other proceeding (including an anti-retaliation lawsuit).</w:t>
      </w:r>
    </w:p>
    <w:p>
      <w:pPr>
        <w:spacing w:after="0" w:line="217" w:lineRule="exact"/>
        <w:rPr>
          <w:sz w:val="20"/>
          <w:szCs w:val="20"/>
          <w:color w:val="auto"/>
        </w:rPr>
      </w:pPr>
    </w:p>
    <w:p>
      <w:pPr>
        <w:jc w:val="both"/>
        <w:ind w:left="100" w:right="99" w:firstLine="648"/>
        <w:spacing w:after="0" w:line="238"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means all ideas, concepts, discoveries, inventions, developments, improvements, formulations, products, processes, know-how, designs, formulas, methods, developmental or experimental work, clinical data, original works of authorship, software programs, software and systems documentation, trade secrets, technical data, or licenses to use (whether or not patentable or registrable under copyright or similar statutes), that are or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186055</wp:posOffset>
            </wp:positionV>
            <wp:extent cx="564261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8" w:name="page39"/>
    <w:bookmarkEnd w:id="38"/>
    <w:p>
      <w:pPr>
        <w:jc w:val="both"/>
        <w:ind w:left="100" w:right="99"/>
        <w:spacing w:after="0" w:line="236" w:lineRule="auto"/>
        <w:rPr>
          <w:sz w:val="20"/>
          <w:szCs w:val="20"/>
          <w:color w:val="auto"/>
        </w:rPr>
      </w:pPr>
      <w:r>
        <w:rPr>
          <w:rFonts w:ascii="Times New Roman" w:cs="Times New Roman" w:eastAsia="Times New Roman" w:hAnsi="Times New Roman"/>
          <w:sz w:val="22"/>
          <w:szCs w:val="22"/>
          <w:color w:val="auto"/>
        </w:rPr>
        <w:t>conceived, devised, invented, developed or reduced to practice or tangible medium by me, either alone or jointly with others (a) during any period that I am an Associate of the Company, whether or not during normal working hours or on the premises of the Company, that relate, directly or indirectly, to the business of the Company or its Affiliates, (b) at the request of or for the benefit of the Company during any period prior to my engagement as an Associate of the Company that relate, directly or indirectly, to the business of the Company or its Affiliates, or (c) that arise out of, or are incidental to, my engagement as an Associate of the Company.</w:t>
      </w:r>
    </w:p>
    <w:p>
      <w:pPr>
        <w:spacing w:after="0" w:line="204" w:lineRule="exact"/>
        <w:rPr>
          <w:sz w:val="20"/>
          <w:szCs w:val="20"/>
          <w:color w:val="auto"/>
        </w:rPr>
      </w:pPr>
    </w:p>
    <w:p>
      <w:pPr>
        <w:jc w:val="both"/>
        <w:ind w:left="100" w:right="99" w:firstLine="648"/>
        <w:spacing w:after="0" w:line="235"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u w:val="single" w:color="auto"/>
          <w:color w:val="auto"/>
        </w:rPr>
        <w:t>Prior Inventions</w:t>
      </w:r>
      <w:r>
        <w:rPr>
          <w:rFonts w:ascii="Times New Roman" w:cs="Times New Roman" w:eastAsia="Times New Roman" w:hAnsi="Times New Roman"/>
          <w:sz w:val="22"/>
          <w:szCs w:val="22"/>
          <w:color w:val="auto"/>
        </w:rPr>
        <w:t xml:space="preserve">” means any inventions made, conceived, devised, invented, developed or first reduced to practice by me, under my direction or jointly with others prior to the date of this Agreement and that do not constitute Inventions within the meaning of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above. Prior Inventions also means </w:t>
      </w:r>
      <w:r>
        <w:rPr>
          <w:rFonts w:ascii="Times New Roman" w:cs="Times New Roman" w:eastAsia="Times New Roman" w:hAnsi="Times New Roman"/>
          <w:sz w:val="22"/>
          <w:szCs w:val="22"/>
          <w:color w:val="212529"/>
        </w:rPr>
        <w:t>an invention for which no equipment, supplies, facility or trade secret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12529"/>
        </w:rPr>
        <w:t>information of the Company was used and which was developed entirely on my own time, and (1) which does not relate (a) directly to the business of the Company or (b) to the Company’s actual or demonstrably anticipated research or development, or (2) which does not result from any work performed by the me for the Company.</w:t>
      </w:r>
    </w:p>
    <w:p>
      <w:pPr>
        <w:spacing w:after="0" w:line="206" w:lineRule="exact"/>
        <w:rPr>
          <w:sz w:val="20"/>
          <w:szCs w:val="20"/>
          <w:color w:val="auto"/>
        </w:rPr>
      </w:pPr>
    </w:p>
    <w:p>
      <w:pPr>
        <w:jc w:val="both"/>
        <w:ind w:left="100" w:right="99" w:firstLine="648"/>
        <w:spacing w:after="0" w:line="258"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u w:val="single" w:color="auto"/>
          <w:color w:val="auto"/>
        </w:rPr>
        <w:t>Third Party Information</w:t>
      </w:r>
      <w:r>
        <w:rPr>
          <w:rFonts w:ascii="Times New Roman" w:cs="Times New Roman" w:eastAsia="Times New Roman" w:hAnsi="Times New Roman"/>
          <w:sz w:val="22"/>
          <w:szCs w:val="22"/>
          <w:color w:val="auto"/>
        </w:rPr>
        <w:t>” means any confidential or proprietary information received by the Company or its Affiliates from third parties.</w:t>
      </w:r>
    </w:p>
    <w:p>
      <w:pPr>
        <w:spacing w:after="0" w:line="185" w:lineRule="exact"/>
        <w:rPr>
          <w:sz w:val="20"/>
          <w:szCs w:val="20"/>
          <w:color w:val="auto"/>
        </w:rPr>
      </w:pPr>
    </w:p>
    <w:p>
      <w:pPr>
        <w:ind w:left="740" w:hanging="635"/>
        <w:spacing w:after="0"/>
        <w:tabs>
          <w:tab w:leader="none" w:pos="7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CONFIDENTIALITY.</w:t>
      </w:r>
    </w:p>
    <w:p>
      <w:pPr>
        <w:spacing w:after="0" w:line="233" w:lineRule="exact"/>
        <w:rPr>
          <w:sz w:val="20"/>
          <w:szCs w:val="20"/>
          <w:color w:val="auto"/>
        </w:rPr>
      </w:pPr>
    </w:p>
    <w:p>
      <w:pPr>
        <w:jc w:val="both"/>
        <w:ind w:left="100" w:right="99" w:firstLine="648"/>
        <w:spacing w:after="0" w:line="251"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Recognition of the Company’s Rights</w:t>
      </w:r>
      <w:r>
        <w:rPr>
          <w:rFonts w:ascii="Times New Roman" w:cs="Times New Roman" w:eastAsia="Times New Roman" w:hAnsi="Times New Roman"/>
          <w:sz w:val="21"/>
          <w:szCs w:val="21"/>
          <w:color w:val="auto"/>
        </w:rPr>
        <w:t>. I understand that the Company continually obtains and develops valuable Confidential Information that may or has become known to me in connection with my engagement as an Associate of the Company. I acknowledge that all Confidential Information is and will remain the exclusive property of the Company or the third party providing such Confidential Information to myself, the Company, or the Company’s Affiliates.</w:t>
      </w:r>
    </w:p>
    <w:p>
      <w:pPr>
        <w:spacing w:after="0" w:line="196" w:lineRule="exact"/>
        <w:rPr>
          <w:sz w:val="20"/>
          <w:szCs w:val="20"/>
          <w:color w:val="auto"/>
        </w:rPr>
      </w:pPr>
    </w:p>
    <w:p>
      <w:pPr>
        <w:jc w:val="both"/>
        <w:ind w:left="100" w:right="99" w:firstLine="648"/>
        <w:spacing w:after="0" w:line="234"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Nondisclosure of Confidential Information</w:t>
      </w:r>
      <w:r>
        <w:rPr>
          <w:rFonts w:ascii="Times New Roman" w:cs="Times New Roman" w:eastAsia="Times New Roman" w:hAnsi="Times New Roman"/>
          <w:sz w:val="22"/>
          <w:szCs w:val="22"/>
          <w:color w:val="auto"/>
        </w:rPr>
        <w:t>. I agree that during the term of my engagement as an Associate of the Company and thereafter, I will hold in strictest confidence and will not disclose, use, lecture upon, publish or otherwise make available to any third party (other than personnel of the Company or its Affiliates who need to know such information in connection with their work for the Company), any Confidential Information of the Company, except as such disclosure, use or publication may be required in connection with my work for the Company, or as expressly authorized in writing by an executive officer of the Company. I agree that I will use such Confidential Information only in the performance of my duties for the Company and in accordance with any Company policies with respect to the protection of Confidential Information. I agree not to use such Confidential Information for my own benefit or for the benefit of any other person or business entity.</w:t>
      </w:r>
    </w:p>
    <w:p>
      <w:pPr>
        <w:spacing w:after="0" w:line="204" w:lineRule="exact"/>
        <w:rPr>
          <w:sz w:val="20"/>
          <w:szCs w:val="20"/>
          <w:color w:val="auto"/>
        </w:rPr>
      </w:pPr>
    </w:p>
    <w:p>
      <w:pPr>
        <w:jc w:val="both"/>
        <w:ind w:left="100" w:right="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Third Party Information</w:t>
      </w:r>
      <w:r>
        <w:rPr>
          <w:rFonts w:ascii="Times New Roman" w:cs="Times New Roman" w:eastAsia="Times New Roman" w:hAnsi="Times New Roman"/>
          <w:sz w:val="22"/>
          <w:szCs w:val="22"/>
          <w:color w:val="auto"/>
        </w:rPr>
        <w:t>. In addition, I understand that the Company has received and in the future will receive Third Party Information subject to a duty on the Company's part to maintain the confidentiality of such information and to use it only for certain limited purposes. During the term of my engagement as an Associate of the Company and thereafter, I will hold Third Party Information in the strictest confidence and will not disclose to anyone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186055</wp:posOffset>
            </wp:positionV>
            <wp:extent cx="564261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39" w:name="page40"/>
    <w:bookmarkEnd w:id="39"/>
    <w:p>
      <w:pPr>
        <w:jc w:val="both"/>
        <w:ind w:left="100" w:right="99"/>
        <w:spacing w:after="0"/>
        <w:rPr>
          <w:sz w:val="20"/>
          <w:szCs w:val="20"/>
          <w:color w:val="auto"/>
        </w:rPr>
      </w:pPr>
      <w:r>
        <w:rPr>
          <w:rFonts w:ascii="Times New Roman" w:cs="Times New Roman" w:eastAsia="Times New Roman" w:hAnsi="Times New Roman"/>
          <w:sz w:val="22"/>
          <w:szCs w:val="22"/>
          <w:color w:val="auto"/>
        </w:rPr>
        <w:t>personnel of the Company or its Affiliates who need to know such information in connection with the performance of their duties for the Company) or use any Third Party Information, except as such disclosure or use may be required in connection with the performance of my duties for the Company, or as expressly authorized in writing by an executive officer of the Company.</w:t>
      </w:r>
    </w:p>
    <w:p>
      <w:pPr>
        <w:spacing w:after="0" w:line="204" w:lineRule="exact"/>
        <w:rPr>
          <w:sz w:val="20"/>
          <w:szCs w:val="20"/>
          <w:color w:val="auto"/>
        </w:rPr>
      </w:pPr>
    </w:p>
    <w:p>
      <w:pPr>
        <w:jc w:val="both"/>
        <w:ind w:left="100" w:right="99" w:firstLine="648"/>
        <w:spacing w:after="0" w:line="246" w:lineRule="auto"/>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Exceptions</w:t>
      </w:r>
      <w:r>
        <w:rPr>
          <w:rFonts w:ascii="Times New Roman" w:cs="Times New Roman" w:eastAsia="Times New Roman" w:hAnsi="Times New Roman"/>
          <w:sz w:val="21"/>
          <w:szCs w:val="21"/>
          <w:color w:val="auto"/>
        </w:rPr>
        <w:t xml:space="preserve">. My obligations under </w:t>
      </w:r>
      <w:r>
        <w:rPr>
          <w:rFonts w:ascii="Times New Roman" w:cs="Times New Roman" w:eastAsia="Times New Roman" w:hAnsi="Times New Roman"/>
          <w:sz w:val="21"/>
          <w:szCs w:val="21"/>
          <w:u w:val="single" w:color="auto"/>
          <w:color w:val="auto"/>
        </w:rPr>
        <w:t>Sections 2.2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2.3</w:t>
      </w:r>
      <w:r>
        <w:rPr>
          <w:rFonts w:ascii="Times New Roman" w:cs="Times New Roman" w:eastAsia="Times New Roman" w:hAnsi="Times New Roman"/>
          <w:sz w:val="21"/>
          <w:szCs w:val="21"/>
          <w:color w:val="auto"/>
        </w:rPr>
        <w:t xml:space="preserve"> hereof will not apply to the extent that certain Confidential Information (a) is or becomes generally known within the Company’s industry through no fault of mine; (b) was known to me at the time it was disclosed as evidenced by my written records at the time of disclosure; (c) is lawfully and in good faith made available to me by a third party who did not derive it from the Company or the Company’s Affiliates and who imposes no obligation of confidence to me, the Company, or the Company’s Affiliates; or (d) is required to be disclosed by a governmental authority or by order of a court of competent jurisdiction, provided that such disclosure is subject to all applicable governmental or judicial protection available for like material and reasonable advance notice is given to the Company.</w:t>
      </w:r>
    </w:p>
    <w:p>
      <w:pPr>
        <w:spacing w:after="0" w:line="203" w:lineRule="exact"/>
        <w:rPr>
          <w:sz w:val="20"/>
          <w:szCs w:val="20"/>
          <w:color w:val="auto"/>
        </w:rPr>
      </w:pPr>
    </w:p>
    <w:p>
      <w:pPr>
        <w:jc w:val="both"/>
        <w:ind w:left="100" w:right="99" w:firstLine="648"/>
        <w:spacing w:after="0" w:line="234"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Protection and Return of Confidential Information</w:t>
      </w:r>
      <w:r>
        <w:rPr>
          <w:rFonts w:ascii="Times New Roman" w:cs="Times New Roman" w:eastAsia="Times New Roman" w:hAnsi="Times New Roman"/>
          <w:sz w:val="22"/>
          <w:szCs w:val="22"/>
          <w:color w:val="auto"/>
        </w:rPr>
        <w:t>. I agree to exercise all reasonable precautions to protect the integrity and confidentiality of Confidential Information in my possession and not to remove any materials containing Confidential Information from the premises of the Company, except to the extent necessary in the performance of my duties for the Company or unless expressly authorized in writing by an executive officer of the Company. Upon the termination of my engagement as an Associate of the Company, or at any time upon the Company’s request, I will return immediately to the Company any and all notes, memoranda, specifications, devices, formulas and documents, together with copies thereof, and any other material containing or disclosing any Confidential Information of the Company or Third Party Information then in my possession or under my control.</w:t>
      </w:r>
    </w:p>
    <w:p>
      <w:pPr>
        <w:spacing w:after="0" w:line="208" w:lineRule="exact"/>
        <w:rPr>
          <w:sz w:val="20"/>
          <w:szCs w:val="20"/>
          <w:color w:val="auto"/>
        </w:rPr>
      </w:pPr>
    </w:p>
    <w:p>
      <w:pPr>
        <w:ind w:left="740" w:hanging="635"/>
        <w:spacing w:after="0"/>
        <w:tabs>
          <w:tab w:leader="none" w:pos="7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 OF INVENTIONS.</w:t>
      </w:r>
    </w:p>
    <w:p>
      <w:pPr>
        <w:spacing w:after="0" w:line="233" w:lineRule="exact"/>
        <w:rPr>
          <w:sz w:val="20"/>
          <w:szCs w:val="20"/>
          <w:color w:val="auto"/>
        </w:rPr>
      </w:pPr>
    </w:p>
    <w:p>
      <w:pPr>
        <w:jc w:val="both"/>
        <w:ind w:left="100" w:right="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Ownership of Inventions</w:t>
      </w:r>
      <w:r>
        <w:rPr>
          <w:rFonts w:ascii="Times New Roman" w:cs="Times New Roman" w:eastAsia="Times New Roman" w:hAnsi="Times New Roman"/>
          <w:sz w:val="22"/>
          <w:szCs w:val="22"/>
          <w:color w:val="auto"/>
        </w:rPr>
        <w:t>. I acknowledge that all Inventions already existing at the date of this Agreement or that arise after the date of this Agreement, belong to and are the absolute property of the Company and will not be used by me for any purpose other than carrying out my duties as an Associate of the Company.</w:t>
      </w:r>
    </w:p>
    <w:p>
      <w:pPr>
        <w:spacing w:after="0" w:line="208" w:lineRule="exact"/>
        <w:rPr>
          <w:sz w:val="20"/>
          <w:szCs w:val="20"/>
          <w:color w:val="auto"/>
        </w:rPr>
      </w:pPr>
    </w:p>
    <w:p>
      <w:pPr>
        <w:jc w:val="both"/>
        <w:ind w:left="100" w:right="99" w:firstLine="648"/>
        <w:spacing w:after="0" w:line="233"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Assignment of Inventions; Enforcement of Rights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I hereby assign and agree to assign in the future to the Company all of my right, title and interest to any and all Inventions and any and all related patent rights, copyrights and applications and registrations therefore. I also agree to assign all my right, title and interest in and to any particular Inventions to a third party as directed by the Company. During and after my engagement as an Associate of the Company, I will cooperate with the Company, at the Company’s expense, in obtaining proprietary protection for the Inventions and I will execute all documents that the Company reasonably requests in order to perfect the Company’s rights in the Inventions. I hereby appoint the Company my attorney to execute and deliver any such documents on my behalf in the event I should fail or refuse to do so within a reasonable period following the Company’s request. I understand that, to the extent this Agreement is construed in accordance with the laws of any country or state that limits the assignability to the Company of certain inventions,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191770</wp:posOffset>
            </wp:positionV>
            <wp:extent cx="564261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0" w:name="page41"/>
    <w:bookmarkEnd w:id="40"/>
    <w:p>
      <w:pPr>
        <w:jc w:val="both"/>
        <w:ind w:left="100" w:right="99"/>
        <w:spacing w:after="0" w:line="259" w:lineRule="auto"/>
        <w:rPr>
          <w:sz w:val="20"/>
          <w:szCs w:val="20"/>
          <w:color w:val="auto"/>
        </w:rPr>
      </w:pPr>
      <w:r>
        <w:rPr>
          <w:rFonts w:ascii="Times New Roman" w:cs="Times New Roman" w:eastAsia="Times New Roman" w:hAnsi="Times New Roman"/>
          <w:sz w:val="22"/>
          <w:szCs w:val="22"/>
          <w:color w:val="auto"/>
        </w:rPr>
        <w:t>will be interpreted not to apply to any such invention that a court rules or the Company agrees is subject to such limitation.</w:t>
      </w:r>
    </w:p>
    <w:p>
      <w:pPr>
        <w:spacing w:after="0" w:line="184" w:lineRule="exact"/>
        <w:rPr>
          <w:sz w:val="20"/>
          <w:szCs w:val="20"/>
          <w:color w:val="auto"/>
        </w:rPr>
      </w:pPr>
    </w:p>
    <w:p>
      <w:pPr>
        <w:jc w:val="both"/>
        <w:ind w:left="100" w:right="99" w:firstLine="648"/>
        <w:spacing w:after="0" w:line="234"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Works for Hire</w:t>
      </w:r>
      <w:r>
        <w:rPr>
          <w:rFonts w:ascii="Times New Roman" w:cs="Times New Roman" w:eastAsia="Times New Roman" w:hAnsi="Times New Roman"/>
          <w:sz w:val="22"/>
          <w:szCs w:val="22"/>
          <w:color w:val="auto"/>
        </w:rPr>
        <w:t>. I acknowledge that all original works of authorship made by me (solely or jointly with others) within the scope of my engagement as an Associate of the Company or any prior engagement by the Company, that are protectable by copyright are intended to be “works made for hire”, as that term is defined in Section 101 of the United States Copyright Act of 1976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and will be the property of the Company and the Company will be the sole author within the meaning of the Act. If the copyright to any such copyrightable work is not the property of the Company by operation of law, I will, without further consideration, assign to the Company all of my right, title and interest in such copyrightable work and will cooperate with the Company and its designees, at the Company’s expense, to secure, maintain and defend for the Company’s benefit copyrights and any extensions and renewals thereof on any and all such work. I hereby waive all claims to moral rights in any Inventions.</w:t>
      </w:r>
    </w:p>
    <w:p>
      <w:pPr>
        <w:spacing w:after="0" w:line="204" w:lineRule="exact"/>
        <w:rPr>
          <w:sz w:val="20"/>
          <w:szCs w:val="20"/>
          <w:color w:val="auto"/>
        </w:rPr>
      </w:pPr>
    </w:p>
    <w:p>
      <w:pPr>
        <w:jc w:val="both"/>
        <w:ind w:left="100" w:right="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I agree to keep and maintain adequate and current records (in the form of notes, sketches, drawings and in any other form that may be required by the Company) of all Inventions made by me during the period of my engagement as an Associate of the Company or any prior engagement by the Company, which records will be available to and remain the sole property of the Company at all times.</w:t>
      </w:r>
    </w:p>
    <w:p>
      <w:pPr>
        <w:spacing w:after="0" w:line="204" w:lineRule="exact"/>
        <w:rPr>
          <w:sz w:val="20"/>
          <w:szCs w:val="20"/>
          <w:color w:val="auto"/>
        </w:rPr>
      </w:pPr>
    </w:p>
    <w:p>
      <w:pPr>
        <w:jc w:val="both"/>
        <w:ind w:left="100" w:right="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Obligation to Keep Company Informed</w:t>
      </w:r>
      <w:r>
        <w:rPr>
          <w:rFonts w:ascii="Times New Roman" w:cs="Times New Roman" w:eastAsia="Times New Roman" w:hAnsi="Times New Roman"/>
          <w:sz w:val="22"/>
          <w:szCs w:val="22"/>
          <w:color w:val="auto"/>
        </w:rPr>
        <w:t>. During the period of my engagement as an Associate of the Company, and for six months after termination of my engagement as an Associate of the Company, I agree to promptly disclose to the Company fully and in writing all Inventions authored, conceived or reduced to practice by me, either alone or jointly with others. In addition, I will promptly disclose to the Company all patent applications filed by me or on my behalf within one year after termination of my engagement as an Associate of the Company.</w:t>
      </w:r>
    </w:p>
    <w:p>
      <w:pPr>
        <w:spacing w:after="0" w:line="209" w:lineRule="exact"/>
        <w:rPr>
          <w:sz w:val="20"/>
          <w:szCs w:val="20"/>
          <w:color w:val="auto"/>
        </w:rPr>
      </w:pPr>
    </w:p>
    <w:p>
      <w:pPr>
        <w:jc w:val="both"/>
        <w:ind w:left="100" w:right="99" w:firstLine="648"/>
        <w:spacing w:after="0" w:line="233"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Prior Inventions</w:t>
      </w:r>
      <w:r>
        <w:rPr>
          <w:rFonts w:ascii="Times New Roman" w:cs="Times New Roman" w:eastAsia="Times New Roman" w:hAnsi="Times New Roman"/>
          <w:sz w:val="22"/>
          <w:szCs w:val="22"/>
          <w:color w:val="auto"/>
        </w:rPr>
        <w:t xml:space="preserve">. I further represent that the attached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contains a complete list of all Prior Inventions. I agree to update and/or amend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during my employment as may be necessary and to promptly notify the Company of the same. Such Prior Inventions are considered to be my property or the property of third parties and are not assigned to the Company hereunder. If there is no such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attached hereto, I represent that there are no such Prior Inventions. If I am claiming any Prior Inventions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I agree that, if in the course of my engagement as an Associate of the Company or any prior engagement by the Company, I incorporate any Prior Invention into a Company product, process or machine, the Company will automatically be granted and will have a non-exclusive, royalty-free, irrevocable, transferable, perpetual, world-wide license (with rights to sublicense) to make, have made, modify, use and sell such Prior Invention as part of, or in connection with, such product, process or machine. Notwithstanding the foregoing, I agree that I will not incorporate, or permit to be incorporated, Prior Inventions in any Company Inventions without the Company’s prior written consent.</w:t>
      </w:r>
    </w:p>
    <w:p>
      <w:pPr>
        <w:spacing w:after="0" w:line="211" w:lineRule="exact"/>
        <w:rPr>
          <w:sz w:val="20"/>
          <w:szCs w:val="20"/>
          <w:color w:val="auto"/>
        </w:rPr>
      </w:pPr>
    </w:p>
    <w:p>
      <w:pPr>
        <w:ind w:left="740" w:hanging="635"/>
        <w:spacing w:after="0"/>
        <w:tabs>
          <w:tab w:leader="none" w:pos="7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290195</wp:posOffset>
            </wp:positionV>
            <wp:extent cx="564261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1" w:name="page42"/>
    <w:bookmarkEnd w:id="41"/>
    <w:p>
      <w:pPr>
        <w:jc w:val="both"/>
        <w:ind w:left="100" w:right="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No Conflicting Obligations</w:t>
      </w:r>
      <w:r>
        <w:rPr>
          <w:rFonts w:ascii="Times New Roman" w:cs="Times New Roman" w:eastAsia="Times New Roman" w:hAnsi="Times New Roman"/>
          <w:sz w:val="22"/>
          <w:szCs w:val="22"/>
          <w:color w:val="auto"/>
        </w:rPr>
        <w:t xml:space="preserve">. I hereby represent to the Company that, except as identified on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I am not bound by any agreement or any other previous or existing business relationship that conflicts with or prevents the full performance of my duties and obligations to the Company (including my duties and obligations under this or any other agreement with the Company) during my engagement as an Associate of the Company. I agree I will not enter into any agreement, either written or oral, that conflicts with this Agreement.</w:t>
      </w:r>
    </w:p>
    <w:p>
      <w:pPr>
        <w:spacing w:after="0" w:line="210" w:lineRule="exact"/>
        <w:rPr>
          <w:sz w:val="20"/>
          <w:szCs w:val="20"/>
          <w:color w:val="auto"/>
        </w:rPr>
      </w:pPr>
    </w:p>
    <w:p>
      <w:pPr>
        <w:jc w:val="both"/>
        <w:ind w:left="100" w:right="99" w:firstLine="648"/>
        <w:spacing w:after="0" w:line="248"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No Improper Use of Information of Prior Employers or Others</w:t>
      </w:r>
      <w:r>
        <w:rPr>
          <w:rFonts w:ascii="Times New Roman" w:cs="Times New Roman" w:eastAsia="Times New Roman" w:hAnsi="Times New Roman"/>
          <w:sz w:val="21"/>
          <w:szCs w:val="21"/>
          <w:color w:val="auto"/>
        </w:rPr>
        <w:t xml:space="preserve">. I understand that the Company does not desire to acquire from me any trade secrets, know-how or confidential business information I may have acquired from others. Therefore, I agree during my engagement as an Associate of the Company, I will not improperly use or disclose any proprietary information or trade secrets of any former or concurrent employer, or any other person or entity with whom I have an agreement or to whom I owe a duty to keep such information in confidence. Those persons or entities with whom I have such agreements or to whom I owe such a duty are identified on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ind w:left="740" w:hanging="635"/>
        <w:spacing w:after="0"/>
        <w:tabs>
          <w:tab w:leader="none" w:pos="7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jc w:val="both"/>
        <w:ind w:left="740" w:right="99" w:hanging="635"/>
        <w:spacing w:after="0" w:line="236" w:lineRule="auto"/>
        <w:tabs>
          <w:tab w:leader="none" w:pos="7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NON-SOLICITATION. I agree that while I am engaged as an Associate of the Company and for a period of one year after termination or cessation of such engagement for any reason, I will not solicit, divert or take away, or attempt to divert or take away, the business or patronage of any of the clients, customers or accounts, or prospective clients, customers or accounts, of the Company or its Affiliates that were contacted, solicited or served by me while I was engaged as an Associate of the Company or any Affiliate.</w:t>
      </w:r>
    </w:p>
    <w:p>
      <w:pPr>
        <w:spacing w:after="0" w:line="209" w:lineRule="exact"/>
        <w:rPr>
          <w:rFonts w:ascii="Times New Roman" w:cs="Times New Roman" w:eastAsia="Times New Roman" w:hAnsi="Times New Roman"/>
          <w:sz w:val="22"/>
          <w:szCs w:val="22"/>
          <w:color w:val="auto"/>
        </w:rPr>
      </w:pPr>
    </w:p>
    <w:p>
      <w:pPr>
        <w:jc w:val="both"/>
        <w:ind w:left="740" w:right="99" w:hanging="635"/>
        <w:spacing w:after="0" w:line="235" w:lineRule="auto"/>
        <w:tabs>
          <w:tab w:leader="none" w:pos="7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NON-SOLICITATION OF EMPLOYEES AND CONSULTANTS. I agree that while I am engaged as an Associate of the Company and for a period of one year after termination or cessation of such engagement for any reason, I will not directly or indirectly hire, recruit, or solicit any employee, independent contractor or consultant of the Company or its Affiliates, or induce or attempt to induce any employee independent contractor or consultant of the Company or its Affiliates to discontinue his or her relationship with the Company or its Affiliates.</w:t>
      </w:r>
    </w:p>
    <w:p>
      <w:pPr>
        <w:spacing w:after="0" w:line="210" w:lineRule="exact"/>
        <w:rPr>
          <w:rFonts w:ascii="Times New Roman" w:cs="Times New Roman" w:eastAsia="Times New Roman" w:hAnsi="Times New Roman"/>
          <w:sz w:val="22"/>
          <w:szCs w:val="22"/>
          <w:color w:val="auto"/>
        </w:rPr>
      </w:pPr>
    </w:p>
    <w:p>
      <w:pPr>
        <w:jc w:val="both"/>
        <w:ind w:left="740" w:right="99" w:hanging="635"/>
        <w:spacing w:after="0" w:line="238" w:lineRule="auto"/>
        <w:tabs>
          <w:tab w:leader="none" w:pos="7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SUBSEQUENT EMPLOYMENT OR ENGAGEMENT. I will, for a period of one year after the termination or cessation of my engagement as an Associate of the Company, notify the Company of any change of address, and of any subsequent employment or engagement (stating the name and address of the employer and the nature of the position) or any other business activity.</w:t>
      </w:r>
    </w:p>
    <w:p>
      <w:pPr>
        <w:spacing w:after="0" w:line="204" w:lineRule="exact"/>
        <w:rPr>
          <w:rFonts w:ascii="Times New Roman" w:cs="Times New Roman" w:eastAsia="Times New Roman" w:hAnsi="Times New Roman"/>
          <w:sz w:val="22"/>
          <w:szCs w:val="22"/>
          <w:color w:val="auto"/>
        </w:rPr>
      </w:pPr>
    </w:p>
    <w:p>
      <w:pPr>
        <w:ind w:left="740" w:hanging="635"/>
        <w:spacing w:after="0"/>
        <w:tabs>
          <w:tab w:leader="none" w:pos="7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w:t>
      </w:r>
    </w:p>
    <w:p>
      <w:pPr>
        <w:spacing w:after="0" w:line="233" w:lineRule="exact"/>
        <w:rPr>
          <w:sz w:val="20"/>
          <w:szCs w:val="20"/>
          <w:color w:val="auto"/>
        </w:rPr>
      </w:pPr>
    </w:p>
    <w:p>
      <w:pPr>
        <w:jc w:val="both"/>
        <w:ind w:left="100" w:right="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Assignment; Successors and Assigns</w:t>
      </w:r>
      <w:r>
        <w:rPr>
          <w:rFonts w:ascii="Times New Roman" w:cs="Times New Roman" w:eastAsia="Times New Roman" w:hAnsi="Times New Roman"/>
          <w:sz w:val="22"/>
          <w:szCs w:val="22"/>
          <w:color w:val="auto"/>
        </w:rPr>
        <w:t>. This Agreement may not be assigned by either party except that the Company may assign this Agreement to any Affiliate or in connection with the merger, consolidation or sale of all or substantially all of its business or assets. This Agreement will be binding upon and will inure to the benefit of the parties hereto and their respective successors and other legal representatives and, to the extent that any assignment hereof is permitted hereunder, their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120650</wp:posOffset>
            </wp:positionV>
            <wp:extent cx="564261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2" w:name="page43"/>
    <w:bookmarkEnd w:id="42"/>
    <w:p>
      <w:pPr>
        <w:jc w:val="both"/>
        <w:ind w:left="100" w:right="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The obligations pursuant to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of this Agreement will apply to any time during which I was previously engaged as an Associate of the Company, or am in the future engaged as an Associate of the Company or any Affiliate if no other agreement governs nondisclosure and assignment of inventions during such period. This Agreement supersedes all prior agreements, written or oral, with respect to the subject matter of this Agreement.</w:t>
      </w:r>
    </w:p>
    <w:p>
      <w:pPr>
        <w:spacing w:after="0" w:line="204" w:lineRule="exact"/>
        <w:rPr>
          <w:sz w:val="20"/>
          <w:szCs w:val="20"/>
          <w:color w:val="auto"/>
        </w:rPr>
      </w:pPr>
    </w:p>
    <w:p>
      <w:pPr>
        <w:jc w:val="both"/>
        <w:ind w:left="100" w:right="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one or more of the provisions contained herein is, for any reason, held to be invalid, illegal, or unenforceable in any respect, such invalidity, illegality, or unenforceability will not affect any other provisions of this Agreement, and all other provisions will remain in full force and effect. If any of the provisions of this Agreement is held to be excessively broad, it will be reformed and construed by limiting and reducing it so as to be enforceable to the maximum extent permitted by law.</w:t>
      </w:r>
    </w:p>
    <w:p>
      <w:pPr>
        <w:spacing w:after="0" w:line="209" w:lineRule="exact"/>
        <w:rPr>
          <w:sz w:val="20"/>
          <w:szCs w:val="20"/>
          <w:color w:val="auto"/>
        </w:rPr>
      </w:pPr>
    </w:p>
    <w:p>
      <w:pPr>
        <w:jc w:val="both"/>
        <w:ind w:left="100" w:right="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No modification of or amendment to this Agreement, nor any waiver of any rights under this Agreement, will be effective unless in writing and signed by the party to be charged. No delay or omission by the Company in exercising any right under this Agreement will operate as a waiver of that or any other right. A waiver or consent given by the Company on any occasion if effective only in that instance and will not be construed as a bar to or waiver of any right on any other occasion.</w:t>
      </w:r>
    </w:p>
    <w:p>
      <w:pPr>
        <w:spacing w:after="0" w:line="209" w:lineRule="exact"/>
        <w:rPr>
          <w:sz w:val="20"/>
          <w:szCs w:val="20"/>
          <w:color w:val="auto"/>
        </w:rPr>
      </w:pPr>
    </w:p>
    <w:p>
      <w:pPr>
        <w:jc w:val="both"/>
        <w:ind w:left="100" w:right="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I understand that this Agreement does not constitute a contract of employment or create an obligation on the part of the Company to continue my employment (if any) with the Company. I understand that my employment (if any) is “at will” and that my obligations under this Agreement will not be affected by any change in my position, title or function with, or compensation, by the Company. Any subsequent change or changes in my duties, salary or compensation will not affect the validity or scope of this Agreement.</w:t>
      </w:r>
    </w:p>
    <w:p>
      <w:pPr>
        <w:spacing w:after="0" w:line="209" w:lineRule="exact"/>
        <w:rPr>
          <w:sz w:val="20"/>
          <w:szCs w:val="20"/>
          <w:color w:val="auto"/>
        </w:rPr>
      </w:pPr>
    </w:p>
    <w:p>
      <w:pPr>
        <w:jc w:val="both"/>
        <w:ind w:left="100" w:right="99" w:firstLine="648"/>
        <w:spacing w:after="0" w:line="244" w:lineRule="auto"/>
        <w:rPr>
          <w:sz w:val="20"/>
          <w:szCs w:val="20"/>
          <w:color w:val="auto"/>
        </w:rPr>
      </w:pPr>
      <w:r>
        <w:rPr>
          <w:rFonts w:ascii="Times New Roman" w:cs="Times New Roman" w:eastAsia="Times New Roman" w:hAnsi="Times New Roman"/>
          <w:sz w:val="21"/>
          <w:szCs w:val="21"/>
          <w:color w:val="auto"/>
        </w:rPr>
        <w:t xml:space="preserve">9.6. </w:t>
      </w:r>
      <w:r>
        <w:rPr>
          <w:rFonts w:ascii="Times New Roman" w:cs="Times New Roman" w:eastAsia="Times New Roman" w:hAnsi="Times New Roman"/>
          <w:sz w:val="21"/>
          <w:szCs w:val="21"/>
          <w:u w:val="single" w:color="auto"/>
          <w:color w:val="auto"/>
        </w:rPr>
        <w:t>Legal and Equitable Remedies</w:t>
      </w:r>
      <w:r>
        <w:rPr>
          <w:rFonts w:ascii="Times New Roman" w:cs="Times New Roman" w:eastAsia="Times New Roman" w:hAnsi="Times New Roman"/>
          <w:sz w:val="21"/>
          <w:szCs w:val="21"/>
          <w:color w:val="auto"/>
        </w:rPr>
        <w:t>. I acknowledge that (a) the business of the Company and its Affiliates is global in scope and its services may be marketed and sold throughout the world; (b) the Company and its Affiliates compete with other businesses that are or could be located in any part of the world; (c) the Company has required that I make the covenants contained in this Agreement as a condition to my engagement as an Associate of the Company; and (d) the restrictions contained in this Agreement are necessary for the protection of the business and goodwill of the Company and its Affiliates and are reasonable for such purpose. I agree that any breach of this Agreement by me will cause irreparable damage to the Company and its Affiliates and that in the event of such breach, the Company will be entitled, in addition to monetary damages and to any other remedies available to the Company under this Agreement and at law, to equitable relief, including injunctive relief, and to payment by myself of all costs incurred by the Company in enforcing of the provisions of this Agreement, including reasonable attorneys’ fees. I agree that should I violate any obligation imposed on me in this Agreement, I will continue to be bound by the obligation until a period equal to the term of such obligation has expired without violation of such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274955</wp:posOffset>
            </wp:positionV>
            <wp:extent cx="564261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43" w:name="page44"/>
    <w:bookmarkEnd w:id="43"/>
    <w:p>
      <w:pPr>
        <w:jc w:val="both"/>
        <w:ind w:left="100" w:right="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construed as a sealed instrument and will in all events and for all purposes be governed by, and construed in accordance with, the laws of the State of Delaware without regard to any choice of law principle that would dictate the application of the laws of another jurisdiction. Any action, suit or other legal proceeding that I may commence to resolve any matter arising under or relating to any provision of this Agreement will be commenced only in a court of the State of Delaware (or, if appropriate, a federal court located within the State of Delaware), and I hereby consent to the jurisdiction of such court with respect to any action, suit or proceeding commenced in such court by the Company.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[Next Page is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290195</wp:posOffset>
            </wp:positionV>
            <wp:extent cx="564261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4" w:name="page45"/>
    <w:bookmarkEnd w:id="44"/>
    <w:p>
      <w:pPr>
        <w:ind w:left="100" w:right="99" w:firstLine="608"/>
        <w:spacing w:after="0" w:line="259"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above written.</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ASSOCIATE</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auto"/>
        </w:rPr>
        <w:t>/s/ Nancy DiMattia</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Nancy DiMattia</w:t>
      </w:r>
    </w:p>
    <w:p>
      <w:pPr>
        <w:spacing w:after="0" w:line="200" w:lineRule="exact"/>
        <w:rPr>
          <w:sz w:val="20"/>
          <w:szCs w:val="20"/>
          <w:color w:val="auto"/>
        </w:rPr>
      </w:pP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TILE SHOP HOLDINGS, INC.</w:t>
      </w:r>
    </w:p>
    <w:p>
      <w:pPr>
        <w:spacing w:after="0" w:line="200" w:lineRule="exact"/>
        <w:rPr>
          <w:sz w:val="20"/>
          <w:szCs w:val="20"/>
          <w:color w:val="auto"/>
        </w:rPr>
      </w:pPr>
    </w:p>
    <w:p>
      <w:pPr>
        <w:spacing w:after="0" w:line="276" w:lineRule="exact"/>
        <w:rPr>
          <w:sz w:val="20"/>
          <w:szCs w:val="20"/>
          <w:color w:val="auto"/>
        </w:rPr>
      </w:pPr>
    </w:p>
    <w:p>
      <w:pPr>
        <w:ind w:left="100"/>
        <w:spacing w:after="0"/>
        <w:tabs>
          <w:tab w:leader="none" w:pos="7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Cabell Lolmaugh</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 Cabell Lolmaugh</w:t>
      </w:r>
    </w:p>
    <w:p>
      <w:pPr>
        <w:ind w:left="1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703580</wp:posOffset>
            </wp:positionV>
            <wp:extent cx="564261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List all Prior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608330</wp:posOffset>
            </wp:positionV>
            <wp:extent cx="564261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2"/>
          <w:szCs w:val="22"/>
          <w:b w:val="1"/>
          <w:bCs w:val="1"/>
          <w:color w:val="auto"/>
        </w:rPr>
        <w:t>Schedule B</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List all Conflicting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145415</wp:posOffset>
            </wp:positionV>
            <wp:extent cx="564261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7" w:name="page48"/>
    <w:bookmarkEnd w:id="47"/>
    <w:p>
      <w:pPr>
        <w:jc w:val="right"/>
        <w:ind w:right="9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WAIVER OF CLAIMS AND GENERAL RELEASE</w:t>
      </w:r>
    </w:p>
    <w:p>
      <w:pPr>
        <w:spacing w:after="0" w:line="237" w:lineRule="exact"/>
        <w:rPr>
          <w:sz w:val="20"/>
          <w:szCs w:val="20"/>
          <w:color w:val="auto"/>
        </w:rPr>
      </w:pPr>
    </w:p>
    <w:p>
      <w:pPr>
        <w:jc w:val="both"/>
        <w:ind w:left="100" w:right="99" w:firstLine="648"/>
        <w:spacing w:after="0" w:line="249" w:lineRule="auto"/>
        <w:rPr>
          <w:sz w:val="20"/>
          <w:szCs w:val="20"/>
          <w:color w:val="auto"/>
        </w:rPr>
      </w:pPr>
      <w:r>
        <w:rPr>
          <w:rFonts w:ascii="Times New Roman" w:cs="Times New Roman" w:eastAsia="Times New Roman" w:hAnsi="Times New Roman"/>
          <w:sz w:val="21"/>
          <w:szCs w:val="21"/>
          <w:color w:val="auto"/>
        </w:rPr>
        <w:t>This Waiver of Claims and General Release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is to confirm that the undersigned’s at-will employment with Tile Shop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is terminated effective as of ________________ (the “</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Effective as of the Termination Date, by</w:t>
      </w:r>
    </w:p>
    <w:p>
      <w:pPr>
        <w:spacing w:after="0" w:line="2" w:lineRule="exact"/>
        <w:rPr>
          <w:sz w:val="20"/>
          <w:szCs w:val="20"/>
          <w:color w:val="auto"/>
        </w:rPr>
      </w:pPr>
    </w:p>
    <w:p>
      <w:pPr>
        <w:jc w:val="both"/>
        <w:ind w:left="100" w:right="99"/>
        <w:spacing w:after="0" w:line="237" w:lineRule="auto"/>
        <w:rPr>
          <w:sz w:val="20"/>
          <w:szCs w:val="20"/>
          <w:color w:val="auto"/>
        </w:rPr>
      </w:pPr>
      <w:r>
        <w:rPr>
          <w:rFonts w:ascii="Times New Roman" w:cs="Times New Roman" w:eastAsia="Times New Roman" w:hAnsi="Times New Roman"/>
          <w:sz w:val="22"/>
          <w:szCs w:val="22"/>
          <w:color w:val="auto"/>
        </w:rPr>
        <w:t>execution of this Release, the undersigned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 hereby relinquish all authority you have to act on behalf of the Company and any of its subsidiaries.</w:t>
      </w:r>
    </w:p>
    <w:p>
      <w:pPr>
        <w:spacing w:after="0" w:line="206" w:lineRule="exact"/>
        <w:rPr>
          <w:sz w:val="20"/>
          <w:szCs w:val="20"/>
          <w:color w:val="auto"/>
        </w:rPr>
      </w:pPr>
    </w:p>
    <w:p>
      <w:pPr>
        <w:jc w:val="both"/>
        <w:ind w:left="100" w:right="99" w:firstLine="648"/>
        <w:spacing w:after="0" w:line="258" w:lineRule="auto"/>
        <w:rPr>
          <w:sz w:val="20"/>
          <w:szCs w:val="20"/>
          <w:color w:val="auto"/>
        </w:rPr>
      </w:pPr>
      <w:r>
        <w:rPr>
          <w:rFonts w:ascii="Times New Roman" w:cs="Times New Roman" w:eastAsia="Times New Roman" w:hAnsi="Times New Roman"/>
          <w:sz w:val="22"/>
          <w:szCs w:val="22"/>
          <w:color w:val="auto"/>
        </w:rPr>
        <w:t>Please read this Release carefully. To help you understand the Release and your rights as a terminated employee, you are advised to consult with your attorney before signing it.</w:t>
      </w:r>
    </w:p>
    <w:p>
      <w:pPr>
        <w:spacing w:after="0" w:line="185" w:lineRule="exact"/>
        <w:rPr>
          <w:sz w:val="20"/>
          <w:szCs w:val="20"/>
          <w:color w:val="auto"/>
        </w:rPr>
      </w:pPr>
    </w:p>
    <w:p>
      <w:pPr>
        <w:jc w:val="both"/>
        <w:ind w:left="100" w:right="99" w:firstLine="648"/>
        <w:spacing w:after="0" w:line="238" w:lineRule="auto"/>
        <w:rPr>
          <w:sz w:val="20"/>
          <w:szCs w:val="20"/>
          <w:color w:val="auto"/>
        </w:rPr>
      </w:pPr>
      <w:r>
        <w:rPr>
          <w:rFonts w:ascii="Times New Roman" w:cs="Times New Roman" w:eastAsia="Times New Roman" w:hAnsi="Times New Roman"/>
          <w:sz w:val="22"/>
          <w:szCs w:val="22"/>
          <w:color w:val="auto"/>
        </w:rPr>
        <w:t>Consistent with the provisions of that certain Employment Agreement by and between you and the Company dated as of September 6, 2019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the Company will provide you with severance pay pursuant to the terms of the Employment Agreement. In consideration for the severance payments and other good and valuable consideration set forth in the Employment Agreement, you hereby agree as follows:</w:t>
      </w:r>
    </w:p>
    <w:p>
      <w:pPr>
        <w:spacing w:after="0" w:line="204" w:lineRule="exact"/>
        <w:rPr>
          <w:sz w:val="20"/>
          <w:szCs w:val="20"/>
          <w:color w:val="auto"/>
        </w:rPr>
      </w:pPr>
    </w:p>
    <w:p>
      <w:pPr>
        <w:jc w:val="both"/>
        <w:ind w:left="100" w:right="99" w:firstLine="653"/>
        <w:spacing w:after="0" w:line="232" w:lineRule="auto"/>
        <w:tabs>
          <w:tab w:leader="none" w:pos="143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You hereby release and forever discharge the Company and each of its past and present officers, directors, employees, agents, advisors, consultants, successors and assigns from any and all claims and liabilities of any nature by you including, but not limited to, all actions, causes of actions, suits, debts, sums of money, attorneys’ fees, costs, accounts, covenants, controversies, agreements, promises, damages, claims, grievances, arbitrations, and demands whatsoever, known or unknown, at law or in equity, by contract (express or implied), tort, pursuant to statute, or otherwise, that you now have, ever have had or will ever have based on, by reason of, or arising out of, any event, occurrence, action, inaction, transition or thing of any kind or nature occurring prior to or on the effective date of this Release. Without limiting the generality of the above, you specifically release and discharge any and all claims and causes of action arising, directly or indirectly, from your employment at the Company, arising under applicable state, federal and local law, including but not limited to the Employee Retirement Income Security Act of 1974 (except as to claims pertaining to vested benefits under employee benefit plan(s) of the Company), Title VII of the Civil Rights Act of 1964, the Age Discrimination in Employment Act of 1967, as amended (the “</w:t>
      </w:r>
      <w:r>
        <w:rPr>
          <w:rFonts w:ascii="Times New Roman" w:cs="Times New Roman" w:eastAsia="Times New Roman" w:hAnsi="Times New Roman"/>
          <w:sz w:val="22"/>
          <w:szCs w:val="22"/>
          <w:u w:val="single" w:color="auto"/>
          <w:color w:val="auto"/>
        </w:rPr>
        <w:t>ADEA</w:t>
      </w:r>
      <w:r>
        <w:rPr>
          <w:rFonts w:ascii="Times New Roman" w:cs="Times New Roman" w:eastAsia="Times New Roman" w:hAnsi="Times New Roman"/>
          <w:sz w:val="22"/>
          <w:szCs w:val="22"/>
          <w:color w:val="auto"/>
        </w:rPr>
        <w:t>”), the Equal Pay Act, the Rehabilitation Act, the Americans With Disabilities Act, and any other law, statute, ordinance, rule, regulation, decision or order pertaining to employment or pertaining to discrimination on the basis of age, alienage, race, color, creed, gender, national origin, religion, physical or mental disability, marital status, citizenship, sexual orientation, non-work activities or any other protected class or conduct. Payment of any amounts and the provision of any benefits provided for in this Release do not signify any admission of wrongdoing by the Company or any of its affiliates.</w:t>
      </w:r>
    </w:p>
    <w:p>
      <w:pPr>
        <w:spacing w:after="0" w:line="213" w:lineRule="exact"/>
        <w:rPr>
          <w:sz w:val="20"/>
          <w:szCs w:val="20"/>
          <w:color w:val="auto"/>
        </w:rPr>
      </w:pPr>
    </w:p>
    <w:p>
      <w:pPr>
        <w:jc w:val="both"/>
        <w:ind w:left="100" w:right="99"/>
        <w:spacing w:after="0" w:line="239" w:lineRule="auto"/>
        <w:rPr>
          <w:sz w:val="20"/>
          <w:szCs w:val="20"/>
          <w:color w:val="auto"/>
        </w:rPr>
      </w:pPr>
      <w:r>
        <w:rPr>
          <w:rFonts w:ascii="Times New Roman" w:cs="Times New Roman" w:eastAsia="Times New Roman" w:hAnsi="Times New Roman"/>
          <w:sz w:val="22"/>
          <w:szCs w:val="22"/>
          <w:color w:val="auto"/>
        </w:rPr>
        <w:t>You also agree that if you file, or there is filed on your behalf, a charge, complaint, or action, the payment and benefits described in this Release are in complete satisfaction of any and all claims in connection with such charge, complaint, or action and you waive, and agree not to take, any award of money or other damages from such charge, complaint, or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273685</wp:posOffset>
            </wp:positionV>
            <wp:extent cx="564261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8" w:name="page49"/>
    <w:bookmarkEnd w:id="48"/>
    <w:p>
      <w:pPr>
        <w:jc w:val="both"/>
        <w:ind w:left="100" w:right="99"/>
        <w:spacing w:after="0" w:line="232" w:lineRule="auto"/>
        <w:rPr>
          <w:sz w:val="20"/>
          <w:szCs w:val="20"/>
          <w:color w:val="auto"/>
        </w:rPr>
      </w:pPr>
      <w:r>
        <w:rPr>
          <w:rFonts w:ascii="Times New Roman" w:cs="Times New Roman" w:eastAsia="Times New Roman" w:hAnsi="Times New Roman"/>
          <w:sz w:val="22"/>
          <w:szCs w:val="22"/>
          <w:color w:val="auto"/>
        </w:rPr>
        <w:t>By signing this Release you are not releasing or waiving (a) any vested interest you may have in any employee retirement plan (as defined in ERISA Section 3(2)) by virtue of your employment with the Company; (b) any rights or claims that may arise after the Termination Date; (c) the post-employment payment and benefits described in the third paragraph of this Release; (d) the right to institute legal action for the purpose of enforcing the provisions of this Release; (e) the right to apply for state unemployment compensation benefits; (f) any right you may have to workers’ compensation benefits; (g) any rights you may have under COBRA; (h) the right to file a charge or complaint with a governmental agency such as the Equal Employment Opportunity Commission (“</w:t>
      </w:r>
      <w:r>
        <w:rPr>
          <w:rFonts w:ascii="Times New Roman" w:cs="Times New Roman" w:eastAsia="Times New Roman" w:hAnsi="Times New Roman"/>
          <w:sz w:val="22"/>
          <w:szCs w:val="22"/>
          <w:u w:val="single" w:color="auto"/>
          <w:color w:val="auto"/>
        </w:rPr>
        <w:t>EEOC</w:t>
      </w:r>
      <w:r>
        <w:rPr>
          <w:rFonts w:ascii="Times New Roman" w:cs="Times New Roman" w:eastAsia="Times New Roman" w:hAnsi="Times New Roman"/>
          <w:sz w:val="22"/>
          <w:szCs w:val="22"/>
          <w:color w:val="auto"/>
        </w:rPr>
        <w:t>”), the National Labor Relations Board (“</w:t>
      </w:r>
      <w:r>
        <w:rPr>
          <w:rFonts w:ascii="Times New Roman" w:cs="Times New Roman" w:eastAsia="Times New Roman" w:hAnsi="Times New Roman"/>
          <w:sz w:val="22"/>
          <w:szCs w:val="22"/>
          <w:u w:val="single" w:color="auto"/>
          <w:color w:val="auto"/>
        </w:rPr>
        <w:t>NLRB</w:t>
      </w:r>
      <w:r>
        <w:rPr>
          <w:rFonts w:ascii="Times New Roman" w:cs="Times New Roman" w:eastAsia="Times New Roman" w:hAnsi="Times New Roman"/>
          <w:sz w:val="22"/>
          <w:szCs w:val="22"/>
          <w:color w:val="auto"/>
        </w:rPr>
        <w:t>”), the Occupational Safety and Health Administration (“</w:t>
      </w:r>
      <w:r>
        <w:rPr>
          <w:rFonts w:ascii="Times New Roman" w:cs="Times New Roman" w:eastAsia="Times New Roman" w:hAnsi="Times New Roman"/>
          <w:sz w:val="22"/>
          <w:szCs w:val="22"/>
          <w:u w:val="single" w:color="auto"/>
          <w:color w:val="auto"/>
        </w:rPr>
        <w:t>OSHA</w:t>
      </w:r>
      <w:r>
        <w:rPr>
          <w:rFonts w:ascii="Times New Roman" w:cs="Times New Roman" w:eastAsia="Times New Roman" w:hAnsi="Times New Roman"/>
          <w:sz w:val="22"/>
          <w:szCs w:val="22"/>
          <w:color w:val="auto"/>
        </w:rPr>
        <w:t>”),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xml:space="preserve">”) or any other federal, state or local governmental agency, subject to the preceding paragraph of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(i) the right to communicate with, testify, assist, or participate in an investigation, hearing, or proceeding conducted by, the EEOC, NLRB, OSHA, SEC, or other governmental agency; (j) the right to receive and retain a monetary award from a government-administered whistleblower award program for providing information directly to a governmental agency; and (k) any rights of indemnification or contribution afforded you by the Indemnification Agreement, dated September 6, 2019 between you and the Company, by statute or by common law, including any insurance coverage maintained by or on behalf of the Company.</w:t>
      </w:r>
    </w:p>
    <w:p>
      <w:pPr>
        <w:spacing w:after="0" w:line="218" w:lineRule="exact"/>
        <w:rPr>
          <w:sz w:val="20"/>
          <w:szCs w:val="20"/>
          <w:color w:val="auto"/>
        </w:rPr>
      </w:pPr>
    </w:p>
    <w:p>
      <w:pPr>
        <w:jc w:val="both"/>
        <w:ind w:left="100" w:right="99" w:firstLine="653"/>
        <w:spacing w:after="0" w:line="238" w:lineRule="auto"/>
        <w:tabs>
          <w:tab w:leader="none" w:pos="142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Opportunity to Consider</w:t>
      </w:r>
      <w:r>
        <w:rPr>
          <w:rFonts w:ascii="Times New Roman" w:cs="Times New Roman" w:eastAsia="Times New Roman" w:hAnsi="Times New Roman"/>
          <w:sz w:val="22"/>
          <w:szCs w:val="22"/>
          <w:color w:val="auto"/>
        </w:rPr>
        <w:t xml:space="preserve">. You have been advised that you have 21 days from the date on which you received this Release to consider whether you wish to sign it. However, the Company will not accept, and you may not execute, this Release until the Termination Date. You are also advised to consult with an attorney prior to signing this Release. The date on which you received this Release is accurately reflected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below.</w:t>
      </w:r>
    </w:p>
    <w:p>
      <w:pPr>
        <w:spacing w:after="0" w:line="204" w:lineRule="exact"/>
        <w:rPr>
          <w:rFonts w:ascii="Times New Roman" w:cs="Times New Roman" w:eastAsia="Times New Roman" w:hAnsi="Times New Roman"/>
          <w:sz w:val="22"/>
          <w:szCs w:val="22"/>
          <w:color w:val="auto"/>
        </w:rPr>
      </w:pPr>
    </w:p>
    <w:p>
      <w:pPr>
        <w:jc w:val="both"/>
        <w:ind w:left="100" w:right="99" w:firstLine="653"/>
        <w:spacing w:after="0" w:line="234" w:lineRule="auto"/>
        <w:tabs>
          <w:tab w:leader="none" w:pos="146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Opportunity to Rescind</w:t>
      </w:r>
      <w:r>
        <w:rPr>
          <w:rFonts w:ascii="Times New Roman" w:cs="Times New Roman" w:eastAsia="Times New Roman" w:hAnsi="Times New Roman"/>
          <w:sz w:val="22"/>
          <w:szCs w:val="22"/>
          <w:color w:val="auto"/>
        </w:rPr>
        <w:t xml:space="preserve">. You may cancel this Release as to the release of claims arising under the Minnesota Human Rights Act within 15 days after signing it and as to the release of claims arising under the ADEA within 7 days of signing it. The Release will not become effective or enforceable until both rescission periods have passed. If you decide to rescind the Release you must mail or hand deliver the notice of rescission to: Chief Executive Officer, Tile Shop Holdings, Inc., 14000 Carlson Parkway, Plymouth, Minnesota 55441. If you mail the notice of rescission, the notice must be postmarked within the 15 or 7 day period, as applicable, and must be sent via certified mail, return receipt requested, as addressed above. If you exercise the right to rescind under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all other provisions of the Release will immediately be null and void and you will not receive severance pay as described in the Employment Agreement or otherwise.</w:t>
      </w:r>
    </w:p>
    <w:p>
      <w:pPr>
        <w:spacing w:after="0" w:line="207" w:lineRule="exact"/>
        <w:rPr>
          <w:rFonts w:ascii="Times New Roman" w:cs="Times New Roman" w:eastAsia="Times New Roman" w:hAnsi="Times New Roman"/>
          <w:sz w:val="22"/>
          <w:szCs w:val="22"/>
          <w:color w:val="auto"/>
        </w:rPr>
      </w:pPr>
    </w:p>
    <w:p>
      <w:pPr>
        <w:jc w:val="both"/>
        <w:ind w:left="100" w:right="99" w:firstLine="653"/>
        <w:spacing w:after="0" w:line="238" w:lineRule="auto"/>
        <w:tabs>
          <w:tab w:leader="none" w:pos="142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of this Release</w:t>
      </w:r>
      <w:r>
        <w:rPr>
          <w:rFonts w:ascii="Times New Roman" w:cs="Times New Roman" w:eastAsia="Times New Roman" w:hAnsi="Times New Roman"/>
          <w:sz w:val="22"/>
          <w:szCs w:val="22"/>
          <w:color w:val="auto"/>
        </w:rPr>
        <w:t>. You agree that you will keep the terms of this Release strictly confidential and not disclose, directly or indirectly, any information concerning them to any third party, with the exception of your spouse (if you have a spouse), and financial or legal advisors, provided that they agree to keep such information confidential as set forth herein and not disclose it to others, and except as may be required by court order or legal process.</w:t>
      </w:r>
    </w:p>
    <w:p>
      <w:pPr>
        <w:spacing w:after="0" w:line="204" w:lineRule="exact"/>
        <w:rPr>
          <w:rFonts w:ascii="Times New Roman" w:cs="Times New Roman" w:eastAsia="Times New Roman" w:hAnsi="Times New Roman"/>
          <w:sz w:val="22"/>
          <w:szCs w:val="22"/>
          <w:color w:val="auto"/>
        </w:rPr>
      </w:pPr>
    </w:p>
    <w:p>
      <w:pPr>
        <w:jc w:val="both"/>
        <w:ind w:left="100" w:right="99" w:firstLine="653"/>
        <w:spacing w:after="0" w:line="244" w:lineRule="auto"/>
        <w:tabs>
          <w:tab w:leader="none" w:pos="1437"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w:t>
      </w:r>
      <w:r>
        <w:rPr>
          <w:rFonts w:ascii="Times New Roman" w:cs="Times New Roman" w:eastAsia="Times New Roman" w:hAnsi="Times New Roman"/>
          <w:sz w:val="22"/>
          <w:szCs w:val="22"/>
          <w:color w:val="auto"/>
        </w:rPr>
        <w:t>. You agree that all of the payments and benefits provided for in this Release are subject to termination, reduction or cancellation in the event of your material breach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269240</wp:posOffset>
            </wp:positionV>
            <wp:extent cx="564261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9" w:name="page50"/>
    <w:bookmarkEnd w:id="49"/>
    <w:p>
      <w:pPr>
        <w:jc w:val="both"/>
        <w:ind w:left="100" w:right="99" w:firstLine="653"/>
        <w:spacing w:after="0" w:line="244" w:lineRule="auto"/>
        <w:tabs>
          <w:tab w:leader="none" w:pos="146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The parties agree that any legal proceeding brought to enforce the provisions of this Release may be brought only in the courts of the State of Minnesota or the federal courts located in Minnesota and each party hereby consents to the jurisdiction of such courts.</w:t>
      </w:r>
    </w:p>
    <w:p>
      <w:pPr>
        <w:spacing w:after="0" w:line="201" w:lineRule="exact"/>
        <w:rPr>
          <w:rFonts w:ascii="Times New Roman" w:cs="Times New Roman" w:eastAsia="Times New Roman" w:hAnsi="Times New Roman"/>
          <w:sz w:val="22"/>
          <w:szCs w:val="22"/>
          <w:color w:val="auto"/>
        </w:rPr>
      </w:pPr>
    </w:p>
    <w:p>
      <w:pPr>
        <w:jc w:val="both"/>
        <w:ind w:left="100" w:right="99" w:firstLine="653"/>
        <w:spacing w:after="0" w:line="234" w:lineRule="auto"/>
        <w:tabs>
          <w:tab w:leader="none" w:pos="150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If any of the terms of this Release is held to be invalid and unenforceable, other than the release of claims provided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and cannot be rewritten or interpreted by the court to be valid, enforceable and to meet the intent of the parties expressed herein, then the remaining terms of this Release are severable and will not be affected thereby. In the event any aspect of the release of claims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is held to be invalid or unenforceable in any respect, the remaining provisions of this Release will be voidable at the option of the Company and you agree to return any payments made and benefits provided by the Company except that nothing in this Release will be construed as permitting the Company to obligate or require tender back of any payments or benefits provided in exchange for your release of ADEA claims.</w:t>
      </w:r>
    </w:p>
    <w:p>
      <w:pPr>
        <w:spacing w:after="0" w:line="211" w:lineRule="exact"/>
        <w:rPr>
          <w:rFonts w:ascii="Times New Roman" w:cs="Times New Roman" w:eastAsia="Times New Roman" w:hAnsi="Times New Roman"/>
          <w:sz w:val="22"/>
          <w:szCs w:val="22"/>
          <w:color w:val="auto"/>
        </w:rPr>
      </w:pPr>
    </w:p>
    <w:p>
      <w:pPr>
        <w:jc w:val="both"/>
        <w:ind w:left="100" w:right="99" w:firstLine="653"/>
        <w:spacing w:after="0" w:line="246" w:lineRule="auto"/>
        <w:tabs>
          <w:tab w:leader="none" w:pos="145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This Release and the Employment Agreement constitutes the entire agreement between the parties about or relating to your termination of employment with the Company, or the Company's obligations to you with respect to your termination and fully supersedes any and all prior agreements or understandings between the parties except for those express provisions contained in the Employment Agreement and the Tile Shop Holdings, Inc. Nondisclosure,</w:t>
      </w:r>
    </w:p>
    <w:p>
      <w:pPr>
        <w:spacing w:after="0" w:line="1" w:lineRule="exact"/>
        <w:rPr>
          <w:rFonts w:ascii="Times New Roman" w:cs="Times New Roman" w:eastAsia="Times New Roman" w:hAnsi="Times New Roman"/>
          <w:sz w:val="21"/>
          <w:szCs w:val="21"/>
          <w:color w:val="auto"/>
        </w:rPr>
      </w:pPr>
    </w:p>
    <w:p>
      <w:pPr>
        <w:ind w:left="100" w:right="99" w:firstLine="121"/>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Confidentiality, Assignment and Noncompetition Agreement that are intended to survive the termination of the employment relationship.</w:t>
      </w:r>
    </w:p>
    <w:p>
      <w:pPr>
        <w:spacing w:after="0" w:line="205" w:lineRule="exact"/>
        <w:rPr>
          <w:rFonts w:ascii="Times New Roman" w:cs="Times New Roman" w:eastAsia="Times New Roman" w:hAnsi="Times New Roman"/>
          <w:sz w:val="21"/>
          <w:szCs w:val="21"/>
          <w:color w:val="auto"/>
        </w:rPr>
      </w:pPr>
    </w:p>
    <w:p>
      <w:pPr>
        <w:jc w:val="both"/>
        <w:ind w:left="100" w:right="99" w:firstLine="653"/>
        <w:spacing w:after="0" w:line="233" w:lineRule="auto"/>
        <w:tabs>
          <w:tab w:leader="none" w:pos="149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You affirm that the consideration for signing this Release is described in the Employment Agreement as referenced herein and that no other promises or agreements of any kind have been made to or with you by any person or entity whatsoever to cause you to sign this Release, and that you fully understand the meaning and intent of this instrument. You agree that at all times during your employment you were properly compensated for all hours you worked, that you received all benefits and leave to which you were entitled, and that you suffered no work related accident, illness or injury. You agree that you will not disparage the Company in any way, nor will you make any public comments or communications that tend to cast the Company, its owners, directors, officers or employees in a negative light. The Company agrees that none of the Company’s officers, owners, directors or management employees will disparage you in any way, nor will the Company’s officers, owners, directors or management employees make any public comments or communications that tend to cast you in a negative light.</w:t>
      </w:r>
    </w:p>
    <w:p>
      <w:pPr>
        <w:spacing w:after="0" w:line="213" w:lineRule="exact"/>
        <w:rPr>
          <w:sz w:val="20"/>
          <w:szCs w:val="20"/>
          <w:color w:val="auto"/>
        </w:rPr>
      </w:pPr>
    </w:p>
    <w:p>
      <w:pPr>
        <w:jc w:val="both"/>
        <w:ind w:left="100" w:right="99"/>
        <w:spacing w:after="0" w:line="235" w:lineRule="auto"/>
        <w:rPr>
          <w:sz w:val="20"/>
          <w:szCs w:val="20"/>
          <w:color w:val="auto"/>
        </w:rPr>
      </w:pPr>
      <w:r>
        <w:rPr>
          <w:rFonts w:ascii="Times New Roman" w:cs="Times New Roman" w:eastAsia="Times New Roman" w:hAnsi="Times New Roman"/>
          <w:sz w:val="22"/>
          <w:szCs w:val="22"/>
          <w:color w:val="auto"/>
        </w:rPr>
        <w:t>You also affirm that you are the legal party in interest in this Release, with legal title to all rights and claims asserted and hereby released; that you have not filed for bankruptcy or assigned or transferred any rights against the Company to any other person or entity; and that you have returned to the Company all of its property in your possession or control, including but not limited to, all documents and materials, whether on computer disc, hard drive, or other form, and all copies thereof that in any way relate to the business of the Company. You further affirm that you have fully complied with the Tile Shop Holdings, Inc. Nondisclosure, Confidentiality, Assignment and Noncompetition Agreement that you signed before beginning employment with the Company.</w:t>
      </w:r>
    </w:p>
    <w:p>
      <w:pPr>
        <w:spacing w:after="0" w:line="206" w:lineRule="exact"/>
        <w:rPr>
          <w:sz w:val="20"/>
          <w:szCs w:val="20"/>
          <w:color w:val="auto"/>
        </w:rPr>
      </w:pPr>
    </w:p>
    <w:p>
      <w:pPr>
        <w:ind w:left="100" w:right="99" w:firstLine="653"/>
        <w:spacing w:after="0" w:line="258" w:lineRule="auto"/>
        <w:tabs>
          <w:tab w:leader="none" w:pos="146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and Taxes Generally</w:t>
      </w:r>
      <w:r>
        <w:rPr>
          <w:rFonts w:ascii="Times New Roman" w:cs="Times New Roman" w:eastAsia="Times New Roman" w:hAnsi="Times New Roman"/>
          <w:sz w:val="22"/>
          <w:szCs w:val="22"/>
          <w:color w:val="auto"/>
        </w:rPr>
        <w:t>. This Release is intended to comply with Section 409A of the Internal Revenue Code of 1986, as amended, and the regulations, notices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173990</wp:posOffset>
            </wp:positionV>
            <wp:extent cx="564261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0" w:name="page51"/>
    <w:bookmarkEnd w:id="50"/>
    <w:p>
      <w:pPr>
        <w:jc w:val="both"/>
        <w:ind w:left="100" w:right="99"/>
        <w:spacing w:after="0" w:line="233" w:lineRule="auto"/>
        <w:rPr>
          <w:sz w:val="20"/>
          <w:szCs w:val="20"/>
          <w:color w:val="auto"/>
        </w:rPr>
      </w:pPr>
      <w:r>
        <w:rPr>
          <w:rFonts w:ascii="Times New Roman" w:cs="Times New Roman" w:eastAsia="Times New Roman" w:hAnsi="Times New Roman"/>
          <w:sz w:val="22"/>
          <w:szCs w:val="22"/>
          <w:color w:val="auto"/>
        </w:rPr>
        <w:t>other guidance of general applicability issued thereunder (collectively,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 or an exemption thereunder, and will be construed and administered in accordance with Section 409A. Notwithstanding any other provision of this Release, payments provided under this Release may only be made upon an event and in a manner that complies with Section 409A or an applicable exemption. Any payments under this Release that may be excluded from Section 409A, either as separation pay due to an involuntary separation from service or as a short-term deferral, will be excluded from Section 409A to the maximum extent possible. For purposes of Section 409A, each installment payment provided under this Release will be treated as a separate payment. Any payments to be made under this Release upon a termination of employment will only be made if such termination of employment constitutes a “separation from service” under Section 409A. Notwithstanding the foregoing, the Company makes no representations that the payments and benefits provided under this Release comply with Section 409A and in no event will Company be liable for all or any portion of any taxes, penalties, interest or other expenses that may be incurred by you on account of non-compliance with Section 409A.</w:t>
      </w:r>
    </w:p>
    <w:p>
      <w:pPr>
        <w:spacing w:after="0" w:line="209" w:lineRule="exact"/>
        <w:rPr>
          <w:sz w:val="20"/>
          <w:szCs w:val="20"/>
          <w:color w:val="auto"/>
        </w:rPr>
      </w:pPr>
    </w:p>
    <w:p>
      <w:pPr>
        <w:jc w:val="both"/>
        <w:ind w:left="100" w:right="99"/>
        <w:spacing w:after="0" w:line="246" w:lineRule="auto"/>
        <w:rPr>
          <w:sz w:val="20"/>
          <w:szCs w:val="20"/>
          <w:color w:val="auto"/>
        </w:rPr>
      </w:pPr>
      <w:r>
        <w:rPr>
          <w:rFonts w:ascii="Times New Roman" w:cs="Times New Roman" w:eastAsia="Times New Roman" w:hAnsi="Times New Roman"/>
          <w:sz w:val="21"/>
          <w:szCs w:val="21"/>
          <w:color w:val="auto"/>
        </w:rPr>
        <w:t>Notwithstanding any other provision of this Release, if on the Termination Date, you are a “specified employee” within the meaning of Section 409A and determined in accordance with Section 409A, any payments and benefits provided under this Release that constitute “nonqualified deferred compensation” subject to Section 409A that are provided to you on account of your separation from service will not be paid until the first payroll date to occur following the six month anniversary of the Termination Date (“</w:t>
      </w:r>
      <w:r>
        <w:rPr>
          <w:rFonts w:ascii="Times New Roman" w:cs="Times New Roman" w:eastAsia="Times New Roman" w:hAnsi="Times New Roman"/>
          <w:sz w:val="21"/>
          <w:szCs w:val="21"/>
          <w:u w:val="single" w:color="auto"/>
          <w:color w:val="auto"/>
        </w:rPr>
        <w:t>Specified Employee Payment Date</w:t>
      </w:r>
      <w:r>
        <w:rPr>
          <w:rFonts w:ascii="Times New Roman" w:cs="Times New Roman" w:eastAsia="Times New Roman" w:hAnsi="Times New Roman"/>
          <w:sz w:val="21"/>
          <w:szCs w:val="21"/>
          <w:color w:val="auto"/>
        </w:rPr>
        <w:t>”). The aggregate amount of any payments that would otherwise have been made during such six month period will be paid in a lump sum on the Specified Employee Payment Date, without interest, and thereafter, any remaining payments will be paid without delay in accordance with their original schedule. If you die during the six month period, any delayed payments will be paid to your estate in a lump sum upon your death.</w:t>
      </w:r>
    </w:p>
    <w:p>
      <w:pPr>
        <w:spacing w:after="0" w:line="199" w:lineRule="exact"/>
        <w:rPr>
          <w:sz w:val="20"/>
          <w:szCs w:val="20"/>
          <w:color w:val="auto"/>
        </w:rPr>
      </w:pPr>
    </w:p>
    <w:p>
      <w:pPr>
        <w:ind w:left="1600" w:hanging="847"/>
        <w:spacing w:after="0"/>
        <w:tabs>
          <w:tab w:leader="none" w:pos="16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Receipt</w:t>
      </w:r>
      <w:r>
        <w:rPr>
          <w:rFonts w:ascii="Times New Roman" w:cs="Times New Roman" w:eastAsia="Times New Roman" w:hAnsi="Times New Roman"/>
          <w:sz w:val="22"/>
          <w:szCs w:val="22"/>
          <w:color w:val="auto"/>
        </w:rPr>
        <w:t>.  You  acknowledge  that  you  received  this  Release  on</w:t>
      </w:r>
    </w:p>
    <w:p>
      <w:pPr>
        <w:spacing w:after="0" w:line="14" w:lineRule="exact"/>
        <w:rPr>
          <w:rFonts w:ascii="Times New Roman" w:cs="Times New Roman" w:eastAsia="Times New Roman" w:hAnsi="Times New Roman"/>
          <w:sz w:val="22"/>
          <w:szCs w:val="22"/>
          <w:color w:val="auto"/>
        </w:rPr>
      </w:pPr>
    </w:p>
    <w:p>
      <w:pPr>
        <w:jc w:val="both"/>
        <w:ind w:left="100" w:right="9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 that you have carefully read this Release, voluntarily agree to all of its terms and conditions, understand its contents and the final and binding effect of this Release, and that you have signed the same as your own free act with the full intent of releasing the Company from all claims you may have against it.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[Next Page is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135890</wp:posOffset>
            </wp:positionV>
            <wp:extent cx="564261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1" w:name="page52"/>
    <w:bookmarkEnd w:id="51"/>
    <w:p>
      <w:pPr>
        <w:ind w:left="100" w:right="99" w:firstLine="608"/>
        <w:spacing w:after="0" w:line="262" w:lineRule="auto"/>
        <w:rPr>
          <w:sz w:val="20"/>
          <w:szCs w:val="20"/>
          <w:color w:val="auto"/>
        </w:rPr>
      </w:pPr>
      <w:r>
        <w:rPr>
          <w:rFonts w:ascii="Times New Roman" w:cs="Times New Roman" w:eastAsia="Times New Roman" w:hAnsi="Times New Roman"/>
          <w:sz w:val="22"/>
          <w:szCs w:val="22"/>
          <w:color w:val="auto"/>
        </w:rPr>
        <w:t>IN WITNESS WHEREOF</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parties have caused this Release to be duly executed and delivered as of the day and year indicated below.</w:t>
      </w:r>
    </w:p>
    <w:p>
      <w:pPr>
        <w:spacing w:after="0" w:line="1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Nancy DiMattia</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Date Signed:</w:t>
      </w: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TILE SHOP HOLDINGS, INC.</w:t>
      </w: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w:t>
      </w:r>
    </w:p>
    <w:p>
      <w:pPr>
        <w:ind w:left="1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581660</wp:posOffset>
            </wp:positionV>
            <wp:extent cx="564261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5642610" cy="5143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-13970</wp:posOffset>
            </wp:positionV>
            <wp:extent cx="342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2" w:name="page53"/>
    <w:bookmarkEnd w:id="52"/>
    <w:p>
      <w:pPr>
        <w:ind w:left="7800"/>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13970</wp:posOffset>
            </wp:positionV>
            <wp:extent cx="1783715" cy="394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1783715" cy="39433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September 06, 2019</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[Address Omitted]</w:t>
      </w:r>
    </w:p>
    <w:p>
      <w:pPr>
        <w:ind w:left="100"/>
        <w:spacing w:after="0"/>
        <w:rPr>
          <w:sz w:val="20"/>
          <w:szCs w:val="20"/>
          <w:color w:val="auto"/>
        </w:rPr>
      </w:pPr>
      <w:r>
        <w:rPr>
          <w:rFonts w:ascii="Times New Roman" w:cs="Times New Roman" w:eastAsia="Times New Roman" w:hAnsi="Times New Roman"/>
          <w:sz w:val="22"/>
          <w:szCs w:val="22"/>
          <w:color w:val="auto"/>
        </w:rPr>
        <w:t>[Address Omitted]</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Mark Davis</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Dear Mark:</w:t>
      </w:r>
    </w:p>
    <w:p>
      <w:pPr>
        <w:spacing w:after="0" w:line="233" w:lineRule="exact"/>
        <w:rPr>
          <w:sz w:val="20"/>
          <w:szCs w:val="20"/>
          <w:color w:val="auto"/>
        </w:rPr>
      </w:pPr>
    </w:p>
    <w:p>
      <w:pPr>
        <w:ind w:left="100" w:right="599"/>
        <w:spacing w:after="0" w:line="258" w:lineRule="auto"/>
        <w:rPr>
          <w:sz w:val="20"/>
          <w:szCs w:val="20"/>
          <w:color w:val="auto"/>
        </w:rPr>
      </w:pPr>
      <w:r>
        <w:rPr>
          <w:rFonts w:ascii="Times New Roman" w:cs="Times New Roman" w:eastAsia="Times New Roman" w:hAnsi="Times New Roman"/>
          <w:sz w:val="22"/>
          <w:szCs w:val="22"/>
          <w:color w:val="auto"/>
        </w:rPr>
        <w:t>We are delighted to offer you a new position at Tile Shop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This letter serves as an employment agreement to confirm the new terms of your employment:</w:t>
      </w:r>
    </w:p>
    <w:p>
      <w:pPr>
        <w:spacing w:after="0" w:line="200" w:lineRule="exact"/>
        <w:rPr>
          <w:sz w:val="20"/>
          <w:szCs w:val="20"/>
          <w:color w:val="auto"/>
        </w:rPr>
      </w:pPr>
    </w:p>
    <w:p>
      <w:pPr>
        <w:spacing w:after="0" w:line="228"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1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Position:</w:t>
            </w: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Vice President Investor Relations and Chief Accounting Officer</w:t>
            </w:r>
          </w:p>
        </w:tc>
      </w:tr>
      <w:tr>
        <w:trPr>
          <w:trHeight w:val="486"/>
        </w:trPr>
        <w:tc>
          <w:tcPr>
            <w:tcW w:w="1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Start Date:</w:t>
            </w: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September 6, 2019</w:t>
            </w:r>
          </w:p>
        </w:tc>
      </w:tr>
      <w:tr>
        <w:trPr>
          <w:trHeight w:val="486"/>
        </w:trPr>
        <w:tc>
          <w:tcPr>
            <w:tcW w:w="1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Status:</w:t>
            </w: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Full-Time, Regular</w:t>
            </w:r>
          </w:p>
        </w:tc>
      </w:tr>
      <w:tr>
        <w:trPr>
          <w:trHeight w:val="447"/>
        </w:trPr>
        <w:tc>
          <w:tcPr>
            <w:tcW w:w="1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Reporting to:</w:t>
            </w: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You will report to the Chief Financial Officer, who will direct your day-to-day</w:t>
            </w:r>
          </w:p>
        </w:tc>
      </w:tr>
      <w:tr>
        <w:trPr>
          <w:trHeight w:val="243"/>
        </w:trPr>
        <w:tc>
          <w:tcPr>
            <w:tcW w:w="1560" w:type="dxa"/>
            <w:vAlign w:val="bottom"/>
          </w:tcPr>
          <w:p>
            <w:pPr>
              <w:spacing w:after="0"/>
              <w:rPr>
                <w:sz w:val="21"/>
                <w:szCs w:val="21"/>
                <w:color w:val="auto"/>
              </w:rPr>
            </w:pPr>
          </w:p>
        </w:tc>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responsibilities, and you will work closely with other senior officers of the</w:t>
            </w:r>
          </w:p>
        </w:tc>
      </w:tr>
      <w:tr>
        <w:trPr>
          <w:trHeight w:val="283"/>
        </w:trPr>
        <w:tc>
          <w:tcPr>
            <w:tcW w:w="1560" w:type="dxa"/>
            <w:vAlign w:val="bottom"/>
          </w:tcPr>
          <w:p>
            <w:pPr>
              <w:spacing w:after="0"/>
              <w:rPr>
                <w:sz w:val="24"/>
                <w:szCs w:val="24"/>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Company.</w:t>
            </w:r>
          </w:p>
        </w:tc>
      </w:tr>
      <w:tr>
        <w:trPr>
          <w:trHeight w:val="447"/>
        </w:trPr>
        <w:tc>
          <w:tcPr>
            <w:tcW w:w="1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Base Salary:</w:t>
            </w: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Base salary (annualized) of $182,290, paid in accordance with the Company’s</w:t>
            </w:r>
          </w:p>
        </w:tc>
      </w:tr>
      <w:tr>
        <w:trPr>
          <w:trHeight w:val="283"/>
        </w:trPr>
        <w:tc>
          <w:tcPr>
            <w:tcW w:w="1560" w:type="dxa"/>
            <w:vAlign w:val="bottom"/>
          </w:tcPr>
          <w:p>
            <w:pPr>
              <w:spacing w:after="0"/>
              <w:rPr>
                <w:sz w:val="24"/>
                <w:szCs w:val="24"/>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normal payroll procedures.</w:t>
            </w:r>
          </w:p>
        </w:tc>
      </w:tr>
      <w:tr>
        <w:trPr>
          <w:trHeight w:val="447"/>
        </w:trPr>
        <w:tc>
          <w:tcPr>
            <w:tcW w:w="1560" w:type="dxa"/>
            <w:vAlign w:val="bottom"/>
          </w:tcPr>
          <w:p>
            <w:pPr>
              <w:spacing w:after="0"/>
              <w:rPr>
                <w:sz w:val="24"/>
                <w:szCs w:val="24"/>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You should note that the Company may modify salaries and benefits from time</w:t>
            </w:r>
          </w:p>
        </w:tc>
      </w:tr>
      <w:tr>
        <w:trPr>
          <w:trHeight w:val="243"/>
        </w:trPr>
        <w:tc>
          <w:tcPr>
            <w:tcW w:w="1560" w:type="dxa"/>
            <w:vAlign w:val="bottom"/>
          </w:tcPr>
          <w:p>
            <w:pPr>
              <w:spacing w:after="0"/>
              <w:rPr>
                <w:sz w:val="21"/>
                <w:szCs w:val="21"/>
                <w:color w:val="auto"/>
              </w:rPr>
            </w:pPr>
          </w:p>
        </w:tc>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to time as its Board of Directors or the Compensation Committee thereof deems</w:t>
            </w:r>
          </w:p>
        </w:tc>
      </w:tr>
      <w:tr>
        <w:trPr>
          <w:trHeight w:val="243"/>
        </w:trPr>
        <w:tc>
          <w:tcPr>
            <w:tcW w:w="1560" w:type="dxa"/>
            <w:vAlign w:val="bottom"/>
          </w:tcPr>
          <w:p>
            <w:pPr>
              <w:spacing w:after="0"/>
              <w:rPr>
                <w:sz w:val="21"/>
                <w:szCs w:val="21"/>
                <w:color w:val="auto"/>
              </w:rPr>
            </w:pPr>
          </w:p>
        </w:tc>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necessary or appropriate, and all forms of compensation referred to in this</w:t>
            </w:r>
          </w:p>
        </w:tc>
      </w:tr>
      <w:tr>
        <w:trPr>
          <w:trHeight w:val="283"/>
        </w:trPr>
        <w:tc>
          <w:tcPr>
            <w:tcW w:w="1560" w:type="dxa"/>
            <w:vAlign w:val="bottom"/>
          </w:tcPr>
          <w:p>
            <w:pPr>
              <w:spacing w:after="0"/>
              <w:rPr>
                <w:sz w:val="24"/>
                <w:szCs w:val="24"/>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agreement are subject to applicable withholding and payroll taxes.</w:t>
            </w:r>
          </w:p>
        </w:tc>
      </w:tr>
      <w:tr>
        <w:trPr>
          <w:trHeight w:val="447"/>
        </w:trPr>
        <w:tc>
          <w:tcPr>
            <w:tcW w:w="1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Cash Incentive</w:t>
            </w: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Your annual cash incentive compensation opportunity will be between 0% and</w:t>
            </w:r>
          </w:p>
        </w:tc>
      </w:tr>
      <w:tr>
        <w:trPr>
          <w:trHeight w:val="243"/>
        </w:trPr>
        <w:tc>
          <w:tcPr>
            <w:tcW w:w="15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Compensation:</w:t>
            </w:r>
          </w:p>
        </w:tc>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80% of your base salary, with a target of 40%, and receipt of such cash incentive</w:t>
            </w:r>
          </w:p>
        </w:tc>
      </w:tr>
      <w:tr>
        <w:trPr>
          <w:trHeight w:val="243"/>
        </w:trPr>
        <w:tc>
          <w:tcPr>
            <w:tcW w:w="1560" w:type="dxa"/>
            <w:vAlign w:val="bottom"/>
          </w:tcPr>
          <w:p>
            <w:pPr>
              <w:spacing w:after="0"/>
              <w:rPr>
                <w:sz w:val="21"/>
                <w:szCs w:val="21"/>
                <w:color w:val="auto"/>
              </w:rPr>
            </w:pPr>
          </w:p>
        </w:tc>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compensation will be based on achieving Company-wide goals and personal</w:t>
            </w:r>
          </w:p>
        </w:tc>
      </w:tr>
      <w:tr>
        <w:trPr>
          <w:trHeight w:val="243"/>
        </w:trPr>
        <w:tc>
          <w:tcPr>
            <w:tcW w:w="1560" w:type="dxa"/>
            <w:vAlign w:val="bottom"/>
          </w:tcPr>
          <w:p>
            <w:pPr>
              <w:spacing w:after="0"/>
              <w:rPr>
                <w:sz w:val="21"/>
                <w:szCs w:val="21"/>
                <w:color w:val="auto"/>
              </w:rPr>
            </w:pPr>
          </w:p>
        </w:tc>
        <w:tc>
          <w:tcPr>
            <w:tcW w:w="7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goals and objectives, pro-rated for any partial year during which you are</w:t>
            </w:r>
          </w:p>
        </w:tc>
      </w:tr>
      <w:tr>
        <w:trPr>
          <w:trHeight w:val="283"/>
        </w:trPr>
        <w:tc>
          <w:tcPr>
            <w:tcW w:w="1560" w:type="dxa"/>
            <w:vAlign w:val="bottom"/>
          </w:tcPr>
          <w:p>
            <w:pPr>
              <w:spacing w:after="0"/>
              <w:rPr>
                <w:sz w:val="24"/>
                <w:szCs w:val="24"/>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employed by the Company.</w:t>
            </w:r>
          </w:p>
        </w:tc>
      </w:tr>
      <w:tr>
        <w:trPr>
          <w:trHeight w:val="447"/>
        </w:trPr>
        <w:tc>
          <w:tcPr>
            <w:tcW w:w="15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Benefits:</w:t>
            </w: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You will be eligible to receive the Company’s standard benefit package for</w:t>
            </w:r>
          </w:p>
        </w:tc>
      </w:tr>
      <w:tr>
        <w:trPr>
          <w:trHeight w:val="283"/>
        </w:trPr>
        <w:tc>
          <w:tcPr>
            <w:tcW w:w="1560" w:type="dxa"/>
            <w:vAlign w:val="bottom"/>
          </w:tcPr>
          <w:p>
            <w:pPr>
              <w:spacing w:after="0"/>
              <w:rPr>
                <w:sz w:val="24"/>
                <w:szCs w:val="24"/>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employees of your level.</w:t>
            </w:r>
          </w:p>
        </w:tc>
      </w:tr>
      <w:tr>
        <w:trPr>
          <w:trHeight w:val="204"/>
        </w:trPr>
        <w:tc>
          <w:tcPr>
            <w:tcW w:w="1560" w:type="dxa"/>
            <w:vAlign w:val="bottom"/>
            <w:tcBorders>
              <w:bottom w:val="single" w:sz="8" w:color="9A9A9A"/>
            </w:tcBorders>
          </w:tcPr>
          <w:p>
            <w:pPr>
              <w:spacing w:after="0"/>
              <w:rPr>
                <w:sz w:val="17"/>
                <w:szCs w:val="17"/>
                <w:color w:val="auto"/>
              </w:rPr>
            </w:pPr>
          </w:p>
        </w:tc>
        <w:tc>
          <w:tcPr>
            <w:tcW w:w="7300" w:type="dxa"/>
            <w:vAlign w:val="bottom"/>
            <w:tcBorders>
              <w:bottom w:val="single" w:sz="8" w:color="9A9A9A"/>
            </w:tcBorders>
          </w:tcPr>
          <w:p>
            <w:pPr>
              <w:spacing w:after="0"/>
              <w:rPr>
                <w:sz w:val="17"/>
                <w:szCs w:val="17"/>
                <w:color w:val="auto"/>
              </w:rPr>
            </w:pPr>
          </w:p>
        </w:tc>
      </w:tr>
      <w:tr>
        <w:trPr>
          <w:trHeight w:val="20"/>
        </w:trPr>
        <w:tc>
          <w:tcPr>
            <w:tcW w:w="1560" w:type="dxa"/>
            <w:vAlign w:val="bottom"/>
            <w:tcBorders>
              <w:bottom w:val="single" w:sz="8" w:color="EEEEEE"/>
            </w:tcBorders>
          </w:tcPr>
          <w:p>
            <w:pPr>
              <w:spacing w:after="0" w:line="20" w:lineRule="exact"/>
              <w:rPr>
                <w:sz w:val="1"/>
                <w:szCs w:val="1"/>
                <w:color w:val="auto"/>
              </w:rPr>
            </w:pPr>
          </w:p>
        </w:tc>
        <w:tc>
          <w:tcPr>
            <w:tcW w:w="73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3" w:name="page54"/>
    <w:bookmarkEnd w:id="53"/>
    <w:tbl>
      <w:tblPr>
        <w:tblLayout w:type="fixed"/>
        <w:tblInd w:w="100" w:type="dxa"/>
        <w:tblCellMar>
          <w:top w:w="0" w:type="dxa"/>
          <w:left w:w="0" w:type="dxa"/>
          <w:bottom w:w="0" w:type="dxa"/>
          <w:right w:w="0" w:type="dxa"/>
        </w:tblCellMar>
      </w:tblPr>
      <w:tr>
        <w:trPr>
          <w:trHeight w:val="253"/>
        </w:trPr>
        <w:tc>
          <w:tcPr>
            <w:tcW w:w="1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Equity</w:t>
            </w:r>
          </w:p>
        </w:tc>
        <w:tc>
          <w:tcPr>
            <w:tcW w:w="78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Subject to approval by the Company’s Board of Directors, you will be granted equity</w:t>
            </w:r>
          </w:p>
        </w:tc>
        <w:tc>
          <w:tcPr>
            <w:tcW w:w="0" w:type="dxa"/>
            <w:vAlign w:val="bottom"/>
          </w:tcPr>
          <w:p>
            <w:pPr>
              <w:spacing w:after="0"/>
              <w:rPr>
                <w:sz w:val="1"/>
                <w:szCs w:val="1"/>
                <w:color w:val="auto"/>
              </w:rPr>
            </w:pPr>
          </w:p>
        </w:tc>
      </w:tr>
      <w:tr>
        <w:trPr>
          <w:trHeight w:val="243"/>
        </w:trPr>
        <w:tc>
          <w:tcPr>
            <w:tcW w:w="10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Awards:</w:t>
            </w:r>
          </w:p>
        </w:tc>
        <w:tc>
          <w:tcPr>
            <w:tcW w:w="78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awards with an aggregate value of $100,000, up to 50% of which may be restricted</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78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stock, with the remainder as non-qualified stock options, at your election. The non-</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78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qualified stock options and restricted stock will vest evenly over a four-year period</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78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and will otherwise be subject to the terms of the Company’s 2012 Omnibus Award</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7800" w:type="dxa"/>
            <w:vAlign w:val="bottom"/>
            <w:gridSpan w:val="5"/>
          </w:tcPr>
          <w:p>
            <w:pPr>
              <w:ind w:left="120"/>
              <w:spacing w:after="0" w:line="230" w:lineRule="exact"/>
              <w:rPr>
                <w:sz w:val="20"/>
                <w:szCs w:val="20"/>
                <w:color w:val="auto"/>
              </w:rPr>
            </w:pPr>
            <w:r>
              <w:rPr>
                <w:rFonts w:ascii="Times New Roman" w:cs="Times New Roman" w:eastAsia="Times New Roman" w:hAnsi="Times New Roman"/>
                <w:sz w:val="22"/>
                <w:szCs w:val="22"/>
                <w:color w:val="auto"/>
              </w:rPr>
              <w:t>Plan (the “Plan”) and the applicable award agreements for such awards. The non-</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options will have a ten-year life upon issuance. The value of the non-</w:t>
            </w:r>
          </w:p>
        </w:tc>
        <w:tc>
          <w:tcPr>
            <w:tcW w:w="0" w:type="dxa"/>
            <w:vAlign w:val="bottom"/>
          </w:tcPr>
          <w:p>
            <w:pPr>
              <w:spacing w:after="0" w:line="20" w:lineRule="exact"/>
              <w:rPr>
                <w:sz w:val="1"/>
                <w:szCs w:val="1"/>
                <w:color w:val="auto"/>
              </w:rPr>
            </w:pPr>
          </w:p>
        </w:tc>
      </w:tr>
      <w:tr>
        <w:trPr>
          <w:trHeight w:val="236"/>
        </w:trPr>
        <w:tc>
          <w:tcPr>
            <w:tcW w:w="1060" w:type="dxa"/>
            <w:vAlign w:val="bottom"/>
          </w:tcPr>
          <w:p>
            <w:pPr>
              <w:spacing w:after="0"/>
              <w:rPr>
                <w:sz w:val="20"/>
                <w:szCs w:val="20"/>
                <w:color w:val="auto"/>
              </w:rPr>
            </w:pPr>
          </w:p>
        </w:tc>
        <w:tc>
          <w:tcPr>
            <w:tcW w:w="1500" w:type="dxa"/>
            <w:vAlign w:val="bottom"/>
            <w:gridSpan w:val="3"/>
          </w:tcPr>
          <w:p>
            <w:pPr>
              <w:ind w:left="120"/>
              <w:spacing w:after="0" w:line="237" w:lineRule="exact"/>
              <w:rPr>
                <w:sz w:val="20"/>
                <w:szCs w:val="20"/>
                <w:color w:val="auto"/>
              </w:rPr>
            </w:pPr>
            <w:r>
              <w:rPr>
                <w:rFonts w:ascii="Times New Roman" w:cs="Times New Roman" w:eastAsia="Times New Roman" w:hAnsi="Times New Roman"/>
                <w:sz w:val="22"/>
                <w:szCs w:val="22"/>
                <w:color w:val="auto"/>
              </w:rPr>
              <w:t>qualified stock</w:t>
            </w:r>
          </w:p>
        </w:tc>
        <w:tc>
          <w:tcPr>
            <w:tcW w:w="6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78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qualified stock options and restricted stock and the exercise price of the non-qualified</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78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stock options will be determined at the close of business on the grant date of the</w:t>
            </w: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4"/>
                <w:szCs w:val="24"/>
                <w:color w:val="auto"/>
              </w:rPr>
            </w:pPr>
          </w:p>
        </w:tc>
        <w:tc>
          <w:tcPr>
            <w:tcW w:w="78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awards.</w:t>
            </w:r>
          </w:p>
        </w:tc>
        <w:tc>
          <w:tcPr>
            <w:tcW w:w="0" w:type="dxa"/>
            <w:vAlign w:val="bottom"/>
          </w:tcPr>
          <w:p>
            <w:pPr>
              <w:spacing w:after="0"/>
              <w:rPr>
                <w:sz w:val="1"/>
                <w:szCs w:val="1"/>
                <w:color w:val="auto"/>
              </w:rPr>
            </w:pPr>
          </w:p>
        </w:tc>
      </w:tr>
      <w:tr>
        <w:trPr>
          <w:trHeight w:val="447"/>
        </w:trPr>
        <w:tc>
          <w:tcPr>
            <w:tcW w:w="1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Vacation:</w:t>
            </w:r>
          </w:p>
        </w:tc>
        <w:tc>
          <w:tcPr>
            <w:tcW w:w="78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The most favorable of (i) 3 weeks or (ii) the then-current Company vacation policy</w:t>
            </w: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4"/>
                <w:szCs w:val="24"/>
                <w:color w:val="auto"/>
              </w:rPr>
            </w:pPr>
          </w:p>
        </w:tc>
        <w:tc>
          <w:tcPr>
            <w:tcW w:w="78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applicable to you.</w:t>
            </w:r>
          </w:p>
        </w:tc>
        <w:tc>
          <w:tcPr>
            <w:tcW w:w="0" w:type="dxa"/>
            <w:vAlign w:val="bottom"/>
          </w:tcPr>
          <w:p>
            <w:pPr>
              <w:spacing w:after="0"/>
              <w:rPr>
                <w:sz w:val="1"/>
                <w:szCs w:val="1"/>
                <w:color w:val="auto"/>
              </w:rPr>
            </w:pPr>
          </w:p>
        </w:tc>
      </w:tr>
      <w:tr>
        <w:trPr>
          <w:trHeight w:val="447"/>
        </w:trPr>
        <w:tc>
          <w:tcPr>
            <w:tcW w:w="1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Change</w:t>
            </w:r>
          </w:p>
        </w:tc>
        <w:tc>
          <w:tcPr>
            <w:tcW w:w="78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0" w:type="dxa"/>
            <w:vAlign w:val="bottom"/>
          </w:tcPr>
          <w:p>
            <w:pPr>
              <w:spacing w:after="0"/>
              <w:rPr>
                <w:sz w:val="1"/>
                <w:szCs w:val="1"/>
                <w:color w:val="auto"/>
              </w:rPr>
            </w:pPr>
          </w:p>
        </w:tc>
      </w:tr>
      <w:tr>
        <w:trPr>
          <w:trHeight w:val="243"/>
        </w:trPr>
        <w:tc>
          <w:tcPr>
            <w:tcW w:w="10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of</w:t>
            </w:r>
          </w:p>
        </w:tc>
        <w:tc>
          <w:tcPr>
            <w:tcW w:w="78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In the event of a Change of Control (as defined in the Plan) of the Company, if (1) you</w:t>
            </w:r>
          </w:p>
        </w:tc>
        <w:tc>
          <w:tcPr>
            <w:tcW w:w="0" w:type="dxa"/>
            <w:vAlign w:val="bottom"/>
          </w:tcPr>
          <w:p>
            <w:pPr>
              <w:spacing w:after="0"/>
              <w:rPr>
                <w:sz w:val="1"/>
                <w:szCs w:val="1"/>
                <w:color w:val="auto"/>
              </w:rPr>
            </w:pPr>
          </w:p>
        </w:tc>
      </w:tr>
      <w:tr>
        <w:trPr>
          <w:trHeight w:val="243"/>
        </w:trPr>
        <w:tc>
          <w:tcPr>
            <w:tcW w:w="10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Control:</w:t>
            </w:r>
          </w:p>
        </w:tc>
        <w:tc>
          <w:tcPr>
            <w:tcW w:w="78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are not offered employment or continued employment by the Successor Entity (as</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78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defined in the Plan) upon consummation of such Change of Control, or (2) prior to the</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78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first anniversary of such Change of Control, (a) you are discharged by the Successor</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78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Entity other than for Cause (as defined in the Plan) or (b) you resign from employment</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78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with the Successor Entity as a result of a Constructive Termination (as defined below),</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78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all of your unvested stock options will vest and become exercisable immediately prior</w:t>
            </w: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4"/>
                <w:szCs w:val="24"/>
                <w:color w:val="auto"/>
              </w:rPr>
            </w:pPr>
          </w:p>
        </w:tc>
        <w:tc>
          <w:tcPr>
            <w:tcW w:w="78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to such Change of Control or cessation of employment, as applicable.</w:t>
            </w:r>
          </w:p>
        </w:tc>
        <w:tc>
          <w:tcPr>
            <w:tcW w:w="0" w:type="dxa"/>
            <w:vAlign w:val="bottom"/>
          </w:tcPr>
          <w:p>
            <w:pPr>
              <w:spacing w:after="0"/>
              <w:rPr>
                <w:sz w:val="1"/>
                <w:szCs w:val="1"/>
                <w:color w:val="auto"/>
              </w:rPr>
            </w:pPr>
          </w:p>
        </w:tc>
      </w:tr>
      <w:tr>
        <w:trPr>
          <w:trHeight w:val="447"/>
        </w:trPr>
        <w:tc>
          <w:tcPr>
            <w:tcW w:w="1060" w:type="dxa"/>
            <w:vAlign w:val="bottom"/>
          </w:tcPr>
          <w:p>
            <w:pPr>
              <w:spacing w:after="0"/>
              <w:rPr>
                <w:sz w:val="24"/>
                <w:szCs w:val="24"/>
                <w:color w:val="auto"/>
              </w:rPr>
            </w:pPr>
          </w:p>
        </w:tc>
        <w:tc>
          <w:tcPr>
            <w:tcW w:w="78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7800" w:type="dxa"/>
            <w:vAlign w:val="bottom"/>
            <w:gridSpan w:val="5"/>
          </w:tcPr>
          <w:p>
            <w:pPr>
              <w:ind w:left="120"/>
              <w:spacing w:after="0" w:line="230" w:lineRule="exact"/>
              <w:rPr>
                <w:sz w:val="20"/>
                <w:szCs w:val="20"/>
                <w:color w:val="auto"/>
              </w:rPr>
            </w:pPr>
            <w:r>
              <w:rPr>
                <w:rFonts w:ascii="Times New Roman" w:cs="Times New Roman" w:eastAsia="Times New Roman" w:hAnsi="Times New Roman"/>
                <w:sz w:val="22"/>
                <w:szCs w:val="22"/>
                <w:color w:val="auto"/>
              </w:rPr>
              <w:t>“Constructive Termination” will occur if you resign from your employment with the</w:t>
            </w:r>
          </w:p>
        </w:tc>
        <w:tc>
          <w:tcPr>
            <w:tcW w:w="0" w:type="dxa"/>
            <w:vAlign w:val="bottom"/>
          </w:tcPr>
          <w:p>
            <w:pPr>
              <w:spacing w:after="0"/>
              <w:rPr>
                <w:sz w:val="1"/>
                <w:szCs w:val="1"/>
                <w:color w:val="auto"/>
              </w:rPr>
            </w:pPr>
          </w:p>
        </w:tc>
      </w:tr>
      <w:tr>
        <w:trPr>
          <w:trHeight w:val="236"/>
        </w:trPr>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Borders>
              <w:top w:val="single" w:sz="8" w:color="auto"/>
            </w:tcBorders>
            <w:gridSpan w:val="3"/>
          </w:tcPr>
          <w:p>
            <w:pPr>
              <w:spacing w:after="0" w:line="237" w:lineRule="exact"/>
              <w:rPr>
                <w:sz w:val="20"/>
                <w:szCs w:val="20"/>
                <w:color w:val="auto"/>
              </w:rPr>
            </w:pPr>
            <w:r>
              <w:rPr>
                <w:rFonts w:ascii="Times New Roman" w:cs="Times New Roman" w:eastAsia="Times New Roman" w:hAnsi="Times New Roman"/>
                <w:sz w:val="22"/>
                <w:szCs w:val="22"/>
                <w:color w:val="auto"/>
                <w:w w:val="92"/>
              </w:rPr>
              <w:t>Successor Entity within 30</w:t>
            </w:r>
          </w:p>
        </w:tc>
        <w:tc>
          <w:tcPr>
            <w:tcW w:w="5380" w:type="dxa"/>
            <w:vAlign w:val="bottom"/>
          </w:tcPr>
          <w:p>
            <w:pPr>
              <w:ind w:left="80"/>
              <w:spacing w:after="0" w:line="237" w:lineRule="exact"/>
              <w:rPr>
                <w:sz w:val="20"/>
                <w:szCs w:val="20"/>
                <w:color w:val="auto"/>
              </w:rPr>
            </w:pPr>
            <w:r>
              <w:rPr>
                <w:rFonts w:ascii="Times New Roman" w:cs="Times New Roman" w:eastAsia="Times New Roman" w:hAnsi="Times New Roman"/>
                <w:sz w:val="22"/>
                <w:szCs w:val="22"/>
                <w:color w:val="auto"/>
              </w:rPr>
              <w:t>days following (1) a material reduction in your annual base</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78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salary or job responsibility or (2) the relocation of your principal office location to a</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78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facility or location located more than 50 miles from your principal office location on</w:t>
            </w: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4"/>
                <w:szCs w:val="24"/>
                <w:color w:val="auto"/>
              </w:rPr>
            </w:pPr>
          </w:p>
        </w:tc>
        <w:tc>
          <w:tcPr>
            <w:tcW w:w="78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the date of the Change of Control.</w:t>
            </w:r>
          </w:p>
        </w:tc>
        <w:tc>
          <w:tcPr>
            <w:tcW w:w="0" w:type="dxa"/>
            <w:vAlign w:val="bottom"/>
          </w:tcPr>
          <w:p>
            <w:pPr>
              <w:spacing w:after="0"/>
              <w:rPr>
                <w:sz w:val="1"/>
                <w:szCs w:val="1"/>
                <w:color w:val="auto"/>
              </w:rPr>
            </w:pPr>
          </w:p>
        </w:tc>
      </w:tr>
      <w:tr>
        <w:trPr>
          <w:trHeight w:val="690"/>
        </w:trPr>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53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45" w:right="1440" w:bottom="1440" w:gutter="0" w:footer="0" w:header="0"/>
        </w:sectPr>
      </w:pPr>
    </w:p>
    <w:bookmarkStart w:id="54" w:name="page55"/>
    <w:bookmarkEnd w:id="54"/>
    <w:p>
      <w:pPr>
        <w:ind w:left="220"/>
        <w:spacing w:after="0"/>
        <w:tabs>
          <w:tab w:leader="none" w:pos="1400" w:val="left"/>
        </w:tabs>
        <w:rPr>
          <w:sz w:val="20"/>
          <w:szCs w:val="20"/>
          <w:color w:val="auto"/>
        </w:rPr>
      </w:pPr>
      <w:r>
        <w:rPr>
          <w:rFonts w:ascii="Times New Roman" w:cs="Times New Roman" w:eastAsia="Times New Roman" w:hAnsi="Times New Roman"/>
          <w:sz w:val="22"/>
          <w:szCs w:val="22"/>
          <w:color w:val="auto"/>
        </w:rPr>
        <w:t>Severance:</w:t>
        <w:tab/>
        <w:t>(A)</w:t>
      </w:r>
    </w:p>
    <w:p>
      <w:pPr>
        <w:spacing w:after="0" w:line="15" w:lineRule="exact"/>
        <w:rPr>
          <w:sz w:val="20"/>
          <w:szCs w:val="20"/>
          <w:color w:val="auto"/>
        </w:rPr>
      </w:pPr>
    </w:p>
    <w:p>
      <w:pPr>
        <w:ind w:left="1420" w:right="239"/>
        <w:spacing w:after="0" w:line="242" w:lineRule="auto"/>
        <w:rPr>
          <w:sz w:val="20"/>
          <w:szCs w:val="20"/>
          <w:color w:val="auto"/>
        </w:rPr>
      </w:pPr>
      <w:r>
        <w:rPr>
          <w:rFonts w:ascii="Times New Roman" w:cs="Times New Roman" w:eastAsia="Times New Roman" w:hAnsi="Times New Roman"/>
          <w:sz w:val="21"/>
          <w:szCs w:val="21"/>
          <w:color w:val="auto"/>
        </w:rPr>
        <w:t>If you are terminated without Severance Cause (as defined below) or resign for Good Reason (as defined below), you will be entitled to receive an amount equal to (1) your then-current base salary for a six-month period commencing with the effective date of your termination of employment with the Company (the “</w:t>
      </w:r>
      <w:r>
        <w:rPr>
          <w:rFonts w:ascii="Times New Roman" w:cs="Times New Roman" w:eastAsia="Times New Roman" w:hAnsi="Times New Roman"/>
          <w:sz w:val="21"/>
          <w:szCs w:val="21"/>
          <w:u w:val="single" w:color="auto"/>
          <w:color w:val="auto"/>
        </w:rPr>
        <w:t>Severance Period</w:t>
      </w:r>
      <w:r>
        <w:rPr>
          <w:rFonts w:ascii="Times New Roman" w:cs="Times New Roman" w:eastAsia="Times New Roman" w:hAnsi="Times New Roman"/>
          <w:sz w:val="21"/>
          <w:szCs w:val="21"/>
          <w:color w:val="auto"/>
        </w:rPr>
        <w:t xml:space="preserve">”) and (2) an amount equal to six times the monthly amount that the Company paid for your participation in the Company’s health insurance plan during the month immediately preceding your termination date. The foregoing amounts will be payable pro rata over the Severance Period in accordance with the Company’s normal payroll practices; provided, however, that the Company will not make any severance payments unless and until (a) you execute and deliver to the Company a general release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(b) such Release is executed and delivered to the Company within 21 days after your termination date and (c) all time periods for revoking the Release have lapsed. If you are terminated during the month of December of any calendar year and are owed severance hereunder, no severance payments will be made prior to January 1</w:t>
      </w:r>
      <w:r>
        <w:rPr>
          <w:rFonts w:ascii="Times New Roman" w:cs="Times New Roman" w:eastAsia="Times New Roman" w:hAnsi="Times New Roman"/>
          <w:sz w:val="10"/>
          <w:szCs w:val="10"/>
          <w:color w:val="auto"/>
        </w:rPr>
        <w:t>st</w:t>
      </w:r>
      <w:r>
        <w:rPr>
          <w:rFonts w:ascii="Times New Roman" w:cs="Times New Roman" w:eastAsia="Times New Roman" w:hAnsi="Times New Roman"/>
          <w:sz w:val="21"/>
          <w:szCs w:val="21"/>
          <w:color w:val="auto"/>
        </w:rPr>
        <w:t xml:space="preserve"> of the next calendar year and any amount that would have otherwise been payable to you in December of the preceding calendar year will be paid to you on the first date in January on which you would otherwise be entitled to any payment. Following your termination date, all benefits offered by the Company, including health insurance benefits, will cease. From and after such date, you may elect to continue your participation in the Company’s health insurance benefits at your expense pursuant to COBRA by notifying the Company in the time specified in the COBRA notice you will be provided and paying the monthly premium yourself. Notwithstanding the above, if you are a “specified employee” within the meaning of Section 409A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then any amounts payable to you during the first six months and one day following the date of termination that constitute nonqualified deferred compensation within the meaning of Section 409A of the Code (as determined by the Company in its sole discretion) will not be paid to you until the date that is six months and one day following such termination to the extent necessary to avoid adverse tax consequences under Section 409A of the Code.</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(B)</w:t>
      </w:r>
    </w:p>
    <w:p>
      <w:pPr>
        <w:spacing w:after="0" w:line="14" w:lineRule="exact"/>
        <w:rPr>
          <w:sz w:val="20"/>
          <w:szCs w:val="20"/>
          <w:color w:val="auto"/>
        </w:rPr>
      </w:pPr>
    </w:p>
    <w:p>
      <w:pPr>
        <w:ind w:left="1420" w:right="219"/>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Severance Cause</w:t>
      </w:r>
      <w:r>
        <w:rPr>
          <w:rFonts w:ascii="Times New Roman" w:cs="Times New Roman" w:eastAsia="Times New Roman" w:hAnsi="Times New Roman"/>
          <w:sz w:val="22"/>
          <w:szCs w:val="22"/>
          <w:color w:val="auto"/>
        </w:rPr>
        <w:t>” means (1) willful misconduct in connection with your employment or willful failure to perform your responsibilities in the best interests of the Company, as determined by the Company’s Board of Directors; (2) conviction of, or plea of nolo contendre or guilty to, a felony other than an act involving a traffic related infraction; (3) any act of fraud, theft, embezzlement or other material dishonesty by you that harmed the Company; (4) intentional violation of a federal or state law or regulation applicable to the Company’s business, which violation was or is reasonably likely to be injurious to the Company; or (5) repeated failure to perform your duties and obligations of your position with the Company, which failure is not cured within 30 days after notice of such failure from the Company’s Board of Directors to you.</w:t>
      </w:r>
    </w:p>
    <w:p>
      <w:pPr>
        <w:spacing w:after="0" w:line="21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(C)</w:t>
      </w:r>
    </w:p>
    <w:p>
      <w:pPr>
        <w:spacing w:after="0" w:line="14" w:lineRule="exact"/>
        <w:rPr>
          <w:sz w:val="20"/>
          <w:szCs w:val="20"/>
          <w:color w:val="auto"/>
        </w:rPr>
      </w:pPr>
    </w:p>
    <w:p>
      <w:pPr>
        <w:ind w:left="1420" w:right="219"/>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for your resignation will exist if you resign from your employment with the Company as a result of (1) a material reduction in your annual base salary or job responsibility or (2) the relocation of your principal office location to a facility or location located more than 50 miles from your current principal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113030</wp:posOffset>
            </wp:positionV>
            <wp:extent cx="564261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5" w:name="page56"/>
    <w:bookmarkEnd w:id="55"/>
    <w:p>
      <w:pPr>
        <w:jc w:val="both"/>
        <w:ind w:left="100" w:right="99"/>
        <w:spacing w:after="0" w:line="239" w:lineRule="auto"/>
        <w:rPr>
          <w:sz w:val="20"/>
          <w:szCs w:val="20"/>
          <w:color w:val="auto"/>
        </w:rPr>
      </w:pPr>
      <w:r>
        <w:rPr>
          <w:rFonts w:ascii="Times New Roman" w:cs="Times New Roman" w:eastAsia="Times New Roman" w:hAnsi="Times New Roman"/>
          <w:sz w:val="22"/>
          <w:szCs w:val="22"/>
          <w:color w:val="auto"/>
        </w:rPr>
        <w:t>Please understand that your employment with the Company is for no specified period and constitutes “at-will” employment. As a result, you are free to resign at any time, for any reason or for no reason, with or without notice. Similarly, the Company is free to conclude its employment relationship with you at any time, with or without cause, and with or without notice.</w:t>
      </w:r>
    </w:p>
    <w:p>
      <w:pPr>
        <w:spacing w:after="0" w:line="208" w:lineRule="exact"/>
        <w:rPr>
          <w:sz w:val="20"/>
          <w:szCs w:val="20"/>
          <w:color w:val="auto"/>
        </w:rPr>
      </w:pPr>
    </w:p>
    <w:p>
      <w:pPr>
        <w:jc w:val="both"/>
        <w:ind w:left="100" w:right="99"/>
        <w:spacing w:after="0" w:line="239" w:lineRule="auto"/>
        <w:rPr>
          <w:sz w:val="20"/>
          <w:szCs w:val="20"/>
          <w:color w:val="auto"/>
        </w:rPr>
      </w:pPr>
      <w:r>
        <w:rPr>
          <w:rFonts w:ascii="Times New Roman" w:cs="Times New Roman" w:eastAsia="Times New Roman" w:hAnsi="Times New Roman"/>
          <w:sz w:val="22"/>
          <w:szCs w:val="22"/>
          <w:color w:val="auto"/>
        </w:rPr>
        <w:t xml:space="preserve">Like all Company employees of your level, you will be required, as a condition of your employment with the Company, to sign the Company’s Nondisclosure, Confidentiality, Assignment and Noncompetition Agreement, a copy of which is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 Non-Disclosure Agreement”</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left="100" w:right="99"/>
        <w:spacing w:after="0" w:line="239" w:lineRule="auto"/>
        <w:rPr>
          <w:sz w:val="20"/>
          <w:szCs w:val="20"/>
          <w:color w:val="auto"/>
        </w:rPr>
      </w:pPr>
      <w:r>
        <w:rPr>
          <w:rFonts w:ascii="Times New Roman" w:cs="Times New Roman" w:eastAsia="Times New Roman" w:hAnsi="Times New Roman"/>
          <w:sz w:val="22"/>
          <w:szCs w:val="22"/>
          <w:color w:val="auto"/>
        </w:rPr>
        <w:t>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w:t>
      </w:r>
    </w:p>
    <w:p>
      <w:pPr>
        <w:spacing w:after="0" w:line="208" w:lineRule="exact"/>
        <w:rPr>
          <w:sz w:val="20"/>
          <w:szCs w:val="20"/>
          <w:color w:val="auto"/>
        </w:rPr>
      </w:pPr>
    </w:p>
    <w:p>
      <w:pPr>
        <w:jc w:val="both"/>
        <w:ind w:left="100" w:right="99"/>
        <w:spacing w:after="0" w:line="251" w:lineRule="auto"/>
        <w:rPr>
          <w:sz w:val="20"/>
          <w:szCs w:val="20"/>
          <w:color w:val="auto"/>
        </w:rPr>
      </w:pPr>
      <w:r>
        <w:rPr>
          <w:rFonts w:ascii="Times New Roman" w:cs="Times New Roman" w:eastAsia="Times New Roman" w:hAnsi="Times New Roman"/>
          <w:sz w:val="21"/>
          <w:szCs w:val="21"/>
          <w:color w:val="auto"/>
        </w:rPr>
        <w:t>To indicate your acceptance of our offer, please sign and date the attached Acceptance and Acknowledgement. This agreement, along with the Company’s Non-Competition and Non-Disclosure Agreement, set forth the terms of your employment with the Company and supersede any prior representations or agreements, whether written or oral. This agreement may not be modified or amended except by a written agreement, signed by an executive officer of the Company and by you.</w:t>
      </w:r>
    </w:p>
    <w:p>
      <w:pPr>
        <w:spacing w:after="0" w:line="196" w:lineRule="exact"/>
        <w:rPr>
          <w:sz w:val="20"/>
          <w:szCs w:val="20"/>
          <w:color w:val="auto"/>
        </w:rPr>
      </w:pPr>
    </w:p>
    <w:p>
      <w:pPr>
        <w:jc w:val="both"/>
        <w:ind w:left="100" w:right="99"/>
        <w:spacing w:after="0" w:line="258" w:lineRule="auto"/>
        <w:rPr>
          <w:sz w:val="20"/>
          <w:szCs w:val="20"/>
          <w:color w:val="auto"/>
        </w:rPr>
      </w:pPr>
      <w:r>
        <w:rPr>
          <w:rFonts w:ascii="Times New Roman" w:cs="Times New Roman" w:eastAsia="Times New Roman" w:hAnsi="Times New Roman"/>
          <w:sz w:val="22"/>
          <w:szCs w:val="22"/>
          <w:color w:val="auto"/>
        </w:rPr>
        <w:t>Mark, we are looking forward to your new role with the Company and expect your direct contributions to have a significant positive impact on the organization.</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TILE SHOP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444500</wp:posOffset>
            </wp:positionV>
            <wp:extent cx="564261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56" w:name="page57"/>
    <w:bookmarkEnd w:id="56"/>
    <w:p>
      <w:pPr>
        <w:ind w:left="1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Cabell Lolmaugh</w:t>
      </w: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 Cabell Lolmaugh</w:t>
      </w:r>
    </w:p>
    <w:p>
      <w:pPr>
        <w:ind w:left="10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127635</wp:posOffset>
            </wp:positionV>
            <wp:extent cx="564261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2"/>
          <w:szCs w:val="22"/>
          <w:b w:val="1"/>
          <w:bCs w:val="1"/>
          <w:color w:val="auto"/>
        </w:rPr>
        <w:t>ACCEPTANCE AND ACKNOWLEDGMENT</w:t>
      </w:r>
    </w:p>
    <w:p>
      <w:pPr>
        <w:spacing w:after="0" w:line="238" w:lineRule="exact"/>
        <w:rPr>
          <w:sz w:val="20"/>
          <w:szCs w:val="20"/>
          <w:color w:val="auto"/>
        </w:rPr>
      </w:pPr>
    </w:p>
    <w:p>
      <w:pPr>
        <w:jc w:val="both"/>
        <w:ind w:left="100" w:right="99" w:firstLine="653"/>
        <w:spacing w:after="0" w:line="238" w:lineRule="auto"/>
        <w:tabs>
          <w:tab w:leader="none" w:pos="92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 the offer of employment from the Company as Vice President Investor Relations and Chief Accounting Officer as set forth in the employment agreement dated September 6, 2019. I understand and acknowledge that my employment with the Company is for no particular duration and is at-will, meaning that I, or the Company, may terminate the employment relationship at any time, with or without cause and with or without prior notice.</w:t>
      </w:r>
    </w:p>
    <w:p>
      <w:pPr>
        <w:spacing w:after="0" w:line="204" w:lineRule="exact"/>
        <w:rPr>
          <w:rFonts w:ascii="Times New Roman" w:cs="Times New Roman" w:eastAsia="Times New Roman" w:hAnsi="Times New Roman"/>
          <w:sz w:val="22"/>
          <w:szCs w:val="22"/>
          <w:color w:val="auto"/>
        </w:rPr>
      </w:pPr>
    </w:p>
    <w:p>
      <w:pPr>
        <w:jc w:val="both"/>
        <w:ind w:left="100" w:right="99" w:firstLine="653"/>
        <w:spacing w:after="0" w:line="234" w:lineRule="auto"/>
        <w:tabs>
          <w:tab w:leader="none" w:pos="109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understand and agree that the terms and conditions set forth in the employment agreement represent the entire agreement between the Company and me superseding all prior negotiations and agreements, whether written or oral. I understand that the terms and conditions described in the employment agreement, along with the Company’s Nondisclosure, Confidentiality, Assignment and Noncompetition Agreement are the terms and conditions of my employment. No one other than an executive officer of the Company is authorized to sign any employment or other agreement that modifies the terms of the employment agreement and the Company’s Nondisclosure, Confidentiality, Assignment and Noncompetition Agreement, and any such modification must be in writing and signed by such individual. I understand that the Company may modify salary and benefits as well as other plans and programs from time to time as its Board of Directors or the Compensation Committee thereof deems necessary or appropriate</w:t>
      </w:r>
    </w:p>
    <w:p>
      <w:pPr>
        <w:spacing w:after="0" w:line="200" w:lineRule="exact"/>
        <w:rPr>
          <w:sz w:val="20"/>
          <w:szCs w:val="20"/>
          <w:color w:val="auto"/>
        </w:rPr>
      </w:pPr>
    </w:p>
    <w:p>
      <w:pPr>
        <w:spacing w:after="0" w:line="2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Mark Davis</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 Mark Davis</w:t>
      </w:r>
    </w:p>
    <w:p>
      <w:pPr>
        <w:ind w:left="100"/>
        <w:spacing w:after="0"/>
        <w:rPr>
          <w:sz w:val="20"/>
          <w:szCs w:val="20"/>
          <w:color w:val="auto"/>
        </w:rPr>
      </w:pPr>
      <w:r>
        <w:rPr>
          <w:rFonts w:ascii="Times New Roman" w:cs="Times New Roman" w:eastAsia="Times New Roman" w:hAnsi="Times New Roman"/>
          <w:sz w:val="22"/>
          <w:szCs w:val="22"/>
          <w:color w:val="auto"/>
        </w:rPr>
        <w:t>Date: September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274955</wp:posOffset>
            </wp:positionV>
            <wp:extent cx="564261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8" w:name="page59"/>
    <w:bookmarkEnd w:id="58"/>
    <w:p>
      <w:pPr>
        <w:jc w:val="right"/>
        <w:ind w:right="9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TILE SHOP HOLDINGS, INC.</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NONDISCLOSURE, CONFIDENTIALITY, ASSIGNMENT 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NONCOMPETITION AGREEMENT</w:t>
      </w:r>
    </w:p>
    <w:p>
      <w:pPr>
        <w:spacing w:after="0" w:line="209" w:lineRule="exact"/>
        <w:rPr>
          <w:sz w:val="20"/>
          <w:szCs w:val="20"/>
          <w:color w:val="auto"/>
        </w:rPr>
      </w:pPr>
    </w:p>
    <w:p>
      <w:pPr>
        <w:jc w:val="both"/>
        <w:ind w:left="100" w:right="99" w:firstLine="608"/>
        <w:spacing w:after="0" w:line="238" w:lineRule="auto"/>
        <w:rPr>
          <w:sz w:val="20"/>
          <w:szCs w:val="20"/>
          <w:color w:val="auto"/>
        </w:rPr>
      </w:pPr>
      <w:r>
        <w:rPr>
          <w:rFonts w:ascii="Times New Roman" w:cs="Times New Roman" w:eastAsia="Times New Roman" w:hAnsi="Times New Roman"/>
          <w:sz w:val="22"/>
          <w:szCs w:val="22"/>
          <w:color w:val="auto"/>
        </w:rPr>
        <w:t>THIS NONDISCLOSURE, CONFIDENTIALITY, ASSIGNMENT AND NONCOMPETITION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this 6</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xml:space="preserve"> day of September, 2019, by and between Tile Shop Holdings, Inc., a Delaware corporation (collectively with any predecessors, successors, and assignees,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Mark Davis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me</w:t>
      </w:r>
      <w:r>
        <w:rPr>
          <w:rFonts w:ascii="Times New Roman" w:cs="Times New Roman" w:eastAsia="Times New Roman" w:hAnsi="Times New Roman"/>
          <w:sz w:val="22"/>
          <w:szCs w:val="22"/>
          <w:color w:val="auto"/>
        </w:rPr>
        <w:t>”), to be effective on September 6, 2019.</w:t>
      </w:r>
    </w:p>
    <w:p>
      <w:pPr>
        <w:spacing w:after="0" w:line="204" w:lineRule="exact"/>
        <w:rPr>
          <w:sz w:val="20"/>
          <w:szCs w:val="20"/>
          <w:color w:val="auto"/>
        </w:rPr>
      </w:pPr>
    </w:p>
    <w:p>
      <w:pPr>
        <w:jc w:val="both"/>
        <w:ind w:left="100" w:right="99" w:firstLine="67"/>
        <w:spacing w:after="0" w:line="239" w:lineRule="auto"/>
        <w:rPr>
          <w:sz w:val="20"/>
          <w:szCs w:val="20"/>
          <w:color w:val="auto"/>
        </w:rPr>
      </w:pPr>
      <w:r>
        <w:rPr>
          <w:rFonts w:ascii="Times New Roman" w:cs="Times New Roman" w:eastAsia="Times New Roman" w:hAnsi="Times New Roman"/>
          <w:sz w:val="22"/>
          <w:szCs w:val="22"/>
          <w:color w:val="auto"/>
        </w:rPr>
        <w:t>In consideration of my engagement or continued engagement as an officer, employee, director, advisor, partner, independent contractor or consultant of the Company (an “</w:t>
      </w:r>
      <w:r>
        <w:rPr>
          <w:rFonts w:ascii="Times New Roman" w:cs="Times New Roman" w:eastAsia="Times New Roman" w:hAnsi="Times New Roman"/>
          <w:sz w:val="22"/>
          <w:szCs w:val="22"/>
          <w:u w:val="single" w:color="auto"/>
          <w:color w:val="auto"/>
        </w:rPr>
        <w:t>Associate</w:t>
      </w:r>
      <w:r>
        <w:rPr>
          <w:rFonts w:ascii="Times New Roman" w:cs="Times New Roman" w:eastAsia="Times New Roman" w:hAnsi="Times New Roman"/>
          <w:sz w:val="22"/>
          <w:szCs w:val="22"/>
          <w:color w:val="auto"/>
        </w:rPr>
        <w:t>”), and for other valuable consideration, the receipt and sufficiency of which is hereby acknowledged, I hereby agree as follows:</w:t>
      </w:r>
    </w:p>
    <w:p>
      <w:pPr>
        <w:spacing w:after="0" w:line="208" w:lineRule="exact"/>
        <w:rPr>
          <w:sz w:val="20"/>
          <w:szCs w:val="20"/>
          <w:color w:val="auto"/>
        </w:rPr>
      </w:pPr>
    </w:p>
    <w:p>
      <w:pPr>
        <w:ind w:left="740" w:hanging="635"/>
        <w:spacing w:after="0"/>
        <w:tabs>
          <w:tab w:leader="none" w:pos="7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233"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any direct or indirect subsidiary of the Company.</w:t>
      </w:r>
    </w:p>
    <w:p>
      <w:pPr>
        <w:spacing w:after="0" w:line="233" w:lineRule="exact"/>
        <w:rPr>
          <w:sz w:val="20"/>
          <w:szCs w:val="20"/>
          <w:color w:val="auto"/>
        </w:rPr>
      </w:pPr>
    </w:p>
    <w:p>
      <w:pPr>
        <w:jc w:val="both"/>
        <w:ind w:left="100" w:right="99" w:firstLine="648"/>
        <w:spacing w:after="0" w:line="232"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any and all confidential and/or proprietary knowledge, data or information concerning the business, business relationships and financial affairs of the Company or its Affiliates whether or not in writing and whether or not labeled or identified as confidential or proprietary. By way of illustration, but not limitation, Confidential Information includes (a) Inventions and (b) research and development activities of the Company or its Affiliates, services and marketing plans, business plans, budgets and unpublished financial statements, licenses, prices and costs, customer and supplier information and information disclosed to the Company or its Affiliates or to me by third parties of a proprietary or confidential nature or under an obligation of confidence. Confidential Information is contained in various media, including without limitation, patent applications, computer programs in object and/or source code, flow charts and other program documentation, manuals, plans, drawings, designs, technical specifications, laboratory notebooks, supplier and customer lists, internal financial data and other documents and records of the Company or its Affiliates. Notwithstanding the foregoing, nothing in this Agreement is intended to or will be used in any way to prevent disclosure of Confidential Information in accordance with the immunity provisions set forth in the Defend Trade Secrets Act of 2016 (18 U.S.C. § 1833(b)), meaning the disclosure is (1) in confidence to a government official or attorney solely for the purpose of reporting or investigating a suspected legal violation; or (2) under seal in connection with a lawsuit or other proceeding (including an anti-retaliation lawsuit).</w:t>
      </w:r>
    </w:p>
    <w:p>
      <w:pPr>
        <w:spacing w:after="0" w:line="217" w:lineRule="exact"/>
        <w:rPr>
          <w:sz w:val="20"/>
          <w:szCs w:val="20"/>
          <w:color w:val="auto"/>
        </w:rPr>
      </w:pPr>
    </w:p>
    <w:p>
      <w:pPr>
        <w:jc w:val="both"/>
        <w:ind w:left="100" w:right="99" w:firstLine="648"/>
        <w:spacing w:after="0" w:line="238"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means all ideas, concepts, discoveries, inventions, developments, improvements, formulations, products, processes, know-how, designs, formulas, methods, developmental or experimental work, clinical data, original works of authorship, software programs, software and systems documentation, trade secrets, technical data, or licenses to use (whether or not patentable or registrable under copyright or similar statutes), that are or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186055</wp:posOffset>
            </wp:positionV>
            <wp:extent cx="564261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9" w:name="page60"/>
    <w:bookmarkEnd w:id="59"/>
    <w:p>
      <w:pPr>
        <w:jc w:val="both"/>
        <w:ind w:left="100" w:right="99"/>
        <w:spacing w:after="0" w:line="236" w:lineRule="auto"/>
        <w:rPr>
          <w:sz w:val="20"/>
          <w:szCs w:val="20"/>
          <w:color w:val="auto"/>
        </w:rPr>
      </w:pPr>
      <w:r>
        <w:rPr>
          <w:rFonts w:ascii="Times New Roman" w:cs="Times New Roman" w:eastAsia="Times New Roman" w:hAnsi="Times New Roman"/>
          <w:sz w:val="22"/>
          <w:szCs w:val="22"/>
          <w:color w:val="auto"/>
        </w:rPr>
        <w:t>conceived, devised, invented, developed or reduced to practice or tangible medium by me, either alone or jointly with others (a) during any period that I am an Associate of the Company, whether or not during normal working hours or on the premises of the Company, that relate, directly or indirectly, to the business of the Company or its Affiliates, (b) at the request of or for the benefit of the Company during any period prior to my engagement as an Associate of the Company that relate, directly or indirectly, to the business of the Company or its Affiliates, or (c) that arise out of, or are incidental to, my engagement as an Associate of the Company.</w:t>
      </w:r>
    </w:p>
    <w:p>
      <w:pPr>
        <w:spacing w:after="0" w:line="204" w:lineRule="exact"/>
        <w:rPr>
          <w:sz w:val="20"/>
          <w:szCs w:val="20"/>
          <w:color w:val="auto"/>
        </w:rPr>
      </w:pPr>
    </w:p>
    <w:p>
      <w:pPr>
        <w:jc w:val="both"/>
        <w:ind w:left="100" w:right="99" w:firstLine="648"/>
        <w:spacing w:after="0" w:line="235"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u w:val="single" w:color="auto"/>
          <w:color w:val="auto"/>
        </w:rPr>
        <w:t>Prior Inventions</w:t>
      </w:r>
      <w:r>
        <w:rPr>
          <w:rFonts w:ascii="Times New Roman" w:cs="Times New Roman" w:eastAsia="Times New Roman" w:hAnsi="Times New Roman"/>
          <w:sz w:val="22"/>
          <w:szCs w:val="22"/>
          <w:color w:val="auto"/>
        </w:rPr>
        <w:t xml:space="preserve">” means any inventions made, conceived, devised, invented, developed or first reduced to practice by me, under my direction or jointly with others prior to the date of this Agreement and that do not constitute Inventions within the meaning of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above. Prior Inventions also means </w:t>
      </w:r>
      <w:r>
        <w:rPr>
          <w:rFonts w:ascii="Times New Roman" w:cs="Times New Roman" w:eastAsia="Times New Roman" w:hAnsi="Times New Roman"/>
          <w:sz w:val="22"/>
          <w:szCs w:val="22"/>
          <w:color w:val="212529"/>
        </w:rPr>
        <w:t>an invention for which no equipment, supplies, facility or trade secret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12529"/>
        </w:rPr>
        <w:t>information of the Company was used and which was developed entirely on my own time, and (1) which does not relate (a) directly to the business of the Company or (b) to the Company’s actual or demonstrably anticipated research or development, or (2) which does not result from any work performed by the me for the Company.</w:t>
      </w:r>
    </w:p>
    <w:p>
      <w:pPr>
        <w:spacing w:after="0" w:line="206" w:lineRule="exact"/>
        <w:rPr>
          <w:sz w:val="20"/>
          <w:szCs w:val="20"/>
          <w:color w:val="auto"/>
        </w:rPr>
      </w:pPr>
    </w:p>
    <w:p>
      <w:pPr>
        <w:jc w:val="both"/>
        <w:ind w:left="100" w:right="99" w:firstLine="648"/>
        <w:spacing w:after="0" w:line="258"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u w:val="single" w:color="auto"/>
          <w:color w:val="auto"/>
        </w:rPr>
        <w:t>Third Party Information</w:t>
      </w:r>
      <w:r>
        <w:rPr>
          <w:rFonts w:ascii="Times New Roman" w:cs="Times New Roman" w:eastAsia="Times New Roman" w:hAnsi="Times New Roman"/>
          <w:sz w:val="22"/>
          <w:szCs w:val="22"/>
          <w:color w:val="auto"/>
        </w:rPr>
        <w:t>” means any confidential or proprietary information received by the Company or its Affiliates from third parties.</w:t>
      </w:r>
    </w:p>
    <w:p>
      <w:pPr>
        <w:spacing w:after="0" w:line="185" w:lineRule="exact"/>
        <w:rPr>
          <w:sz w:val="20"/>
          <w:szCs w:val="20"/>
          <w:color w:val="auto"/>
        </w:rPr>
      </w:pPr>
    </w:p>
    <w:p>
      <w:pPr>
        <w:ind w:left="740" w:hanging="635"/>
        <w:spacing w:after="0"/>
        <w:tabs>
          <w:tab w:leader="none" w:pos="7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CONFIDENTIALITY.</w:t>
      </w:r>
    </w:p>
    <w:p>
      <w:pPr>
        <w:spacing w:after="0" w:line="233" w:lineRule="exact"/>
        <w:rPr>
          <w:sz w:val="20"/>
          <w:szCs w:val="20"/>
          <w:color w:val="auto"/>
        </w:rPr>
      </w:pPr>
    </w:p>
    <w:p>
      <w:pPr>
        <w:jc w:val="both"/>
        <w:ind w:left="100" w:right="99" w:firstLine="648"/>
        <w:spacing w:after="0" w:line="251"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Recognition of the Company’s Rights</w:t>
      </w:r>
      <w:r>
        <w:rPr>
          <w:rFonts w:ascii="Times New Roman" w:cs="Times New Roman" w:eastAsia="Times New Roman" w:hAnsi="Times New Roman"/>
          <w:sz w:val="21"/>
          <w:szCs w:val="21"/>
          <w:color w:val="auto"/>
        </w:rPr>
        <w:t>. I understand that the Company continually obtains and develops valuable Confidential Information that may or has become known to me in connection with my engagement as an Associate of the Company. I acknowledge that all Confidential Information is and will remain the exclusive property of the Company or the third party providing such Confidential Information to myself, the Company, or the Company’s Affiliates.</w:t>
      </w:r>
    </w:p>
    <w:p>
      <w:pPr>
        <w:spacing w:after="0" w:line="196" w:lineRule="exact"/>
        <w:rPr>
          <w:sz w:val="20"/>
          <w:szCs w:val="20"/>
          <w:color w:val="auto"/>
        </w:rPr>
      </w:pPr>
    </w:p>
    <w:p>
      <w:pPr>
        <w:jc w:val="both"/>
        <w:ind w:left="100" w:right="99" w:firstLine="648"/>
        <w:spacing w:after="0" w:line="234"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Nondisclosure of Confidential Information</w:t>
      </w:r>
      <w:r>
        <w:rPr>
          <w:rFonts w:ascii="Times New Roman" w:cs="Times New Roman" w:eastAsia="Times New Roman" w:hAnsi="Times New Roman"/>
          <w:sz w:val="22"/>
          <w:szCs w:val="22"/>
          <w:color w:val="auto"/>
        </w:rPr>
        <w:t>. I agree that during the term of my engagement as an Associate of the Company and thereafter, I will hold in strictest confidence and will not disclose, use, lecture upon, publish or otherwise make available to any third party (other than personnel of the Company or its Affiliates who need to know such information in connection with their work for the Company), any Confidential Information of the Company, except as such disclosure, use or publication may be required in connection with my work for the Company, or as expressly authorized in writing by an executive officer of the Company. I agree that I will use such Confidential Information only in the performance of my duties for the Company and in accordance with any Company policies with respect to the protection of Confidential Information. I agree not to use such Confidential Information for my own benefit or for the benefit of any other person or business entity.</w:t>
      </w:r>
    </w:p>
    <w:p>
      <w:pPr>
        <w:spacing w:after="0" w:line="204" w:lineRule="exact"/>
        <w:rPr>
          <w:sz w:val="20"/>
          <w:szCs w:val="20"/>
          <w:color w:val="auto"/>
        </w:rPr>
      </w:pPr>
    </w:p>
    <w:p>
      <w:pPr>
        <w:jc w:val="both"/>
        <w:ind w:left="100" w:right="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Third Party Information</w:t>
      </w:r>
      <w:r>
        <w:rPr>
          <w:rFonts w:ascii="Times New Roman" w:cs="Times New Roman" w:eastAsia="Times New Roman" w:hAnsi="Times New Roman"/>
          <w:sz w:val="22"/>
          <w:szCs w:val="22"/>
          <w:color w:val="auto"/>
        </w:rPr>
        <w:t>. In addition, I understand that the Company has received and in the future will receive Third Party Information subject to a duty on the Company's part to maintain the confidentiality of such information and to use it only for certain limited purposes. During the term of my engagement as an Associate of the Company and thereafter, I will hold Third Party Information in the strictest confidence and will not disclose to anyone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186055</wp:posOffset>
            </wp:positionV>
            <wp:extent cx="564261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0" w:name="page61"/>
    <w:bookmarkEnd w:id="60"/>
    <w:p>
      <w:pPr>
        <w:jc w:val="both"/>
        <w:ind w:left="100" w:right="99"/>
        <w:spacing w:after="0"/>
        <w:rPr>
          <w:sz w:val="20"/>
          <w:szCs w:val="20"/>
          <w:color w:val="auto"/>
        </w:rPr>
      </w:pPr>
      <w:r>
        <w:rPr>
          <w:rFonts w:ascii="Times New Roman" w:cs="Times New Roman" w:eastAsia="Times New Roman" w:hAnsi="Times New Roman"/>
          <w:sz w:val="22"/>
          <w:szCs w:val="22"/>
          <w:color w:val="auto"/>
        </w:rPr>
        <w:t>personnel of the Company or its Affiliates who need to know such information in connection with the performance of their duties for the Company) or use any Third Party Information, except as such disclosure or use may be required in connection with the performance of my duties for the Company, or as expressly authorized in writing by an executive officer of the Company.</w:t>
      </w:r>
    </w:p>
    <w:p>
      <w:pPr>
        <w:spacing w:after="0" w:line="204" w:lineRule="exact"/>
        <w:rPr>
          <w:sz w:val="20"/>
          <w:szCs w:val="20"/>
          <w:color w:val="auto"/>
        </w:rPr>
      </w:pPr>
    </w:p>
    <w:p>
      <w:pPr>
        <w:jc w:val="both"/>
        <w:ind w:left="100" w:right="99" w:firstLine="648"/>
        <w:spacing w:after="0" w:line="246" w:lineRule="auto"/>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Exceptions</w:t>
      </w:r>
      <w:r>
        <w:rPr>
          <w:rFonts w:ascii="Times New Roman" w:cs="Times New Roman" w:eastAsia="Times New Roman" w:hAnsi="Times New Roman"/>
          <w:sz w:val="21"/>
          <w:szCs w:val="21"/>
          <w:color w:val="auto"/>
        </w:rPr>
        <w:t xml:space="preserve">. My obligations under </w:t>
      </w:r>
      <w:r>
        <w:rPr>
          <w:rFonts w:ascii="Times New Roman" w:cs="Times New Roman" w:eastAsia="Times New Roman" w:hAnsi="Times New Roman"/>
          <w:sz w:val="21"/>
          <w:szCs w:val="21"/>
          <w:u w:val="single" w:color="auto"/>
          <w:color w:val="auto"/>
        </w:rPr>
        <w:t>Sections 2.2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2.3</w:t>
      </w:r>
      <w:r>
        <w:rPr>
          <w:rFonts w:ascii="Times New Roman" w:cs="Times New Roman" w:eastAsia="Times New Roman" w:hAnsi="Times New Roman"/>
          <w:sz w:val="21"/>
          <w:szCs w:val="21"/>
          <w:color w:val="auto"/>
        </w:rPr>
        <w:t xml:space="preserve"> hereof will not apply to the extent that certain Confidential Information (a) is or becomes generally known within the Company’s industry through no fault of mine; (b) was known to me at the time it was disclosed as evidenced by my written records at the time of disclosure; (c) is lawfully and in good faith made available to me by a third party who did not derive it from the Company or the Company’s Affiliates and who imposes no obligation of confidence to me, the Company, or the Company’s Affiliates; or (d) is required to be disclosed by a governmental authority or by order of a court of competent jurisdiction, provided that such disclosure is subject to all applicable governmental or judicial protection available for like material and reasonable advance notice is given to the Company.</w:t>
      </w:r>
    </w:p>
    <w:p>
      <w:pPr>
        <w:spacing w:after="0" w:line="203" w:lineRule="exact"/>
        <w:rPr>
          <w:sz w:val="20"/>
          <w:szCs w:val="20"/>
          <w:color w:val="auto"/>
        </w:rPr>
      </w:pPr>
    </w:p>
    <w:p>
      <w:pPr>
        <w:jc w:val="both"/>
        <w:ind w:left="100" w:right="99" w:firstLine="648"/>
        <w:spacing w:after="0" w:line="234"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Protection and Return of Confidential Information</w:t>
      </w:r>
      <w:r>
        <w:rPr>
          <w:rFonts w:ascii="Times New Roman" w:cs="Times New Roman" w:eastAsia="Times New Roman" w:hAnsi="Times New Roman"/>
          <w:sz w:val="22"/>
          <w:szCs w:val="22"/>
          <w:color w:val="auto"/>
        </w:rPr>
        <w:t>. I agree to exercise all reasonable precautions to protect the integrity and confidentiality of Confidential Information in my possession and not to remove any materials containing Confidential Information from the premises of the Company, except to the extent necessary in the performance of my duties for the Company or unless expressly authorized in writing by an executive officer of the Company. Upon the termination of my engagement as an Associate of the Company, or at any time upon the Company’s request, I will return immediately to the Company any and all notes, memoranda, specifications, devices, formulas and documents, together with copies thereof, and any other material containing or disclosing any Confidential Information of the Company or Third Party Information then in my possession or under my control.</w:t>
      </w:r>
    </w:p>
    <w:p>
      <w:pPr>
        <w:spacing w:after="0" w:line="208" w:lineRule="exact"/>
        <w:rPr>
          <w:sz w:val="20"/>
          <w:szCs w:val="20"/>
          <w:color w:val="auto"/>
        </w:rPr>
      </w:pPr>
    </w:p>
    <w:p>
      <w:pPr>
        <w:ind w:left="740" w:hanging="635"/>
        <w:spacing w:after="0"/>
        <w:tabs>
          <w:tab w:leader="none" w:pos="7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 OF INVENTIONS.</w:t>
      </w:r>
    </w:p>
    <w:p>
      <w:pPr>
        <w:spacing w:after="0" w:line="233" w:lineRule="exact"/>
        <w:rPr>
          <w:sz w:val="20"/>
          <w:szCs w:val="20"/>
          <w:color w:val="auto"/>
        </w:rPr>
      </w:pPr>
    </w:p>
    <w:p>
      <w:pPr>
        <w:jc w:val="both"/>
        <w:ind w:left="100" w:right="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Ownership of Inventions</w:t>
      </w:r>
      <w:r>
        <w:rPr>
          <w:rFonts w:ascii="Times New Roman" w:cs="Times New Roman" w:eastAsia="Times New Roman" w:hAnsi="Times New Roman"/>
          <w:sz w:val="22"/>
          <w:szCs w:val="22"/>
          <w:color w:val="auto"/>
        </w:rPr>
        <w:t>. I acknowledge that all Inventions already existing at the date of this Agreement or that arise after the date of this Agreement, belong to and are the absolute property of the Company and will not be used by me for any purpose other than carrying out my duties as an Associate of the Company.</w:t>
      </w:r>
    </w:p>
    <w:p>
      <w:pPr>
        <w:spacing w:after="0" w:line="208" w:lineRule="exact"/>
        <w:rPr>
          <w:sz w:val="20"/>
          <w:szCs w:val="20"/>
          <w:color w:val="auto"/>
        </w:rPr>
      </w:pPr>
    </w:p>
    <w:p>
      <w:pPr>
        <w:jc w:val="both"/>
        <w:ind w:left="100" w:right="99" w:firstLine="648"/>
        <w:spacing w:after="0" w:line="233"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Assignment of Inventions; Enforcement of Rights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I hereby assign and agree to assign in the future to the Company all of my right, title and interest to any and all Inventions and any and all related patent rights, copyrights and applications and registrations therefore. I also agree to assign all my right, title and interest in and to any particular Inventions to a third party as directed by the Company. During and after my engagement as an Associate of the Company, I will cooperate with the Company, at the Company’s expense, in obtaining proprietary protection for the Inventions and I will execute all documents that the Company reasonably requests in order to perfect the Company’s rights in the Inventions. I hereby appoint the Company my attorney to execute and deliver any such documents on my behalf in the event I should fail or refuse to do so within a reasonable period following the Company’s request. I understand that, to the extent this Agreement is construed in accordance with the laws of any country or state that limits the assignability to the Company of certain inventions,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191770</wp:posOffset>
            </wp:positionV>
            <wp:extent cx="564261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1" w:name="page62"/>
    <w:bookmarkEnd w:id="61"/>
    <w:p>
      <w:pPr>
        <w:jc w:val="both"/>
        <w:ind w:left="100" w:right="99"/>
        <w:spacing w:after="0" w:line="259" w:lineRule="auto"/>
        <w:rPr>
          <w:sz w:val="20"/>
          <w:szCs w:val="20"/>
          <w:color w:val="auto"/>
        </w:rPr>
      </w:pPr>
      <w:r>
        <w:rPr>
          <w:rFonts w:ascii="Times New Roman" w:cs="Times New Roman" w:eastAsia="Times New Roman" w:hAnsi="Times New Roman"/>
          <w:sz w:val="22"/>
          <w:szCs w:val="22"/>
          <w:color w:val="auto"/>
        </w:rPr>
        <w:t>will be interpreted not to apply to any such invention that a court rules or the Company agrees is subject to such limitation.</w:t>
      </w:r>
    </w:p>
    <w:p>
      <w:pPr>
        <w:spacing w:after="0" w:line="184" w:lineRule="exact"/>
        <w:rPr>
          <w:sz w:val="20"/>
          <w:szCs w:val="20"/>
          <w:color w:val="auto"/>
        </w:rPr>
      </w:pPr>
    </w:p>
    <w:p>
      <w:pPr>
        <w:jc w:val="both"/>
        <w:ind w:left="100" w:right="99" w:firstLine="648"/>
        <w:spacing w:after="0" w:line="234"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Works for Hire</w:t>
      </w:r>
      <w:r>
        <w:rPr>
          <w:rFonts w:ascii="Times New Roman" w:cs="Times New Roman" w:eastAsia="Times New Roman" w:hAnsi="Times New Roman"/>
          <w:sz w:val="22"/>
          <w:szCs w:val="22"/>
          <w:color w:val="auto"/>
        </w:rPr>
        <w:t>. I acknowledge that all original works of authorship made by me (solely or jointly with others) within the scope of my engagement as an Associate of the Company or any prior engagement by the Company, that are protectable by copyright are intended to be “works made for hire”, as that term is defined in Section 101 of the United States Copyright Act of 1976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and will be the property of the Company and the Company will be the sole author within the meaning of the Act. If the copyright to any such copyrightable work is not the property of the Company by operation of law, I will, without further consideration, assign to the Company all of my right, title and interest in such copyrightable work and will cooperate with the Company and its designees, at the Company’s expense, to secure, maintain and defend for the Company’s benefit copyrights and any extensions and renewals thereof on any and all such work. I hereby waive all claims to moral rights in any Inventions.</w:t>
      </w:r>
    </w:p>
    <w:p>
      <w:pPr>
        <w:spacing w:after="0" w:line="204" w:lineRule="exact"/>
        <w:rPr>
          <w:sz w:val="20"/>
          <w:szCs w:val="20"/>
          <w:color w:val="auto"/>
        </w:rPr>
      </w:pPr>
    </w:p>
    <w:p>
      <w:pPr>
        <w:jc w:val="both"/>
        <w:ind w:left="100" w:right="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I agree to keep and maintain adequate and current records (in the form of notes, sketches, drawings and in any other form that may be required by the Company) of all Inventions made by me during the period of my engagement as an Associate of the Company or any prior engagement by the Company, which records will be available to and remain the sole property of the Company at all times.</w:t>
      </w:r>
    </w:p>
    <w:p>
      <w:pPr>
        <w:spacing w:after="0" w:line="204" w:lineRule="exact"/>
        <w:rPr>
          <w:sz w:val="20"/>
          <w:szCs w:val="20"/>
          <w:color w:val="auto"/>
        </w:rPr>
      </w:pPr>
    </w:p>
    <w:p>
      <w:pPr>
        <w:jc w:val="both"/>
        <w:ind w:left="100" w:right="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Obligation to Keep Company Informed</w:t>
      </w:r>
      <w:r>
        <w:rPr>
          <w:rFonts w:ascii="Times New Roman" w:cs="Times New Roman" w:eastAsia="Times New Roman" w:hAnsi="Times New Roman"/>
          <w:sz w:val="22"/>
          <w:szCs w:val="22"/>
          <w:color w:val="auto"/>
        </w:rPr>
        <w:t>. During the period of my engagement as an Associate of the Company, and for six months after termination of my engagement as an Associate of the Company, I agree to promptly disclose to the Company fully and in writing all Inventions authored, conceived or reduced to practice by me, either alone or jointly with others. In addition, I will promptly disclose to the Company all patent applications filed by me or on my behalf within one year after termination of my engagement as an Associate of the Company.</w:t>
      </w:r>
    </w:p>
    <w:p>
      <w:pPr>
        <w:spacing w:after="0" w:line="209" w:lineRule="exact"/>
        <w:rPr>
          <w:sz w:val="20"/>
          <w:szCs w:val="20"/>
          <w:color w:val="auto"/>
        </w:rPr>
      </w:pPr>
    </w:p>
    <w:p>
      <w:pPr>
        <w:jc w:val="both"/>
        <w:ind w:left="100" w:right="99" w:firstLine="648"/>
        <w:spacing w:after="0" w:line="233"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Prior Inventions</w:t>
      </w:r>
      <w:r>
        <w:rPr>
          <w:rFonts w:ascii="Times New Roman" w:cs="Times New Roman" w:eastAsia="Times New Roman" w:hAnsi="Times New Roman"/>
          <w:sz w:val="22"/>
          <w:szCs w:val="22"/>
          <w:color w:val="auto"/>
        </w:rPr>
        <w:t xml:space="preserve">. I further represent that the attached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contains a complete list of all Prior Inventions. I agree to update and/or amend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during my employment as may be necessary and to promptly notify the Company of the same. Such Prior Inventions are considered to be my property or the property of third parties and are not assigned to the Company hereunder. If there is no such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attached hereto, I represent that there are no such Prior Inventions. If I am claiming any Prior Inventions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I agree that, if in the course of my engagement as an Associate of the Company or any prior engagement by the Company, I incorporate any Prior Invention into a Company product, process or machine, the Company will automatically be granted and will have a non-exclusive, royalty-free, irrevocable, transferable, perpetual, world-wide license (with rights to sublicense) to make, have made, modify, use and sell such Prior Invention as part of, or in connection with, such product, process or machine. Notwithstanding the foregoing, I agree that I will not incorporate, or permit to be incorporated, Prior Inventions in any Company Inventions without the Company’s prior written consent.</w:t>
      </w:r>
    </w:p>
    <w:p>
      <w:pPr>
        <w:spacing w:after="0" w:line="211" w:lineRule="exact"/>
        <w:rPr>
          <w:sz w:val="20"/>
          <w:szCs w:val="20"/>
          <w:color w:val="auto"/>
        </w:rPr>
      </w:pPr>
    </w:p>
    <w:p>
      <w:pPr>
        <w:ind w:left="740" w:hanging="635"/>
        <w:spacing w:after="0"/>
        <w:tabs>
          <w:tab w:leader="none" w:pos="7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290195</wp:posOffset>
            </wp:positionV>
            <wp:extent cx="564261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2" w:name="page63"/>
    <w:bookmarkEnd w:id="62"/>
    <w:p>
      <w:pPr>
        <w:jc w:val="both"/>
        <w:ind w:left="100" w:right="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No Conflicting Obligations</w:t>
      </w:r>
      <w:r>
        <w:rPr>
          <w:rFonts w:ascii="Times New Roman" w:cs="Times New Roman" w:eastAsia="Times New Roman" w:hAnsi="Times New Roman"/>
          <w:sz w:val="22"/>
          <w:szCs w:val="22"/>
          <w:color w:val="auto"/>
        </w:rPr>
        <w:t xml:space="preserve">. I hereby represent to the Company that, except as identified on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I am not bound by any agreement or any other previous or existing business relationship that conflicts with or prevents the full performance of my duties and obligations to the Company (including my duties and obligations under this or any other agreement with the Company) during my engagement as an Associate of the Company. I agree I will not enter into any agreement, either written or oral, that conflicts with this Agreement.</w:t>
      </w:r>
    </w:p>
    <w:p>
      <w:pPr>
        <w:spacing w:after="0" w:line="210" w:lineRule="exact"/>
        <w:rPr>
          <w:sz w:val="20"/>
          <w:szCs w:val="20"/>
          <w:color w:val="auto"/>
        </w:rPr>
      </w:pPr>
    </w:p>
    <w:p>
      <w:pPr>
        <w:jc w:val="both"/>
        <w:ind w:left="100" w:right="99" w:firstLine="648"/>
        <w:spacing w:after="0" w:line="248"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No Improper Use of Information of Prior Employers or Others</w:t>
      </w:r>
      <w:r>
        <w:rPr>
          <w:rFonts w:ascii="Times New Roman" w:cs="Times New Roman" w:eastAsia="Times New Roman" w:hAnsi="Times New Roman"/>
          <w:sz w:val="21"/>
          <w:szCs w:val="21"/>
          <w:color w:val="auto"/>
        </w:rPr>
        <w:t xml:space="preserve">. I understand that the Company does not desire to acquire from me any trade secrets, know-how or confidential business information I may have acquired from others. Therefore, I agree during my engagement as an Associate of the Company, I will not improperly use or disclose any proprietary information or trade secrets of any former or concurrent employer, or any other person or entity with whom I have an agreement or to whom I owe a duty to keep such information in confidence. Those persons or entities with whom I have such agreements or to whom I owe such a duty are identified on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both"/>
        <w:ind w:left="740" w:right="99" w:hanging="635"/>
        <w:spacing w:after="0" w:line="234" w:lineRule="auto"/>
        <w:tabs>
          <w:tab w:leader="none" w:pos="7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NON-COMPETITION. I agree that while I am engaged as an Associate of the Company and for a period of one year after termination or cessation of such engagement for any reason, I will not, without the Company’s prior written consent, directly or indirectly, as a principal, employee, consultant, partner, or stockholder of, or in any other capacity with, any business enterprise (other than in my capacity as a holder of not more than 1% of the combined voting power of the outstanding stock of a publicly held company) (a) engage in direct or indirect competition with the Company or its Affiliates, (b) conduct a business of the type or character engaged in by the Company or its Affiliates at the time of termination or cessation of my engagement as an Associate of the Company, or (c) develop products or services competitive with those of the Company or its Affiliates.</w:t>
      </w:r>
    </w:p>
    <w:p>
      <w:pPr>
        <w:spacing w:after="0" w:line="207" w:lineRule="exact"/>
        <w:rPr>
          <w:rFonts w:ascii="Times New Roman" w:cs="Times New Roman" w:eastAsia="Times New Roman" w:hAnsi="Times New Roman"/>
          <w:sz w:val="22"/>
          <w:szCs w:val="22"/>
          <w:color w:val="auto"/>
        </w:rPr>
      </w:pPr>
    </w:p>
    <w:p>
      <w:pPr>
        <w:jc w:val="both"/>
        <w:ind w:left="740" w:right="99" w:hanging="635"/>
        <w:spacing w:after="0" w:line="236" w:lineRule="auto"/>
        <w:tabs>
          <w:tab w:leader="none" w:pos="7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NON-SOLICITATION. I agree that while I am engaged as an Associate of the Company and for a period of one year after termination or cessation of such engagement for any reason, I will not solicit, divert or take away, or attempt to divert or take away, the business or patronage of any of the clients, customers or accounts, or prospective clients, customers or accounts, of the Company or its Affiliates that were contacted, solicited or served by me while I was engaged as an Associate of the Company or any Affiliate.</w:t>
      </w:r>
    </w:p>
    <w:p>
      <w:pPr>
        <w:spacing w:after="0" w:line="209" w:lineRule="exact"/>
        <w:rPr>
          <w:rFonts w:ascii="Times New Roman" w:cs="Times New Roman" w:eastAsia="Times New Roman" w:hAnsi="Times New Roman"/>
          <w:sz w:val="22"/>
          <w:szCs w:val="22"/>
          <w:color w:val="auto"/>
        </w:rPr>
      </w:pPr>
    </w:p>
    <w:p>
      <w:pPr>
        <w:jc w:val="both"/>
        <w:ind w:left="740" w:right="99" w:hanging="635"/>
        <w:spacing w:after="0" w:line="235" w:lineRule="auto"/>
        <w:tabs>
          <w:tab w:leader="none" w:pos="7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NON-SOLICITATION OF EMPLOYEES AND CONSULTANTS. I agree that while I am engaged as an Associate of the Company and for a period of one year after termination or cessation of such engagement for any reason, I will not directly or indirectly hire, recruit, or solicit any employee, independent contractor or consultant of the Company or its Affiliates, or induce or attempt to induce any employee independent contractor or consultant of the Company or its Affiliates to discontinue his or her relationship with the Company or its Affiliates.</w:t>
      </w:r>
    </w:p>
    <w:p>
      <w:pPr>
        <w:spacing w:after="0" w:line="210" w:lineRule="exact"/>
        <w:rPr>
          <w:rFonts w:ascii="Times New Roman" w:cs="Times New Roman" w:eastAsia="Times New Roman" w:hAnsi="Times New Roman"/>
          <w:sz w:val="22"/>
          <w:szCs w:val="22"/>
          <w:color w:val="auto"/>
        </w:rPr>
      </w:pPr>
    </w:p>
    <w:p>
      <w:pPr>
        <w:jc w:val="both"/>
        <w:ind w:left="740" w:right="99" w:hanging="635"/>
        <w:spacing w:after="0" w:line="238" w:lineRule="auto"/>
        <w:tabs>
          <w:tab w:leader="none" w:pos="7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SUBSEQUENT EMPLOYMENT OR ENGAGEMENT. I will, for a period of one year after the termination or cessation of my engagement as an Associate of the Company, notify the Company of any change of address, and of any subsequent employment or engagement (stating the name and address of the employer and the nature of the position) or any other business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117475</wp:posOffset>
            </wp:positionV>
            <wp:extent cx="564261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3" w:name="page64"/>
    <w:bookmarkEnd w:id="63"/>
    <w:p>
      <w:pPr>
        <w:ind w:left="740" w:hanging="635"/>
        <w:spacing w:after="0"/>
        <w:tabs>
          <w:tab w:leader="none" w:pos="7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w:t>
      </w:r>
    </w:p>
    <w:p>
      <w:pPr>
        <w:spacing w:after="0" w:line="233" w:lineRule="exact"/>
        <w:rPr>
          <w:sz w:val="20"/>
          <w:szCs w:val="20"/>
          <w:color w:val="auto"/>
        </w:rPr>
      </w:pPr>
    </w:p>
    <w:p>
      <w:pPr>
        <w:jc w:val="both"/>
        <w:ind w:left="100" w:right="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Assignment; Successors and Assigns</w:t>
      </w:r>
      <w:r>
        <w:rPr>
          <w:rFonts w:ascii="Times New Roman" w:cs="Times New Roman" w:eastAsia="Times New Roman" w:hAnsi="Times New Roman"/>
          <w:sz w:val="22"/>
          <w:szCs w:val="22"/>
          <w:color w:val="auto"/>
        </w:rPr>
        <w:t>. This Agreement may not be assigned by either party except that the Company may assign this Agreement to any Affiliate or in connection with the merger, consolidation or sale of all or substantially all of its business or assets. This Agreement will be binding upon and will inure to the benefit of the parties hereto and their respective successors and other legal representatives and, to the extent that any assignment hereof is permitted hereunder, their assignees.</w:t>
      </w:r>
    </w:p>
    <w:p>
      <w:pPr>
        <w:spacing w:after="0" w:line="209" w:lineRule="exact"/>
        <w:rPr>
          <w:sz w:val="20"/>
          <w:szCs w:val="20"/>
          <w:color w:val="auto"/>
        </w:rPr>
      </w:pPr>
    </w:p>
    <w:p>
      <w:pPr>
        <w:jc w:val="both"/>
        <w:ind w:left="100" w:right="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The obligations pursuant to </w:t>
      </w:r>
      <w:r>
        <w:rPr>
          <w:rFonts w:ascii="Times New Roman" w:cs="Times New Roman" w:eastAsia="Times New Roman" w:hAnsi="Times New Roman"/>
          <w:sz w:val="22"/>
          <w:szCs w:val="22"/>
          <w:u w:val="single" w:color="auto"/>
          <w:color w:val="auto"/>
        </w:rPr>
        <w:t>Sections 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of this Agreement will apply to any time during which I was previously engaged as an Associate of the Company, or am in the future engaged as an Associate of the Company or any Affiliate if no other agreement governs nondisclosure and assignment of inventions during such period. This Agreement supersedes all prior agreements, written or oral, with respect to the subject matter of this Agreement.</w:t>
      </w:r>
    </w:p>
    <w:p>
      <w:pPr>
        <w:spacing w:after="0" w:line="204" w:lineRule="exact"/>
        <w:rPr>
          <w:sz w:val="20"/>
          <w:szCs w:val="20"/>
          <w:color w:val="auto"/>
        </w:rPr>
      </w:pPr>
    </w:p>
    <w:p>
      <w:pPr>
        <w:jc w:val="both"/>
        <w:ind w:left="100" w:right="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one or more of the provisions contained herein is, for any reason, held to be invalid, illegal, or unenforceable in any respect, such invalidity, illegality, or unenforceability will not affect any other provisions of this Agreement, and all other provisions will remain in full force and effect. If any of the provisions of this Agreement is held to be excessively broad, it will be reformed and construed by limiting and reducing it so as to be enforceable to the maximum extent permitted by law.</w:t>
      </w:r>
    </w:p>
    <w:p>
      <w:pPr>
        <w:spacing w:after="0" w:line="209" w:lineRule="exact"/>
        <w:rPr>
          <w:sz w:val="20"/>
          <w:szCs w:val="20"/>
          <w:color w:val="auto"/>
        </w:rPr>
      </w:pPr>
    </w:p>
    <w:p>
      <w:pPr>
        <w:jc w:val="both"/>
        <w:ind w:left="100" w:right="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Amendments and Waivers</w:t>
      </w:r>
      <w:r>
        <w:rPr>
          <w:rFonts w:ascii="Times New Roman" w:cs="Times New Roman" w:eastAsia="Times New Roman" w:hAnsi="Times New Roman"/>
          <w:sz w:val="22"/>
          <w:szCs w:val="22"/>
          <w:color w:val="auto"/>
        </w:rPr>
        <w:t>. No modification of or amendment to this Agreement, nor any waiver of any rights under this Agreement, will be effective unless in writing and signed by the party to be charged. No delay or omission by the Company in exercising any right under this Agreement will operate as a waiver of that or any other right. A waiver or consent given by the Company on any occasion if effective only in that instance and will not be construed as a bar to or waiver of any right on any other occasion.</w:t>
      </w:r>
    </w:p>
    <w:p>
      <w:pPr>
        <w:spacing w:after="0" w:line="209" w:lineRule="exact"/>
        <w:rPr>
          <w:sz w:val="20"/>
          <w:szCs w:val="20"/>
          <w:color w:val="auto"/>
        </w:rPr>
      </w:pPr>
    </w:p>
    <w:p>
      <w:pPr>
        <w:jc w:val="both"/>
        <w:ind w:left="100" w:right="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I understand that this Agreement does not constitute a contract of employment or create an obligation on the part of the Company to continue my employment (if any) with the Company. I understand that my employment (if any) is “at will” and that my obligations under this Agreement will not be affected by any change in my position, title or function with, or compensation, by the Company. Any subsequent change or changes in my duties, salary or compensation will not affect the validity or scope of this Agreement.</w:t>
      </w:r>
    </w:p>
    <w:p>
      <w:pPr>
        <w:spacing w:after="0" w:line="209" w:lineRule="exact"/>
        <w:rPr>
          <w:sz w:val="20"/>
          <w:szCs w:val="20"/>
          <w:color w:val="auto"/>
        </w:rPr>
      </w:pPr>
    </w:p>
    <w:p>
      <w:pPr>
        <w:jc w:val="both"/>
        <w:ind w:left="100" w:right="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Legal and Equitable Remedies</w:t>
      </w:r>
      <w:r>
        <w:rPr>
          <w:rFonts w:ascii="Times New Roman" w:cs="Times New Roman" w:eastAsia="Times New Roman" w:hAnsi="Times New Roman"/>
          <w:sz w:val="22"/>
          <w:szCs w:val="22"/>
          <w:color w:val="auto"/>
        </w:rPr>
        <w:t>. I acknowledge that (a) the business of the Company and its Affiliates is global in scope and its services may be marketed and sold throughout the world; (b) the Company and its Affiliates compete with other businesses that are or could be located in any part of the world; (c) the Company has required that I make the covenants contained in this Agreement as a condition to my engagement as an Associate of the Company; and (d) the restrictions contained in this Agreement are necessary for the protection of the business and goodwill of the Company and its Affiliates and are reasonable for such purpose. I agree that any breach of this Agreement by me will cause irreparable damage to the Company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187325</wp:posOffset>
            </wp:positionV>
            <wp:extent cx="564261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64" w:name="page65"/>
    <w:bookmarkEnd w:id="64"/>
    <w:p>
      <w:pPr>
        <w:jc w:val="both"/>
        <w:ind w:left="100" w:right="99"/>
        <w:spacing w:after="0" w:line="236" w:lineRule="auto"/>
        <w:rPr>
          <w:sz w:val="20"/>
          <w:szCs w:val="20"/>
          <w:color w:val="auto"/>
        </w:rPr>
      </w:pPr>
      <w:r>
        <w:rPr>
          <w:rFonts w:ascii="Times New Roman" w:cs="Times New Roman" w:eastAsia="Times New Roman" w:hAnsi="Times New Roman"/>
          <w:sz w:val="22"/>
          <w:szCs w:val="22"/>
          <w:color w:val="auto"/>
        </w:rPr>
        <w:t>and that in the event of such breach, the Company will be entitled, in addition to monetary damages and to any other remedies available to the Company under this Agreement and at law, to equitable relief, including injunctive relief, and to payment by myself of all costs incurred by the Company in enforcing of the provisions of this Agreement, including reasonable attorneys’ fees. I agree that should I violate any obligation imposed on me in this Agreement, I will continue to be bound by the obligation until a period equal to the term of such obligation has expired without violation of such obligation.</w:t>
      </w:r>
    </w:p>
    <w:p>
      <w:pPr>
        <w:spacing w:after="0" w:line="204" w:lineRule="exact"/>
        <w:rPr>
          <w:sz w:val="20"/>
          <w:szCs w:val="20"/>
          <w:color w:val="auto"/>
        </w:rPr>
      </w:pPr>
    </w:p>
    <w:p>
      <w:pPr>
        <w:jc w:val="both"/>
        <w:ind w:left="100" w:right="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construed as a sealed instrument and will in all events and for all purposes be governed by, and construed in accordance with, the laws of the State of Delaware without regard to any choice of law principle that would dictate the application of the laws of another jurisdiction. Any action, suit or other legal proceeding that I may commence to resolve any matter arising under or relating to any provision of this Agreement will be commenced only in a court of the State of Delaware (or, if appropriate, a federal court located within the State of Delaware), and I hereby consent to the jurisdiction of such court with respect to any action, suit or proceeding commenced in such court by the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[Next Page is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290195</wp:posOffset>
            </wp:positionV>
            <wp:extent cx="564261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5" w:name="page66"/>
    <w:bookmarkEnd w:id="65"/>
    <w:p>
      <w:pPr>
        <w:ind w:left="100" w:right="99" w:firstLine="608"/>
        <w:spacing w:after="0" w:line="259"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above written.</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ASSOCIATE</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auto"/>
        </w:rPr>
        <w:t>/s/ Mark Davis</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Mark Davis</w:t>
      </w:r>
    </w:p>
    <w:p>
      <w:pPr>
        <w:spacing w:after="0" w:line="200" w:lineRule="exact"/>
        <w:rPr>
          <w:sz w:val="20"/>
          <w:szCs w:val="20"/>
          <w:color w:val="auto"/>
        </w:rPr>
      </w:pP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TILE SHOP HOLDINGS, INC.</w:t>
      </w:r>
    </w:p>
    <w:p>
      <w:pPr>
        <w:spacing w:after="0" w:line="200" w:lineRule="exact"/>
        <w:rPr>
          <w:sz w:val="20"/>
          <w:szCs w:val="20"/>
          <w:color w:val="auto"/>
        </w:rPr>
      </w:pPr>
    </w:p>
    <w:p>
      <w:pPr>
        <w:spacing w:after="0" w:line="276" w:lineRule="exact"/>
        <w:rPr>
          <w:sz w:val="20"/>
          <w:szCs w:val="20"/>
          <w:color w:val="auto"/>
        </w:rPr>
      </w:pPr>
    </w:p>
    <w:p>
      <w:pPr>
        <w:ind w:left="100"/>
        <w:spacing w:after="0"/>
        <w:tabs>
          <w:tab w:leader="none" w:pos="7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Cabell Lolmaugh</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 Cabell Lolmaugh</w:t>
      </w:r>
    </w:p>
    <w:p>
      <w:pPr>
        <w:ind w:left="1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703580</wp:posOffset>
            </wp:positionV>
            <wp:extent cx="564261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List all Prior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608330</wp:posOffset>
            </wp:positionV>
            <wp:extent cx="564261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Schedule B</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List all Conflicting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145415</wp:posOffset>
            </wp:positionV>
            <wp:extent cx="564261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8" w:name="page69"/>
    <w:bookmarkEnd w:id="68"/>
    <w:p>
      <w:pPr>
        <w:jc w:val="right"/>
        <w:ind w:right="9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WAIVER OF CLAIMS AND GENERAL RELEASE</w:t>
      </w:r>
    </w:p>
    <w:p>
      <w:pPr>
        <w:spacing w:after="0" w:line="237" w:lineRule="exact"/>
        <w:rPr>
          <w:sz w:val="20"/>
          <w:szCs w:val="20"/>
          <w:color w:val="auto"/>
        </w:rPr>
      </w:pPr>
    </w:p>
    <w:p>
      <w:pPr>
        <w:jc w:val="both"/>
        <w:ind w:left="100" w:right="99" w:firstLine="648"/>
        <w:spacing w:after="0" w:line="249" w:lineRule="auto"/>
        <w:rPr>
          <w:sz w:val="20"/>
          <w:szCs w:val="20"/>
          <w:color w:val="auto"/>
        </w:rPr>
      </w:pPr>
      <w:r>
        <w:rPr>
          <w:rFonts w:ascii="Times New Roman" w:cs="Times New Roman" w:eastAsia="Times New Roman" w:hAnsi="Times New Roman"/>
          <w:sz w:val="21"/>
          <w:szCs w:val="21"/>
          <w:color w:val="auto"/>
        </w:rPr>
        <w:t>This Waiver of Claims and General Release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is to confirm that the undersigned’s at-will employment with Tile Shop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is terminated effective as of ________________ (the “</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Effective as of the Termination Date, by</w:t>
      </w:r>
    </w:p>
    <w:p>
      <w:pPr>
        <w:spacing w:after="0" w:line="2" w:lineRule="exact"/>
        <w:rPr>
          <w:sz w:val="20"/>
          <w:szCs w:val="20"/>
          <w:color w:val="auto"/>
        </w:rPr>
      </w:pPr>
    </w:p>
    <w:p>
      <w:pPr>
        <w:jc w:val="both"/>
        <w:ind w:left="100" w:right="99"/>
        <w:spacing w:after="0" w:line="237" w:lineRule="auto"/>
        <w:rPr>
          <w:sz w:val="20"/>
          <w:szCs w:val="20"/>
          <w:color w:val="auto"/>
        </w:rPr>
      </w:pPr>
      <w:r>
        <w:rPr>
          <w:rFonts w:ascii="Times New Roman" w:cs="Times New Roman" w:eastAsia="Times New Roman" w:hAnsi="Times New Roman"/>
          <w:sz w:val="22"/>
          <w:szCs w:val="22"/>
          <w:color w:val="auto"/>
        </w:rPr>
        <w:t>execution of this Release, the undersigned (“</w:t>
      </w:r>
      <w:r>
        <w:rPr>
          <w:rFonts w:ascii="Times New Roman" w:cs="Times New Roman" w:eastAsia="Times New Roman" w:hAnsi="Times New Roman"/>
          <w:sz w:val="22"/>
          <w:szCs w:val="22"/>
          <w:u w:val="single" w:color="auto"/>
          <w:color w:val="auto"/>
        </w:rPr>
        <w:t>you</w:t>
      </w:r>
      <w:r>
        <w:rPr>
          <w:rFonts w:ascii="Times New Roman" w:cs="Times New Roman" w:eastAsia="Times New Roman" w:hAnsi="Times New Roman"/>
          <w:sz w:val="22"/>
          <w:szCs w:val="22"/>
          <w:color w:val="auto"/>
        </w:rPr>
        <w:t>”) hereby relinquish all authority you have to act on behalf of the Company and any of its subsidiaries.</w:t>
      </w:r>
    </w:p>
    <w:p>
      <w:pPr>
        <w:spacing w:after="0" w:line="206" w:lineRule="exact"/>
        <w:rPr>
          <w:sz w:val="20"/>
          <w:szCs w:val="20"/>
          <w:color w:val="auto"/>
        </w:rPr>
      </w:pPr>
    </w:p>
    <w:p>
      <w:pPr>
        <w:jc w:val="both"/>
        <w:ind w:left="100" w:right="99" w:firstLine="648"/>
        <w:spacing w:after="0" w:line="258" w:lineRule="auto"/>
        <w:rPr>
          <w:sz w:val="20"/>
          <w:szCs w:val="20"/>
          <w:color w:val="auto"/>
        </w:rPr>
      </w:pPr>
      <w:r>
        <w:rPr>
          <w:rFonts w:ascii="Times New Roman" w:cs="Times New Roman" w:eastAsia="Times New Roman" w:hAnsi="Times New Roman"/>
          <w:sz w:val="22"/>
          <w:szCs w:val="22"/>
          <w:color w:val="auto"/>
        </w:rPr>
        <w:t>Please read this Release carefully. To help you understand the Release and your rights as a terminated employee, you are advised to consult with your attorney before signing it.</w:t>
      </w:r>
    </w:p>
    <w:p>
      <w:pPr>
        <w:spacing w:after="0" w:line="185" w:lineRule="exact"/>
        <w:rPr>
          <w:sz w:val="20"/>
          <w:szCs w:val="20"/>
          <w:color w:val="auto"/>
        </w:rPr>
      </w:pPr>
    </w:p>
    <w:p>
      <w:pPr>
        <w:jc w:val="both"/>
        <w:ind w:left="100" w:right="99" w:firstLine="648"/>
        <w:spacing w:after="0" w:line="238" w:lineRule="auto"/>
        <w:rPr>
          <w:sz w:val="20"/>
          <w:szCs w:val="20"/>
          <w:color w:val="auto"/>
        </w:rPr>
      </w:pPr>
      <w:r>
        <w:rPr>
          <w:rFonts w:ascii="Times New Roman" w:cs="Times New Roman" w:eastAsia="Times New Roman" w:hAnsi="Times New Roman"/>
          <w:sz w:val="22"/>
          <w:szCs w:val="22"/>
          <w:color w:val="auto"/>
        </w:rPr>
        <w:t>Consistent with the provisions of that certain Employment Agreement by and between you and the Company dated as of September 6, 2019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the Company will provide you with severance pay pursuant to the terms of the Employment Agreement. In consideration for the severance payments and other good and valuable consideration set forth in the Employment Agreement, you hereby agree as follows:</w:t>
      </w:r>
    </w:p>
    <w:p>
      <w:pPr>
        <w:spacing w:after="0" w:line="204" w:lineRule="exact"/>
        <w:rPr>
          <w:sz w:val="20"/>
          <w:szCs w:val="20"/>
          <w:color w:val="auto"/>
        </w:rPr>
      </w:pPr>
    </w:p>
    <w:p>
      <w:pPr>
        <w:jc w:val="both"/>
        <w:ind w:left="100" w:right="99" w:firstLine="653"/>
        <w:spacing w:after="0" w:line="232" w:lineRule="auto"/>
        <w:tabs>
          <w:tab w:leader="none" w:pos="143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You hereby release and forever discharge the Company and each of its past and present officers, directors, employees, agents, advisors, consultants, successors and assigns from any and all claims and liabilities of any nature by you including, but not limited to, all actions, causes of actions, suits, debts, sums of money, attorneys’ fees, costs, accounts, covenants, controversies, agreements, promises, damages, claims, grievances, arbitrations, and demands whatsoever, known or unknown, at law or in equity, by contract (express or implied), tort, pursuant to statute, or otherwise, that you now have, ever have had or will ever have based on, by reason of, or arising out of, any event, occurrence, action, inaction, transition or thing of any kind or nature occurring prior to or on the effective date of this Release. Without limiting the generality of the above, you specifically release and discharge any and all claims and causes of action arising, directly or indirectly, from your employment at the Company, arising under applicable state, federal and local law, including but not limited to the Employee Retirement Income Security Act of 1974 (except as to claims pertaining to vested benefits under employee benefit plan(s) of the Company), Title VII of the Civil Rights Act of 1964, the Age Discrimination in Employment Act of 1967, as amended (the “</w:t>
      </w:r>
      <w:r>
        <w:rPr>
          <w:rFonts w:ascii="Times New Roman" w:cs="Times New Roman" w:eastAsia="Times New Roman" w:hAnsi="Times New Roman"/>
          <w:sz w:val="22"/>
          <w:szCs w:val="22"/>
          <w:u w:val="single" w:color="auto"/>
          <w:color w:val="auto"/>
        </w:rPr>
        <w:t>ADEA</w:t>
      </w:r>
      <w:r>
        <w:rPr>
          <w:rFonts w:ascii="Times New Roman" w:cs="Times New Roman" w:eastAsia="Times New Roman" w:hAnsi="Times New Roman"/>
          <w:sz w:val="22"/>
          <w:szCs w:val="22"/>
          <w:color w:val="auto"/>
        </w:rPr>
        <w:t>”), the Equal Pay Act, the Rehabilitation Act, the Americans With Disabilities Act, and any other law, statute, ordinance, rule, regulation, decision or order pertaining to employment or pertaining to discrimination on the basis of age, alienage, race, color, creed, gender, national origin, religion, physical or mental disability, marital status, citizenship, sexual orientation, non-work activities or any other protected class or conduct. Payment of any amounts and the provision of any benefits provided for in this Release do not signify any admission of wrongdoing by the Company or any of its affiliates.</w:t>
      </w:r>
    </w:p>
    <w:p>
      <w:pPr>
        <w:spacing w:after="0" w:line="213" w:lineRule="exact"/>
        <w:rPr>
          <w:sz w:val="20"/>
          <w:szCs w:val="20"/>
          <w:color w:val="auto"/>
        </w:rPr>
      </w:pPr>
    </w:p>
    <w:p>
      <w:pPr>
        <w:jc w:val="both"/>
        <w:ind w:left="100" w:right="99"/>
        <w:spacing w:after="0" w:line="239" w:lineRule="auto"/>
        <w:rPr>
          <w:sz w:val="20"/>
          <w:szCs w:val="20"/>
          <w:color w:val="auto"/>
        </w:rPr>
      </w:pPr>
      <w:r>
        <w:rPr>
          <w:rFonts w:ascii="Times New Roman" w:cs="Times New Roman" w:eastAsia="Times New Roman" w:hAnsi="Times New Roman"/>
          <w:sz w:val="22"/>
          <w:szCs w:val="22"/>
          <w:color w:val="auto"/>
        </w:rPr>
        <w:t>You also agree that if you file, or there is filed on your behalf, a charge, complaint, or action, the payment and benefits described in this Release are in complete satisfaction of any and all claims in connection with such charge, complaint, or action and you waive, and agree not to take, any award of money or other damages from such charge, complaint, or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273685</wp:posOffset>
            </wp:positionV>
            <wp:extent cx="564261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9" w:name="page70"/>
    <w:bookmarkEnd w:id="69"/>
    <w:p>
      <w:pPr>
        <w:jc w:val="both"/>
        <w:ind w:left="100" w:right="99"/>
        <w:spacing w:after="0" w:line="232" w:lineRule="auto"/>
        <w:rPr>
          <w:sz w:val="20"/>
          <w:szCs w:val="20"/>
          <w:color w:val="auto"/>
        </w:rPr>
      </w:pPr>
      <w:r>
        <w:rPr>
          <w:rFonts w:ascii="Times New Roman" w:cs="Times New Roman" w:eastAsia="Times New Roman" w:hAnsi="Times New Roman"/>
          <w:sz w:val="22"/>
          <w:szCs w:val="22"/>
          <w:color w:val="auto"/>
        </w:rPr>
        <w:t>By signing this Release you are not releasing or waiving (a) any vested interest you may have in any employee retirement plan (as defined in ERISA Section 3(2)) by virtue of your employment with the Company; (b) any rights or claims that may arise after the Termination Date; (c) the post-employment payment and benefits described in the third paragraph of this Release; (d) the right to institute legal action for the purpose of enforcing the provisions of this Release; (e) the right to apply for state unemployment compensation benefits; (f) any right you may have to workers’ compensation benefits; (g) any rights you may have under COBRA; (h) the right to file a charge or complaint with a governmental agency such as the Equal Employment Opportunity Commission (“</w:t>
      </w:r>
      <w:r>
        <w:rPr>
          <w:rFonts w:ascii="Times New Roman" w:cs="Times New Roman" w:eastAsia="Times New Roman" w:hAnsi="Times New Roman"/>
          <w:sz w:val="22"/>
          <w:szCs w:val="22"/>
          <w:u w:val="single" w:color="auto"/>
          <w:color w:val="auto"/>
        </w:rPr>
        <w:t>EEOC</w:t>
      </w:r>
      <w:r>
        <w:rPr>
          <w:rFonts w:ascii="Times New Roman" w:cs="Times New Roman" w:eastAsia="Times New Roman" w:hAnsi="Times New Roman"/>
          <w:sz w:val="22"/>
          <w:szCs w:val="22"/>
          <w:color w:val="auto"/>
        </w:rPr>
        <w:t>”), the National Labor Relations Board (“</w:t>
      </w:r>
      <w:r>
        <w:rPr>
          <w:rFonts w:ascii="Times New Roman" w:cs="Times New Roman" w:eastAsia="Times New Roman" w:hAnsi="Times New Roman"/>
          <w:sz w:val="22"/>
          <w:szCs w:val="22"/>
          <w:u w:val="single" w:color="auto"/>
          <w:color w:val="auto"/>
        </w:rPr>
        <w:t>NLRB</w:t>
      </w:r>
      <w:r>
        <w:rPr>
          <w:rFonts w:ascii="Times New Roman" w:cs="Times New Roman" w:eastAsia="Times New Roman" w:hAnsi="Times New Roman"/>
          <w:sz w:val="22"/>
          <w:szCs w:val="22"/>
          <w:color w:val="auto"/>
        </w:rPr>
        <w:t>”), the Occupational Safety and Health Administration (“</w:t>
      </w:r>
      <w:r>
        <w:rPr>
          <w:rFonts w:ascii="Times New Roman" w:cs="Times New Roman" w:eastAsia="Times New Roman" w:hAnsi="Times New Roman"/>
          <w:sz w:val="22"/>
          <w:szCs w:val="22"/>
          <w:u w:val="single" w:color="auto"/>
          <w:color w:val="auto"/>
        </w:rPr>
        <w:t>OSHA</w:t>
      </w:r>
      <w:r>
        <w:rPr>
          <w:rFonts w:ascii="Times New Roman" w:cs="Times New Roman" w:eastAsia="Times New Roman" w:hAnsi="Times New Roman"/>
          <w:sz w:val="22"/>
          <w:szCs w:val="22"/>
          <w:color w:val="auto"/>
        </w:rPr>
        <w:t>”),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xml:space="preserve">”) or any other federal, state or local governmental agency, subject to the preceding paragraph of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(i) the right to communicate with, testify, assist, or participate in an investigation, hearing, or proceeding conducted by, the EEOC, NLRB, OSHA, SEC, or other governmental agency; (j) the right to receive and retain a monetary award from a government-administered whistleblower award program for providing information directly to a governmental agency; and (k) any rights of indemnification or contribution afforded you by the Indemnification Agreement, dated September 6, 2019 between you and the Company, by statute or by common law, including any insurance coverage maintained by or on behalf of the Company.</w:t>
      </w:r>
    </w:p>
    <w:p>
      <w:pPr>
        <w:spacing w:after="0" w:line="217" w:lineRule="exact"/>
        <w:rPr>
          <w:sz w:val="20"/>
          <w:szCs w:val="20"/>
          <w:color w:val="auto"/>
        </w:rPr>
      </w:pPr>
    </w:p>
    <w:p>
      <w:pPr>
        <w:jc w:val="both"/>
        <w:ind w:left="100" w:right="99" w:firstLine="653"/>
        <w:spacing w:after="0" w:line="238" w:lineRule="auto"/>
        <w:tabs>
          <w:tab w:leader="none" w:pos="142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Opportunity to Consider</w:t>
      </w:r>
      <w:r>
        <w:rPr>
          <w:rFonts w:ascii="Times New Roman" w:cs="Times New Roman" w:eastAsia="Times New Roman" w:hAnsi="Times New Roman"/>
          <w:sz w:val="22"/>
          <w:szCs w:val="22"/>
          <w:color w:val="auto"/>
        </w:rPr>
        <w:t xml:space="preserve">. You have been advised that you have 21 days from the date on which you received this Release to consider whether you wish to sign it. However, the Company will not accept, and you may not execute, this Release until the Termination Date. You are also advised to consult with an attorney prior to signing this Release. The date on which you received this Release is accurately reflected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below.</w:t>
      </w:r>
    </w:p>
    <w:p>
      <w:pPr>
        <w:spacing w:after="0" w:line="204" w:lineRule="exact"/>
        <w:rPr>
          <w:rFonts w:ascii="Times New Roman" w:cs="Times New Roman" w:eastAsia="Times New Roman" w:hAnsi="Times New Roman"/>
          <w:sz w:val="22"/>
          <w:szCs w:val="22"/>
          <w:color w:val="auto"/>
        </w:rPr>
      </w:pPr>
    </w:p>
    <w:p>
      <w:pPr>
        <w:jc w:val="both"/>
        <w:ind w:left="100" w:right="99" w:firstLine="653"/>
        <w:spacing w:after="0" w:line="234" w:lineRule="auto"/>
        <w:tabs>
          <w:tab w:leader="none" w:pos="146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Opportunity to Rescind</w:t>
      </w:r>
      <w:r>
        <w:rPr>
          <w:rFonts w:ascii="Times New Roman" w:cs="Times New Roman" w:eastAsia="Times New Roman" w:hAnsi="Times New Roman"/>
          <w:sz w:val="22"/>
          <w:szCs w:val="22"/>
          <w:color w:val="auto"/>
        </w:rPr>
        <w:t xml:space="preserve">. You may cancel this Release as to the release of claims arising under the Minnesota Human Rights Act within 15 days after signing it and as to the release of claims arising under the ADEA within 7 days of signing it. The Release will not become effective or enforceable until both rescission periods have passed. If you decide to rescind the Release you must mail or hand deliver the notice of rescission to: Chief Executive Officer, Tile Shop Holdings, Inc., 14000 Carlson Parkway, Plymouth, Minnesota 55441. If you mail the notice of rescission, the notice must be postmarked within the 15 or 7 day period, as applicable, and must be sent via certified mail, return receipt requested, as addressed above. If you exercise the right to rescind under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all other provisions of the Release will immediately be null and void and you will not receive severance pay as described in the Employment Agreement or otherwise.</w:t>
      </w:r>
    </w:p>
    <w:p>
      <w:pPr>
        <w:spacing w:after="0" w:line="207" w:lineRule="exact"/>
        <w:rPr>
          <w:rFonts w:ascii="Times New Roman" w:cs="Times New Roman" w:eastAsia="Times New Roman" w:hAnsi="Times New Roman"/>
          <w:sz w:val="22"/>
          <w:szCs w:val="22"/>
          <w:color w:val="auto"/>
        </w:rPr>
      </w:pPr>
    </w:p>
    <w:p>
      <w:pPr>
        <w:jc w:val="both"/>
        <w:ind w:left="100" w:right="99" w:firstLine="653"/>
        <w:spacing w:after="0" w:line="238" w:lineRule="auto"/>
        <w:tabs>
          <w:tab w:leader="none" w:pos="142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of this Release</w:t>
      </w:r>
      <w:r>
        <w:rPr>
          <w:rFonts w:ascii="Times New Roman" w:cs="Times New Roman" w:eastAsia="Times New Roman" w:hAnsi="Times New Roman"/>
          <w:sz w:val="22"/>
          <w:szCs w:val="22"/>
          <w:color w:val="auto"/>
        </w:rPr>
        <w:t>. You agree that you will keep the terms of this Release strictly confidential and not disclose, directly or indirectly, any information concerning them to any third party, with the exception of your spouse (if you have a spouse), and financial or legal advisors, provided that they agree to keep such information confidential as set forth herein and not disclose it to others, and except as may be required by court order or legal process.</w:t>
      </w:r>
    </w:p>
    <w:p>
      <w:pPr>
        <w:spacing w:after="0" w:line="204" w:lineRule="exact"/>
        <w:rPr>
          <w:rFonts w:ascii="Times New Roman" w:cs="Times New Roman" w:eastAsia="Times New Roman" w:hAnsi="Times New Roman"/>
          <w:sz w:val="22"/>
          <w:szCs w:val="22"/>
          <w:color w:val="auto"/>
        </w:rPr>
      </w:pPr>
    </w:p>
    <w:p>
      <w:pPr>
        <w:jc w:val="both"/>
        <w:ind w:left="100" w:right="99" w:firstLine="653"/>
        <w:spacing w:after="0" w:line="244" w:lineRule="auto"/>
        <w:tabs>
          <w:tab w:leader="none" w:pos="143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w:t>
      </w:r>
      <w:r>
        <w:rPr>
          <w:rFonts w:ascii="Times New Roman" w:cs="Times New Roman" w:eastAsia="Times New Roman" w:hAnsi="Times New Roman"/>
          <w:sz w:val="22"/>
          <w:szCs w:val="22"/>
          <w:color w:val="auto"/>
        </w:rPr>
        <w:t>. You agree that all of the payments and benefits provided for in this Release are subject to termination, reduction or cancellation in the event of your material breach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269240</wp:posOffset>
            </wp:positionV>
            <wp:extent cx="564261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0" w:name="page71"/>
    <w:bookmarkEnd w:id="70"/>
    <w:p>
      <w:pPr>
        <w:jc w:val="both"/>
        <w:ind w:left="100" w:right="99" w:firstLine="653"/>
        <w:spacing w:after="0" w:line="244" w:lineRule="auto"/>
        <w:tabs>
          <w:tab w:leader="none" w:pos="146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The parties agree that any legal proceeding brought to enforce the provisions of this Release may be brought only in the courts of the State of Minnesota or the federal courts located in Minnesota and each party hereby consents to the jurisdiction of such courts.</w:t>
      </w:r>
    </w:p>
    <w:p>
      <w:pPr>
        <w:spacing w:after="0" w:line="201" w:lineRule="exact"/>
        <w:rPr>
          <w:rFonts w:ascii="Times New Roman" w:cs="Times New Roman" w:eastAsia="Times New Roman" w:hAnsi="Times New Roman"/>
          <w:sz w:val="22"/>
          <w:szCs w:val="22"/>
          <w:color w:val="auto"/>
        </w:rPr>
      </w:pPr>
    </w:p>
    <w:p>
      <w:pPr>
        <w:jc w:val="both"/>
        <w:ind w:left="100" w:right="99" w:firstLine="653"/>
        <w:spacing w:after="0" w:line="234" w:lineRule="auto"/>
        <w:tabs>
          <w:tab w:leader="none" w:pos="150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If any of the terms of this Release is held to be invalid and unenforceable, other than the release of claims provided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and cannot be rewritten or interpreted by the court to be valid, enforceable and to meet the intent of the parties expressed herein, then the remaining terms of this Release are severable and will not be affected thereby. In the event any aspect of the release of claims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is held to be invalid or unenforceable in any respect, the remaining provisions of this Release will be voidable at the option of the Company and you agree to return any payments made and benefits provided by the Company except that nothing in this Release will be construed as permitting the Company to obligate or require tender back of any payments or benefits provided in exchange for your release of ADEA claims.</w:t>
      </w:r>
    </w:p>
    <w:p>
      <w:pPr>
        <w:spacing w:after="0" w:line="211" w:lineRule="exact"/>
        <w:rPr>
          <w:rFonts w:ascii="Times New Roman" w:cs="Times New Roman" w:eastAsia="Times New Roman" w:hAnsi="Times New Roman"/>
          <w:sz w:val="22"/>
          <w:szCs w:val="22"/>
          <w:color w:val="auto"/>
        </w:rPr>
      </w:pPr>
    </w:p>
    <w:p>
      <w:pPr>
        <w:jc w:val="both"/>
        <w:ind w:left="100" w:right="99" w:firstLine="653"/>
        <w:spacing w:after="0" w:line="246" w:lineRule="auto"/>
        <w:tabs>
          <w:tab w:leader="none" w:pos="145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This Release and the Employment Agreement constitutes the entire agreement between the parties about or relating to your termination of employment with the Company, or the Company's obligations to you with respect to your termination and fully supersedes any and all prior agreements or understandings between the parties except for those express provisions contained in the Employment Agreement and the Tile Shop Holdings, Inc. Nondisclosure,</w:t>
      </w:r>
    </w:p>
    <w:p>
      <w:pPr>
        <w:spacing w:after="0" w:line="1" w:lineRule="exact"/>
        <w:rPr>
          <w:rFonts w:ascii="Times New Roman" w:cs="Times New Roman" w:eastAsia="Times New Roman" w:hAnsi="Times New Roman"/>
          <w:sz w:val="21"/>
          <w:szCs w:val="21"/>
          <w:color w:val="auto"/>
        </w:rPr>
      </w:pPr>
    </w:p>
    <w:p>
      <w:pPr>
        <w:ind w:left="100" w:right="99" w:firstLine="121"/>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Confidentiality, Assignment and Noncompetition Agreement that are intended to survive the termination of the employment relationship.</w:t>
      </w:r>
    </w:p>
    <w:p>
      <w:pPr>
        <w:spacing w:after="0" w:line="205" w:lineRule="exact"/>
        <w:rPr>
          <w:rFonts w:ascii="Times New Roman" w:cs="Times New Roman" w:eastAsia="Times New Roman" w:hAnsi="Times New Roman"/>
          <w:sz w:val="21"/>
          <w:szCs w:val="21"/>
          <w:color w:val="auto"/>
        </w:rPr>
      </w:pPr>
    </w:p>
    <w:p>
      <w:pPr>
        <w:jc w:val="both"/>
        <w:ind w:left="100" w:right="99" w:firstLine="653"/>
        <w:spacing w:after="0" w:line="233" w:lineRule="auto"/>
        <w:tabs>
          <w:tab w:leader="none" w:pos="149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You affirm that the consideration for signing this Release is described in the Employment Agreement as referenced herein and that no other promises or agreements of any kind have been made to or with you by any person or entity whatsoever to cause you to sign this Release, and that you fully understand the meaning and intent of this instrument. You agree that at all times during your employment you were properly compensated for all hours you worked, that you received all benefits and leave to which you were entitled, and that you suffered no work related accident, illness or injury. You agree that you will not disparage the Company in any way, nor will you make any public comments or communications that tend to cast the Company, its owners, directors, officers or employees in a negative light. The Company agrees that none of the Company’s officers, owners, directors or management employees will disparage you in any way, nor will the Company’s officers, owners, directors or management employees make any public comments or communications that tend to cast you in a negative light.</w:t>
      </w:r>
    </w:p>
    <w:p>
      <w:pPr>
        <w:spacing w:after="0" w:line="213" w:lineRule="exact"/>
        <w:rPr>
          <w:sz w:val="20"/>
          <w:szCs w:val="20"/>
          <w:color w:val="auto"/>
        </w:rPr>
      </w:pPr>
    </w:p>
    <w:p>
      <w:pPr>
        <w:jc w:val="both"/>
        <w:ind w:left="100" w:right="99"/>
        <w:spacing w:after="0" w:line="235" w:lineRule="auto"/>
        <w:rPr>
          <w:sz w:val="20"/>
          <w:szCs w:val="20"/>
          <w:color w:val="auto"/>
        </w:rPr>
      </w:pPr>
      <w:r>
        <w:rPr>
          <w:rFonts w:ascii="Times New Roman" w:cs="Times New Roman" w:eastAsia="Times New Roman" w:hAnsi="Times New Roman"/>
          <w:sz w:val="22"/>
          <w:szCs w:val="22"/>
          <w:color w:val="auto"/>
        </w:rPr>
        <w:t>You also affirm that you are the legal party in interest in this Release, with legal title to all rights and claims asserted and hereby released; that you have not filed for bankruptcy or assigned or transferred any rights against the Company to any other person or entity; and that you have returned to the Company all of its property in your possession or control, including but not limited to, all documents and materials, whether on computer disc, hard drive, or other form, and all copies thereof that in any way relate to the business of the Company. You further affirm that you have fully complied with the Tile Shop Holdings, Inc. Nondisclosure, Confidentiality, Assignment and Noncompetition Agreement that you signed before beginning employment with the Company.</w:t>
      </w:r>
    </w:p>
    <w:p>
      <w:pPr>
        <w:spacing w:after="0" w:line="206" w:lineRule="exact"/>
        <w:rPr>
          <w:sz w:val="20"/>
          <w:szCs w:val="20"/>
          <w:color w:val="auto"/>
        </w:rPr>
      </w:pPr>
    </w:p>
    <w:p>
      <w:pPr>
        <w:ind w:left="100" w:right="99" w:firstLine="653"/>
        <w:spacing w:after="0" w:line="258" w:lineRule="auto"/>
        <w:tabs>
          <w:tab w:leader="none" w:pos="146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and Taxes Generally</w:t>
      </w:r>
      <w:r>
        <w:rPr>
          <w:rFonts w:ascii="Times New Roman" w:cs="Times New Roman" w:eastAsia="Times New Roman" w:hAnsi="Times New Roman"/>
          <w:sz w:val="22"/>
          <w:szCs w:val="22"/>
          <w:color w:val="auto"/>
        </w:rPr>
        <w:t>. This Release is intended to comply with Section 409A of the Internal Revenue Code of 1986, as amended, and the regulations, notices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173990</wp:posOffset>
            </wp:positionV>
            <wp:extent cx="564261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1" w:name="page72"/>
    <w:bookmarkEnd w:id="71"/>
    <w:p>
      <w:pPr>
        <w:jc w:val="both"/>
        <w:ind w:left="100" w:right="99"/>
        <w:spacing w:after="0" w:line="233" w:lineRule="auto"/>
        <w:rPr>
          <w:sz w:val="20"/>
          <w:szCs w:val="20"/>
          <w:color w:val="auto"/>
        </w:rPr>
      </w:pPr>
      <w:r>
        <w:rPr>
          <w:rFonts w:ascii="Times New Roman" w:cs="Times New Roman" w:eastAsia="Times New Roman" w:hAnsi="Times New Roman"/>
          <w:sz w:val="22"/>
          <w:szCs w:val="22"/>
          <w:color w:val="auto"/>
        </w:rPr>
        <w:t>other guidance of general applicability issued thereunder (collectively,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 or an exemption thereunder, and will be construed and administered in accordance with Section 409A. Notwithstanding any other provision of this Release, payments provided under this Release may only be made upon an event and in a manner that complies with Section 409A or an applicable exemption. Any payments under this Release that may be excluded from Section 409A, either as separation pay due to an involuntary separation from service or as a short-term deferral, will be excluded from Section 409A to the maximum extent possible. For purposes of Section 409A, each installment payment provided under this Release will be treated as a separate payment. Any payments to be made under this Release upon a termination of employment will only be made if such termination of employment constitutes a “separation from service” under Section 409A. Notwithstanding the foregoing, the Company makes no representations that the payments and benefits provided under this Release comply with Section 409A and in no event will Company be liable for all or any portion of any taxes, penalties, interest or other expenses that may be incurred by you on account of non-compliance with Section 409A.</w:t>
      </w:r>
    </w:p>
    <w:p>
      <w:pPr>
        <w:spacing w:after="0" w:line="209" w:lineRule="exact"/>
        <w:rPr>
          <w:sz w:val="20"/>
          <w:szCs w:val="20"/>
          <w:color w:val="auto"/>
        </w:rPr>
      </w:pPr>
    </w:p>
    <w:p>
      <w:pPr>
        <w:jc w:val="both"/>
        <w:ind w:left="100" w:right="99"/>
        <w:spacing w:after="0" w:line="246" w:lineRule="auto"/>
        <w:rPr>
          <w:sz w:val="20"/>
          <w:szCs w:val="20"/>
          <w:color w:val="auto"/>
        </w:rPr>
      </w:pPr>
      <w:r>
        <w:rPr>
          <w:rFonts w:ascii="Times New Roman" w:cs="Times New Roman" w:eastAsia="Times New Roman" w:hAnsi="Times New Roman"/>
          <w:sz w:val="21"/>
          <w:szCs w:val="21"/>
          <w:color w:val="auto"/>
        </w:rPr>
        <w:t>Notwithstanding any other provision of this Release, if on the Termination Date, you are a “specified employee” within the meaning of Section 409A and determined in accordance with Section 409A, any payments and benefits provided under this Release that constitute “nonqualified deferred compensation” subject to Section 409A that are provided to you on account of your separation from service will not be paid until the first payroll date to occur following the six month anniversary of the Termination Date (“</w:t>
      </w:r>
      <w:r>
        <w:rPr>
          <w:rFonts w:ascii="Times New Roman" w:cs="Times New Roman" w:eastAsia="Times New Roman" w:hAnsi="Times New Roman"/>
          <w:sz w:val="21"/>
          <w:szCs w:val="21"/>
          <w:u w:val="single" w:color="auto"/>
          <w:color w:val="auto"/>
        </w:rPr>
        <w:t>Specified Employee Payment Date</w:t>
      </w:r>
      <w:r>
        <w:rPr>
          <w:rFonts w:ascii="Times New Roman" w:cs="Times New Roman" w:eastAsia="Times New Roman" w:hAnsi="Times New Roman"/>
          <w:sz w:val="21"/>
          <w:szCs w:val="21"/>
          <w:color w:val="auto"/>
        </w:rPr>
        <w:t>”). The aggregate amount of any payments that would otherwise have been made during such six month period will be paid in a lump sum on the Specified Employee Payment Date, without interest, and thereafter, any remaining payments will be paid without delay in accordance with their original schedule. If you die during the six month period, any delayed payments will be paid to your estate in a lump sum upon your death.</w:t>
      </w:r>
    </w:p>
    <w:p>
      <w:pPr>
        <w:spacing w:after="0" w:line="199" w:lineRule="exact"/>
        <w:rPr>
          <w:sz w:val="20"/>
          <w:szCs w:val="20"/>
          <w:color w:val="auto"/>
        </w:rPr>
      </w:pPr>
    </w:p>
    <w:p>
      <w:pPr>
        <w:ind w:left="1600" w:hanging="847"/>
        <w:spacing w:after="0"/>
        <w:tabs>
          <w:tab w:leader="none" w:pos="16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Receipt</w:t>
      </w:r>
      <w:r>
        <w:rPr>
          <w:rFonts w:ascii="Times New Roman" w:cs="Times New Roman" w:eastAsia="Times New Roman" w:hAnsi="Times New Roman"/>
          <w:sz w:val="22"/>
          <w:szCs w:val="22"/>
          <w:color w:val="auto"/>
        </w:rPr>
        <w:t>.  You  acknowledge  that  you  received  this  Release  on</w:t>
      </w:r>
    </w:p>
    <w:p>
      <w:pPr>
        <w:spacing w:after="0" w:line="14" w:lineRule="exact"/>
        <w:rPr>
          <w:rFonts w:ascii="Times New Roman" w:cs="Times New Roman" w:eastAsia="Times New Roman" w:hAnsi="Times New Roman"/>
          <w:sz w:val="22"/>
          <w:szCs w:val="22"/>
          <w:color w:val="auto"/>
        </w:rPr>
      </w:pPr>
    </w:p>
    <w:p>
      <w:pPr>
        <w:jc w:val="both"/>
        <w:ind w:left="100" w:right="9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 that you have carefully read this Release, voluntarily agree to all of its terms and conditions, understand its contents and the final and binding effect of this Release, and that you have signed the same as your own free act with the full intent of releasing the Company from all claims you may have against it.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[Next Page is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135890</wp:posOffset>
            </wp:positionV>
            <wp:extent cx="564261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2" w:name="page73"/>
    <w:bookmarkEnd w:id="72"/>
    <w:p>
      <w:pPr>
        <w:ind w:left="100" w:right="99" w:firstLine="608"/>
        <w:spacing w:after="0" w:line="262" w:lineRule="auto"/>
        <w:rPr>
          <w:sz w:val="20"/>
          <w:szCs w:val="20"/>
          <w:color w:val="auto"/>
        </w:rPr>
      </w:pPr>
      <w:r>
        <w:rPr>
          <w:rFonts w:ascii="Times New Roman" w:cs="Times New Roman" w:eastAsia="Times New Roman" w:hAnsi="Times New Roman"/>
          <w:sz w:val="22"/>
          <w:szCs w:val="22"/>
          <w:color w:val="auto"/>
        </w:rPr>
        <w:t>IN WITNESS WHEREOF</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parties have caused this Release to be duly executed and delivered as of the day and year indicated below.</w:t>
      </w:r>
    </w:p>
    <w:p>
      <w:pPr>
        <w:spacing w:after="0" w:line="1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Mark Davis</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Date Signed:</w:t>
      </w: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TILE SHOP HOLDINGS, INC.</w:t>
      </w: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Name:</w:t>
      </w:r>
    </w:p>
    <w:p>
      <w:pPr>
        <w:ind w:left="1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581660</wp:posOffset>
            </wp:positionV>
            <wp:extent cx="5642610"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5642610" cy="5143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-13970</wp:posOffset>
            </wp:positionV>
            <wp:extent cx="342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3" w:name="page74"/>
    <w:bookmarkEnd w:id="73"/>
    <w:p>
      <w:pPr>
        <w:ind w:left="780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TERMS OF EMPLOYMENT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WAIVER OF CLAIMS AND GENERAL RELEASE</w:t>
      </w:r>
    </w:p>
    <w:p>
      <w:pPr>
        <w:spacing w:after="0" w:line="209" w:lineRule="exact"/>
        <w:rPr>
          <w:sz w:val="20"/>
          <w:szCs w:val="20"/>
          <w:color w:val="auto"/>
        </w:rPr>
      </w:pPr>
    </w:p>
    <w:p>
      <w:pPr>
        <w:jc w:val="both"/>
        <w:ind w:left="100" w:right="99" w:firstLine="648"/>
        <w:spacing w:after="0" w:line="244" w:lineRule="auto"/>
        <w:rPr>
          <w:sz w:val="20"/>
          <w:szCs w:val="20"/>
          <w:color w:val="auto"/>
        </w:rPr>
      </w:pPr>
      <w:r>
        <w:rPr>
          <w:rFonts w:ascii="Times New Roman" w:cs="Times New Roman" w:eastAsia="Times New Roman" w:hAnsi="Times New Roman"/>
          <w:sz w:val="22"/>
          <w:szCs w:val="22"/>
          <w:color w:val="auto"/>
        </w:rPr>
        <w:t>This Amendment to Terms of Employment and Waiver of Claims and General Release (this “Amendment and Release”) is entered into as of September 6, 2019 between Tile Shop Holdings, Inc. (the “Company”) and Kirk Geadelmann (“Geadelmann”).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7" w:lineRule="exact"/>
        <w:rPr>
          <w:sz w:val="20"/>
          <w:szCs w:val="20"/>
          <w:color w:val="auto"/>
        </w:rPr>
      </w:pPr>
    </w:p>
    <w:p>
      <w:pPr>
        <w:jc w:val="both"/>
        <w:ind w:left="100" w:right="99" w:firstLine="648"/>
        <w:spacing w:after="0" w:line="239" w:lineRule="auto"/>
        <w:rPr>
          <w:sz w:val="20"/>
          <w:szCs w:val="20"/>
          <w:color w:val="auto"/>
        </w:rPr>
      </w:pPr>
      <w:r>
        <w:rPr>
          <w:rFonts w:ascii="Times New Roman" w:cs="Times New Roman" w:eastAsia="Times New Roman" w:hAnsi="Times New Roman"/>
          <w:sz w:val="22"/>
          <w:szCs w:val="22"/>
          <w:color w:val="auto"/>
        </w:rPr>
        <w:t>WHEREAS, the parties entered into a written agreement governing Geadelmann’s employment with the Company as its Chief Financial Officer on June 30, 2014, which was amended on April 21, 2017 (as amended,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and which agreement is further amended pursuant to this Amendment and Release;</w:t>
      </w:r>
    </w:p>
    <w:p>
      <w:pPr>
        <w:spacing w:after="0" w:line="208" w:lineRule="exact"/>
        <w:rPr>
          <w:sz w:val="20"/>
          <w:szCs w:val="20"/>
          <w:color w:val="auto"/>
        </w:rPr>
      </w:pPr>
    </w:p>
    <w:p>
      <w:pPr>
        <w:jc w:val="both"/>
        <w:ind w:left="100" w:right="99" w:firstLine="648"/>
        <w:spacing w:after="0" w:line="244" w:lineRule="auto"/>
        <w:rPr>
          <w:sz w:val="20"/>
          <w:szCs w:val="20"/>
          <w:color w:val="auto"/>
        </w:rPr>
      </w:pPr>
      <w:r>
        <w:rPr>
          <w:rFonts w:ascii="Times New Roman" w:cs="Times New Roman" w:eastAsia="Times New Roman" w:hAnsi="Times New Roman"/>
          <w:sz w:val="22"/>
          <w:szCs w:val="22"/>
          <w:color w:val="auto"/>
        </w:rPr>
        <w:t>WHEREAS, on August 13, 2019 Geadelmann informed the Company that he intended to terminate his employment with the Company at such time as was appropriate and his successor had been appointed and commenced his or her employment;</w:t>
      </w:r>
    </w:p>
    <w:p>
      <w:pPr>
        <w:spacing w:after="0" w:line="201" w:lineRule="exact"/>
        <w:rPr>
          <w:sz w:val="20"/>
          <w:szCs w:val="20"/>
          <w:color w:val="auto"/>
        </w:rPr>
      </w:pPr>
    </w:p>
    <w:p>
      <w:pPr>
        <w:jc w:val="both"/>
        <w:ind w:left="100" w:right="99" w:firstLine="648"/>
        <w:spacing w:after="0" w:line="244" w:lineRule="auto"/>
        <w:rPr>
          <w:sz w:val="20"/>
          <w:szCs w:val="20"/>
          <w:color w:val="auto"/>
        </w:rPr>
      </w:pPr>
      <w:r>
        <w:rPr>
          <w:rFonts w:ascii="Times New Roman" w:cs="Times New Roman" w:eastAsia="Times New Roman" w:hAnsi="Times New Roman"/>
          <w:sz w:val="22"/>
          <w:szCs w:val="22"/>
          <w:color w:val="auto"/>
        </w:rPr>
        <w:t>WHEREAS, the parties agreed on the terms of Geadelmann’s continued employment during the Transition Period (as defined below) and the compensation payable to Geadelmann and severance benefits, as well as his waiver of claims and general release in favor of the Company;</w:t>
      </w:r>
    </w:p>
    <w:p>
      <w:pPr>
        <w:spacing w:after="0" w:line="201" w:lineRule="exact"/>
        <w:rPr>
          <w:sz w:val="20"/>
          <w:szCs w:val="20"/>
          <w:color w:val="auto"/>
        </w:rPr>
      </w:pPr>
    </w:p>
    <w:p>
      <w:pPr>
        <w:jc w:val="both"/>
        <w:ind w:left="100" w:right="99" w:firstLine="648"/>
        <w:spacing w:after="0" w:line="258" w:lineRule="auto"/>
        <w:rPr>
          <w:sz w:val="20"/>
          <w:szCs w:val="20"/>
          <w:color w:val="auto"/>
        </w:rPr>
      </w:pPr>
      <w:r>
        <w:rPr>
          <w:rFonts w:ascii="Times New Roman" w:cs="Times New Roman" w:eastAsia="Times New Roman" w:hAnsi="Times New Roman"/>
          <w:sz w:val="22"/>
          <w:szCs w:val="22"/>
          <w:color w:val="auto"/>
        </w:rPr>
        <w:t>WHEREAS, Geadelmann has been encouraged to carefully read this Amendment and Release and to consult with his attorney before signing it.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NOW THEREFORE, in consideration of the mutual promises and provisions contained in this</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Amendment and Release, the parties, intending to be legally bound, agree as follows: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7" w:lineRule="exact"/>
        <w:rPr>
          <w:sz w:val="20"/>
          <w:szCs w:val="20"/>
          <w:color w:val="auto"/>
        </w:rPr>
      </w:pPr>
    </w:p>
    <w:p>
      <w:pPr>
        <w:ind w:left="1380" w:hanging="627"/>
        <w:spacing w:after="0"/>
        <w:tabs>
          <w:tab w:leader="none" w:pos="13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Term and Compensation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00" w:right="99" w:firstLine="1301"/>
        <w:spacing w:after="0" w:line="236" w:lineRule="auto"/>
        <w:tabs>
          <w:tab w:leader="none" w:pos="2095"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Geadelmann has remained as the Chief Financial Officer of the Company until his successor has been appointed and commenced her employment. Geadelmann shall continue to serve as an employee of the Company for a period of three (3) months (until December 6, 2019) in order to facilitate an orderly transition of the role of Chief Financial Officer (such three-month period, the “Transition Period”). Geadelmann’s duties during the Transition Period shall be mutually agreed upon by Geadelmann and the Company’s Chief Executive Officer.</w:t>
      </w:r>
    </w:p>
    <w:p>
      <w:pPr>
        <w:spacing w:after="0" w:line="209" w:lineRule="exact"/>
        <w:rPr>
          <w:rFonts w:ascii="Times New Roman" w:cs="Times New Roman" w:eastAsia="Times New Roman" w:hAnsi="Times New Roman"/>
          <w:sz w:val="22"/>
          <w:szCs w:val="22"/>
          <w:color w:val="auto"/>
        </w:rPr>
      </w:pPr>
    </w:p>
    <w:p>
      <w:pPr>
        <w:jc w:val="both"/>
        <w:ind w:left="100" w:right="99" w:firstLine="1301"/>
        <w:spacing w:after="0" w:line="236" w:lineRule="auto"/>
        <w:tabs>
          <w:tab w:leader="none" w:pos="2108"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Geadelmann has continued to receive his then current base salary and benefits as compensation for his service as Chief Financial Officer prior to commencement of the Transition Period. In consideration for this Amendment and Release and as compensation for Geadelmann’s services during the Transition Period, Geadelmann shall receive a monthly base salary of ten thousand dollars ($10,000) and continue to receive his current benefits. The base salary during the Transition Period shall be paid in accordance with the Company’s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343535</wp:posOffset>
            </wp:positionV>
            <wp:extent cx="5642610"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4" w:name="page75"/>
    <w:bookmarkEnd w:id="74"/>
    <w:p>
      <w:pPr>
        <w:jc w:val="both"/>
        <w:ind w:left="100" w:right="99"/>
        <w:spacing w:after="0" w:line="238" w:lineRule="auto"/>
        <w:rPr>
          <w:sz w:val="20"/>
          <w:szCs w:val="20"/>
          <w:color w:val="auto"/>
        </w:rPr>
      </w:pPr>
      <w:r>
        <w:rPr>
          <w:rFonts w:ascii="Times New Roman" w:cs="Times New Roman" w:eastAsia="Times New Roman" w:hAnsi="Times New Roman"/>
          <w:sz w:val="22"/>
          <w:szCs w:val="22"/>
          <w:color w:val="auto"/>
        </w:rPr>
        <w:t>payroll practices and be subject to all applicable withholdings and deductions. Upon completion of the Transition Period, Geadelmann’s employment shall automatically terminate (such date, the “Termination Date”) without further action required by either party. Effective as of the Termination Date, by execution of this Amendment and Release, Geadelmann hereby relinquishes all authority Geadelmann has to act on behalf of the Company and any of its subsidiaries.</w:t>
      </w:r>
    </w:p>
    <w:p>
      <w:pPr>
        <w:spacing w:after="0" w:line="205" w:lineRule="exact"/>
        <w:rPr>
          <w:sz w:val="20"/>
          <w:szCs w:val="20"/>
          <w:color w:val="auto"/>
        </w:rPr>
      </w:pPr>
    </w:p>
    <w:p>
      <w:pPr>
        <w:jc w:val="both"/>
        <w:ind w:left="100" w:right="99" w:firstLine="1301"/>
        <w:spacing w:after="0" w:line="244" w:lineRule="auto"/>
        <w:tabs>
          <w:tab w:leader="none" w:pos="2095"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Geadelmann successfully completes the Transition Period, or the Company ends Geadelmann’s employment relationship with the Company during the Transition Period other than “for cause,” Geadelmann will have an opportunity to reaffirm certain terms of this Amendment and Release in exchange for additional consideration, which is described in the form attached hereto and incorporated herein by reference as Exhibit A. As used in this Section 1, “for cause” means (i) a material breach of this Amendment and Release which goes uncured pursuant to Section 5 of this Amendment and Release; (ii) Geadelmann is convicted of, or pleads non contendere to, any crime involving the misuse or misappropriation of money or other property of the Company or a felony;</w:t>
      </w:r>
    </w:p>
    <w:p>
      <w:pPr>
        <w:spacing w:after="0" w:line="4" w:lineRule="exact"/>
        <w:rPr>
          <w:rFonts w:ascii="Times New Roman" w:cs="Times New Roman" w:eastAsia="Times New Roman" w:hAnsi="Times New Roman"/>
          <w:sz w:val="21"/>
          <w:szCs w:val="21"/>
          <w:color w:val="auto"/>
        </w:rPr>
      </w:pPr>
    </w:p>
    <w:p>
      <w:pPr>
        <w:ind w:left="100" w:right="99" w:firstLine="5"/>
        <w:spacing w:after="0" w:line="237" w:lineRule="auto"/>
        <w:tabs>
          <w:tab w:leader="none" w:pos="48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Geadelmann commits an intentional tort against the Company; or (iv) Geadelmann commits any flagrant act of dishonesty or disloyalty or any act involving gross moral turpitude.</w:t>
      </w:r>
    </w:p>
    <w:p>
      <w:pPr>
        <w:spacing w:after="0" w:line="205" w:lineRule="exact"/>
        <w:rPr>
          <w:rFonts w:ascii="Times New Roman" w:cs="Times New Roman" w:eastAsia="Times New Roman" w:hAnsi="Times New Roman"/>
          <w:sz w:val="22"/>
          <w:szCs w:val="22"/>
          <w:color w:val="auto"/>
        </w:rPr>
      </w:pPr>
    </w:p>
    <w:p>
      <w:pPr>
        <w:jc w:val="both"/>
        <w:ind w:left="100" w:right="99" w:firstLine="1301"/>
        <w:spacing w:after="0" w:line="236" w:lineRule="auto"/>
        <w:tabs>
          <w:tab w:leader="none" w:pos="2135"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term or provision to the contrary herein, at any time and for any reason, the Company may, in its sole and absolute discretion, end its employment relationship with Geadelmann, but on the conditions that the Company (i) complies with Section 1(c) if such termination is not for cause; and (ii) pays the Transition Period compensation and benefits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salary of ten thousand dollars ($10,000) and Geadelmann’s current benefits), through the remaining portion of the Transition Period or for a maximum period of three (3) months).</w:t>
      </w:r>
    </w:p>
    <w:p>
      <w:pPr>
        <w:spacing w:after="0" w:line="209" w:lineRule="exact"/>
        <w:rPr>
          <w:sz w:val="20"/>
          <w:szCs w:val="20"/>
          <w:color w:val="auto"/>
        </w:rPr>
      </w:pPr>
    </w:p>
    <w:p>
      <w:pPr>
        <w:ind w:left="100" w:right="99" w:firstLine="653"/>
        <w:spacing w:after="0" w:line="258" w:lineRule="auto"/>
        <w:tabs>
          <w:tab w:leader="none" w:pos="145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For the good and valuable consideration set forth in this Amendment and Release, Geadelmann hereby agrees as follows:</w:t>
      </w:r>
    </w:p>
    <w:p>
      <w:pPr>
        <w:spacing w:after="0" w:line="185" w:lineRule="exact"/>
        <w:rPr>
          <w:sz w:val="20"/>
          <w:szCs w:val="20"/>
          <w:color w:val="auto"/>
        </w:rPr>
      </w:pPr>
    </w:p>
    <w:p>
      <w:pPr>
        <w:jc w:val="both"/>
        <w:ind w:left="100" w:right="99" w:firstLine="729"/>
        <w:spacing w:after="0" w:line="232" w:lineRule="auto"/>
        <w:rPr>
          <w:sz w:val="20"/>
          <w:szCs w:val="20"/>
          <w:color w:val="auto"/>
        </w:rPr>
      </w:pPr>
      <w:r>
        <w:rPr>
          <w:rFonts w:ascii="Times New Roman" w:cs="Times New Roman" w:eastAsia="Times New Roman" w:hAnsi="Times New Roman"/>
          <w:sz w:val="22"/>
          <w:szCs w:val="22"/>
          <w:color w:val="auto"/>
        </w:rPr>
        <w:t>Geadelmann hereby releases and forever discharges the Company and each of its past and present officers, directors, employees, agents, advisors, consultants, successors and assigns from any and all claims and liabilities of any nature by Geadelmann including, but not limited to, all actions, causes of actions, suits, debts, sums of money, attorneys’ fees, costs, accounts, covenants, controversies, agreements, promises, damages, claims, grievances, arbitrations, and demands whatsoever, known or unknown, at law or in equity, by contract (express or implied), tort, pursuant to statute, or otherwise, that Geadelmann now has, ever has had or will ever have based on, by reason of, or arising out of, any event, occurrence, action, inaction, transition or thing of any kind or nature occurring prior to or on the effective date of this Amendment and Release. Without limiting the generality of the above, Geadelmann specifically releases and discharges any and all claims and causes of action arising, directly or indirectly, from Geadelmann’s employment at the Company, arising under applicable state, federal and local law, including but not limited to the Employee Retirement Income Security Act of 1974 (except as to claims pertaining to vested benefits under employee benefit plan(s) of the Company), Title VII of the Civil Rights Act of 1964, the Age Discrimination in Employment Act of 1967, as amended (the “ADEA”), the Equal Pay Act, the Rehabilitation Act, the Americans With Disabilities Act, and any other law, statute, ordinance, rule, regulation, decision or order pertaining to employment or pertaining to discrimination on the basis of age, alienage, race, color, creed, gender, national origin, religion,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67310</wp:posOffset>
            </wp:positionV>
            <wp:extent cx="564261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5" w:name="page76"/>
    <w:bookmarkEnd w:id="75"/>
    <w:p>
      <w:pPr>
        <w:jc w:val="both"/>
        <w:ind w:left="100" w:right="99"/>
        <w:spacing w:after="0"/>
        <w:rPr>
          <w:sz w:val="20"/>
          <w:szCs w:val="20"/>
          <w:color w:val="auto"/>
        </w:rPr>
      </w:pPr>
      <w:r>
        <w:rPr>
          <w:rFonts w:ascii="Times New Roman" w:cs="Times New Roman" w:eastAsia="Times New Roman" w:hAnsi="Times New Roman"/>
          <w:sz w:val="22"/>
          <w:szCs w:val="22"/>
          <w:color w:val="auto"/>
        </w:rPr>
        <w:t>physical or mental disability, marital status, citizenship, sexual orientation , non-work activities or any other protected class or conduct. Payment of any amounts and the provision of any benefits provided for in this Amendment and Release do not signify any admission of wrongdoing by the Company or any of its affiliates.</w:t>
      </w:r>
    </w:p>
    <w:p>
      <w:pPr>
        <w:spacing w:after="0" w:line="204" w:lineRule="exact"/>
        <w:rPr>
          <w:sz w:val="20"/>
          <w:szCs w:val="20"/>
          <w:color w:val="auto"/>
        </w:rPr>
      </w:pPr>
    </w:p>
    <w:p>
      <w:pPr>
        <w:jc w:val="both"/>
        <w:ind w:left="100" w:right="99" w:firstLine="648"/>
        <w:spacing w:after="0" w:line="238" w:lineRule="auto"/>
        <w:rPr>
          <w:sz w:val="20"/>
          <w:szCs w:val="20"/>
          <w:color w:val="auto"/>
        </w:rPr>
      </w:pPr>
      <w:r>
        <w:rPr>
          <w:rFonts w:ascii="Times New Roman" w:cs="Times New Roman" w:eastAsia="Times New Roman" w:hAnsi="Times New Roman"/>
          <w:sz w:val="22"/>
          <w:szCs w:val="22"/>
          <w:color w:val="auto"/>
        </w:rPr>
        <w:t>Geadelmann also agrees that if Geadelmann files, or there is filed on Geadelmann’s behalf, a charge, complaint, or action, the payment and benefits described in this Amendment and Release are in complete satisfaction of any and all claims in connection with such charge, complaint, or action and Geadelmann waives, and agrees not to take, any award of money or other damages from such charge, complaint, or action.</w:t>
      </w:r>
    </w:p>
    <w:p>
      <w:pPr>
        <w:spacing w:after="0" w:line="177" w:lineRule="exact"/>
        <w:rPr>
          <w:sz w:val="20"/>
          <w:szCs w:val="20"/>
          <w:color w:val="auto"/>
        </w:rPr>
      </w:pPr>
    </w:p>
    <w:p>
      <w:pPr>
        <w:jc w:val="both"/>
        <w:ind w:left="100" w:right="99" w:firstLine="648"/>
        <w:spacing w:after="0" w:line="232" w:lineRule="auto"/>
        <w:rPr>
          <w:sz w:val="20"/>
          <w:szCs w:val="20"/>
          <w:color w:val="auto"/>
        </w:rPr>
      </w:pPr>
      <w:r>
        <w:rPr>
          <w:rFonts w:ascii="Times New Roman" w:cs="Times New Roman" w:eastAsia="Times New Roman" w:hAnsi="Times New Roman"/>
          <w:sz w:val="22"/>
          <w:szCs w:val="22"/>
          <w:color w:val="auto"/>
        </w:rPr>
        <w:t>By signing this Amendment and Release Geadelmann is not releasing or waiving (a) any vested interest Geadelmann may have in any employee retirement plan (as defined in ERISA Section 3(2)) by virtue of Geadelmann’s employment with the Company; (b) any rights or claims that may arise after the Termination Date; (c) the right to institute legal action for the purpose of enforcing the provisions of this Amendment and Release; (d) the right to apply for state unemployment compensation benefits; (e) any right Geadelmann may have to workers’ compensation benefits; (f) any rights Geadelmann may have under COBRA; (g) the right to file a charge or complaint with a governmental agency such as the Equal Employment Opportunity Commission (“EEOC”), the National Labor Relations Board (“NLRB”), the Occupational Safety and Health Administration (“OSHA”), the Securities and Exchange Commission (“SEC”) or any other federal, state or local governmental agency, subject to the preceding paragraph of this Section 1; (h) the right to communicate with, testify, assist, or participate in an investigation, hearing, or proceeding conducted by, the EEOC, NLRB, OSHA, SEC, or other governmental agency; (i) the right to receive and retain a monetary award from a government-administered whistleblower award program for providing information directly to a governmental agency; and (j) any rights of indemnification or contribution afforded Geadelmann by the Indemnification Agreement, dated August 12, 2014 between Geadelmann and the Company, by statute or by common law, including any insurance coverage maintained by or on behalf of the Company.</w:t>
      </w:r>
    </w:p>
    <w:p>
      <w:pPr>
        <w:spacing w:after="0" w:line="217" w:lineRule="exact"/>
        <w:rPr>
          <w:sz w:val="20"/>
          <w:szCs w:val="20"/>
          <w:color w:val="auto"/>
        </w:rPr>
      </w:pPr>
    </w:p>
    <w:p>
      <w:pPr>
        <w:jc w:val="both"/>
        <w:ind w:left="100" w:right="99" w:firstLine="653"/>
        <w:spacing w:after="0" w:line="235" w:lineRule="auto"/>
        <w:tabs>
          <w:tab w:leader="none" w:pos="142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Opportunity to Consider.</w:t>
      </w:r>
      <w:r>
        <w:rPr>
          <w:rFonts w:ascii="Times New Roman" w:cs="Times New Roman" w:eastAsia="Times New Roman" w:hAnsi="Times New Roman"/>
          <w:sz w:val="22"/>
          <w:szCs w:val="22"/>
          <w:color w:val="auto"/>
        </w:rPr>
        <w:t xml:space="preserve"> Geadelmann has been advised that Geadelmann has twenty-one (21) days from the date on which Geadelmann received this Amendment and Release to consider whether Geadelmann wishes to sign it. However, the Company will not accept, and Geadelmann may not execute, this Agreement and Release until the commencement of the Transition Period. Geadelmann is also advised to consult with an attorney prior to signing this Agreement and Release. The date on which Geadelmann received this Amendment and Release is accurately reflected in Section 11 below.</w:t>
      </w:r>
    </w:p>
    <w:p>
      <w:pPr>
        <w:spacing w:after="0" w:line="210" w:lineRule="exact"/>
        <w:rPr>
          <w:rFonts w:ascii="Times New Roman" w:cs="Times New Roman" w:eastAsia="Times New Roman" w:hAnsi="Times New Roman"/>
          <w:sz w:val="22"/>
          <w:szCs w:val="22"/>
          <w:color w:val="auto"/>
        </w:rPr>
      </w:pPr>
    </w:p>
    <w:p>
      <w:pPr>
        <w:jc w:val="both"/>
        <w:ind w:left="100" w:right="99" w:firstLine="653"/>
        <w:spacing w:after="0" w:line="234" w:lineRule="auto"/>
        <w:tabs>
          <w:tab w:leader="none" w:pos="143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Opportunity to Rescind.</w:t>
      </w:r>
      <w:r>
        <w:rPr>
          <w:rFonts w:ascii="Times New Roman" w:cs="Times New Roman" w:eastAsia="Times New Roman" w:hAnsi="Times New Roman"/>
          <w:sz w:val="22"/>
          <w:szCs w:val="22"/>
          <w:color w:val="auto"/>
        </w:rPr>
        <w:t xml:space="preserve"> Geadelmann may cancel this Amendment and Release as to the release of claims arising under the Minnesota Human Rights Act within fifteen (15) days after signing it and as to the release of claims arising under the ADEA within seven (7) days of signing it. The Amendment and Release will not become effective or enforceable until both rescission periods have passed. If Geadelmann decides to rescind this Amendment and Release Geadelmann must mail or hand deliver the notice of rescission to: Cabell Lolmaugh, Chief Executive Officer and President, Tile Shop Holdings, Inc., 14000 Carlson Parkway, Plymouth MN 55441. If Geadelmann mails the notice of rescission, the notice must be postmarked within the fifteen (15) or seven (7) day period, as applicable, and must be sent via certified mail, return receipt</w:t>
      </w:r>
    </w:p>
    <w:p>
      <w:pPr>
        <w:spacing w:after="0" w:line="1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67310</wp:posOffset>
            </wp:positionV>
            <wp:extent cx="5642610"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6" w:name="page77"/>
    <w:bookmarkEnd w:id="76"/>
    <w:p>
      <w:pPr>
        <w:jc w:val="both"/>
        <w:ind w:left="100" w:right="99"/>
        <w:spacing w:after="0" w:line="244" w:lineRule="auto"/>
        <w:rPr>
          <w:sz w:val="20"/>
          <w:szCs w:val="20"/>
          <w:color w:val="auto"/>
        </w:rPr>
      </w:pPr>
      <w:r>
        <w:rPr>
          <w:rFonts w:ascii="Times New Roman" w:cs="Times New Roman" w:eastAsia="Times New Roman" w:hAnsi="Times New Roman"/>
          <w:sz w:val="22"/>
          <w:szCs w:val="22"/>
          <w:color w:val="auto"/>
        </w:rPr>
        <w:t>requested, as addressed above. If Geadelmann exercises the right to rescind under this Section 4, all other provisions of the Amendment and Release shall immediately be null and void and Geadelmann will not receive consideration as described in this Amendment and Release.</w:t>
      </w:r>
    </w:p>
    <w:p>
      <w:pPr>
        <w:spacing w:after="0" w:line="201" w:lineRule="exact"/>
        <w:rPr>
          <w:sz w:val="20"/>
          <w:szCs w:val="20"/>
          <w:color w:val="auto"/>
        </w:rPr>
      </w:pPr>
    </w:p>
    <w:p>
      <w:pPr>
        <w:jc w:val="both"/>
        <w:ind w:left="100" w:right="99" w:firstLine="653"/>
        <w:spacing w:after="0" w:line="236" w:lineRule="auto"/>
        <w:tabs>
          <w:tab w:leader="none" w:pos="147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w:t>
      </w:r>
      <w:r>
        <w:rPr>
          <w:rFonts w:ascii="Times New Roman" w:cs="Times New Roman" w:eastAsia="Times New Roman" w:hAnsi="Times New Roman"/>
          <w:sz w:val="22"/>
          <w:szCs w:val="22"/>
          <w:color w:val="auto"/>
        </w:rPr>
        <w:t>. In the event of a material breach of this Amendment and Release by Geadelmann, the Company shall deliver written notice to Geadelmann describing such material breach. Geadelmann shall have two (2) business days from the date Geadelmann receives such written notice to cure the material breach. If Geadelmann fails to cure the material breach after receiving written notice under this Section 5, Geadelmann agrees that all payments and benefits provided for in this Amendment and Release are subject to termination, reduction, or cancellation.</w:t>
      </w:r>
    </w:p>
    <w:p>
      <w:pPr>
        <w:spacing w:after="0" w:line="209" w:lineRule="exact"/>
        <w:rPr>
          <w:rFonts w:ascii="Times New Roman" w:cs="Times New Roman" w:eastAsia="Times New Roman" w:hAnsi="Times New Roman"/>
          <w:sz w:val="22"/>
          <w:szCs w:val="22"/>
          <w:color w:val="auto"/>
        </w:rPr>
      </w:pPr>
    </w:p>
    <w:p>
      <w:pPr>
        <w:jc w:val="both"/>
        <w:ind w:left="100" w:right="99" w:firstLine="653"/>
        <w:spacing w:after="0" w:line="239" w:lineRule="auto"/>
        <w:tabs>
          <w:tab w:leader="none" w:pos="146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The parties agree that any legal proceeding brought to enforce the provisions of this Amendment and Release may be brought only in the courts of the State of Minnesota or the federal courts located in Minnesota and each party hereby consents to the jurisdiction of such courts.</w:t>
      </w:r>
    </w:p>
    <w:p>
      <w:pPr>
        <w:spacing w:after="0" w:line="207" w:lineRule="exact"/>
        <w:rPr>
          <w:rFonts w:ascii="Times New Roman" w:cs="Times New Roman" w:eastAsia="Times New Roman" w:hAnsi="Times New Roman"/>
          <w:sz w:val="22"/>
          <w:szCs w:val="22"/>
          <w:color w:val="auto"/>
        </w:rPr>
      </w:pPr>
    </w:p>
    <w:p>
      <w:pPr>
        <w:jc w:val="both"/>
        <w:ind w:left="100" w:right="99" w:firstLine="653"/>
        <w:spacing w:after="0" w:line="234" w:lineRule="auto"/>
        <w:tabs>
          <w:tab w:leader="none" w:pos="143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of the terms of this Amendment and Release shall be held to be invalid and unenforceable, other than the release of claims provided in Section 2, and cannot be rewritten or interpreted by the court to be valid and enforceable and to meet the intent of the parties expressed herein, then the remaining terms of this Amendment and Release are severable and shall not be affected thereby. In the event any aspect of the release of claims in Section 2 is held to be invalid or unenforceable in any respect, the remaining provisions of this Amendment and Release shall be voidable at the option of the Company and Geadelmann agrees to return any payments made and benefits provided by the Company except that nothing in this Amendment and Release shall be construed as permitting the Company to obligate or require tender back of any payments or benefits provided in exchange for Geadelmann’s release of ADEA claims.</w:t>
      </w:r>
    </w:p>
    <w:p>
      <w:pPr>
        <w:spacing w:after="0" w:line="207" w:lineRule="exact"/>
        <w:rPr>
          <w:rFonts w:ascii="Times New Roman" w:cs="Times New Roman" w:eastAsia="Times New Roman" w:hAnsi="Times New Roman"/>
          <w:sz w:val="22"/>
          <w:szCs w:val="22"/>
          <w:color w:val="auto"/>
        </w:rPr>
      </w:pPr>
    </w:p>
    <w:p>
      <w:pPr>
        <w:jc w:val="both"/>
        <w:ind w:left="100" w:right="99" w:firstLine="653"/>
        <w:spacing w:after="0" w:line="235" w:lineRule="auto"/>
        <w:tabs>
          <w:tab w:leader="none" w:pos="142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Amendment and Release constitute the entire agreement between the parties about or relating to the termination of Geadelmann’s employment with the Company, and the Company's obligations to Geadelmann with respect to Geadelmann’s termination and fully supersedes any and all prior agreements or understandings between the parties, except for those express provisions contained in the Employment Agreement and the Tile Shop Holdings, Inc. Nondisclosure, Confidentiality, Assignment and Noncompetition Agreement that are intended to survive the termination of the employment relationship.</w:t>
      </w:r>
    </w:p>
    <w:p>
      <w:pPr>
        <w:spacing w:after="0" w:line="210" w:lineRule="exact"/>
        <w:rPr>
          <w:rFonts w:ascii="Times New Roman" w:cs="Times New Roman" w:eastAsia="Times New Roman" w:hAnsi="Times New Roman"/>
          <w:sz w:val="22"/>
          <w:szCs w:val="22"/>
          <w:color w:val="auto"/>
        </w:rPr>
      </w:pPr>
    </w:p>
    <w:p>
      <w:pPr>
        <w:jc w:val="both"/>
        <w:ind w:left="100" w:right="99" w:firstLine="653"/>
        <w:spacing w:after="0" w:line="234" w:lineRule="auto"/>
        <w:tabs>
          <w:tab w:leader="none" w:pos="151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Geadelmann affirms that the consideration for signing this Amendment and Release is described herein and that no other promises or agreements of any kind have been made to or with Geadelmann by any person or entity whatsoever to cause Geadelmann to sign this Amendment and Release, and that Geadelmann fully understands the meaning and intent of this instrument. Geadelmann agrees that at all times during Geadelmann’s employment Geadelmann was properly compensated for all hours Geadelmann worked, that Geadelmann received all benefits and leave to which Geadelmann was entitled, and that Geadelmann suffered no work related accident, illness or injury. Geadelmann agrees that Geadelmann will not disparage the Company in any way.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67310</wp:posOffset>
            </wp:positionV>
            <wp:extent cx="5642610"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7" w:name="page78"/>
    <w:bookmarkEnd w:id="77"/>
    <w:p>
      <w:pPr>
        <w:jc w:val="both"/>
        <w:ind w:left="100" w:right="99" w:firstLine="648"/>
        <w:spacing w:after="0" w:line="234" w:lineRule="auto"/>
        <w:rPr>
          <w:sz w:val="20"/>
          <w:szCs w:val="20"/>
          <w:color w:val="auto"/>
        </w:rPr>
      </w:pPr>
      <w:r>
        <w:rPr>
          <w:rFonts w:ascii="Times New Roman" w:cs="Times New Roman" w:eastAsia="Times New Roman" w:hAnsi="Times New Roman"/>
          <w:sz w:val="22"/>
          <w:szCs w:val="22"/>
          <w:color w:val="auto"/>
        </w:rPr>
        <w:t>Geadelmann also affirms that Geadelmann is the legal party in interest in this Amendment and Release, with legal title to all rights and claims asserted and hereby released; that Geadelmann has not filed for bankruptcy or assigned or transferred any rights against the Company to any other person or entity; and that Geadelmann has returned to the Company all of its property in Geadelmann’s possession or control, including but not limited to, all documents and materials, whether on computer disc, hard drive, or other form, and all copies thereof which in any way relate to the business of the Company. Geadelmann further affirm that Geadelmann has fully complied with the Tile Shop Holdings, Inc. Nondisclosure, Confidentiality, Assignment and Noncompetition Agreement that Geadelmann signed before beginning employment with the Company.</w:t>
      </w:r>
    </w:p>
    <w:p>
      <w:pPr>
        <w:spacing w:after="0" w:line="212" w:lineRule="exact"/>
        <w:rPr>
          <w:sz w:val="20"/>
          <w:szCs w:val="20"/>
          <w:color w:val="auto"/>
        </w:rPr>
      </w:pPr>
    </w:p>
    <w:p>
      <w:pPr>
        <w:jc w:val="both"/>
        <w:ind w:left="100" w:right="99" w:firstLine="653"/>
        <w:spacing w:after="0" w:line="232" w:lineRule="auto"/>
        <w:tabs>
          <w:tab w:leader="none" w:pos="157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and Taxes Generally</w:t>
      </w:r>
      <w:r>
        <w:rPr>
          <w:rFonts w:ascii="Times New Roman" w:cs="Times New Roman" w:eastAsia="Times New Roman" w:hAnsi="Times New Roman"/>
          <w:sz w:val="22"/>
          <w:szCs w:val="22"/>
          <w:color w:val="auto"/>
        </w:rPr>
        <w:t>. This Amendment and Release is intended to comply with Section 409A of the Internal Revenue Code of 1986, as amended, and the regulations, notices and other guidance of general applicability issued thereunder (collectively, “Section 409A”) or an exemption thereunder, and shall be construed and administered in accordance with Section 409A. Notwithstanding any other provision of this Amendment and Release, payments provided under this Amendment and Release may only be made upon an event and in a manner that complies with Section 409A or an applicable exemption. Any payments under this Amendment and Release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Amendment and Release shall be treated as a separate payment. Any payments to be made under this Amendment and Release upon a termination of employment shall only be made if such</w:t>
      </w:r>
    </w:p>
    <w:p>
      <w:pPr>
        <w:spacing w:after="0" w:line="7" w:lineRule="exact"/>
        <w:rPr>
          <w:sz w:val="20"/>
          <w:szCs w:val="20"/>
          <w:color w:val="auto"/>
        </w:rPr>
      </w:pPr>
    </w:p>
    <w:p>
      <w:pPr>
        <w:jc w:val="both"/>
        <w:ind w:left="100" w:right="99"/>
        <w:spacing w:after="0" w:line="233" w:lineRule="auto"/>
        <w:rPr>
          <w:sz w:val="20"/>
          <w:szCs w:val="20"/>
          <w:color w:val="auto"/>
        </w:rPr>
      </w:pPr>
      <w:r>
        <w:rPr>
          <w:rFonts w:ascii="Times New Roman" w:cs="Times New Roman" w:eastAsia="Times New Roman" w:hAnsi="Times New Roman"/>
          <w:sz w:val="22"/>
          <w:szCs w:val="22"/>
          <w:color w:val="auto"/>
        </w:rPr>
        <w:t>termination of employment constitutes a “separation from service” under Section 409A. Notwithstanding the foregoing, Company makes no representations that the payments and benefits provided under this Amendment and Release comply with Section 409A and in no event shall Company be liable for all or any portion of any taxes, penalties, interest or other expenses that may be incurred by Geadelmann on account of non-compliance with Section 409A.</w:t>
      </w:r>
    </w:p>
    <w:p>
      <w:pPr>
        <w:spacing w:after="0" w:line="207" w:lineRule="exact"/>
        <w:rPr>
          <w:sz w:val="20"/>
          <w:szCs w:val="20"/>
          <w:color w:val="auto"/>
        </w:rPr>
      </w:pPr>
    </w:p>
    <w:p>
      <w:pPr>
        <w:jc w:val="both"/>
        <w:ind w:left="100" w:right="99" w:firstLine="648"/>
        <w:spacing w:after="0" w:line="233" w:lineRule="auto"/>
        <w:rPr>
          <w:sz w:val="20"/>
          <w:szCs w:val="20"/>
          <w:color w:val="auto"/>
        </w:rPr>
      </w:pPr>
      <w:r>
        <w:rPr>
          <w:rFonts w:ascii="Times New Roman" w:cs="Times New Roman" w:eastAsia="Times New Roman" w:hAnsi="Times New Roman"/>
          <w:sz w:val="22"/>
          <w:szCs w:val="22"/>
          <w:color w:val="auto"/>
        </w:rPr>
        <w:t>Notwithstanding any other provision of this Amendment and Release, if, on the Termination Date, Geadelmann is a “specified employee” within the meaning of Section 409A(a)(2)(B)(i) and determined in accordance with Section 409A, any payments and benefits provided under this Amendment and Release that constitute “nonqualified deferred compensation” subject to Section 409A that are provided to Geadelmann on account of Geadelmann’s separation from service shall not be paid until the first payroll date to occur following the six (6) month anniversary of the Termination Date (“</w:t>
      </w:r>
      <w:r>
        <w:rPr>
          <w:rFonts w:ascii="Times New Roman" w:cs="Times New Roman" w:eastAsia="Times New Roman" w:hAnsi="Times New Roman"/>
          <w:sz w:val="22"/>
          <w:szCs w:val="22"/>
          <w:u w:val="single" w:color="auto"/>
          <w:color w:val="auto"/>
        </w:rPr>
        <w:t>Specified Employee Payment Date</w:t>
      </w:r>
      <w:r>
        <w:rPr>
          <w:rFonts w:ascii="Times New Roman" w:cs="Times New Roman" w:eastAsia="Times New Roman" w:hAnsi="Times New Roman"/>
          <w:sz w:val="22"/>
          <w:szCs w:val="22"/>
          <w:color w:val="auto"/>
        </w:rPr>
        <w:t>”). The aggregate amount of any payments that would otherwise have been made during such six (6) month period shall be paid in a lump sum on the Specified Employee Payment Date, without interest, and thereafter, any remaining payments shall be paid without delay in accordance with their original schedule. If Geadelmann dies during such six (6) month period, any delayed payments shall be paid to Geadelmann’s estate in a lump sum upon Geadelmann’s death.</w:t>
      </w:r>
    </w:p>
    <w:p>
      <w:pPr>
        <w:spacing w:after="0" w:line="213" w:lineRule="exact"/>
        <w:rPr>
          <w:sz w:val="20"/>
          <w:szCs w:val="20"/>
          <w:color w:val="auto"/>
        </w:rPr>
      </w:pPr>
    </w:p>
    <w:p>
      <w:pPr>
        <w:jc w:val="both"/>
        <w:ind w:left="100" w:right="99" w:firstLine="653"/>
        <w:spacing w:after="0" w:line="239" w:lineRule="auto"/>
        <w:tabs>
          <w:tab w:leader="none" w:pos="145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Receipt.</w:t>
      </w:r>
      <w:r>
        <w:rPr>
          <w:rFonts w:ascii="Times New Roman" w:cs="Times New Roman" w:eastAsia="Times New Roman" w:hAnsi="Times New Roman"/>
          <w:sz w:val="22"/>
          <w:szCs w:val="22"/>
          <w:color w:val="auto"/>
        </w:rPr>
        <w:t xml:space="preserve"> Geadelmann acknowledges that Geadelmann received a draft of this Amendment and Release on August 26, 2019, that Geadelmann has carefully read this Amendment and Release, that Geadelmann voluntarily agrees to all of its terms and conditions, that Geadelmann understands its contents and the final and binding effect of this Amendment and</w:t>
      </w:r>
    </w:p>
    <w:p>
      <w:pPr>
        <w:spacing w:after="0" w:line="1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67310</wp:posOffset>
            </wp:positionV>
            <wp:extent cx="5642610"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8" w:name="page79"/>
    <w:bookmarkEnd w:id="78"/>
    <w:p>
      <w:pPr>
        <w:ind w:left="100" w:right="99"/>
        <w:spacing w:after="0" w:line="259" w:lineRule="auto"/>
        <w:rPr>
          <w:sz w:val="20"/>
          <w:szCs w:val="20"/>
          <w:color w:val="auto"/>
        </w:rPr>
      </w:pPr>
      <w:r>
        <w:rPr>
          <w:rFonts w:ascii="Times New Roman" w:cs="Times New Roman" w:eastAsia="Times New Roman" w:hAnsi="Times New Roman"/>
          <w:sz w:val="22"/>
          <w:szCs w:val="22"/>
          <w:color w:val="auto"/>
        </w:rPr>
        <w:t>Release, and that Geadelmann has signed the same as Geadelmann’s own free act with the full intent of releasing the Company from all claims Geadelmann may have against it.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[Next Page is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67310</wp:posOffset>
            </wp:positionV>
            <wp:extent cx="564261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9" w:name="page80"/>
    <w:bookmarkEnd w:id="79"/>
    <w:p>
      <w:pPr>
        <w:ind w:left="100" w:right="99" w:firstLine="648"/>
        <w:spacing w:after="0" w:line="262" w:lineRule="auto"/>
        <w:rPr>
          <w:sz w:val="20"/>
          <w:szCs w:val="20"/>
          <w:color w:val="auto"/>
        </w:rPr>
      </w:pPr>
      <w:r>
        <w:rPr>
          <w:rFonts w:ascii="Times New Roman" w:cs="Times New Roman" w:eastAsia="Times New Roman" w:hAnsi="Times New Roman"/>
          <w:sz w:val="22"/>
          <w:szCs w:val="22"/>
          <w:color w:val="auto"/>
        </w:rPr>
        <w:t>IN WITNESS WHEREOF</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parties have caused this Amendment and Release to be duly executed and delivered as of the day and year indicated below.</w:t>
      </w:r>
    </w:p>
    <w:p>
      <w:pPr>
        <w:spacing w:after="0" w:line="200" w:lineRule="exact"/>
        <w:rPr>
          <w:sz w:val="20"/>
          <w:szCs w:val="20"/>
          <w:color w:val="auto"/>
        </w:rPr>
      </w:pP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87"/>
        </w:trPr>
        <w:tc>
          <w:tcPr>
            <w:tcW w:w="18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EMPLOYEE</w:t>
            </w:r>
          </w:p>
        </w:tc>
        <w:tc>
          <w:tcPr>
            <w:tcW w:w="328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TILE SHOP HOLDINGS, INC.</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50"/>
        </w:trPr>
        <w:tc>
          <w:tcPr>
            <w:tcW w:w="18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 Kirk Geadelmann</w:t>
            </w:r>
          </w:p>
        </w:tc>
        <w:tc>
          <w:tcPr>
            <w:tcW w:w="3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By: /s/ Cabell Lolmaugh</w:t>
            </w:r>
          </w:p>
        </w:tc>
      </w:tr>
      <w:tr>
        <w:trPr>
          <w:trHeight w:val="20"/>
        </w:trPr>
        <w:tc>
          <w:tcPr>
            <w:tcW w:w="9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90"/>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Kirk Geadelmann</w:t>
            </w:r>
          </w:p>
        </w:tc>
        <w:tc>
          <w:tcPr>
            <w:tcW w:w="600" w:type="dxa"/>
            <w:vAlign w:val="bottom"/>
          </w:tcPr>
          <w:p>
            <w:pPr>
              <w:spacing w:after="0"/>
              <w:rPr>
                <w:sz w:val="24"/>
                <w:szCs w:val="24"/>
                <w:color w:val="auto"/>
              </w:rPr>
            </w:pPr>
          </w:p>
        </w:tc>
        <w:tc>
          <w:tcPr>
            <w:tcW w:w="274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Name: Cabell Lolmaugh</w:t>
            </w:r>
          </w:p>
        </w:tc>
      </w:tr>
      <w:tr>
        <w:trPr>
          <w:trHeight w:val="283"/>
        </w:trPr>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Title:</w:t>
            </w:r>
          </w:p>
        </w:tc>
        <w:tc>
          <w:tcPr>
            <w:tcW w:w="380" w:type="dxa"/>
            <w:vAlign w:val="bottom"/>
          </w:tcPr>
          <w:p>
            <w:pPr>
              <w:spacing w:after="0"/>
              <w:rPr>
                <w:sz w:val="24"/>
                <w:szCs w:val="24"/>
                <w:color w:val="auto"/>
              </w:rPr>
            </w:pPr>
          </w:p>
        </w:tc>
        <w:tc>
          <w:tcPr>
            <w:tcW w:w="236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President and CEO</w:t>
            </w:r>
          </w:p>
        </w:tc>
      </w:tr>
      <w:tr>
        <w:trPr>
          <w:trHeight w:val="486"/>
        </w:trPr>
        <w:tc>
          <w:tcPr>
            <w:tcW w:w="50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Date Signed: September 10, 2019</w:t>
            </w:r>
          </w:p>
        </w:tc>
        <w:tc>
          <w:tcPr>
            <w:tcW w:w="3340" w:type="dxa"/>
            <w:vAlign w:val="bottom"/>
            <w:gridSpan w:val="4"/>
          </w:tcPr>
          <w:p>
            <w:pPr>
              <w:ind w:left="420"/>
              <w:spacing w:after="0"/>
              <w:rPr>
                <w:sz w:val="20"/>
                <w:szCs w:val="20"/>
                <w:color w:val="auto"/>
              </w:rPr>
            </w:pPr>
            <w:r>
              <w:rPr>
                <w:rFonts w:ascii="Times New Roman" w:cs="Times New Roman" w:eastAsia="Times New Roman" w:hAnsi="Times New Roman"/>
                <w:sz w:val="22"/>
                <w:szCs w:val="22"/>
                <w:color w:val="auto"/>
                <w:w w:val="97"/>
              </w:rPr>
              <w:t>Date Signed: September 11,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5443855</wp:posOffset>
            </wp:positionH>
            <wp:positionV relativeFrom="paragraph">
              <wp:posOffset>-684530</wp:posOffset>
            </wp:positionV>
            <wp:extent cx="342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100" w:right="99"/>
        <w:spacing w:after="0" w:line="262" w:lineRule="auto"/>
        <w:rPr>
          <w:sz w:val="20"/>
          <w:szCs w:val="20"/>
          <w:color w:val="auto"/>
        </w:rPr>
      </w:pPr>
      <w:r>
        <w:rPr>
          <w:rFonts w:ascii="Times New Roman" w:cs="Times New Roman" w:eastAsia="Times New Roman" w:hAnsi="Times New Roman"/>
          <w:sz w:val="22"/>
          <w:szCs w:val="22"/>
          <w:i w:val="1"/>
          <w:iCs w:val="1"/>
          <w:color w:val="auto"/>
        </w:rPr>
        <w:t>(Signature Page to Amendment of Employment Terms and Waiver of Claims and General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33655</wp:posOffset>
            </wp:positionV>
            <wp:extent cx="5642610"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8" w:lineRule="exact"/>
        <w:rPr>
          <w:sz w:val="20"/>
          <w:szCs w:val="20"/>
          <w:color w:val="auto"/>
        </w:rPr>
      </w:pPr>
    </w:p>
    <w:p>
      <w:pPr>
        <w:jc w:val="both"/>
        <w:ind w:left="100" w:right="99" w:firstLine="648"/>
        <w:spacing w:after="0" w:line="239" w:lineRule="auto"/>
        <w:rPr>
          <w:sz w:val="20"/>
          <w:szCs w:val="20"/>
          <w:color w:val="auto"/>
        </w:rPr>
      </w:pPr>
      <w:r>
        <w:rPr>
          <w:rFonts w:ascii="Times New Roman" w:cs="Times New Roman" w:eastAsia="Times New Roman" w:hAnsi="Times New Roman"/>
          <w:sz w:val="22"/>
          <w:szCs w:val="22"/>
          <w:color w:val="auto"/>
        </w:rPr>
        <w:t>Tile Shop Holdings, Inc. (the “Company”) and Kirk Geadelmann (“Geadelmann”) are parties to that certain Amendment to Terms of Employment and Waiver of Claims and General Release (the “Amendment and Release”), entered into as of [December __,] 2019. For good and valuable consideration, Company and Geadelmann further agree as follows:</w:t>
      </w:r>
    </w:p>
    <w:p>
      <w:pPr>
        <w:spacing w:after="0" w:line="208" w:lineRule="exact"/>
        <w:rPr>
          <w:sz w:val="20"/>
          <w:szCs w:val="20"/>
          <w:color w:val="auto"/>
        </w:rPr>
      </w:pPr>
    </w:p>
    <w:p>
      <w:pPr>
        <w:ind w:left="100" w:right="99" w:firstLine="653"/>
        <w:spacing w:after="0" w:line="258" w:lineRule="auto"/>
        <w:tabs>
          <w:tab w:leader="none" w:pos="143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Geadelmann’s employment with the Company is voluntarily ending on December 6, 2019 (“Termination Date”).</w:t>
      </w:r>
    </w:p>
    <w:p>
      <w:pPr>
        <w:spacing w:after="0" w:line="185" w:lineRule="exact"/>
        <w:rPr>
          <w:rFonts w:ascii="Times New Roman" w:cs="Times New Roman" w:eastAsia="Times New Roman" w:hAnsi="Times New Roman"/>
          <w:sz w:val="22"/>
          <w:szCs w:val="22"/>
          <w:color w:val="auto"/>
        </w:rPr>
      </w:pPr>
    </w:p>
    <w:p>
      <w:pPr>
        <w:jc w:val="both"/>
        <w:ind w:left="100" w:right="99" w:firstLine="653"/>
        <w:spacing w:after="0" w:line="244" w:lineRule="auto"/>
        <w:tabs>
          <w:tab w:leader="none" w:pos="145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for Geadelmann signing this Exhibit A, the Company shall permit Geadelmann to exercise all stock options held by Geadelmann and vested on the Termination Date for a period of one (1) year following the Termination Date.</w:t>
      </w:r>
    </w:p>
    <w:p>
      <w:pPr>
        <w:spacing w:after="0" w:line="200" w:lineRule="exact"/>
        <w:rPr>
          <w:rFonts w:ascii="Times New Roman" w:cs="Times New Roman" w:eastAsia="Times New Roman" w:hAnsi="Times New Roman"/>
          <w:sz w:val="22"/>
          <w:szCs w:val="22"/>
          <w:color w:val="auto"/>
        </w:rPr>
      </w:pPr>
    </w:p>
    <w:p>
      <w:pPr>
        <w:jc w:val="both"/>
        <w:ind w:left="100" w:right="99" w:firstLine="653"/>
        <w:spacing w:after="0" w:line="239" w:lineRule="auto"/>
        <w:tabs>
          <w:tab w:leader="none" w:pos="143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Geadelmann, along with his heirs, executors, administrators, successors, and assigns, reaffirms his agreement with and acceptance of all of the terms and provisions contained in the Agreement and Release, including without limitation those contained in Section 2 of the Agreement and Release, as of the date of Geadelmann’s signature on this document.</w:t>
      </w:r>
    </w:p>
    <w:p>
      <w:pPr>
        <w:spacing w:after="0" w:line="207" w:lineRule="exact"/>
        <w:rPr>
          <w:rFonts w:ascii="Times New Roman" w:cs="Times New Roman" w:eastAsia="Times New Roman" w:hAnsi="Times New Roman"/>
          <w:sz w:val="22"/>
          <w:szCs w:val="22"/>
          <w:color w:val="auto"/>
        </w:rPr>
      </w:pPr>
    </w:p>
    <w:p>
      <w:pPr>
        <w:jc w:val="both"/>
        <w:ind w:left="100" w:right="99" w:firstLine="653"/>
        <w:spacing w:after="0" w:line="238" w:lineRule="auto"/>
        <w:tabs>
          <w:tab w:leader="none" w:pos="145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Geadelmann has been advised that Geadelmann has twenty-one (21) days from the date on which Geadelmann received this Exhibit A to consider whether Geadelmann wishes to sign it. However, the Company will not accept, and Geadelmann may not execute, this Exhibit A until on or after the Termination Date. Geadelmann is also advised to consult with an attorney prior to signing this document.</w:t>
      </w:r>
    </w:p>
    <w:p>
      <w:pPr>
        <w:spacing w:after="0" w:line="204" w:lineRule="exact"/>
        <w:rPr>
          <w:rFonts w:ascii="Times New Roman" w:cs="Times New Roman" w:eastAsia="Times New Roman" w:hAnsi="Times New Roman"/>
          <w:sz w:val="22"/>
          <w:szCs w:val="22"/>
          <w:color w:val="auto"/>
        </w:rPr>
      </w:pPr>
    </w:p>
    <w:p>
      <w:pPr>
        <w:jc w:val="both"/>
        <w:ind w:left="100" w:right="99" w:firstLine="653"/>
        <w:spacing w:after="0" w:line="245" w:lineRule="auto"/>
        <w:tabs>
          <w:tab w:leader="none" w:pos="1437"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Geadelmann may cancel this Exhibit A, but only this Exhibit A and specifically not the Amendment and Release, within fifteen (15) days after signing it. This Exhibit A will not become effective or enforceable until such rescission period has passed. If Geadelmann decides to rescind this Exhibit A, Geadelmann must mail or hand deliver the notice of rescission to: Cabell Lolmaugh, Chief Executive Officer and President, Tile Shop Holdings, Inc., 14000 Carlson Parkway, Plymouth MN 55441. If Geadelmann mails the notice of rescission, the notice must be postmarked within the fifteen</w:t>
      </w:r>
    </w:p>
    <w:p>
      <w:pPr>
        <w:spacing w:after="0" w:line="3" w:lineRule="exact"/>
        <w:rPr>
          <w:rFonts w:ascii="Times New Roman" w:cs="Times New Roman" w:eastAsia="Times New Roman" w:hAnsi="Times New Roman"/>
          <w:sz w:val="21"/>
          <w:szCs w:val="21"/>
          <w:color w:val="auto"/>
        </w:rPr>
      </w:pPr>
    </w:p>
    <w:p>
      <w:pPr>
        <w:jc w:val="both"/>
        <w:ind w:left="100" w:right="99" w:firstLine="5"/>
        <w:spacing w:after="0" w:line="235" w:lineRule="auto"/>
        <w:tabs>
          <w:tab w:leader="none" w:pos="52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 period and must be sent via certified mail, return receipt requested, as addressed above. If Geadelmann exercises the right to rescind this Exhibit A, this Exhibit A shall immediately be null and void and Geadelmann will not receive the valuable consideration described herein.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[Next Page is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796290</wp:posOffset>
            </wp:positionV>
            <wp:extent cx="564261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1" w:name="page82"/>
    <w:bookmarkEnd w:id="81"/>
    <w:p>
      <w:pPr>
        <w:ind w:left="100" w:right="99" w:firstLine="648"/>
        <w:spacing w:after="0" w:line="262" w:lineRule="auto"/>
        <w:rPr>
          <w:sz w:val="20"/>
          <w:szCs w:val="20"/>
          <w:color w:val="auto"/>
        </w:rPr>
      </w:pPr>
      <w:r>
        <w:rPr>
          <w:rFonts w:ascii="Times New Roman" w:cs="Times New Roman" w:eastAsia="Times New Roman" w:hAnsi="Times New Roman"/>
          <w:sz w:val="22"/>
          <w:szCs w:val="22"/>
          <w:color w:val="auto"/>
        </w:rPr>
        <w:t>IN WITNESS WHEREOF</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parties have caused this Exhibit A to the Agreement and Release to be duly executed and delivered as of the day and year indicated below.</w:t>
      </w:r>
    </w:p>
    <w:p>
      <w:pPr>
        <w:sectPr>
          <w:pgSz w:w="11900" w:h="16838" w:orient="portrait"/>
          <w:cols w:equalWidth="0" w:num="1">
            <w:col w:w="9019"/>
          </w:cols>
          <w:pgMar w:left="1440" w:top="351"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b w:val="1"/>
          <w:bCs w:val="1"/>
          <w:color w:val="auto"/>
        </w:rPr>
        <w:t>EMPLOYEE</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TILE SHOP HOLDINGS, INC.</w:t>
      </w:r>
    </w:p>
    <w:p>
      <w:pPr>
        <w:spacing w:after="0" w:line="200" w:lineRule="exact"/>
        <w:rPr>
          <w:sz w:val="20"/>
          <w:szCs w:val="20"/>
          <w:color w:val="auto"/>
        </w:rPr>
      </w:pPr>
    </w:p>
    <w:p>
      <w:pPr>
        <w:sectPr>
          <w:pgSz w:w="11900" w:h="16838" w:orient="portrait"/>
          <w:cols w:equalWidth="0" w:num="2">
            <w:col w:w="1420" w:space="720"/>
            <w:col w:w="6879"/>
          </w:cols>
          <w:pgMar w:left="1440" w:top="351" w:right="1440" w:bottom="1440" w:gutter="0" w:footer="0" w:header="0"/>
          <w:type w:val="continuous"/>
        </w:sect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______________________________</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w:t>
      </w:r>
    </w:p>
    <w:p>
      <w:pPr>
        <w:spacing w:after="0" w:line="56" w:lineRule="exact"/>
        <w:rPr>
          <w:sz w:val="20"/>
          <w:szCs w:val="20"/>
          <w:color w:val="auto"/>
        </w:rPr>
      </w:pPr>
    </w:p>
    <w:p>
      <w:pPr>
        <w:sectPr>
          <w:pgSz w:w="11900" w:h="16838" w:orient="portrait"/>
          <w:cols w:equalWidth="0" w:num="2">
            <w:col w:w="4580" w:space="720"/>
            <w:col w:w="3719"/>
          </w:cols>
          <w:pgMar w:left="1440" w:top="351" w:right="1440"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Kirk Geadelmann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Name: Cabell Lolmaugh</w:t>
      </w:r>
    </w:p>
    <w:p>
      <w:pPr>
        <w:spacing w:after="0" w:line="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President and CEO</w:t>
      </w:r>
    </w:p>
    <w:p>
      <w:pPr>
        <w:spacing w:after="0" w:line="200" w:lineRule="exact"/>
        <w:rPr>
          <w:sz w:val="20"/>
          <w:szCs w:val="20"/>
          <w:color w:val="auto"/>
        </w:rPr>
      </w:pPr>
    </w:p>
    <w:p>
      <w:pPr>
        <w:sectPr>
          <w:pgSz w:w="11900" w:h="16838" w:orient="portrait"/>
          <w:cols w:equalWidth="0" w:num="4">
            <w:col w:w="680" w:space="640"/>
            <w:col w:w="3260" w:space="720"/>
            <w:col w:w="460" w:space="360"/>
            <w:col w:w="2899"/>
          </w:cols>
          <w:pgMar w:left="1440" w:top="351" w:right="1440" w:bottom="1440" w:gutter="0" w:footer="0" w:header="0"/>
          <w:type w:val="continuous"/>
        </w:sectPr>
      </w:pP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Date Signed: [December__], 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Date Signed: [December__], 2019</w:t>
      </w:r>
    </w:p>
    <w:p>
      <w:pPr>
        <w:spacing w:after="0" w:line="200" w:lineRule="exact"/>
        <w:rPr>
          <w:sz w:val="20"/>
          <w:szCs w:val="20"/>
          <w:color w:val="auto"/>
        </w:rPr>
      </w:pPr>
    </w:p>
    <w:p>
      <w:pPr>
        <w:sectPr>
          <w:pgSz w:w="11900" w:h="16838" w:orient="portrait"/>
          <w:cols w:equalWidth="0" w:num="2">
            <w:col w:w="4940" w:space="720"/>
            <w:col w:w="3359"/>
          </w:cols>
          <w:pgMar w:left="1440" w:top="351" w:right="1440"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ind w:left="120" w:right="119"/>
        <w:spacing w:after="0" w:line="262" w:lineRule="auto"/>
        <w:rPr>
          <w:sz w:val="20"/>
          <w:szCs w:val="20"/>
          <w:color w:val="auto"/>
        </w:rPr>
      </w:pPr>
      <w:r>
        <w:rPr>
          <w:rFonts w:ascii="Times New Roman" w:cs="Times New Roman" w:eastAsia="Times New Roman" w:hAnsi="Times New Roman"/>
          <w:sz w:val="22"/>
          <w:szCs w:val="22"/>
          <w:i w:val="1"/>
          <w:iCs w:val="1"/>
          <w:color w:val="auto"/>
        </w:rPr>
        <w:t>(Signature Page to Exhibit A to Amendment of Employment Terms and Waiver of Claims and General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33655</wp:posOffset>
            </wp:positionV>
            <wp:extent cx="5642610"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type w:val="continuous"/>
        </w:sectPr>
      </w:pPr>
    </w:p>
    <w:bookmarkStart w:id="82" w:name="page83"/>
    <w:bookmarkEnd w:id="82"/>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 Cabell H. Lolmaugh, certify that:</w:t>
      </w:r>
    </w:p>
    <w:p>
      <w:pPr>
        <w:spacing w:after="0" w:line="144" w:lineRule="exact"/>
        <w:rPr>
          <w:sz w:val="20"/>
          <w:szCs w:val="20"/>
          <w:color w:val="auto"/>
        </w:rPr>
      </w:pPr>
    </w:p>
    <w:p>
      <w:pPr>
        <w:ind w:left="420" w:hanging="315"/>
        <w:spacing w:after="0"/>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Tile Shop Holdings, Inc.;</w:t>
      </w:r>
    </w:p>
    <w:p>
      <w:pPr>
        <w:spacing w:after="0" w:line="144" w:lineRule="exact"/>
        <w:rPr>
          <w:rFonts w:ascii="Times New Roman" w:cs="Times New Roman" w:eastAsia="Times New Roman" w:hAnsi="Times New Roman"/>
          <w:sz w:val="18"/>
          <w:szCs w:val="18"/>
          <w:color w:val="auto"/>
        </w:rPr>
      </w:pPr>
    </w:p>
    <w:p>
      <w:pPr>
        <w:ind w:left="420" w:right="179" w:hanging="315"/>
        <w:spacing w:after="0" w:line="226" w:lineRule="auto"/>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420" w:right="139" w:hanging="315"/>
        <w:spacing w:after="0" w:line="226" w:lineRule="auto"/>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jc w:val="both"/>
        <w:ind w:left="420" w:right="179" w:hanging="315"/>
        <w:spacing w:after="0" w:line="226" w:lineRule="auto"/>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17" w:lineRule="exact"/>
        <w:rPr>
          <w:rFonts w:ascii="Times New Roman" w:cs="Times New Roman" w:eastAsia="Times New Roman" w:hAnsi="Times New Roman"/>
          <w:sz w:val="18"/>
          <w:szCs w:val="18"/>
          <w:color w:val="auto"/>
        </w:rPr>
      </w:pPr>
    </w:p>
    <w:p>
      <w:pPr>
        <w:ind w:left="760" w:right="299" w:hanging="331"/>
        <w:spacing w:after="0" w:line="220"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760" w:right="139" w:hanging="331"/>
        <w:spacing w:after="0" w:line="220"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760" w:right="139" w:hanging="331"/>
        <w:spacing w:after="0" w:line="226"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760" w:right="379" w:hanging="331"/>
        <w:spacing w:after="0" w:line="220"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jc w:val="both"/>
        <w:ind w:left="420" w:right="239" w:hanging="315"/>
        <w:spacing w:after="0" w:line="226" w:lineRule="auto"/>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760" w:right="239" w:hanging="331"/>
        <w:spacing w:after="0" w:line="226"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760" w:right="179" w:hanging="331"/>
        <w:spacing w:after="0" w:line="237"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 November 4, 2019</w:t>
      </w:r>
    </w:p>
    <w:p>
      <w:pPr>
        <w:ind w:left="4800"/>
        <w:spacing w:after="0" w:line="219" w:lineRule="auto"/>
        <w:rPr>
          <w:sz w:val="20"/>
          <w:szCs w:val="20"/>
          <w:color w:val="auto"/>
        </w:rPr>
      </w:pPr>
      <w:r>
        <w:rPr>
          <w:rFonts w:ascii="Times New Roman" w:cs="Times New Roman" w:eastAsia="Times New Roman" w:hAnsi="Times New Roman"/>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Times New Roman" w:cs="Times New Roman" w:eastAsia="Times New Roman" w:hAnsi="Times New Roman"/>
          <w:sz w:val="18"/>
          <w:szCs w:val="18"/>
          <w:color w:val="auto"/>
        </w:rPr>
        <w:t>Cabell H. Lolmaugh</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3" w:name="page84"/>
    <w:bookmarkEnd w:id="83"/>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 Nancy DiMattia, certify that:</w:t>
      </w:r>
    </w:p>
    <w:p>
      <w:pPr>
        <w:spacing w:after="0" w:line="144" w:lineRule="exact"/>
        <w:rPr>
          <w:sz w:val="20"/>
          <w:szCs w:val="20"/>
          <w:color w:val="auto"/>
        </w:rPr>
      </w:pPr>
    </w:p>
    <w:p>
      <w:pPr>
        <w:ind w:left="420" w:hanging="315"/>
        <w:spacing w:after="0"/>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Tile Shop Holdings, Inc.;</w:t>
      </w:r>
    </w:p>
    <w:p>
      <w:pPr>
        <w:spacing w:after="0" w:line="144" w:lineRule="exact"/>
        <w:rPr>
          <w:rFonts w:ascii="Times New Roman" w:cs="Times New Roman" w:eastAsia="Times New Roman" w:hAnsi="Times New Roman"/>
          <w:sz w:val="18"/>
          <w:szCs w:val="18"/>
          <w:color w:val="auto"/>
        </w:rPr>
      </w:pPr>
    </w:p>
    <w:p>
      <w:pPr>
        <w:ind w:left="420" w:right="179" w:hanging="315"/>
        <w:spacing w:after="0" w:line="226" w:lineRule="auto"/>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420" w:right="139" w:hanging="315"/>
        <w:spacing w:after="0" w:line="226" w:lineRule="auto"/>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jc w:val="both"/>
        <w:ind w:left="420" w:right="179" w:hanging="315"/>
        <w:spacing w:after="0" w:line="226" w:lineRule="auto"/>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17" w:lineRule="exact"/>
        <w:rPr>
          <w:rFonts w:ascii="Times New Roman" w:cs="Times New Roman" w:eastAsia="Times New Roman" w:hAnsi="Times New Roman"/>
          <w:sz w:val="18"/>
          <w:szCs w:val="18"/>
          <w:color w:val="auto"/>
        </w:rPr>
      </w:pPr>
    </w:p>
    <w:p>
      <w:pPr>
        <w:ind w:left="760" w:right="299" w:hanging="331"/>
        <w:spacing w:after="0" w:line="220"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ind w:left="760" w:right="139" w:hanging="331"/>
        <w:spacing w:after="0" w:line="220"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760" w:right="139" w:hanging="331"/>
        <w:spacing w:after="0" w:line="226"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760" w:right="379" w:hanging="331"/>
        <w:spacing w:after="0" w:line="220"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jc w:val="both"/>
        <w:ind w:left="420" w:right="239" w:hanging="315"/>
        <w:spacing w:after="0" w:line="226" w:lineRule="auto"/>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760" w:right="239" w:hanging="331"/>
        <w:spacing w:after="0" w:line="226"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760" w:right="179" w:hanging="331"/>
        <w:spacing w:after="0" w:line="237" w:lineRule="auto"/>
        <w:tabs>
          <w:tab w:leader="none" w:pos="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 November 4, 2019</w:t>
      </w:r>
    </w:p>
    <w:p>
      <w:pPr>
        <w:ind w:left="4800"/>
        <w:spacing w:after="0" w:line="219" w:lineRule="auto"/>
        <w:rPr>
          <w:sz w:val="20"/>
          <w:szCs w:val="20"/>
          <w:color w:val="auto"/>
        </w:rPr>
      </w:pPr>
      <w:r>
        <w:rPr>
          <w:rFonts w:ascii="Times New Roman" w:cs="Times New Roman" w:eastAsia="Times New Roman" w:hAnsi="Times New Roman"/>
          <w:sz w:val="18"/>
          <w:szCs w:val="18"/>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0</wp:posOffset>
            </wp:positionV>
            <wp:extent cx="19551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ind w:left="4980"/>
        <w:spacing w:after="0" w:line="203" w:lineRule="auto"/>
        <w:rPr>
          <w:sz w:val="20"/>
          <w:szCs w:val="20"/>
          <w:color w:val="auto"/>
        </w:rPr>
      </w:pPr>
      <w:r>
        <w:rPr>
          <w:rFonts w:ascii="Times New Roman" w:cs="Times New Roman" w:eastAsia="Times New Roman" w:hAnsi="Times New Roman"/>
          <w:sz w:val="18"/>
          <w:szCs w:val="18"/>
          <w:color w:val="auto"/>
        </w:rPr>
        <w:t>Nancy DiMattia</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335280</wp:posOffset>
            </wp:positionV>
            <wp:extent cx="5642610"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4" w:name="page85"/>
    <w:bookmarkEnd w:id="84"/>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8" w:lineRule="exact"/>
        <w:rPr>
          <w:sz w:val="20"/>
          <w:szCs w:val="20"/>
          <w:color w:val="auto"/>
        </w:rPr>
      </w:pPr>
    </w:p>
    <w:p>
      <w:pPr>
        <w:jc w:val="center"/>
        <w:ind w:left="100" w:right="99"/>
        <w:spacing w:after="0" w:line="226"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18" w:lineRule="exact"/>
        <w:rPr>
          <w:sz w:val="20"/>
          <w:szCs w:val="20"/>
          <w:color w:val="auto"/>
        </w:rPr>
      </w:pPr>
    </w:p>
    <w:p>
      <w:pPr>
        <w:ind w:left="100" w:right="99"/>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of Tile Shop Holdings, Inc. (the “Company”) on Form 10-Q for the period ending September 30, 2019 as filed with the Securities and Exchange Commission on the date hereof (the “Report”), I, Cabell H. Lolmaugh, Chief Executive Officer of the Company, certify, pursuant to 18 U.S.C. Section 1350, as adopted pursuant to Section 906 of the Sarbanes-Oxley Act of 2002, that:</w:t>
      </w:r>
    </w:p>
    <w:p>
      <w:pPr>
        <w:spacing w:after="0" w:line="294" w:lineRule="exact"/>
        <w:rPr>
          <w:sz w:val="20"/>
          <w:szCs w:val="20"/>
          <w:color w:val="auto"/>
        </w:rPr>
      </w:pPr>
    </w:p>
    <w:p>
      <w:pPr>
        <w:ind w:left="760" w:right="459" w:hanging="331"/>
        <w:spacing w:after="0" w:line="237"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right="559" w:hanging="331"/>
        <w:spacing w:after="0" w:line="237"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19640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5" w:lineRule="auto"/>
        <w:rPr>
          <w:sz w:val="20"/>
          <w:szCs w:val="20"/>
          <w:color w:val="auto"/>
        </w:rPr>
      </w:pPr>
      <w:r>
        <w:rPr>
          <w:rFonts w:ascii="Times New Roman" w:cs="Times New Roman" w:eastAsia="Times New Roman" w:hAnsi="Times New Roman"/>
          <w:sz w:val="18"/>
          <w:szCs w:val="18"/>
          <w:color w:val="auto"/>
        </w:rPr>
        <w:t>Cabell H. Lolmaugh</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November 4, 2019</w:t>
      </w:r>
    </w:p>
    <w:p>
      <w:pPr>
        <w:spacing w:after="0" w:line="320" w:lineRule="exact"/>
        <w:rPr>
          <w:sz w:val="20"/>
          <w:szCs w:val="20"/>
          <w:color w:val="auto"/>
        </w:rPr>
      </w:pPr>
    </w:p>
    <w:p>
      <w:pPr>
        <w:ind w:left="100" w:right="719"/>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219710</wp:posOffset>
            </wp:positionV>
            <wp:extent cx="5642610"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5" w:name="page86"/>
    <w:bookmarkEnd w:id="85"/>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8" w:lineRule="exact"/>
        <w:rPr>
          <w:sz w:val="20"/>
          <w:szCs w:val="20"/>
          <w:color w:val="auto"/>
        </w:rPr>
      </w:pPr>
    </w:p>
    <w:p>
      <w:pPr>
        <w:jc w:val="center"/>
        <w:ind w:left="100" w:right="99"/>
        <w:spacing w:after="0" w:line="226"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18" w:lineRule="exact"/>
        <w:rPr>
          <w:sz w:val="20"/>
          <w:szCs w:val="20"/>
          <w:color w:val="auto"/>
        </w:rPr>
      </w:pPr>
    </w:p>
    <w:p>
      <w:pPr>
        <w:ind w:left="100" w:right="99"/>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of Tile Shop Holdings, Inc. (the “Company”) on Form 10-Q for the period ending September 30, 2019 as filed with the Securities and Exchange Commission on the date hereof (the “Report”), I, Nancy DiMattia, Chief Financial Officer of the Company, certify, pursuant to 18 U.S.C. Section 1350, as adopted pursuant to Section 906 of the Sarbanes-Oxley Act of 2002, that:</w:t>
      </w:r>
    </w:p>
    <w:p>
      <w:pPr>
        <w:spacing w:after="0" w:line="119" w:lineRule="exact"/>
        <w:rPr>
          <w:sz w:val="20"/>
          <w:szCs w:val="20"/>
          <w:color w:val="auto"/>
        </w:rPr>
      </w:pPr>
    </w:p>
    <w:p>
      <w:pPr>
        <w:ind w:left="760" w:right="459" w:hanging="331"/>
        <w:spacing w:after="0" w:line="237"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right="559" w:hanging="331"/>
        <w:spacing w:after="0" w:line="237"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19640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ind w:left="300"/>
        <w:spacing w:after="0" w:line="205" w:lineRule="auto"/>
        <w:rPr>
          <w:sz w:val="20"/>
          <w:szCs w:val="20"/>
          <w:color w:val="auto"/>
        </w:rPr>
      </w:pPr>
      <w:r>
        <w:rPr>
          <w:rFonts w:ascii="Times New Roman" w:cs="Times New Roman" w:eastAsia="Times New Roman" w:hAnsi="Times New Roman"/>
          <w:sz w:val="18"/>
          <w:szCs w:val="18"/>
          <w:color w:val="auto"/>
        </w:rPr>
        <w:t>Nancy DiMattia</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November 4, 2019</w:t>
      </w:r>
    </w:p>
    <w:p>
      <w:pPr>
        <w:spacing w:after="0" w:line="320" w:lineRule="exact"/>
        <w:rPr>
          <w:sz w:val="20"/>
          <w:szCs w:val="20"/>
          <w:color w:val="auto"/>
        </w:rPr>
      </w:pPr>
    </w:p>
    <w:p>
      <w:pPr>
        <w:ind w:left="100" w:right="719"/>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330835</wp:posOffset>
            </wp:positionV>
            <wp:extent cx="5642610"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endash "/>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I"/>
      <w:numFmt w:val="bullet"/>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2"/>
    </w:lvl>
  </w:abstractNum>
  <w:abstractNum w:abstractNumId="14">
    <w:nsid w:val="737B8DDC"/>
    <w:multiLevelType w:val="hybridMultilevel"/>
    <w:lvl w:ilvl="0">
      <w:lvlJc w:val="left"/>
      <w:lvlText w:val="%1."/>
      <w:numFmt w:val="decimal"/>
      <w:start w:val="3"/>
    </w:lvl>
  </w:abstractNum>
  <w:abstractNum w:abstractNumId="15">
    <w:nsid w:val="6CEAF087"/>
    <w:multiLevelType w:val="hybridMultilevel"/>
    <w:lvl w:ilvl="0">
      <w:lvlJc w:val="left"/>
      <w:lvlText w:val="%1."/>
      <w:numFmt w:val="decimal"/>
      <w:start w:val="4"/>
    </w:lvl>
  </w:abstractNum>
  <w:abstractNum w:abstractNumId="16">
    <w:nsid w:val="22221A70"/>
    <w:multiLevelType w:val="hybridMultilevel"/>
    <w:lvl w:ilvl="0">
      <w:lvlJc w:val="left"/>
      <w:lvlText w:val="%1."/>
      <w:numFmt w:val="decimal"/>
      <w:start w:val="5"/>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2"/>
    </w:lvl>
  </w:abstractNum>
  <w:abstractNum w:abstractNumId="19">
    <w:nsid w:val="614FD4A1"/>
    <w:multiLevelType w:val="hybridMultilevel"/>
    <w:lvl w:ilvl="0">
      <w:lvlJc w:val="left"/>
      <w:lvlText w:val="%1."/>
      <w:numFmt w:val="decimal"/>
      <w:start w:val="6"/>
    </w:lvl>
  </w:abstractNum>
  <w:abstractNum w:abstractNumId="20">
    <w:nsid w:val="419AC241"/>
    <w:multiLevelType w:val="hybridMultilevel"/>
    <w:lvl w:ilvl="0">
      <w:lvlJc w:val="left"/>
      <w:lvlText w:val="%1."/>
      <w:numFmt w:val="decimal"/>
      <w:start w:val="10"/>
    </w:lvl>
  </w:abstractNum>
  <w:abstractNum w:abstractNumId="21">
    <w:nsid w:val="5577F8E1"/>
    <w:multiLevelType w:val="hybridMultilevel"/>
    <w:lvl w:ilvl="0">
      <w:lvlJc w:val="left"/>
      <w:lvlText w:val="%1."/>
      <w:numFmt w:val="decimal"/>
      <w:start w:val="11"/>
    </w:lvl>
  </w:abstractNum>
  <w:abstractNum w:abstractNumId="22">
    <w:nsid w:val="440BADFC"/>
    <w:multiLevelType w:val="hybridMultilevel"/>
    <w:lvl w:ilvl="0">
      <w:lvlJc w:val="left"/>
      <w:lvlText w:val="I"/>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2"/>
    </w:lvl>
  </w:abstractNum>
  <w:abstractNum w:abstractNumId="25">
    <w:nsid w:val="77465F01"/>
    <w:multiLevelType w:val="hybridMultilevel"/>
    <w:lvl w:ilvl="0">
      <w:lvlJc w:val="left"/>
      <w:lvlText w:val="%1."/>
      <w:numFmt w:val="decimal"/>
      <w:start w:val="3"/>
    </w:lvl>
  </w:abstractNum>
  <w:abstractNum w:abstractNumId="26">
    <w:nsid w:val="7724C67E"/>
    <w:multiLevelType w:val="hybridMultilevel"/>
    <w:lvl w:ilvl="0">
      <w:lvlJc w:val="left"/>
      <w:lvlText w:val="%1."/>
      <w:numFmt w:val="decimal"/>
      <w:start w:val="4"/>
    </w:lvl>
  </w:abstractNum>
  <w:abstractNum w:abstractNumId="27">
    <w:nsid w:val="5C482A97"/>
    <w:multiLevelType w:val="hybridMultilevel"/>
    <w:lvl w:ilvl="0">
      <w:lvlJc w:val="left"/>
      <w:lvlText w:val="%1."/>
      <w:numFmt w:val="decimal"/>
      <w:start w:val="5"/>
    </w:lvl>
  </w:abstractNum>
  <w:abstractNum w:abstractNumId="28">
    <w:nsid w:val="2463B9EA"/>
    <w:multiLevelType w:val="hybridMultilevel"/>
    <w:lvl w:ilvl="0">
      <w:lvlJc w:val="left"/>
      <w:lvlText w:val="%1."/>
      <w:numFmt w:val="decimal"/>
      <w:start w:val="9"/>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2"/>
    </w:lvl>
  </w:abstractNum>
  <w:abstractNum w:abstractNumId="31">
    <w:nsid w:val="2D517796"/>
    <w:multiLevelType w:val="hybridMultilevel"/>
    <w:lvl w:ilvl="0">
      <w:lvlJc w:val="left"/>
      <w:lvlText w:val="%1."/>
      <w:numFmt w:val="decimal"/>
      <w:start w:val="6"/>
    </w:lvl>
  </w:abstractNum>
  <w:abstractNum w:abstractNumId="32">
    <w:nsid w:val="580BD78F"/>
    <w:multiLevelType w:val="hybridMultilevel"/>
    <w:lvl w:ilvl="0">
      <w:lvlJc w:val="left"/>
      <w:lvlText w:val="%1."/>
      <w:numFmt w:val="decimal"/>
      <w:start w:val="10"/>
    </w:lvl>
  </w:abstractNum>
  <w:abstractNum w:abstractNumId="33">
    <w:nsid w:val="153EA438"/>
    <w:multiLevelType w:val="hybridMultilevel"/>
    <w:lvl w:ilvl="0">
      <w:lvlJc w:val="left"/>
      <w:lvlText w:val="%1."/>
      <w:numFmt w:val="decimal"/>
      <w:start w:val="11"/>
    </w:lvl>
  </w:abstractNum>
  <w:abstractNum w:abstractNumId="34">
    <w:nsid w:val="3855585C"/>
    <w:multiLevelType w:val="hybridMultilevel"/>
    <w:lvl w:ilvl="0">
      <w:lvlJc w:val="left"/>
      <w:lvlText w:val="%1."/>
      <w:numFmt w:val="decimal"/>
      <w:start w:val="1"/>
    </w:lvl>
    <w:lvl w:ilvl="1">
      <w:lvlJc w:val="left"/>
      <w:lvlText w:val="(%2)"/>
      <w:numFmt w:val="lowerLetter"/>
      <w:start w:val="1"/>
    </w:lvl>
  </w:abstractNum>
  <w:abstractNum w:abstractNumId="35">
    <w:nsid w:val="70A64E2A"/>
    <w:multiLevelType w:val="hybridMultilevel"/>
    <w:lvl w:ilvl="0">
      <w:lvlJc w:val="left"/>
      <w:lvlText w:val="%1"/>
      <w:numFmt w:val="lowerLetter"/>
      <w:start w:val="1"/>
    </w:lvl>
    <w:lvl w:ilvl="1">
      <w:lvlJc w:val="left"/>
      <w:lvlText w:val="(%2)"/>
      <w:numFmt w:val="lowerLetter"/>
      <w:start w:val="3"/>
    </w:lvl>
  </w:abstractNum>
  <w:abstractNum w:abstractNumId="36">
    <w:nsid w:val="6A2342EC"/>
    <w:multiLevelType w:val="hybridMultilevel"/>
    <w:lvl w:ilvl="0">
      <w:lvlJc w:val="left"/>
      <w:lvlText w:val="(%1)"/>
      <w:numFmt w:val="lowerLetter"/>
      <w:start w:val="61"/>
    </w:lvl>
    <w:lvl w:ilvl="1">
      <w:lvlJc w:val="left"/>
      <w:lvlText w:val="(%2)"/>
      <w:numFmt w:val="lowerLetter"/>
      <w:start w:val="4"/>
    </w:lvl>
  </w:abstractNum>
  <w:abstractNum w:abstractNumId="37">
    <w:nsid w:val="2A487CB0"/>
    <w:multiLevelType w:val="hybridMultilevel"/>
    <w:lvl w:ilvl="0">
      <w:lvlJc w:val="left"/>
      <w:lvlText w:val="%1."/>
      <w:numFmt w:val="decimal"/>
      <w:start w:val="2"/>
    </w:lvl>
  </w:abstractNum>
  <w:abstractNum w:abstractNumId="38">
    <w:nsid w:val="1D4ED43B"/>
    <w:multiLevelType w:val="hybridMultilevel"/>
    <w:lvl w:ilvl="0">
      <w:lvlJc w:val="left"/>
      <w:lvlText w:val="%1."/>
      <w:numFmt w:val="decimal"/>
      <w:start w:val="3"/>
    </w:lvl>
  </w:abstractNum>
  <w:abstractNum w:abstractNumId="39">
    <w:nsid w:val="725A06FB"/>
    <w:multiLevelType w:val="hybridMultilevel"/>
    <w:lvl w:ilvl="0">
      <w:lvlJc w:val="left"/>
      <w:lvlText w:val="%1."/>
      <w:numFmt w:val="decimal"/>
      <w:start w:val="5"/>
    </w:lvl>
  </w:abstractNum>
  <w:abstractNum w:abstractNumId="40">
    <w:nsid w:val="2CD89A32"/>
    <w:multiLevelType w:val="hybridMultilevel"/>
    <w:lvl w:ilvl="0">
      <w:lvlJc w:val="left"/>
      <w:lvlText w:val="%1."/>
      <w:numFmt w:val="decimal"/>
      <w:start w:val="10"/>
    </w:lvl>
  </w:abstractNum>
  <w:abstractNum w:abstractNumId="41">
    <w:nsid w:val="57E4CCAF"/>
    <w:multiLevelType w:val="hybridMultilevel"/>
    <w:lvl w:ilvl="0">
      <w:lvlJc w:val="left"/>
      <w:lvlText w:val="%1."/>
      <w:numFmt w:val="decimal"/>
      <w:start w:val="11"/>
    </w:lvl>
  </w:abstractNum>
  <w:abstractNum w:abstractNumId="42">
    <w:nsid w:val="7A6D8D3C"/>
    <w:multiLevelType w:val="hybridMultilevel"/>
    <w:lvl w:ilvl="0">
      <w:lvlJc w:val="left"/>
      <w:lvlText w:val="%1"/>
      <w:numFmt w:val="decimal"/>
      <w:start w:val="1"/>
    </w:lvl>
    <w:lvl w:ilvl="1">
      <w:lvlJc w:val="left"/>
      <w:lvlText w:val="%2."/>
      <w:numFmt w:val="decimal"/>
      <w:start w:val="1"/>
    </w:lvl>
  </w:abstractNum>
  <w:abstractNum w:abstractNumId="43">
    <w:nsid w:val="4B588F54"/>
    <w:multiLevelType w:val="hybridMultilevel"/>
    <w:lvl w:ilvl="0">
      <w:lvlJc w:val="left"/>
      <w:lvlText w:val="(%1)"/>
      <w:numFmt w:val="decimal"/>
      <w:start w:val="15"/>
    </w:lvl>
    <w:lvl w:ilvl="1">
      <w:lvlJc w:val="left"/>
      <w:lvlText w:val="%2"/>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jpe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jpe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45" Type="http://schemas.openxmlformats.org/officeDocument/2006/relationships/hyperlink" Target="http://www.sec.gov/Archives/edgar/data/1552800/000114420412037509/v316486_ex3-1.htm" TargetMode="External"/><Relationship Id="rId46" Type="http://schemas.openxmlformats.org/officeDocument/2006/relationships/hyperlink" Target="http://www.sec.gov/Archives/edgar/data/1552800/000114420412037509/v316486_ex3-2.htm" TargetMode="External"/><Relationship Id="rId47" Type="http://schemas.openxmlformats.org/officeDocument/2006/relationships/hyperlink" Target="http://www.sec.gov/Archives/edgar/data/1552800/000114420412040584/v31834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2019-12-28T02:59:25Z</dcterms:created>
  <dcterms:modified xsi:type="dcterms:W3CDTF">2019-12-28T02:59:25Z</dcterms:modified>
</cp:coreProperties>
</file>