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7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line="225" w:lineRule="auto"/>
        <w:rPr>
          <w:sz w:val="20"/>
          <w:szCs w:val="20"/>
          <w:color w:val="auto"/>
        </w:rPr>
      </w:pPr>
      <w:r>
        <w:rPr>
          <w:rFonts w:ascii="Arial" w:cs="Arial" w:eastAsia="Arial" w:hAnsi="Arial"/>
          <w:sz w:val="18"/>
          <w:szCs w:val="18"/>
          <w:b w:val="1"/>
          <w:bCs w:val="1"/>
          <w:color w:val="auto"/>
        </w:rPr>
        <w:t>Washington, D.C. 20549</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ind w:left="4580"/>
        <w:spacing w:after="0" w:line="224" w:lineRule="auto"/>
        <w:rPr>
          <w:sz w:val="20"/>
          <w:szCs w:val="20"/>
          <w:color w:val="auto"/>
        </w:rPr>
      </w:pPr>
      <w:r>
        <w:rPr>
          <w:rFonts w:ascii="Arial" w:cs="Arial" w:eastAsia="Arial" w:hAnsi="Arial"/>
          <w:sz w:val="14"/>
          <w:szCs w:val="14"/>
          <w:color w:val="auto"/>
        </w:rPr>
        <w:t>_____________________________</w:t>
      </w:r>
    </w:p>
    <w:p>
      <w:pPr>
        <w:ind w:left="60"/>
        <w:spacing w:after="0" w:line="235" w:lineRule="auto"/>
        <w:rPr>
          <w:sz w:val="20"/>
          <w:szCs w:val="20"/>
          <w:color w:val="auto"/>
        </w:rPr>
      </w:pPr>
      <w:r>
        <w:rPr>
          <w:rFonts w:ascii="Arial" w:cs="Arial" w:eastAsia="Arial" w:hAnsi="Arial"/>
          <w:sz w:val="18"/>
          <w:szCs w:val="18"/>
          <w:color w:val="auto"/>
        </w:rPr>
        <w:t>(Mark One)</w:t>
      </w:r>
    </w:p>
    <w:p>
      <w:pPr>
        <w:ind w:left="320" w:hanging="299"/>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20" w:hanging="299"/>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For the transition period from – to –</w:t>
      </w:r>
    </w:p>
    <w:p>
      <w:pPr>
        <w:spacing w:after="0" w:line="13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001-35629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spacing w:after="0" w:line="8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TILE SHOP HOLDINGS, INC.</w:t>
      </w: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06"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60"/>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14000 Carlson Parkway</w:t>
            </w:r>
          </w:p>
        </w:tc>
        <w:tc>
          <w:tcPr>
            <w:tcW w:w="3700" w:type="dxa"/>
            <w:vAlign w:val="bottom"/>
          </w:tcPr>
          <w:p>
            <w:pPr>
              <w:spacing w:after="0"/>
              <w:rPr>
                <w:sz w:val="24"/>
                <w:szCs w:val="24"/>
                <w:color w:val="auto"/>
              </w:rPr>
            </w:pPr>
          </w:p>
        </w:tc>
      </w:tr>
      <w:tr>
        <w:trPr>
          <w:trHeight w:val="189"/>
        </w:trPr>
        <w:tc>
          <w:tcPr>
            <w:tcW w:w="5600" w:type="dxa"/>
            <w:vAlign w:val="bottom"/>
          </w:tcPr>
          <w:p>
            <w:pPr>
              <w:jc w:val="center"/>
              <w:ind w:right="930"/>
              <w:spacing w:after="0" w:line="189" w:lineRule="exact"/>
              <w:rPr>
                <w:sz w:val="20"/>
                <w:szCs w:val="20"/>
                <w:color w:val="auto"/>
              </w:rPr>
            </w:pPr>
            <w:r>
              <w:rPr>
                <w:rFonts w:ascii="Arial" w:cs="Arial" w:eastAsia="Arial" w:hAnsi="Arial"/>
                <w:sz w:val="18"/>
                <w:szCs w:val="18"/>
                <w:b w:val="1"/>
                <w:bCs w:val="1"/>
                <w:color w:val="auto"/>
                <w:w w:val="91"/>
              </w:rPr>
              <w:t>Plymouth, Minnesota</w:t>
            </w:r>
          </w:p>
        </w:tc>
        <w:tc>
          <w:tcPr>
            <w:tcW w:w="3700" w:type="dxa"/>
            <w:vAlign w:val="bottom"/>
          </w:tcPr>
          <w:p>
            <w:pPr>
              <w:jc w:val="right"/>
              <w:ind w:right="1050"/>
              <w:spacing w:after="0" w:line="189" w:lineRule="exact"/>
              <w:rPr>
                <w:sz w:val="20"/>
                <w:szCs w:val="20"/>
                <w:color w:val="auto"/>
              </w:rPr>
            </w:pPr>
            <w:r>
              <w:rPr>
                <w:rFonts w:ascii="Arial" w:cs="Arial" w:eastAsia="Arial" w:hAnsi="Arial"/>
                <w:sz w:val="18"/>
                <w:szCs w:val="18"/>
                <w:b w:val="1"/>
                <w:bCs w:val="1"/>
                <w:color w:val="auto"/>
              </w:rPr>
              <w:t>55441</w:t>
            </w:r>
          </w:p>
        </w:tc>
      </w:tr>
      <w:tr>
        <w:trPr>
          <w:trHeight w:val="234"/>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(763) 852-2950</w:t>
      </w:r>
    </w:p>
    <w:p>
      <w:pPr>
        <w:jc w:val="center"/>
        <w:ind w:right="-119"/>
        <w:spacing w:after="0" w:line="227" w:lineRule="auto"/>
        <w:rPr>
          <w:sz w:val="20"/>
          <w:szCs w:val="20"/>
          <w:color w:val="auto"/>
        </w:rPr>
      </w:pPr>
      <w:r>
        <w:rPr>
          <w:rFonts w:ascii="Arial" w:cs="Arial" w:eastAsia="Arial" w:hAnsi="Arial"/>
          <w:sz w:val="18"/>
          <w:szCs w:val="18"/>
          <w:b w:val="1"/>
          <w:bCs w:val="1"/>
          <w:color w:val="auto"/>
        </w:rPr>
        <w:t>(Registrant’s telephone number, including area code)</w:t>
      </w:r>
    </w:p>
    <w:p>
      <w:pPr>
        <w:ind w:left="4580"/>
        <w:spacing w:after="0" w:line="214" w:lineRule="auto"/>
        <w:rPr>
          <w:sz w:val="20"/>
          <w:szCs w:val="20"/>
          <w:color w:val="auto"/>
        </w:rPr>
      </w:pPr>
      <w:r>
        <w:rPr>
          <w:rFonts w:ascii="Arial" w:cs="Arial" w:eastAsia="Arial" w:hAnsi="Arial"/>
          <w:sz w:val="14"/>
          <w:szCs w:val="14"/>
          <w:color w:val="auto"/>
        </w:rPr>
        <w:t>_____________________________</w:t>
      </w: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648" w:right="459" w:bottom="1440" w:gutter="0" w:footer="0" w:header="0"/>
        </w:sectPr>
      </w:pPr>
    </w:p>
    <w:p>
      <w:pPr>
        <w:spacing w:after="0" w:line="155"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5" w:lineRule="exact"/>
        <w:rPr>
          <w:sz w:val="24"/>
          <w:szCs w:val="24"/>
          <w:color w:val="auto"/>
        </w:rPr>
      </w:pPr>
    </w:p>
    <w:p>
      <w:pPr>
        <w:sectPr>
          <w:pgSz w:w="11900" w:h="16838" w:orient="portrait"/>
          <w:cols w:equalWidth="0" w:num="3">
            <w:col w:w="3960" w:space="720"/>
            <w:col w:w="2100" w:space="720"/>
            <w:col w:w="3620"/>
          </w:cols>
          <w:pgMar w:left="320" w:top="648" w:right="459" w:bottom="1440" w:gutter="0" w:footer="0" w:header="0"/>
          <w:type w:val="continuous"/>
        </w:sectPr>
      </w:pPr>
    </w:p>
    <w:p>
      <w:pPr>
        <w:spacing w:after="0" w:line="11" w:lineRule="exact"/>
        <w:rPr>
          <w:sz w:val="24"/>
          <w:szCs w:val="24"/>
          <w:color w:val="auto"/>
        </w:rPr>
      </w:pPr>
    </w:p>
    <w:p>
      <w:pPr>
        <w:ind w:left="840"/>
        <w:spacing w:after="0"/>
        <w:rPr>
          <w:sz w:val="20"/>
          <w:szCs w:val="20"/>
          <w:color w:val="auto"/>
        </w:rPr>
      </w:pPr>
      <w:r>
        <w:rPr>
          <w:rFonts w:ascii="Arial" w:cs="Arial" w:eastAsia="Arial" w:hAnsi="Arial"/>
          <w:sz w:val="12"/>
          <w:szCs w:val="12"/>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TTSH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46" w:lineRule="exact"/>
        <w:rPr>
          <w:sz w:val="24"/>
          <w:szCs w:val="24"/>
          <w:color w:val="auto"/>
        </w:rPr>
      </w:pPr>
    </w:p>
    <w:p>
      <w:pPr>
        <w:sectPr>
          <w:pgSz w:w="11900" w:h="16838" w:orient="portrait"/>
          <w:cols w:equalWidth="0" w:num="3">
            <w:col w:w="4440" w:space="720"/>
            <w:col w:w="2240" w:space="720"/>
            <w:col w:w="3000"/>
          </w:cols>
          <w:pgMar w:left="320" w:top="648" w:right="459" w:bottom="1440" w:gutter="0" w:footer="0" w:header="0"/>
          <w:type w:val="continuous"/>
        </w:sectPr>
      </w:pPr>
    </w:p>
    <w:p>
      <w:pPr>
        <w:ind w:right="180"/>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ind w:right="200"/>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6"/>
        </w:trPr>
        <w:tc>
          <w:tcPr>
            <w:tcW w:w="1840" w:type="dxa"/>
            <w:vAlign w:val="bottom"/>
          </w:tcPr>
          <w:p>
            <w:pPr>
              <w:spacing w:after="0" w:line="176" w:lineRule="exact"/>
              <w:rPr>
                <w:sz w:val="20"/>
                <w:szCs w:val="20"/>
                <w:color w:val="auto"/>
              </w:rPr>
            </w:pPr>
            <w:r>
              <w:rPr>
                <w:rFonts w:ascii="Arial" w:cs="Arial" w:eastAsia="Arial" w:hAnsi="Arial"/>
                <w:sz w:val="18"/>
                <w:szCs w:val="18"/>
                <w:color w:val="auto"/>
              </w:rPr>
              <w:t>Non-accelerated filer</w:t>
            </w:r>
          </w:p>
        </w:tc>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rPr>
              <w:t>x</w:t>
            </w:r>
          </w:p>
        </w:tc>
        <w:tc>
          <w:tcPr>
            <w:tcW w:w="4080" w:type="dxa"/>
            <w:vAlign w:val="bottom"/>
          </w:tcPr>
          <w:p>
            <w:pPr>
              <w:ind w:left="1800"/>
              <w:spacing w:after="0" w:line="176" w:lineRule="exact"/>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76" w:lineRule="exact"/>
              <w:rPr>
                <w:sz w:val="20"/>
                <w:szCs w:val="20"/>
                <w:color w:val="auto"/>
              </w:rPr>
            </w:pPr>
            <w:r>
              <w:rPr>
                <w:rFonts w:ascii="Arial" w:cs="Arial" w:eastAsia="Arial" w:hAnsi="Arial"/>
                <w:sz w:val="18"/>
                <w:szCs w:val="18"/>
                <w:color w:val="auto"/>
              </w:rPr>
              <w:t>x</w:t>
            </w:r>
          </w:p>
        </w:tc>
      </w:tr>
      <w:tr>
        <w:trPr>
          <w:trHeight w:val="283"/>
        </w:trPr>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8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7"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68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 As of November 1, 2021, there were 51,969,094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48"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2"/>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6"/>
          </w:tcPr>
          <w:p>
            <w:pPr>
              <w:jc w:val="center"/>
              <w:ind w:right="3480"/>
              <w:spacing w:after="0"/>
              <w:rPr>
                <w:sz w:val="20"/>
                <w:szCs w:val="20"/>
                <w:color w:val="auto"/>
              </w:rPr>
            </w:pPr>
            <w:r>
              <w:rPr>
                <w:rFonts w:ascii="Arial" w:cs="Arial" w:eastAsia="Arial" w:hAnsi="Arial"/>
                <w:sz w:val="18"/>
                <w:szCs w:val="18"/>
                <w:b w:val="1"/>
                <w:bCs w:val="1"/>
                <w:color w:val="auto"/>
              </w:rPr>
              <w:t>TILE SHOP HOLDINGS,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4"/>
          </w:tcPr>
          <w:p>
            <w:pPr>
              <w:jc w:val="center"/>
              <w:ind w:right="408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bottom w:val="single" w:sz="8" w:color="0563C1"/>
            </w:tcBorders>
            <w:gridSpan w:val="12"/>
            <w:shd w:val="clear" w:color="auto" w:fill="CCEEFF"/>
          </w:tcPr>
          <w:p>
            <w:pPr>
              <w:spacing w:after="0" w:line="142" w:lineRule="exact"/>
              <w:rPr>
                <w:rFonts w:ascii="Arial" w:cs="Arial" w:eastAsia="Arial" w:hAnsi="Arial"/>
                <w:sz w:val="16"/>
                <w:szCs w:val="16"/>
                <w:b w:val="1"/>
                <w:bCs w:val="1"/>
                <w:color w:val="0563C1"/>
              </w:rPr>
            </w:pPr>
            <w:hyperlink w:anchor="page3">
              <w:r>
                <w:rPr>
                  <w:rFonts w:ascii="Arial" w:cs="Arial" w:eastAsia="Arial" w:hAnsi="Arial"/>
                  <w:sz w:val="16"/>
                  <w:szCs w:val="16"/>
                  <w:b w:val="1"/>
                  <w:bCs w:val="1"/>
                  <w:color w:val="0563C1"/>
                </w:rPr>
                <w:t>PART I. FINANCIAL INFORMATION</w:t>
              </w:r>
            </w:hyperlink>
          </w:p>
        </w:tc>
        <w:tc>
          <w:tcPr>
            <w:tcW w:w="7520" w:type="dxa"/>
            <w:vAlign w:val="bottom"/>
            <w:tcBorders>
              <w:top w:val="single" w:sz="8" w:color="CCEEFF"/>
              <w:bottom w:val="single" w:sz="8" w:color="CCEEFF"/>
            </w:tcBorders>
            <w:gridSpan w:val="10"/>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line="162" w:lineRule="exact"/>
              <w:rPr>
                <w:rFonts w:ascii="Arial" w:cs="Arial" w:eastAsia="Arial" w:hAnsi="Arial"/>
                <w:sz w:val="18"/>
                <w:szCs w:val="18"/>
                <w:color w:val="0563C1"/>
                <w:w w:val="90"/>
              </w:rPr>
            </w:pPr>
            <w:hyperlink w:anchor="page3">
              <w:r>
                <w:rPr>
                  <w:rFonts w:ascii="Arial" w:cs="Arial" w:eastAsia="Arial" w:hAnsi="Arial"/>
                  <w:sz w:val="18"/>
                  <w:szCs w:val="18"/>
                  <w:color w:val="0563C1"/>
                  <w:w w:val="90"/>
                </w:rPr>
                <w:t>Item 1.</w:t>
              </w:r>
            </w:hyperlink>
          </w:p>
        </w:tc>
        <w:tc>
          <w:tcPr>
            <w:tcW w:w="460" w:type="dxa"/>
            <w:vAlign w:val="bottom"/>
            <w:gridSpan w:val="3"/>
          </w:tcPr>
          <w:p>
            <w:pPr>
              <w:spacing w:after="0"/>
              <w:rPr>
                <w:sz w:val="14"/>
                <w:szCs w:val="14"/>
                <w:color w:val="auto"/>
              </w:rPr>
            </w:pPr>
          </w:p>
        </w:tc>
        <w:tc>
          <w:tcPr>
            <w:tcW w:w="9620" w:type="dxa"/>
            <w:vAlign w:val="bottom"/>
            <w:gridSpan w:val="18"/>
          </w:tcPr>
          <w:p>
            <w:pPr>
              <w:spacing w:after="0" w:line="162" w:lineRule="exact"/>
              <w:rPr>
                <w:rFonts w:ascii="Arial" w:cs="Arial" w:eastAsia="Arial" w:hAnsi="Arial"/>
                <w:sz w:val="18"/>
                <w:szCs w:val="18"/>
                <w:color w:val="0563C1"/>
              </w:rPr>
            </w:pPr>
            <w:hyperlink w:anchor="page3">
              <w:r>
                <w:rPr>
                  <w:rFonts w:ascii="Arial" w:cs="Arial" w:eastAsia="Arial" w:hAnsi="Arial"/>
                  <w:sz w:val="18"/>
                  <w:szCs w:val="18"/>
                  <w:color w:val="0563C1"/>
                </w:rPr>
                <w:t>Financial Statements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0563C1"/>
            </w:tcBorders>
            <w:gridSpan w:val="9"/>
            <w:shd w:val="clear" w:color="auto" w:fill="CCEEFF"/>
          </w:tcPr>
          <w:p>
            <w:pPr>
              <w:spacing w:after="0" w:line="162" w:lineRule="exact"/>
              <w:rPr>
                <w:rFonts w:ascii="Arial" w:cs="Arial" w:eastAsia="Arial" w:hAnsi="Arial"/>
                <w:sz w:val="18"/>
                <w:szCs w:val="18"/>
                <w:color w:val="0563C1"/>
                <w:w w:val="89"/>
              </w:rPr>
            </w:pPr>
            <w:hyperlink w:anchor="page3">
              <w:r>
                <w:rPr>
                  <w:rFonts w:ascii="Arial" w:cs="Arial" w:eastAsia="Arial" w:hAnsi="Arial"/>
                  <w:sz w:val="18"/>
                  <w:szCs w:val="18"/>
                  <w:color w:val="0563C1"/>
                  <w:w w:val="89"/>
                </w:rPr>
                <w:t>Consolidated Balance Sheets</w:t>
              </w:r>
            </w:hyperlink>
          </w:p>
        </w:tc>
        <w:tc>
          <w:tcPr>
            <w:tcW w:w="7480" w:type="dxa"/>
            <w:vAlign w:val="bottom"/>
            <w:tcBorders>
              <w:bottom w:val="single" w:sz="8" w:color="CCEEFF"/>
            </w:tcBorders>
            <w:gridSpan w:val="9"/>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Borders>
              <w:bottom w:val="single" w:sz="8" w:color="0563C1"/>
            </w:tcBorders>
            <w:gridSpan w:val="11"/>
          </w:tcPr>
          <w:p>
            <w:pPr>
              <w:spacing w:after="0" w:line="162" w:lineRule="exact"/>
              <w:rPr>
                <w:rFonts w:ascii="Arial" w:cs="Arial" w:eastAsia="Arial" w:hAnsi="Arial"/>
                <w:sz w:val="18"/>
                <w:szCs w:val="18"/>
                <w:color w:val="0563C1"/>
                <w:w w:val="90"/>
              </w:rPr>
            </w:pPr>
            <w:hyperlink w:anchor="page4">
              <w:r>
                <w:rPr>
                  <w:rFonts w:ascii="Arial" w:cs="Arial" w:eastAsia="Arial" w:hAnsi="Arial"/>
                  <w:sz w:val="18"/>
                  <w:szCs w:val="18"/>
                  <w:color w:val="0563C1"/>
                  <w:w w:val="90"/>
                </w:rPr>
                <w:t>Consolidated Statements of Operations</w:t>
              </w:r>
            </w:hyperlink>
          </w:p>
        </w:tc>
        <w:tc>
          <w:tcPr>
            <w:tcW w:w="6760" w:type="dxa"/>
            <w:vAlign w:val="bottom"/>
            <w:gridSpan w:val="7"/>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740" w:type="dxa"/>
            <w:vAlign w:val="bottom"/>
            <w:tcBorders>
              <w:bottom w:val="single" w:sz="8" w:color="0563C1"/>
            </w:tcBorders>
            <w:gridSpan w:val="14"/>
            <w:shd w:val="clear" w:color="auto" w:fill="CCEEFF"/>
          </w:tcPr>
          <w:p>
            <w:pPr>
              <w:spacing w:after="0" w:line="162" w:lineRule="exact"/>
              <w:rPr>
                <w:rFonts w:ascii="Arial" w:cs="Arial" w:eastAsia="Arial" w:hAnsi="Arial"/>
                <w:sz w:val="18"/>
                <w:szCs w:val="18"/>
                <w:color w:val="0563C1"/>
                <w:w w:val="89"/>
              </w:rPr>
            </w:pPr>
            <w:hyperlink w:anchor="page5">
              <w:r>
                <w:rPr>
                  <w:rFonts w:ascii="Arial" w:cs="Arial" w:eastAsia="Arial" w:hAnsi="Arial"/>
                  <w:sz w:val="18"/>
                  <w:szCs w:val="18"/>
                  <w:color w:val="0563C1"/>
                  <w:w w:val="89"/>
                </w:rPr>
                <w:t>Consolidated Statements of Comprehensive Income</w:t>
              </w:r>
            </w:hyperlink>
          </w:p>
        </w:tc>
        <w:tc>
          <w:tcPr>
            <w:tcW w:w="5880" w:type="dxa"/>
            <w:vAlign w:val="bottom"/>
            <w:tcBorders>
              <w:bottom w:val="single" w:sz="8" w:color="CCEEFF"/>
            </w:tcBorders>
            <w:gridSpan w:val="4"/>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8"/>
          </w:tcPr>
          <w:p>
            <w:pPr>
              <w:spacing w:after="0" w:line="162" w:lineRule="exact"/>
              <w:rPr>
                <w:rFonts w:ascii="Arial" w:cs="Arial" w:eastAsia="Arial" w:hAnsi="Arial"/>
                <w:sz w:val="18"/>
                <w:szCs w:val="18"/>
                <w:color w:val="0563C1"/>
              </w:rPr>
            </w:pPr>
            <w:hyperlink w:anchor="page6">
              <w:r>
                <w:rPr>
                  <w:rFonts w:ascii="Arial" w:cs="Arial" w:eastAsia="Arial" w:hAnsi="Arial"/>
                  <w:sz w:val="18"/>
                  <w:szCs w:val="18"/>
                  <w:color w:val="0563C1"/>
                </w:rPr>
                <w:t>Consolidated Statements of Stockholders’ Equity</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540" w:type="dxa"/>
            <w:vAlign w:val="bottom"/>
            <w:tcBorders>
              <w:top w:val="single" w:sz="8" w:color="0563C1"/>
            </w:tcBorders>
            <w:gridSpan w:val="13"/>
            <w:shd w:val="clear" w:color="auto" w:fill="CCEEFF"/>
          </w:tcPr>
          <w:p>
            <w:pPr>
              <w:spacing w:after="0" w:line="162" w:lineRule="exact"/>
              <w:rPr>
                <w:rFonts w:ascii="Arial" w:cs="Arial" w:eastAsia="Arial" w:hAnsi="Arial"/>
                <w:sz w:val="18"/>
                <w:szCs w:val="18"/>
                <w:color w:val="0563C1"/>
              </w:rPr>
            </w:pPr>
            <w:hyperlink w:anchor="page8">
              <w:r>
                <w:rPr>
                  <w:rFonts w:ascii="Arial" w:cs="Arial" w:eastAsia="Arial" w:hAnsi="Arial"/>
                  <w:sz w:val="18"/>
                  <w:szCs w:val="18"/>
                  <w:color w:val="0563C1"/>
                </w:rPr>
                <w:t>Consolidated Statements of Cash Flows</w:t>
              </w:r>
            </w:hyperlink>
          </w:p>
        </w:tc>
        <w:tc>
          <w:tcPr>
            <w:tcW w:w="6080" w:type="dxa"/>
            <w:vAlign w:val="bottom"/>
            <w:gridSpan w:val="5"/>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8"/>
          </w:tcPr>
          <w:p>
            <w:pPr>
              <w:spacing w:after="0" w:line="162" w:lineRule="exact"/>
              <w:rPr>
                <w:rFonts w:ascii="Arial" w:cs="Arial" w:eastAsia="Arial" w:hAnsi="Arial"/>
                <w:sz w:val="18"/>
                <w:szCs w:val="18"/>
                <w:color w:val="0563C1"/>
              </w:rPr>
            </w:pPr>
            <w:hyperlink w:anchor="page9">
              <w:r>
                <w:rPr>
                  <w:rFonts w:ascii="Arial" w:cs="Arial" w:eastAsia="Arial" w:hAnsi="Arial"/>
                  <w:sz w:val="18"/>
                  <w:szCs w:val="18"/>
                  <w:color w:val="0563C1"/>
                </w:rPr>
                <w:t>Notes to Consolidated Financial Statements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280" w:type="dxa"/>
            <w:vAlign w:val="bottom"/>
            <w:shd w:val="clear" w:color="auto" w:fill="0563C1"/>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17">
              <w:r>
                <w:rPr>
                  <w:rFonts w:ascii="Arial" w:cs="Arial" w:eastAsia="Arial" w:hAnsi="Arial"/>
                  <w:sz w:val="18"/>
                  <w:szCs w:val="18"/>
                  <w:color w:val="0563C1"/>
                  <w:w w:val="90"/>
                </w:rPr>
                <w:t>Item 2.</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460" w:type="dxa"/>
            <w:vAlign w:val="bottom"/>
            <w:tcBorders>
              <w:bottom w:val="single" w:sz="8" w:color="0563C1"/>
            </w:tcBorders>
            <w:gridSpan w:val="17"/>
            <w:shd w:val="clear" w:color="auto" w:fill="CCEEFF"/>
          </w:tcPr>
          <w:p>
            <w:pPr>
              <w:spacing w:after="0" w:line="162" w:lineRule="exact"/>
              <w:rPr>
                <w:rFonts w:ascii="Arial" w:cs="Arial" w:eastAsia="Arial" w:hAnsi="Arial"/>
                <w:sz w:val="18"/>
                <w:szCs w:val="18"/>
                <w:color w:val="0563C1"/>
                <w:w w:val="90"/>
              </w:rPr>
            </w:pPr>
            <w:hyperlink w:anchor="page17">
              <w:r>
                <w:rPr>
                  <w:rFonts w:ascii="Arial" w:cs="Arial" w:eastAsia="Arial" w:hAnsi="Arial"/>
                  <w:sz w:val="18"/>
                  <w:szCs w:val="18"/>
                  <w:color w:val="0563C1"/>
                  <w:w w:val="90"/>
                </w:rPr>
                <w:t>Management’s Discussion and Analysis of Financial Condition and Results of Operations</w:t>
              </w:r>
            </w:hyperlink>
          </w:p>
        </w:tc>
        <w:tc>
          <w:tcPr>
            <w:tcW w:w="3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tcPr>
          <w:p>
            <w:pPr>
              <w:spacing w:after="0" w:line="162" w:lineRule="exact"/>
              <w:rPr>
                <w:rFonts w:ascii="Arial" w:cs="Arial" w:eastAsia="Arial" w:hAnsi="Arial"/>
                <w:sz w:val="18"/>
                <w:szCs w:val="18"/>
                <w:color w:val="0563C1"/>
                <w:w w:val="90"/>
              </w:rPr>
            </w:pPr>
            <w:hyperlink w:anchor="page26">
              <w:r>
                <w:rPr>
                  <w:rFonts w:ascii="Arial" w:cs="Arial" w:eastAsia="Arial" w:hAnsi="Arial"/>
                  <w:sz w:val="18"/>
                  <w:szCs w:val="18"/>
                  <w:color w:val="0563C1"/>
                  <w:w w:val="90"/>
                </w:rPr>
                <w:t>Item 3.</w:t>
              </w:r>
            </w:hyperlink>
          </w:p>
        </w:tc>
        <w:tc>
          <w:tcPr>
            <w:tcW w:w="460" w:type="dxa"/>
            <w:vAlign w:val="bottom"/>
            <w:gridSpan w:val="3"/>
          </w:tcPr>
          <w:p>
            <w:pPr>
              <w:spacing w:after="0"/>
              <w:rPr>
                <w:sz w:val="14"/>
                <w:szCs w:val="14"/>
                <w:color w:val="auto"/>
              </w:rPr>
            </w:pPr>
          </w:p>
        </w:tc>
        <w:tc>
          <w:tcPr>
            <w:tcW w:w="4360" w:type="dxa"/>
            <w:vAlign w:val="bottom"/>
            <w:tcBorders>
              <w:bottom w:val="single" w:sz="8" w:color="0563C1"/>
            </w:tcBorders>
            <w:gridSpan w:val="16"/>
          </w:tcPr>
          <w:p>
            <w:pPr>
              <w:spacing w:after="0" w:line="162" w:lineRule="exact"/>
              <w:rPr>
                <w:rFonts w:ascii="Arial" w:cs="Arial" w:eastAsia="Arial" w:hAnsi="Arial"/>
                <w:sz w:val="18"/>
                <w:szCs w:val="18"/>
                <w:color w:val="0563C1"/>
                <w:w w:val="92"/>
              </w:rPr>
            </w:pPr>
            <w:hyperlink w:anchor="page26">
              <w:r>
                <w:rPr>
                  <w:rFonts w:ascii="Arial" w:cs="Arial" w:eastAsia="Arial" w:hAnsi="Arial"/>
                  <w:sz w:val="18"/>
                  <w:szCs w:val="18"/>
                  <w:color w:val="0563C1"/>
                  <w:w w:val="92"/>
                </w:rPr>
                <w:t>Quantitative and Qualitative Disclosures About Market Risk</w:t>
              </w:r>
            </w:hyperlink>
          </w:p>
        </w:tc>
        <w:tc>
          <w:tcPr>
            <w:tcW w:w="5260" w:type="dxa"/>
            <w:vAlign w:val="bottom"/>
            <w:gridSpan w:val="2"/>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line="162" w:lineRule="exact"/>
              <w:rPr>
                <w:rFonts w:ascii="Arial" w:cs="Arial" w:eastAsia="Arial" w:hAnsi="Arial"/>
                <w:sz w:val="18"/>
                <w:szCs w:val="18"/>
                <w:color w:val="0563C1"/>
                <w:w w:val="90"/>
              </w:rPr>
            </w:pPr>
            <w:hyperlink w:anchor="page26">
              <w:r>
                <w:rPr>
                  <w:rFonts w:ascii="Arial" w:cs="Arial" w:eastAsia="Arial" w:hAnsi="Arial"/>
                  <w:sz w:val="18"/>
                  <w:szCs w:val="18"/>
                  <w:color w:val="0563C1"/>
                  <w:w w:val="90"/>
                </w:rPr>
                <w:t>Item 4.</w:t>
              </w:r>
            </w:hyperlink>
          </w:p>
        </w:tc>
        <w:tc>
          <w:tcPr>
            <w:tcW w:w="460" w:type="dxa"/>
            <w:vAlign w:val="bottom"/>
            <w:gridSpan w:val="3"/>
            <w:shd w:val="clear" w:color="auto" w:fill="CCEEFF"/>
          </w:tcPr>
          <w:p>
            <w:pPr>
              <w:spacing w:after="0"/>
              <w:rPr>
                <w:sz w:val="14"/>
                <w:szCs w:val="14"/>
                <w:color w:val="auto"/>
              </w:rPr>
            </w:pPr>
          </w:p>
        </w:tc>
        <w:tc>
          <w:tcPr>
            <w:tcW w:w="9620" w:type="dxa"/>
            <w:vAlign w:val="bottom"/>
            <w:gridSpan w:val="18"/>
            <w:shd w:val="clear" w:color="auto" w:fill="CCEEFF"/>
          </w:tcPr>
          <w:p>
            <w:pPr>
              <w:spacing w:after="0" w:line="162" w:lineRule="exact"/>
              <w:rPr>
                <w:rFonts w:ascii="Arial" w:cs="Arial" w:eastAsia="Arial" w:hAnsi="Arial"/>
                <w:sz w:val="18"/>
                <w:szCs w:val="18"/>
                <w:color w:val="0563C1"/>
              </w:rPr>
            </w:pPr>
            <w:hyperlink w:anchor="page26">
              <w:r>
                <w:rPr>
                  <w:rFonts w:ascii="Arial" w:cs="Arial" w:eastAsia="Arial" w:hAnsi="Arial"/>
                  <w:sz w:val="18"/>
                  <w:szCs w:val="18"/>
                  <w:color w:val="0563C1"/>
                </w:rPr>
                <w:t>Controls and Procedures</w:t>
              </w:r>
            </w:hyperlink>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CCEEFF"/>
            </w:tcBorders>
            <w:shd w:val="clear" w:color="auto" w:fill="0563C1"/>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Borders>
              <w:bottom w:val="single" w:sz="8" w:color="0563C1"/>
            </w:tcBorders>
            <w:gridSpan w:val="11"/>
          </w:tcPr>
          <w:p>
            <w:pPr>
              <w:spacing w:after="0" w:line="162" w:lineRule="exact"/>
              <w:rPr>
                <w:rFonts w:ascii="Arial" w:cs="Arial" w:eastAsia="Arial" w:hAnsi="Arial"/>
                <w:sz w:val="18"/>
                <w:szCs w:val="18"/>
                <w:b w:val="1"/>
                <w:bCs w:val="1"/>
                <w:color w:val="0563C1"/>
              </w:rPr>
            </w:pPr>
            <w:hyperlink w:anchor="page26">
              <w:r>
                <w:rPr>
                  <w:rFonts w:ascii="Arial" w:cs="Arial" w:eastAsia="Arial" w:hAnsi="Arial"/>
                  <w:sz w:val="18"/>
                  <w:szCs w:val="18"/>
                  <w:b w:val="1"/>
                  <w:bCs w:val="1"/>
                  <w:color w:val="0563C1"/>
                </w:rPr>
                <w:t>PART II. OTHER INFORMATION</w:t>
              </w:r>
            </w:hyperlink>
          </w:p>
        </w:tc>
        <w:tc>
          <w:tcPr>
            <w:tcW w:w="7820" w:type="dxa"/>
            <w:vAlign w:val="bottom"/>
            <w:gridSpan w:val="11"/>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6">
              <w:r>
                <w:rPr>
                  <w:rFonts w:ascii="Arial" w:cs="Arial" w:eastAsia="Arial" w:hAnsi="Arial"/>
                  <w:sz w:val="18"/>
                  <w:szCs w:val="18"/>
                  <w:color w:val="0563C1"/>
                  <w:w w:val="90"/>
                </w:rPr>
                <w:t>Item 1.</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1340" w:type="dxa"/>
            <w:vAlign w:val="bottom"/>
            <w:tcBorders>
              <w:bottom w:val="single" w:sz="8" w:color="0563C1"/>
            </w:tcBorders>
            <w:gridSpan w:val="5"/>
            <w:shd w:val="clear" w:color="auto" w:fill="CCEEFF"/>
          </w:tcPr>
          <w:p>
            <w:pPr>
              <w:spacing w:after="0" w:line="162" w:lineRule="exact"/>
              <w:rPr>
                <w:rFonts w:ascii="Arial" w:cs="Arial" w:eastAsia="Arial" w:hAnsi="Arial"/>
                <w:sz w:val="18"/>
                <w:szCs w:val="18"/>
                <w:color w:val="0563C1"/>
                <w:w w:val="88"/>
              </w:rPr>
            </w:pPr>
            <w:hyperlink w:anchor="page26">
              <w:r>
                <w:rPr>
                  <w:rFonts w:ascii="Arial" w:cs="Arial" w:eastAsia="Arial" w:hAnsi="Arial"/>
                  <w:sz w:val="18"/>
                  <w:szCs w:val="18"/>
                  <w:color w:val="0563C1"/>
                  <w:w w:val="88"/>
                </w:rPr>
                <w:t>Legal Proceedings</w:t>
              </w:r>
            </w:hyperlink>
          </w:p>
        </w:tc>
        <w:tc>
          <w:tcPr>
            <w:tcW w:w="8280" w:type="dxa"/>
            <w:vAlign w:val="bottom"/>
            <w:tcBorders>
              <w:bottom w:val="single" w:sz="8" w:color="CCEEFF"/>
            </w:tcBorders>
            <w:gridSpan w:val="13"/>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Item 1A.</w:t>
              </w:r>
            </w:hyperlink>
          </w:p>
        </w:tc>
        <w:tc>
          <w:tcPr>
            <w:tcW w:w="9620" w:type="dxa"/>
            <w:vAlign w:val="bottom"/>
            <w:gridSpan w:val="18"/>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Risk Factors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shd w:val="clear" w:color="auto" w:fill="CCEEFF"/>
          </w:tcPr>
          <w:p>
            <w:pPr>
              <w:spacing w:after="0" w:line="162" w:lineRule="exact"/>
              <w:rPr>
                <w:rFonts w:ascii="Arial" w:cs="Arial" w:eastAsia="Arial" w:hAnsi="Arial"/>
                <w:sz w:val="18"/>
                <w:szCs w:val="18"/>
                <w:color w:val="0563C1"/>
                <w:w w:val="90"/>
              </w:rPr>
            </w:pPr>
            <w:hyperlink w:anchor="page27">
              <w:r>
                <w:rPr>
                  <w:rFonts w:ascii="Arial" w:cs="Arial" w:eastAsia="Arial" w:hAnsi="Arial"/>
                  <w:sz w:val="18"/>
                  <w:szCs w:val="18"/>
                  <w:color w:val="0563C1"/>
                  <w:w w:val="90"/>
                </w:rPr>
                <w:t>Item 2.</w:t>
              </w:r>
            </w:hyperlink>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9620" w:type="dxa"/>
            <w:vAlign w:val="bottom"/>
            <w:gridSpan w:val="18"/>
            <w:shd w:val="clear" w:color="auto" w:fill="CCEEFF"/>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Unregistered Sales of Equity Securities and Use of Proceeds</w:t>
              </w:r>
            </w:hyperlink>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tcPr>
          <w:p>
            <w:pPr>
              <w:spacing w:after="0" w:line="162" w:lineRule="exact"/>
              <w:rPr>
                <w:rFonts w:ascii="Arial" w:cs="Arial" w:eastAsia="Arial" w:hAnsi="Arial"/>
                <w:sz w:val="18"/>
                <w:szCs w:val="18"/>
                <w:color w:val="0563C1"/>
                <w:w w:val="90"/>
              </w:rPr>
            </w:pPr>
            <w:hyperlink w:anchor="page27">
              <w:r>
                <w:rPr>
                  <w:rFonts w:ascii="Arial" w:cs="Arial" w:eastAsia="Arial" w:hAnsi="Arial"/>
                  <w:sz w:val="18"/>
                  <w:szCs w:val="18"/>
                  <w:color w:val="0563C1"/>
                  <w:w w:val="90"/>
                </w:rPr>
                <w:t>Item 3.</w:t>
              </w:r>
            </w:hyperlink>
          </w:p>
        </w:tc>
        <w:tc>
          <w:tcPr>
            <w:tcW w:w="460" w:type="dxa"/>
            <w:vAlign w:val="bottom"/>
            <w:tcBorders>
              <w:top w:val="single" w:sz="8" w:color="CCEEFF"/>
            </w:tcBorders>
            <w:gridSpan w:val="3"/>
          </w:tcPr>
          <w:p>
            <w:pPr>
              <w:spacing w:after="0"/>
              <w:rPr>
                <w:sz w:val="14"/>
                <w:szCs w:val="14"/>
                <w:color w:val="auto"/>
              </w:rPr>
            </w:pPr>
          </w:p>
        </w:tc>
        <w:tc>
          <w:tcPr>
            <w:tcW w:w="4340" w:type="dxa"/>
            <w:vAlign w:val="bottom"/>
            <w:tcBorders>
              <w:top w:val="single" w:sz="8" w:color="0563C1"/>
            </w:tcBorders>
            <w:gridSpan w:val="15"/>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Defaults Upon Senior Securities</w:t>
              </w:r>
            </w:hyperlink>
          </w:p>
        </w:tc>
        <w:tc>
          <w:tcPr>
            <w:tcW w:w="5280" w:type="dxa"/>
            <w:vAlign w:val="bottom"/>
            <w:tcBorders>
              <w:top w:val="single" w:sz="8" w:color="CCEEFF"/>
            </w:tcBorders>
            <w:gridSpan w:val="3"/>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7">
              <w:r>
                <w:rPr>
                  <w:rFonts w:ascii="Arial" w:cs="Arial" w:eastAsia="Arial" w:hAnsi="Arial"/>
                  <w:sz w:val="18"/>
                  <w:szCs w:val="18"/>
                  <w:color w:val="0563C1"/>
                  <w:w w:val="90"/>
                </w:rPr>
                <w:t>Item 4.</w:t>
              </w:r>
            </w:hyperlink>
          </w:p>
        </w:tc>
        <w:tc>
          <w:tcPr>
            <w:tcW w:w="460" w:type="dxa"/>
            <w:vAlign w:val="bottom"/>
            <w:gridSpan w:val="3"/>
            <w:shd w:val="clear" w:color="auto" w:fill="CCEEFF"/>
          </w:tcPr>
          <w:p>
            <w:pPr>
              <w:spacing w:after="0"/>
              <w:rPr>
                <w:sz w:val="14"/>
                <w:szCs w:val="14"/>
                <w:color w:val="auto"/>
              </w:rPr>
            </w:pPr>
          </w:p>
        </w:tc>
        <w:tc>
          <w:tcPr>
            <w:tcW w:w="2320" w:type="dxa"/>
            <w:vAlign w:val="bottom"/>
            <w:tcBorders>
              <w:top w:val="single" w:sz="8" w:color="0563C1"/>
            </w:tcBorders>
            <w:gridSpan w:val="10"/>
            <w:shd w:val="clear" w:color="auto" w:fill="CCEEFF"/>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Mine Safety Disclosures</w:t>
              </w:r>
            </w:hyperlink>
          </w:p>
        </w:tc>
        <w:tc>
          <w:tcPr>
            <w:tcW w:w="7300" w:type="dxa"/>
            <w:vAlign w:val="bottom"/>
            <w:gridSpan w:val="8"/>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bottom w:val="single" w:sz="8" w:color="0563C1"/>
            </w:tcBorders>
          </w:tcPr>
          <w:p>
            <w:pPr>
              <w:spacing w:after="0" w:line="162" w:lineRule="exact"/>
              <w:rPr>
                <w:rFonts w:ascii="Arial" w:cs="Arial" w:eastAsia="Arial" w:hAnsi="Arial"/>
                <w:sz w:val="18"/>
                <w:szCs w:val="18"/>
                <w:color w:val="0563C1"/>
                <w:w w:val="90"/>
              </w:rPr>
            </w:pPr>
            <w:hyperlink w:anchor="page28">
              <w:r>
                <w:rPr>
                  <w:rFonts w:ascii="Arial" w:cs="Arial" w:eastAsia="Arial" w:hAnsi="Arial"/>
                  <w:sz w:val="18"/>
                  <w:szCs w:val="18"/>
                  <w:color w:val="0563C1"/>
                  <w:w w:val="90"/>
                </w:rPr>
                <w:t>Item 5.</w:t>
              </w:r>
            </w:hyperlink>
          </w:p>
        </w:tc>
        <w:tc>
          <w:tcPr>
            <w:tcW w:w="460" w:type="dxa"/>
            <w:vAlign w:val="bottom"/>
            <w:tcBorders>
              <w:top w:val="single" w:sz="8" w:color="CCEEFF"/>
            </w:tcBorders>
            <w:gridSpan w:val="3"/>
          </w:tcPr>
          <w:p>
            <w:pPr>
              <w:spacing w:after="0"/>
              <w:rPr>
                <w:sz w:val="14"/>
                <w:szCs w:val="14"/>
                <w:color w:val="auto"/>
              </w:rPr>
            </w:pPr>
          </w:p>
        </w:tc>
        <w:tc>
          <w:tcPr>
            <w:tcW w:w="1320" w:type="dxa"/>
            <w:vAlign w:val="bottom"/>
            <w:tcBorders>
              <w:top w:val="single" w:sz="8" w:color="0563C1"/>
              <w:bottom w:val="single" w:sz="8" w:color="0563C1"/>
            </w:tcBorders>
            <w:gridSpan w:val="4"/>
          </w:tcPr>
          <w:p>
            <w:pPr>
              <w:spacing w:after="0" w:line="162" w:lineRule="exact"/>
              <w:rPr>
                <w:rFonts w:ascii="Arial" w:cs="Arial" w:eastAsia="Arial" w:hAnsi="Arial"/>
                <w:sz w:val="18"/>
                <w:szCs w:val="18"/>
                <w:color w:val="0563C1"/>
                <w:w w:val="92"/>
              </w:rPr>
            </w:pPr>
            <w:hyperlink w:anchor="page28">
              <w:r>
                <w:rPr>
                  <w:rFonts w:ascii="Arial" w:cs="Arial" w:eastAsia="Arial" w:hAnsi="Arial"/>
                  <w:sz w:val="18"/>
                  <w:szCs w:val="18"/>
                  <w:color w:val="0563C1"/>
                  <w:w w:val="92"/>
                </w:rPr>
                <w:t>Other Information</w:t>
              </w:r>
            </w:hyperlink>
          </w:p>
        </w:tc>
        <w:tc>
          <w:tcPr>
            <w:tcW w:w="480" w:type="dxa"/>
            <w:vAlign w:val="bottom"/>
            <w:tcBorders>
              <w:top w:val="single" w:sz="8" w:color="0563C1"/>
            </w:tcBorders>
            <w:gridSpan w:val="3"/>
          </w:tcPr>
          <w:p>
            <w:pPr>
              <w:spacing w:after="0"/>
              <w:rPr>
                <w:sz w:val="14"/>
                <w:szCs w:val="14"/>
                <w:color w:val="auto"/>
              </w:rPr>
            </w:pPr>
          </w:p>
        </w:tc>
        <w:tc>
          <w:tcPr>
            <w:tcW w:w="7820" w:type="dxa"/>
            <w:vAlign w:val="bottom"/>
            <w:tcBorders>
              <w:top w:val="single" w:sz="8" w:color="CCEEFF"/>
            </w:tcBorders>
            <w:gridSpan w:val="11"/>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30">
              <w:r>
                <w:rPr>
                  <w:rFonts w:ascii="Arial" w:cs="Arial" w:eastAsia="Arial" w:hAnsi="Arial"/>
                  <w:sz w:val="18"/>
                  <w:szCs w:val="18"/>
                  <w:color w:val="0563C1"/>
                  <w:w w:val="90"/>
                </w:rPr>
                <w:t>Item 6.</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00" w:type="dxa"/>
            <w:vAlign w:val="bottom"/>
            <w:tcBorders>
              <w:bottom w:val="single" w:sz="8" w:color="0563C1"/>
            </w:tcBorders>
            <w:gridSpan w:val="2"/>
            <w:shd w:val="clear" w:color="auto" w:fill="CCEEFF"/>
          </w:tcPr>
          <w:p>
            <w:pPr>
              <w:spacing w:after="0" w:line="162" w:lineRule="exact"/>
              <w:rPr>
                <w:rFonts w:ascii="Arial" w:cs="Arial" w:eastAsia="Arial" w:hAnsi="Arial"/>
                <w:sz w:val="18"/>
                <w:szCs w:val="18"/>
                <w:color w:val="0563C1"/>
                <w:w w:val="91"/>
              </w:rPr>
            </w:pPr>
            <w:hyperlink w:anchor="page30">
              <w:r>
                <w:rPr>
                  <w:rFonts w:ascii="Arial" w:cs="Arial" w:eastAsia="Arial" w:hAnsi="Arial"/>
                  <w:sz w:val="18"/>
                  <w:szCs w:val="18"/>
                  <w:color w:val="0563C1"/>
                  <w:w w:val="91"/>
                </w:rPr>
                <w:t>Exhibits</w:t>
              </w:r>
            </w:hyperlink>
          </w:p>
        </w:tc>
        <w:tc>
          <w:tcPr>
            <w:tcW w:w="9020" w:type="dxa"/>
            <w:vAlign w:val="bottom"/>
            <w:tcBorders>
              <w:bottom w:val="single" w:sz="8" w:color="CCEEFF"/>
            </w:tcBorders>
            <w:gridSpan w:val="16"/>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rFonts w:ascii="Arial" w:cs="Arial" w:eastAsia="Arial" w:hAnsi="Arial"/>
                <w:sz w:val="18"/>
                <w:szCs w:val="18"/>
                <w:color w:val="0563C1"/>
              </w:rPr>
            </w:pPr>
            <w:hyperlink w:anchor="page30">
              <w:r>
                <w:rPr>
                  <w:rFonts w:ascii="Arial" w:cs="Arial" w:eastAsia="Arial" w:hAnsi="Arial"/>
                  <w:sz w:val="18"/>
                  <w:szCs w:val="18"/>
                  <w:color w:val="0563C1"/>
                </w:rPr>
                <w:t>Signatures</w:t>
              </w:r>
            </w:hyperlink>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3"/>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7"/>
        </w:trPr>
        <w:tc>
          <w:tcPr>
            <w:tcW w:w="1360" w:type="dxa"/>
            <w:vAlign w:val="bottom"/>
          </w:tcPr>
          <w:p>
            <w:pPr>
              <w:spacing w:after="0"/>
              <w:rPr>
                <w:sz w:val="24"/>
                <w:szCs w:val="24"/>
                <w:color w:val="auto"/>
              </w:rPr>
            </w:pPr>
          </w:p>
        </w:tc>
        <w:tc>
          <w:tcPr>
            <w:tcW w:w="7000" w:type="dxa"/>
            <w:vAlign w:val="bottom"/>
          </w:tcPr>
          <w:p>
            <w:pPr>
              <w:ind w:left="2680"/>
              <w:spacing w:after="0"/>
              <w:rPr>
                <w:sz w:val="20"/>
                <w:szCs w:val="20"/>
                <w:color w:val="auto"/>
              </w:rPr>
            </w:pPr>
            <w:r>
              <w:rPr>
                <w:rFonts w:ascii="Arial" w:cs="Arial" w:eastAsia="Arial" w:hAnsi="Arial"/>
                <w:sz w:val="18"/>
                <w:szCs w:val="18"/>
                <w:b w:val="1"/>
                <w:bCs w:val="1"/>
                <w:color w:val="auto"/>
              </w:rPr>
              <w:t>Tile Shop Holdings, Inc. and Subsidiaries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7000" w:type="dxa"/>
            <w:vAlign w:val="bottom"/>
          </w:tcPr>
          <w:p>
            <w:pPr>
              <w:ind w:left="3220"/>
              <w:spacing w:after="0" w:line="189" w:lineRule="exact"/>
              <w:rPr>
                <w:sz w:val="20"/>
                <w:szCs w:val="20"/>
                <w:color w:val="auto"/>
              </w:rPr>
            </w:pPr>
            <w:r>
              <w:rPr>
                <w:rFonts w:ascii="Arial" w:cs="Arial" w:eastAsia="Arial" w:hAnsi="Arial"/>
                <w:sz w:val="18"/>
                <w:szCs w:val="18"/>
                <w:color w:val="auto"/>
              </w:rPr>
              <w:t>Consolidated Balance Sheets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7000" w:type="dxa"/>
            <w:vAlign w:val="bottom"/>
          </w:tcPr>
          <w:p>
            <w:pPr>
              <w:ind w:left="2660"/>
              <w:spacing w:after="0"/>
              <w:rPr>
                <w:sz w:val="20"/>
                <w:szCs w:val="20"/>
                <w:color w:val="auto"/>
              </w:rPr>
            </w:pPr>
            <w:r>
              <w:rPr>
                <w:rFonts w:ascii="Arial" w:cs="Arial" w:eastAsia="Arial" w:hAnsi="Arial"/>
                <w:sz w:val="18"/>
                <w:szCs w:val="18"/>
                <w:color w:val="auto"/>
              </w:rPr>
              <w:t>(dollars in thousands, except per share data)</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1"/>
        </w:trPr>
        <w:tc>
          <w:tcPr>
            <w:tcW w:w="13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r>
      <w:tr>
        <w:trPr>
          <w:trHeight w:val="189"/>
        </w:trPr>
        <w:tc>
          <w:tcPr>
            <w:tcW w:w="136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9"/>
              </w:rPr>
              <w:t>2020</w:t>
            </w:r>
          </w:p>
        </w:tc>
      </w:tr>
      <w:tr>
        <w:trPr>
          <w:trHeight w:val="217"/>
        </w:trPr>
        <w:tc>
          <w:tcPr>
            <w:tcW w:w="13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0"/>
              </w:rPr>
              <w:t>(audited)</w:t>
            </w:r>
          </w:p>
        </w:tc>
      </w:tr>
      <w:tr>
        <w:trPr>
          <w:trHeight w:val="183"/>
        </w:trPr>
        <w:tc>
          <w:tcPr>
            <w:tcW w:w="83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44,264</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9,617</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3,331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2,975</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76,697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74,296</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8,580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8,116</w:t>
            </w: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Other current assets, net</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8,084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8,995</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141,611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104,654</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86,897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99,035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125,258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132,374</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6,177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5,341</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1,286</w:t>
            </w:r>
          </w:p>
        </w:tc>
      </w:tr>
      <w:tr>
        <w:trPr>
          <w:trHeight w:val="22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360,864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342,690</w:t>
            </w:r>
          </w:p>
        </w:tc>
      </w:tr>
      <w:tr>
        <w:trPr>
          <w:trHeight w:val="169"/>
        </w:trPr>
        <w:tc>
          <w:tcPr>
            <w:tcW w:w="1360" w:type="dxa"/>
            <w:vAlign w:val="bottom"/>
            <w:shd w:val="clear" w:color="auto" w:fill="CCEEFF"/>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19,450</w:t>
            </w:r>
          </w:p>
        </w:tc>
        <w:tc>
          <w:tcPr>
            <w:tcW w:w="8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15,382</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portion of lease liability</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27,315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27,223</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41,208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34,106</w:t>
            </w:r>
          </w:p>
        </w:tc>
      </w:tr>
      <w:tr>
        <w:trPr>
          <w:trHeight w:val="182"/>
        </w:trPr>
        <w:tc>
          <w:tcPr>
            <w:tcW w:w="8360" w:type="dxa"/>
            <w:vAlign w:val="bottom"/>
            <w:gridSpan w:val="2"/>
          </w:tcPr>
          <w:p>
            <w:pPr>
              <w:spacing w:after="0" w:line="182"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88,475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76,804</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114,261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122,678</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5,050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4,146</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207,786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203,628</w:t>
            </w:r>
          </w:p>
        </w:tc>
      </w:tr>
      <w:tr>
        <w:trPr>
          <w:trHeight w:val="183"/>
        </w:trPr>
        <w:tc>
          <w:tcPr>
            <w:tcW w:w="1360" w:type="dxa"/>
            <w:vAlign w:val="bottom"/>
            <w:shd w:val="clear" w:color="auto" w:fill="CCEEFF"/>
          </w:tcPr>
          <w:p>
            <w:pPr>
              <w:spacing w:after="0"/>
              <w:rPr>
                <w:sz w:val="15"/>
                <w:szCs w:val="15"/>
                <w:color w:val="auto"/>
              </w:rPr>
            </w:pPr>
          </w:p>
        </w:tc>
        <w:tc>
          <w:tcPr>
            <w:tcW w:w="7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1"/>
        </w:trPr>
        <w:tc>
          <w:tcPr>
            <w:tcW w:w="836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6"/>
              </w:rPr>
              <w:t>Common stock, par value $0.0001; authorized: 100,000,000 shares; issued and outstanding: 51,984,269 and</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7"/>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51,701,080 shares, respectively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159,594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158,556</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6"/>
                <w:szCs w:val="16"/>
                <w:color w:val="auto"/>
              </w:rPr>
            </w:pPr>
          </w:p>
        </w:tc>
        <w:tc>
          <w:tcPr>
            <w:tcW w:w="13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(6,521)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(19,487)</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153,078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139,062</w:t>
            </w:r>
          </w:p>
        </w:tc>
      </w:tr>
      <w:tr>
        <w:trPr>
          <w:trHeight w:val="183"/>
        </w:trPr>
        <w:tc>
          <w:tcPr>
            <w:tcW w:w="83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360,864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342,690</w:t>
            </w:r>
          </w:p>
        </w:tc>
      </w:tr>
      <w:tr>
        <w:trPr>
          <w:trHeight w:val="20"/>
        </w:trPr>
        <w:tc>
          <w:tcPr>
            <w:tcW w:w="13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06"/>
        </w:trPr>
        <w:tc>
          <w:tcPr>
            <w:tcW w:w="1360" w:type="dxa"/>
            <w:vAlign w:val="bottom"/>
            <w:tcBorders>
              <w:top w:val="single" w:sz="8" w:color="0563C1"/>
            </w:tcBorders>
          </w:tcPr>
          <w:p>
            <w:pPr>
              <w:spacing w:after="0"/>
              <w:rPr>
                <w:sz w:val="24"/>
                <w:szCs w:val="24"/>
                <w:color w:val="auto"/>
              </w:rPr>
            </w:pPr>
          </w:p>
        </w:tc>
        <w:tc>
          <w:tcPr>
            <w:tcW w:w="2260" w:type="dxa"/>
            <w:vAlign w:val="bottom"/>
          </w:tcPr>
          <w:p>
            <w:pPr>
              <w:spacing w:after="0"/>
              <w:rPr>
                <w:sz w:val="24"/>
                <w:szCs w:val="24"/>
                <w:color w:val="auto"/>
              </w:rPr>
            </w:pPr>
          </w:p>
        </w:tc>
        <w:tc>
          <w:tcPr>
            <w:tcW w:w="390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60" w:type="dxa"/>
            <w:vAlign w:val="bottom"/>
            <w:gridSpan w:val="4"/>
          </w:tcPr>
          <w:p>
            <w:pPr>
              <w:jc w:val="center"/>
              <w:ind w:left="470"/>
              <w:spacing w:after="0" w:line="189" w:lineRule="exact"/>
              <w:rPr>
                <w:sz w:val="20"/>
                <w:szCs w:val="20"/>
                <w:color w:val="auto"/>
              </w:rPr>
            </w:pPr>
            <w:r>
              <w:rPr>
                <w:rFonts w:ascii="Arial" w:cs="Arial" w:eastAsia="Arial" w:hAnsi="Arial"/>
                <w:sz w:val="18"/>
                <w:szCs w:val="18"/>
                <w:color w:val="auto"/>
                <w:w w:val="89"/>
              </w:rPr>
              <w:t>Consolidated Statements of Operations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900" w:type="dxa"/>
            <w:vAlign w:val="bottom"/>
            <w:gridSpan w:val="5"/>
          </w:tcPr>
          <w:p>
            <w:pPr>
              <w:jc w:val="center"/>
              <w:spacing w:after="0" w:line="189" w:lineRule="exact"/>
              <w:rPr>
                <w:sz w:val="20"/>
                <w:szCs w:val="20"/>
                <w:color w:val="auto"/>
              </w:rPr>
            </w:pPr>
            <w:r>
              <w:rPr>
                <w:rFonts w:ascii="Arial" w:cs="Arial" w:eastAsia="Arial" w:hAnsi="Arial"/>
                <w:sz w:val="18"/>
                <w:szCs w:val="18"/>
                <w:color w:val="auto"/>
                <w:w w:val="88"/>
              </w:rPr>
              <w:t>(dollars in thousands, except per share data)</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20" w:type="dxa"/>
            <w:vAlign w:val="bottom"/>
            <w:gridSpan w:val="2"/>
          </w:tcPr>
          <w:p>
            <w:pPr>
              <w:jc w:val="center"/>
              <w:ind w:left="1490"/>
              <w:spacing w:after="0"/>
              <w:rPr>
                <w:sz w:val="20"/>
                <w:szCs w:val="20"/>
                <w:color w:val="auto"/>
              </w:rPr>
            </w:pPr>
            <w:r>
              <w:rPr>
                <w:rFonts w:ascii="Arial" w:cs="Arial" w:eastAsia="Arial" w:hAnsi="Arial"/>
                <w:sz w:val="18"/>
                <w:szCs w:val="18"/>
                <w:color w:val="auto"/>
                <w:w w:val="92"/>
              </w:rPr>
              <w:t>(unaudited)</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4"/>
        </w:trPr>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right"/>
              <w:ind w:right="530"/>
              <w:spacing w:after="0"/>
              <w:rPr>
                <w:sz w:val="20"/>
                <w:szCs w:val="20"/>
                <w:color w:val="auto"/>
              </w:rPr>
            </w:pPr>
            <w:r>
              <w:rPr>
                <w:rFonts w:ascii="Arial" w:cs="Arial" w:eastAsia="Arial" w:hAnsi="Arial"/>
                <w:sz w:val="18"/>
                <w:szCs w:val="18"/>
                <w:color w:val="auto"/>
              </w:rPr>
              <w:t>Nine Months Ended</w:t>
            </w:r>
          </w:p>
        </w:tc>
      </w:tr>
      <w:tr>
        <w:trPr>
          <w:trHeight w:val="217"/>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September 30,</w:t>
            </w:r>
          </w:p>
        </w:tc>
      </w:tr>
      <w:tr>
        <w:trPr>
          <w:trHeight w:val="183"/>
        </w:trPr>
        <w:tc>
          <w:tcPr>
            <w:tcW w:w="136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99"/>
              </w:rPr>
              <w:t>2021</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94"/>
              </w:rPr>
              <w:t>2020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92,240</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81,492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280,517</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243,501</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2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29,291</w:t>
            </w: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26,188</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86,957</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77,828</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62,949</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55,304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193,560</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165,673</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2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59,791</w:t>
            </w: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52,403</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175,880</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161,972</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3,158</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2,901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17,680</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3,701</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(204)</w:t>
            </w:r>
          </w:p>
        </w:tc>
        <w:tc>
          <w:tcPr>
            <w:tcW w:w="44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(517)</w:t>
            </w:r>
          </w:p>
        </w:tc>
        <w:tc>
          <w:tcPr>
            <w:tcW w:w="2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(1,646)</w:t>
            </w:r>
          </w:p>
        </w:tc>
      </w:tr>
      <w:tr>
        <w:trPr>
          <w:trHeight w:val="183"/>
        </w:trPr>
        <w:tc>
          <w:tcPr>
            <w:tcW w:w="3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20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2,954</w:t>
            </w: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2,662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17,163</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2,055</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(779)</w:t>
            </w:r>
          </w:p>
        </w:tc>
        <w:tc>
          <w:tcPr>
            <w:tcW w:w="4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(748)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(4,197)</w:t>
            </w:r>
          </w:p>
        </w:tc>
        <w:tc>
          <w:tcPr>
            <w:tcW w:w="2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2,601</w:t>
            </w:r>
          </w:p>
        </w:tc>
      </w:tr>
      <w:tr>
        <w:trPr>
          <w:trHeight w:val="183"/>
        </w:trPr>
        <w:tc>
          <w:tcPr>
            <w:tcW w:w="36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income</w:t>
            </w: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2,175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12,966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4,656</w:t>
            </w:r>
          </w:p>
        </w:tc>
      </w:tr>
      <w:tr>
        <w:trPr>
          <w:trHeight w:val="20"/>
        </w:trPr>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per common share:</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2420" w:type="dxa"/>
            <w:vAlign w:val="bottom"/>
            <w:gridSpan w:val="2"/>
          </w:tcPr>
          <w:p>
            <w:pPr>
              <w:jc w:val="right"/>
              <w:ind w:right="267"/>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0.04</w:t>
            </w:r>
          </w:p>
        </w:tc>
        <w:tc>
          <w:tcPr>
            <w:tcW w:w="140" w:type="dxa"/>
            <w:vAlign w:val="bottom"/>
          </w:tcPr>
          <w:p>
            <w:pPr>
              <w:spacing w:after="0"/>
              <w:rPr>
                <w:sz w:val="16"/>
                <w:szCs w:val="16"/>
                <w:color w:val="auto"/>
              </w:rPr>
            </w:pPr>
          </w:p>
        </w:tc>
        <w:tc>
          <w:tcPr>
            <w:tcW w:w="440" w:type="dxa"/>
            <w:vAlign w:val="bottom"/>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107"/>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0.26</w:t>
            </w:r>
          </w:p>
        </w:tc>
        <w:tc>
          <w:tcPr>
            <w:tcW w:w="1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0.09</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2420" w:type="dxa"/>
            <w:vAlign w:val="bottom"/>
            <w:gridSpan w:val="2"/>
            <w:shd w:val="clear" w:color="auto" w:fill="CCEEFF"/>
          </w:tcPr>
          <w:p>
            <w:pPr>
              <w:jc w:val="right"/>
              <w:ind w:right="267"/>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ind w:right="107"/>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0.09</w:t>
            </w: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88"/>
              </w:rPr>
              <w:t>50,545,761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w w:val="88"/>
              </w:rPr>
              <w:t>50,009,000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50,305,455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49,926,083</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51,384,034</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50,687,558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51,069,853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50,321,146</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Comprehensive Income</w:t>
      </w:r>
    </w:p>
    <w:p>
      <w:pPr>
        <w:jc w:val="center"/>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520" w:type="dxa"/>
            <w:vAlign w:val="bottom"/>
            <w:gridSpan w:val="4"/>
          </w:tcPr>
          <w:p>
            <w:pPr>
              <w:jc w:val="right"/>
              <w:ind w:right="207"/>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jc w:val="right"/>
              <w:ind w:right="670"/>
              <w:spacing w:after="0"/>
              <w:rPr>
                <w:sz w:val="20"/>
                <w:szCs w:val="20"/>
                <w:color w:val="auto"/>
              </w:rPr>
            </w:pPr>
            <w:r>
              <w:rPr>
                <w:rFonts w:ascii="Arial" w:cs="Arial" w:eastAsia="Arial" w:hAnsi="Arial"/>
                <w:sz w:val="18"/>
                <w:szCs w:val="18"/>
                <w:color w:val="auto"/>
              </w:rPr>
              <w:t>Nine Months Ended</w:t>
            </w:r>
          </w:p>
        </w:tc>
      </w:tr>
      <w:tr>
        <w:trPr>
          <w:trHeight w:val="217"/>
        </w:trPr>
        <w:tc>
          <w:tcPr>
            <w:tcW w:w="3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8"/>
                <w:szCs w:val="18"/>
                <w:color w:val="auto"/>
                <w:w w:val="89"/>
              </w:rPr>
              <w:t>September 30,</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18"/>
                <w:szCs w:val="18"/>
                <w:color w:val="auto"/>
              </w:rPr>
            </w:pPr>
          </w:p>
        </w:tc>
      </w:tr>
      <w:tr>
        <w:trPr>
          <w:trHeight w:val="183"/>
        </w:trPr>
        <w:tc>
          <w:tcPr>
            <w:tcW w:w="3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2021</w:t>
            </w:r>
          </w:p>
        </w:tc>
        <w:tc>
          <w:tcPr>
            <w:tcW w:w="480" w:type="dxa"/>
            <w:vAlign w:val="bottom"/>
          </w:tcPr>
          <w:p>
            <w:pPr>
              <w:spacing w:after="0"/>
              <w:rPr>
                <w:sz w:val="15"/>
                <w:szCs w:val="15"/>
                <w:color w:val="auto"/>
              </w:rPr>
            </w:pPr>
          </w:p>
        </w:tc>
        <w:tc>
          <w:tcPr>
            <w:tcW w:w="1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2020</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430"/>
              <w:spacing w:after="0" w:line="182" w:lineRule="exact"/>
              <w:rPr>
                <w:sz w:val="20"/>
                <w:szCs w:val="20"/>
                <w:color w:val="auto"/>
              </w:rPr>
            </w:pPr>
            <w:r>
              <w:rPr>
                <w:rFonts w:ascii="Arial" w:cs="Arial" w:eastAsia="Arial" w:hAnsi="Arial"/>
                <w:sz w:val="18"/>
                <w:szCs w:val="18"/>
                <w:color w:val="auto"/>
                <w:w w:val="99"/>
              </w:rPr>
              <w:t>2020</w:t>
            </w:r>
          </w:p>
        </w:tc>
      </w:tr>
      <w:tr>
        <w:trPr>
          <w:trHeight w:val="183"/>
        </w:trPr>
        <w:tc>
          <w:tcPr>
            <w:tcW w:w="3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4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2,175</w:t>
            </w: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7"/>
              </w:rPr>
              <w:t>1,914</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12,966</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4,656</w:t>
            </w:r>
          </w:p>
        </w:tc>
      </w:tr>
      <w:tr>
        <w:trPr>
          <w:trHeight w:val="189"/>
        </w:trPr>
        <w:tc>
          <w:tcPr>
            <w:tcW w:w="37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Currency translation adjustment</w:t>
            </w:r>
          </w:p>
        </w:tc>
        <w:tc>
          <w:tcPr>
            <w:tcW w:w="14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w:t>
            </w:r>
          </w:p>
        </w:tc>
      </w:tr>
      <w:tr>
        <w:trPr>
          <w:trHeight w:val="183"/>
        </w:trPr>
        <w:tc>
          <w:tcPr>
            <w:tcW w:w="3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w:t>
            </w:r>
          </w:p>
        </w:tc>
        <w:tc>
          <w:tcPr>
            <w:tcW w:w="14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3720" w:type="dxa"/>
            <w:vAlign w:val="bottom"/>
          </w:tcPr>
          <w:p>
            <w:pPr>
              <w:spacing w:after="0" w:line="182" w:lineRule="exact"/>
              <w:rPr>
                <w:sz w:val="20"/>
                <w:szCs w:val="20"/>
                <w:color w:val="auto"/>
              </w:rPr>
            </w:pPr>
            <w:r>
              <w:rPr>
                <w:rFonts w:ascii="Arial" w:cs="Arial" w:eastAsia="Arial" w:hAnsi="Arial"/>
                <w:sz w:val="18"/>
                <w:szCs w:val="18"/>
                <w:b w:val="1"/>
                <w:bCs w:val="1"/>
                <w:color w:val="auto"/>
              </w:rPr>
              <w:t>Comprehensive income</w:t>
            </w:r>
          </w:p>
        </w:tc>
        <w:tc>
          <w:tcPr>
            <w:tcW w:w="1400" w:type="dxa"/>
            <w:vAlign w:val="bottom"/>
          </w:tcPr>
          <w:p>
            <w:pPr>
              <w:spacing w:after="0"/>
              <w:rPr>
                <w:sz w:val="15"/>
                <w:szCs w:val="15"/>
                <w:color w:val="auto"/>
              </w:rPr>
            </w:pPr>
          </w:p>
        </w:tc>
        <w:tc>
          <w:tcPr>
            <w:tcW w:w="920" w:type="dxa"/>
            <w:vAlign w:val="bottom"/>
            <w:tcBorders>
              <w:bottom w:val="single" w:sz="8" w:color="auto"/>
            </w:tcBorders>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2,175</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1,949</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12,978</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4,677</w:t>
            </w:r>
          </w:p>
        </w:tc>
      </w:tr>
      <w:tr>
        <w:trPr>
          <w:trHeight w:val="20"/>
        </w:trPr>
        <w:tc>
          <w:tcPr>
            <w:tcW w:w="3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ind w:left="3860"/>
        <w:spacing w:after="0" w:line="221" w:lineRule="auto"/>
        <w:rPr>
          <w:sz w:val="20"/>
          <w:szCs w:val="20"/>
          <w:color w:val="auto"/>
        </w:rPr>
      </w:pPr>
      <w:r>
        <w:rPr>
          <w:rFonts w:ascii="Arial" w:cs="Arial" w:eastAsia="Arial" w:hAnsi="Arial"/>
          <w:sz w:val="18"/>
          <w:szCs w:val="18"/>
          <w:color w:val="auto"/>
        </w:rPr>
        <w:t>Consolidated Statements of Stockholders’ Equity</w:t>
      </w:r>
    </w:p>
    <w:p>
      <w:pPr>
        <w:ind w:left="4020"/>
        <w:spacing w:after="0" w:line="219" w:lineRule="auto"/>
        <w:rPr>
          <w:sz w:val="20"/>
          <w:szCs w:val="20"/>
          <w:color w:val="auto"/>
        </w:rPr>
      </w:pPr>
      <w:r>
        <w:rPr>
          <w:rFonts w:ascii="Arial" w:cs="Arial" w:eastAsia="Arial" w:hAnsi="Arial"/>
          <w:sz w:val="18"/>
          <w:szCs w:val="18"/>
          <w:color w:val="auto"/>
        </w:rPr>
        <w:t>(dollars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Common stock</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3"/>
              </w:rPr>
              <w:t>Accumulated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other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paid-in</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comprehensive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460" w:type="dxa"/>
            <w:vAlign w:val="bottom"/>
            <w:gridSpan w:val="2"/>
          </w:tcPr>
          <w:p>
            <w:pPr>
              <w:ind w:left="52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capital</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deficit</w:t>
            </w:r>
          </w:p>
        </w:tc>
        <w:tc>
          <w:tcPr>
            <w:tcW w:w="14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income (loss)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30, 2020</w:t>
            </w: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51,370,167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157,493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(22,776)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134,638</w:t>
            </w: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359,233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(35,945)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161"/>
        </w:trPr>
        <w:tc>
          <w:tcPr>
            <w:tcW w:w="42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awards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September 30, 2020</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51,693,455</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158,037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(20,862)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137,131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June 30, 2021</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51,912,689</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159,149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(8,696)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150,458</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99,523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(12,632)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61"/>
        </w:trPr>
        <w:tc>
          <w:tcPr>
            <w:tcW w:w="4200" w:type="dxa"/>
            <w:vAlign w:val="bottom"/>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stock based compensation awards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(15,311)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September 30, 2021</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51,984,269</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159,594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153,078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ind w:left="3860"/>
        <w:spacing w:after="0" w:line="221" w:lineRule="auto"/>
        <w:rPr>
          <w:sz w:val="20"/>
          <w:szCs w:val="20"/>
          <w:color w:val="auto"/>
        </w:rPr>
      </w:pPr>
      <w:r>
        <w:rPr>
          <w:rFonts w:ascii="Arial" w:cs="Arial" w:eastAsia="Arial" w:hAnsi="Arial"/>
          <w:sz w:val="18"/>
          <w:szCs w:val="18"/>
          <w:color w:val="auto"/>
        </w:rPr>
        <w:t>Consolidated Statements of Stockholders’ Equity</w:t>
      </w:r>
    </w:p>
    <w:p>
      <w:pPr>
        <w:ind w:left="4020"/>
        <w:spacing w:after="0" w:line="219" w:lineRule="auto"/>
        <w:rPr>
          <w:sz w:val="20"/>
          <w:szCs w:val="20"/>
          <w:color w:val="auto"/>
        </w:rPr>
      </w:pPr>
      <w:r>
        <w:rPr>
          <w:rFonts w:ascii="Arial" w:cs="Arial" w:eastAsia="Arial" w:hAnsi="Arial"/>
          <w:sz w:val="18"/>
          <w:szCs w:val="18"/>
          <w:color w:val="auto"/>
        </w:rPr>
        <w:t>(dollars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3"/>
              </w:rPr>
              <w:t>Accumulated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other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comprehensive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00" w:type="dxa"/>
            <w:vAlign w:val="bottom"/>
          </w:tcPr>
          <w:p>
            <w:pPr>
              <w:spacing w:after="0"/>
              <w:rPr>
                <w:sz w:val="14"/>
                <w:szCs w:val="14"/>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deficit</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income (loss)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2019</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50,806,674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156,482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130,899</w:t>
            </w:r>
          </w:p>
        </w:tc>
        <w:tc>
          <w:tcPr>
            <w:tcW w:w="0" w:type="dxa"/>
            <w:vAlign w:val="bottom"/>
          </w:tcPr>
          <w:p>
            <w:pPr>
              <w:spacing w:after="0"/>
              <w:rPr>
                <w:sz w:val="1"/>
                <w:szCs w:val="1"/>
                <w:color w:val="auto"/>
              </w:rPr>
            </w:pPr>
          </w:p>
        </w:tc>
      </w:tr>
      <w:tr>
        <w:trPr>
          <w:trHeight w:val="176"/>
        </w:trPr>
        <w:tc>
          <w:tcPr>
            <w:tcW w:w="430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380" w:type="dxa"/>
            <w:vAlign w:val="bottom"/>
          </w:tcPr>
          <w:p>
            <w:pPr>
              <w:jc w:val="right"/>
              <w:spacing w:after="0" w:line="176" w:lineRule="exact"/>
              <w:rPr>
                <w:sz w:val="20"/>
                <w:szCs w:val="20"/>
                <w:color w:val="auto"/>
              </w:rPr>
            </w:pPr>
            <w:r>
              <w:rPr>
                <w:rFonts w:ascii="Arial" w:cs="Arial" w:eastAsia="Arial" w:hAnsi="Arial"/>
                <w:sz w:val="18"/>
                <w:szCs w:val="18"/>
                <w:color w:val="auto"/>
              </w:rPr>
              <w:t>1,057,336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(170,555)</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1,671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161"/>
        </w:trPr>
        <w:tc>
          <w:tcPr>
            <w:tcW w:w="43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based compensation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4,656</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September 30, 2020</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51,693,455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158,037</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(20,862)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137,131</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51,701,080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158,556</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(19,487)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139,062</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421,547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(19,687)</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161"/>
        </w:trPr>
        <w:tc>
          <w:tcPr>
            <w:tcW w:w="4300" w:type="dxa"/>
            <w:vAlign w:val="bottom"/>
          </w:tcPr>
          <w:p>
            <w:pPr>
              <w:spacing w:after="0" w:line="161"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00" w:type="dxa"/>
            <w:vAlign w:val="bottom"/>
          </w:tcPr>
          <w:p>
            <w:pPr>
              <w:spacing w:after="0"/>
              <w:rPr>
                <w:sz w:val="20"/>
                <w:szCs w:val="20"/>
                <w:color w:val="auto"/>
              </w:rPr>
            </w:pPr>
            <w:r>
              <w:rPr>
                <w:rFonts w:ascii="Arial" w:cs="Arial" w:eastAsia="Arial" w:hAnsi="Arial"/>
                <w:sz w:val="18"/>
                <w:szCs w:val="18"/>
                <w:color w:val="auto"/>
              </w:rPr>
              <w:t>based compensation awards</w:t>
            </w:r>
          </w:p>
        </w:tc>
        <w:tc>
          <w:tcPr>
            <w:tcW w:w="1380" w:type="dxa"/>
            <w:vAlign w:val="bottom"/>
          </w:tcPr>
          <w:p>
            <w:pPr>
              <w:jc w:val="right"/>
              <w:spacing w:after="0"/>
              <w:rPr>
                <w:sz w:val="20"/>
                <w:szCs w:val="20"/>
                <w:color w:val="auto"/>
              </w:rPr>
            </w:pPr>
            <w:r>
              <w:rPr>
                <w:rFonts w:ascii="Arial" w:cs="Arial" w:eastAsia="Arial" w:hAnsi="Arial"/>
                <w:sz w:val="18"/>
                <w:szCs w:val="18"/>
                <w:color w:val="auto"/>
              </w:rPr>
              <w:t>(118,671)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12,966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September 30, 2021</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51,984,269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159,594</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(6,521)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153,078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ind w:right="40"/>
        <w:spacing w:after="0" w:line="221" w:lineRule="auto"/>
        <w:rPr>
          <w:sz w:val="20"/>
          <w:szCs w:val="20"/>
          <w:color w:val="auto"/>
        </w:rPr>
      </w:pPr>
      <w:r>
        <w:rPr>
          <w:rFonts w:ascii="Arial" w:cs="Arial" w:eastAsia="Arial" w:hAnsi="Arial"/>
          <w:sz w:val="18"/>
          <w:szCs w:val="18"/>
          <w:color w:val="auto"/>
        </w:rPr>
        <w:t>Consolidated Statements of Cash Flows</w:t>
      </w:r>
    </w:p>
    <w:p>
      <w:pPr>
        <w:jc w:val="center"/>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jc w:val="right"/>
              <w:ind w:right="630"/>
              <w:spacing w:after="0"/>
              <w:rPr>
                <w:sz w:val="20"/>
                <w:szCs w:val="20"/>
                <w:color w:val="auto"/>
              </w:rPr>
            </w:pPr>
            <w:r>
              <w:rPr>
                <w:rFonts w:ascii="Arial" w:cs="Arial" w:eastAsia="Arial" w:hAnsi="Arial"/>
                <w:sz w:val="18"/>
                <w:szCs w:val="18"/>
                <w:color w:val="auto"/>
              </w:rPr>
              <w:t>Nine Months Ended</w:t>
            </w:r>
          </w:p>
        </w:tc>
      </w:tr>
      <w:tr>
        <w:trPr>
          <w:trHeight w:val="217"/>
        </w:trPr>
        <w:tc>
          <w:tcPr>
            <w:tcW w:w="8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18"/>
                <w:szCs w:val="18"/>
                <w:color w:val="auto"/>
              </w:rPr>
            </w:pPr>
          </w:p>
        </w:tc>
      </w:tr>
      <w:tr>
        <w:trPr>
          <w:trHeight w:val="183"/>
        </w:trPr>
        <w:tc>
          <w:tcPr>
            <w:tcW w:w="83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w w:val="94"/>
              </w:rPr>
              <w:t>2020</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12,966</w:t>
            </w:r>
          </w:p>
        </w:tc>
        <w:tc>
          <w:tcPr>
            <w:tcW w:w="80" w:type="dxa"/>
            <w:vAlign w:val="bottom"/>
          </w:tcPr>
          <w:p>
            <w:pPr>
              <w:spacing w:after="0"/>
              <w:rPr>
                <w:sz w:val="16"/>
                <w:szCs w:val="16"/>
                <w:color w:val="auto"/>
              </w:rPr>
            </w:pPr>
          </w:p>
        </w:tc>
        <w:tc>
          <w:tcPr>
            <w:tcW w:w="540" w:type="dxa"/>
            <w:vAlign w:val="bottom"/>
            <w:gridSpan w:val="2"/>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4,656</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20,948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23,738</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398</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Loss on disposals of property, plant and equipment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Impairment charges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2,155</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Non-cash lease expense</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18,605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17,895</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1,671</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(836)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741</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(356)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70</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24,666</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Other current assets, net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(1,953)</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4,304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(2,677)</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Income tax receivable / payable</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(56)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(4,576)</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Accrued expenses and other liabilities</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(12,655)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(9,437)</w:t>
            </w:r>
          </w:p>
        </w:tc>
      </w:tr>
      <w:tr>
        <w:trPr>
          <w:trHeight w:val="183"/>
        </w:trPr>
        <w:tc>
          <w:tcPr>
            <w:tcW w:w="836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44,390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57,347</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(8,933)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(1,315)</w:t>
            </w:r>
          </w:p>
        </w:tc>
      </w:tr>
      <w:tr>
        <w:trPr>
          <w:trHeight w:val="183"/>
        </w:trPr>
        <w:tc>
          <w:tcPr>
            <w:tcW w:w="8360" w:type="dxa"/>
            <w:vAlign w:val="bottom"/>
            <w:tcBorders>
              <w:top w:val="single" w:sz="8" w:color="CCEEFF"/>
            </w:tcBorders>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(8,933)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(1,315)</w:t>
            </w:r>
          </w:p>
        </w:tc>
      </w:tr>
      <w:tr>
        <w:trPr>
          <w:trHeight w:val="183"/>
        </w:trPr>
        <w:tc>
          <w:tcPr>
            <w:tcW w:w="8360" w:type="dxa"/>
            <w:vAlign w:val="bottom"/>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Payments of long-term debt and financing lease obligations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(120,262)</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64,100</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(821)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w:t>
            </w:r>
          </w:p>
        </w:tc>
      </w:tr>
      <w:tr>
        <w:trPr>
          <w:trHeight w:val="183"/>
        </w:trPr>
        <w:tc>
          <w:tcPr>
            <w:tcW w:w="836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(56,278)</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Effect of exchange rate changes on cash</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34,647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(223)</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10,272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9,919</w:t>
            </w:r>
          </w:p>
        </w:tc>
      </w:tr>
      <w:tr>
        <w:trPr>
          <w:trHeight w:val="223"/>
        </w:trPr>
        <w:tc>
          <w:tcPr>
            <w:tcW w:w="836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44,919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9,696</w:t>
            </w:r>
          </w:p>
        </w:tc>
      </w:tr>
      <w:tr>
        <w:trPr>
          <w:trHeight w:val="169"/>
        </w:trPr>
        <w:tc>
          <w:tcPr>
            <w:tcW w:w="8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44,264</w:t>
            </w:r>
          </w:p>
        </w:tc>
        <w:tc>
          <w:tcPr>
            <w:tcW w:w="80" w:type="dxa"/>
            <w:vAlign w:val="bottom"/>
          </w:tcPr>
          <w:p>
            <w:pPr>
              <w:spacing w:after="0"/>
              <w:rPr>
                <w:sz w:val="16"/>
                <w:szCs w:val="16"/>
                <w:color w:val="auto"/>
              </w:rPr>
            </w:pPr>
          </w:p>
        </w:tc>
        <w:tc>
          <w:tcPr>
            <w:tcW w:w="540" w:type="dxa"/>
            <w:vAlign w:val="bottom"/>
            <w:gridSpan w:val="2"/>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8,961</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735</w:t>
            </w:r>
          </w:p>
        </w:tc>
      </w:tr>
      <w:tr>
        <w:trPr>
          <w:trHeight w:val="222"/>
        </w:trPr>
        <w:tc>
          <w:tcPr>
            <w:tcW w:w="836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44,919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9,696</w:t>
            </w:r>
          </w:p>
        </w:tc>
      </w:tr>
      <w:tr>
        <w:trPr>
          <w:trHeight w:val="170"/>
        </w:trPr>
        <w:tc>
          <w:tcPr>
            <w:tcW w:w="8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Purchases of property, plant and equipment included in accounts payable and accrued expenses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Cash paid for interest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1,797</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Cash paid for income taxes, net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5,088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1,208</w:t>
            </w:r>
          </w:p>
        </w:tc>
      </w:tr>
    </w:tbl>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1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Tile Shop Holdings, Inc. (“Holdings,” and together with its wholly owned subsidiaries, the “Company”) was incorporated in Delaware in June 2012.</w:t>
      </w:r>
    </w:p>
    <w:p>
      <w:pPr>
        <w:spacing w:after="0" w:line="183"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September 30, 2021, the Company had 143 stores in 31 states and the District of Columbia, with an average size of approximately 20,000 square feet. The Company has distribution centers located in Michigan, New Jersey, Oklahoma, Virginia and Wisconsin. The Company also has a sourcing office located in China.</w:t>
      </w:r>
    </w:p>
    <w:p>
      <w:pPr>
        <w:spacing w:after="0" w:line="15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nine months ended September 30, 2021 are not necessarily indicative of the results that may be expected for the fiscal year ending December 31, 2021.</w:t>
      </w:r>
    </w:p>
    <w:p>
      <w:pPr>
        <w:spacing w:after="0" w:line="14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These statements should be read in conjunction with the Consolidated Financial Statements and footnotes included in the Company’s Annual Report on Form 10-K for the fiscal year ended December 31, 2020. The accounting policies used in preparing these Consolidated Financial Statements are the same as those described in Note 1 to the Consolidated Financial Statements in such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March 2020, the World Health Organization declared the COVID-19 outbreak a global pandemic. COVID-19 has negatively impacted public health and the global economy, disrupted global supply chains, and created volatility in financial markets. The continuing implications of COVID-19 on the Company remain uncertain and will depend on certain future developments, including the duration, scope and severity of the pandemic and the effects of new variants of COVID-19, some of which may be more virulent or transmissible than the initial strain; its impact on the Company’s employees, customers and suppliers; the range and timing of government mandated restrictions and other measures, including the potential impact of the federal vaccination mandate on our labor supply and future results of operations; and the success of the deployment and widespread adoption of approved COVID-19 vaccines and their effectiveness against new variants of COVID-19. This uncertainty could have a material impact on the accounting estimates and assumptions utilized to prepare the Company’s consolidated financial statements in future reporting periods, which could result in a material adverse impact on the Company’s financial position, results of operations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the first quarter of fiscal 2021, the Company adopted new accounting requirements related to the measurement of credit losses on financial instruments, including trade receivables. The new standard and subsequent amendments replaced the incurred loss impairment model with a forward-looking expected credit loss model, which will generally result in earlier recognition of credit losses. The Company’s allowance for doubtful accounts represents its estimate of expected credit losses related to its trade receivables. To estimate the allowance for doubtful accounts, the Company leverages information on historical losses, current conditions, and reasonable and supportable forecasts of future conditions. Account balances are written off against the allowance when the Company deems the amount is uncollectible. The adoption of this standard did not have a material impact on the Company’s consolidated financial statements.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the first quarter of fiscal 2021, the Company adopted a new accounting standard that simplifies accounting for income taxes. Specifically, the new standard simplifies aspects of accounting for franchise taxes and enacted changes in tax laws or rates and clarifies the accounting for transactions that result in a step-up in the tax basis of goodwill. The adoption of this standard did not have a material impact on the Company’s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March 2020, the Financial Accounting Standards Board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when the election is made through December 31, 2022. The Company is currently evaluating the impact this guidance will have on its consolidated financial statements.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75"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disaggregated by product category: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354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For the three months ended</w:t>
            </w:r>
          </w:p>
        </w:tc>
        <w:tc>
          <w:tcPr>
            <w:tcW w:w="3380" w:type="dxa"/>
            <w:vAlign w:val="bottom"/>
            <w:gridSpan w:val="4"/>
          </w:tcPr>
          <w:p>
            <w:pPr>
              <w:jc w:val="center"/>
              <w:spacing w:after="0"/>
              <w:rPr>
                <w:sz w:val="20"/>
                <w:szCs w:val="20"/>
                <w:color w:val="auto"/>
              </w:rPr>
            </w:pPr>
            <w:r>
              <w:rPr>
                <w:rFonts w:ascii="Arial" w:cs="Arial" w:eastAsia="Arial" w:hAnsi="Arial"/>
                <w:sz w:val="18"/>
                <w:szCs w:val="18"/>
                <w:color w:val="auto"/>
                <w:w w:val="89"/>
              </w:rPr>
              <w:t>For the nine months ended</w:t>
            </w:r>
          </w:p>
        </w:tc>
      </w:tr>
      <w:tr>
        <w:trPr>
          <w:trHeight w:val="217"/>
        </w:trPr>
        <w:tc>
          <w:tcPr>
            <w:tcW w:w="4320" w:type="dxa"/>
            <w:vAlign w:val="bottom"/>
          </w:tcPr>
          <w:p>
            <w:pPr>
              <w:spacing w:after="0"/>
              <w:rPr>
                <w:sz w:val="18"/>
                <w:szCs w:val="18"/>
                <w:color w:val="auto"/>
              </w:rPr>
            </w:pPr>
          </w:p>
        </w:tc>
        <w:tc>
          <w:tcPr>
            <w:tcW w:w="230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88"/>
              </w:rPr>
              <w:t>September 30,</w:t>
            </w: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88"/>
              </w:rPr>
              <w:t>September 30,</w:t>
            </w:r>
          </w:p>
        </w:tc>
        <w:tc>
          <w:tcPr>
            <w:tcW w:w="1080" w:type="dxa"/>
            <w:vAlign w:val="bottom"/>
            <w:tcBorders>
              <w:bottom w:val="single" w:sz="8" w:color="auto"/>
            </w:tcBorders>
          </w:tcPr>
          <w:p>
            <w:pPr>
              <w:spacing w:after="0"/>
              <w:rPr>
                <w:sz w:val="18"/>
                <w:szCs w:val="18"/>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4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58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49 %</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46 %</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47 %</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46 %</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29</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5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14</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9</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9</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2</w:t>
            </w:r>
          </w:p>
        </w:tc>
      </w:tr>
      <w:tr>
        <w:trPr>
          <w:trHeight w:val="183"/>
        </w:trPr>
        <w:tc>
          <w:tcPr>
            <w:tcW w:w="43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4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spacing w:after="0" w:line="148"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3" w:lineRule="exact"/>
        <w:rPr>
          <w:sz w:val="20"/>
          <w:szCs w:val="20"/>
          <w:color w:val="auto"/>
        </w:rPr>
      </w:pPr>
    </w:p>
    <w:p>
      <w:pPr>
        <w:ind w:left="660" w:right="60"/>
        <w:spacing w:after="0" w:line="231"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48" w:lineRule="exact"/>
        <w:rPr>
          <w:sz w:val="20"/>
          <w:szCs w:val="20"/>
          <w:color w:val="auto"/>
        </w:rPr>
      </w:pPr>
    </w:p>
    <w:p>
      <w:pPr>
        <w:ind w:left="660" w:right="160"/>
        <w:spacing w:after="0" w:line="307"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9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$16.2 million and $12.2 million as of September 30, 2021 and December 31, 2020, respectively. Revenues recognized during the nine months ended September 30, 2021 that were included in the customer deposit balance as of the beginning of the period were $12.0 million.</w:t>
      </w:r>
    </w:p>
    <w:p>
      <w:pPr>
        <w:spacing w:after="0" w:line="150"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The Company extends financing to qualified professional customers who apply for credit. Customers who qualify for an account receive 30-day payment terms. The accounts receivable balance was $3.3 million and $3.0 million at September 30, 2021 and December 31, 2020, respectively. The Company expects that the customer will pay for the goods and services ordered within one year from the date the order is placed. Accordingly, the Company does not adjust the promised amount of consideration for the effects of the financing component.</w:t>
      </w:r>
    </w:p>
    <w:p>
      <w:pPr>
        <w:spacing w:after="0" w:line="144"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accrued liability and the estimated value of the inventory that will be returned as an other current asset in the Consolidated Balance Sheet. The components of the sales returns reserve reflected in the Consolidated Balance Sheet as of September 30, 2021 and December 31, 2020 were as follows: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89"/>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5,401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4,957</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1,692</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1,516</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3,709</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3,441</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75"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Inventories are stated at the lower of cost (determined using the moving average cost method) or net realizable value. Inventories consist primarily of merchandise held for sale. Inventories were comprised of the following as of September 30, 2021 and December 31,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89"/>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75,267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72,619</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1,430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1,677</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76,697</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74,296</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$0.6 million on both September 30, 2021 and December 31,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7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Company's effective tax rate on net income before taxes for the three months ended September 30, 2021 and 2020 was 26.4% and 28.1%, respectively. The Company’s effective tax rate for the nine months ended September 30, 2021 and 2020 was 24.5% and (126.6)%, respectively. The Company’s effective tax rate during the three and nine months ended September 30, 2020 included adjustments resulting from the enactment of the Coronavirus Aid, Relief, and Economic Security Act (the CARES Act), which gave the Company the ability to carry back federal net operating losses to years with a federal statutory rate of 35%. The Company’s effective tax rate during the nine months ended September 30, 2021 included a $0.4 million tax benefit associated with restricted stock award vestings.</w:t>
      </w:r>
    </w:p>
    <w:p>
      <w:pPr>
        <w:spacing w:after="0" w:line="148" w:lineRule="exact"/>
        <w:rPr>
          <w:sz w:val="20"/>
          <w:szCs w:val="20"/>
          <w:color w:val="auto"/>
        </w:rPr>
      </w:pPr>
    </w:p>
    <w:p>
      <w:pPr>
        <w:ind w:right="540"/>
        <w:spacing w:after="0" w:line="307" w:lineRule="auto"/>
        <w:rPr>
          <w:sz w:val="20"/>
          <w:szCs w:val="20"/>
          <w:color w:val="auto"/>
        </w:rPr>
      </w:pPr>
      <w:r>
        <w:rPr>
          <w:rFonts w:ascii="Arial" w:cs="Arial" w:eastAsia="Arial" w:hAnsi="Arial"/>
          <w:sz w:val="16"/>
          <w:szCs w:val="16"/>
          <w:color w:val="auto"/>
        </w:rPr>
        <w:t>The Company records interest and penalties relating to uncertain tax positions in income tax expense. As of both September 30, 2021 and 2020, the Company had not recognized any liabilities for uncertain tax positions, nor had interest and penalties related to uncertain tax positions been accrued.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7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gridSpan w:val="10"/>
            <w:vMerge w:val="restart"/>
          </w:tcPr>
          <w:p>
            <w:pPr>
              <w:jc w:val="right"/>
              <w:spacing w:after="0"/>
              <w:rPr>
                <w:sz w:val="20"/>
                <w:szCs w:val="20"/>
                <w:color w:val="auto"/>
              </w:rPr>
            </w:pPr>
            <w:r>
              <w:rPr>
                <w:rFonts w:ascii="Arial" w:cs="Arial" w:eastAsia="Arial" w:hAnsi="Arial"/>
                <w:sz w:val="18"/>
                <w:szCs w:val="18"/>
                <w:color w:val="auto"/>
              </w:rPr>
              <w:t>(dollars in thousands, except per share data)</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gridSpan w:val="10"/>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right"/>
              <w:ind w:right="380"/>
              <w:spacing w:after="0" w:line="189" w:lineRule="exact"/>
              <w:rPr>
                <w:sz w:val="20"/>
                <w:szCs w:val="20"/>
                <w:color w:val="auto"/>
              </w:rPr>
            </w:pPr>
            <w:r>
              <w:rPr>
                <w:rFonts w:ascii="Arial" w:cs="Arial" w:eastAsia="Arial" w:hAnsi="Arial"/>
                <w:sz w:val="18"/>
                <w:szCs w:val="18"/>
                <w:color w:val="auto"/>
                <w:w w:val="92"/>
              </w:rPr>
              <w:t>For the three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210"/>
              <w:spacing w:after="0" w:line="189" w:lineRule="exact"/>
              <w:rPr>
                <w:sz w:val="20"/>
                <w:szCs w:val="20"/>
                <w:color w:val="auto"/>
              </w:rPr>
            </w:pPr>
            <w:r>
              <w:rPr>
                <w:rFonts w:ascii="Arial" w:cs="Arial" w:eastAsia="Arial" w:hAnsi="Arial"/>
                <w:sz w:val="18"/>
                <w:szCs w:val="18"/>
                <w:color w:val="auto"/>
                <w:w w:val="92"/>
              </w:rPr>
              <w:t>For the nine months ended</w:t>
            </w:r>
          </w:p>
        </w:tc>
        <w:tc>
          <w:tcPr>
            <w:tcW w:w="0" w:type="dxa"/>
            <w:vAlign w:val="bottom"/>
          </w:tcPr>
          <w:p>
            <w:pPr>
              <w:spacing w:after="0"/>
              <w:rPr>
                <w:sz w:val="1"/>
                <w:szCs w:val="1"/>
                <w:color w:val="auto"/>
              </w:rPr>
            </w:pPr>
          </w:p>
        </w:tc>
      </w:tr>
      <w:tr>
        <w:trPr>
          <w:trHeight w:val="217"/>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4"/>
          </w:tcPr>
          <w:p>
            <w:pPr>
              <w:jc w:val="right"/>
              <w:ind w:right="6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2021</w:t>
            </w:r>
          </w:p>
        </w:tc>
        <w:tc>
          <w:tcPr>
            <w:tcW w:w="1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2,175</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1,914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12,966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50,545,761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50,009,000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50,305,455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w w:val="97"/>
              </w:rPr>
              <w:t>49,926,083</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7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838,273</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678,558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764,398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395,063</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51,384,034</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50,687,558</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51,069,853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50,321,146</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per common share:</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94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0.04</w:t>
            </w:r>
          </w:p>
        </w:tc>
        <w:tc>
          <w:tcPr>
            <w:tcW w:w="1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0.04</w:t>
            </w:r>
          </w:p>
        </w:tc>
        <w:tc>
          <w:tcPr>
            <w:tcW w:w="280" w:type="dxa"/>
            <w:vAlign w:val="bottom"/>
            <w:gridSpan w:val="2"/>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0.26</w:t>
            </w:r>
          </w:p>
        </w:tc>
        <w:tc>
          <w:tcPr>
            <w:tcW w:w="3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94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0.25</w:t>
            </w:r>
          </w:p>
        </w:tc>
        <w:tc>
          <w:tcPr>
            <w:tcW w:w="34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7"/>
              </w:rPr>
              <w:t>Anti-dilutive securities excluded from earnings per share calculation</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772,580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1,640,389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990,461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1,733,475</w:t>
            </w:r>
          </w:p>
        </w:tc>
        <w:tc>
          <w:tcPr>
            <w:tcW w:w="0" w:type="dxa"/>
            <w:vAlign w:val="bottom"/>
          </w:tcPr>
          <w:p>
            <w:pPr>
              <w:spacing w:after="0"/>
              <w:rPr>
                <w:sz w:val="1"/>
                <w:szCs w:val="1"/>
                <w:color w:val="auto"/>
              </w:rPr>
            </w:pPr>
          </w:p>
        </w:tc>
      </w:tr>
      <w:tr>
        <w:trPr>
          <w:trHeight w:val="310"/>
        </w:trPr>
        <w:tc>
          <w:tcPr>
            <w:tcW w:w="5240" w:type="dxa"/>
            <w:vAlign w:val="bottom"/>
          </w:tcPr>
          <w:p>
            <w:pPr>
              <w:spacing w:after="0"/>
              <w:rPr>
                <w:sz w:val="24"/>
                <w:szCs w:val="24"/>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6: Other Accrued Liabilities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834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7"/>
        </w:trPr>
        <w:tc>
          <w:tcPr>
            <w:tcW w:w="8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4"/>
          </w:tcPr>
          <w:p>
            <w:pPr>
              <w:jc w:val="right"/>
              <w:ind w:right="850"/>
              <w:spacing w:after="0"/>
              <w:rPr>
                <w:sz w:val="20"/>
                <w:szCs w:val="20"/>
                <w:color w:val="auto"/>
              </w:rPr>
            </w:pPr>
            <w:r>
              <w:rPr>
                <w:rFonts w:ascii="Arial" w:cs="Arial" w:eastAsia="Arial" w:hAnsi="Arial"/>
                <w:sz w:val="18"/>
                <w:szCs w:val="18"/>
                <w:color w:val="auto"/>
              </w:rPr>
              <w:t>(in thousands)</w:t>
            </w:r>
          </w:p>
        </w:tc>
      </w:tr>
      <w:tr>
        <w:trPr>
          <w:trHeight w:val="189"/>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6"/>
                <w:szCs w:val="16"/>
                <w:color w:val="auto"/>
              </w:rPr>
            </w:pPr>
          </w:p>
        </w:tc>
        <w:tc>
          <w:tcPr>
            <w:tcW w:w="124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1"/>
              </w:rPr>
              <w:t>December 31,</w:t>
            </w:r>
          </w:p>
        </w:tc>
      </w:tr>
      <w:tr>
        <w:trPr>
          <w:trHeight w:val="217"/>
        </w:trPr>
        <w:tc>
          <w:tcPr>
            <w:tcW w:w="8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16,157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12,225</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Sales returns reserve</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5,401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4,957</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wages and salaries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8,334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6,561</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Payroll and sales taxes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5,484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4,958</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5,832</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5,405</w:t>
            </w:r>
          </w:p>
        </w:tc>
      </w:tr>
      <w:tr>
        <w:trPr>
          <w:trHeight w:val="183"/>
        </w:trPr>
        <w:tc>
          <w:tcPr>
            <w:tcW w:w="8340" w:type="dxa"/>
            <w:vAlign w:val="bottom"/>
          </w:tcPr>
          <w:p>
            <w:pPr>
              <w:ind w:left="220"/>
              <w:spacing w:after="0" w:line="182" w:lineRule="exact"/>
              <w:rPr>
                <w:sz w:val="20"/>
                <w:szCs w:val="20"/>
                <w:color w:val="auto"/>
              </w:rPr>
            </w:pPr>
            <w:r>
              <w:rPr>
                <w:rFonts w:ascii="Arial" w:cs="Arial" w:eastAsia="Arial" w:hAnsi="Arial"/>
                <w:sz w:val="18"/>
                <w:szCs w:val="18"/>
                <w:color w:val="auto"/>
              </w:rPr>
              <w:t>Total other accrued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41,208</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34,106</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175"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On September 18, 2018, Holdings and its operating subsidiary, The Tile Shop, LLC,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the Company’s rent adjusted leverage ratio. The base rate is equal to the greatest of (a) the Federal funds rate plus 0.50%, (b) the Bank of America “prime rate,” and (c) the Eurodollar rate plus 1.00%, in each case plus 0.50% to 1.25% depending on the Company’s rent adjusted leverage ratio. At September 30, 2021, the base interest rate was 3.75% and the LIBOR-based interest rate was 1.59%. The Company had no borrowings outstanding on its revolving line of credit as of September 30, 2021. In addition, the Company has standby letters of credit outstanding related to its workers’ compensation and medical insurance policies. Standby letters of credit totaled $2.4 million as of both September 30, 2021 and December 31, 2020. There was $97.6 million available for borrowing on the revolving line of credit as of September 30, 2021, which may be used to support the Company’s growth and for working capital purposes.</w:t>
      </w:r>
    </w:p>
    <w:p>
      <w:pPr>
        <w:spacing w:after="0" w:line="14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September 30,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75"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p>
      <w:pPr>
        <w:spacing w:after="0" w:line="15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Following the onset of COVID-19 in 2020, the Company worked with its landlords to defer rent payments for many of its retail locations throughout the second quarter of 2020. As of December 31, 2020, the deferred rent balance was $2.1 million. During the nine months ended September 30, 2021, the Company repaid $1.9 million of the deferred rent balance to its landlords. As of September 30, 2021, the deferred rent balance was $0.2 million. The deferred rent balance is recorded as a liability within the current portion of lease liability balance.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20" w:type="dxa"/>
            <w:vAlign w:val="bottom"/>
          </w:tcPr>
          <w:p>
            <w:pPr>
              <w:spacing w:after="0"/>
              <w:rPr>
                <w:sz w:val="20"/>
                <w:szCs w:val="20"/>
                <w:color w:val="auto"/>
              </w:rPr>
            </w:pPr>
            <w:r>
              <w:rPr>
                <w:rFonts w:ascii="Arial" w:cs="Arial" w:eastAsia="Arial" w:hAnsi="Arial"/>
                <w:sz w:val="18"/>
                <w:szCs w:val="18"/>
                <w:color w:val="auto"/>
              </w:rPr>
              <w:t>Leases (in thousands)</w:t>
            </w:r>
          </w:p>
        </w:tc>
        <w:tc>
          <w:tcPr>
            <w:tcW w:w="3700" w:type="dxa"/>
            <w:vAlign w:val="bottom"/>
            <w:gridSpan w:val="2"/>
          </w:tcPr>
          <w:p>
            <w:pPr>
              <w:ind w:left="400"/>
              <w:spacing w:after="0"/>
              <w:rPr>
                <w:sz w:val="20"/>
                <w:szCs w:val="20"/>
                <w:color w:val="auto"/>
              </w:rPr>
            </w:pPr>
            <w:r>
              <w:rPr>
                <w:rFonts w:ascii="Arial" w:cs="Arial" w:eastAsia="Arial" w:hAnsi="Arial"/>
                <w:sz w:val="18"/>
                <w:szCs w:val="18"/>
                <w:color w:val="auto"/>
              </w:rPr>
              <w:t>Classification</w:t>
            </w:r>
          </w:p>
        </w:tc>
        <w:tc>
          <w:tcPr>
            <w:tcW w:w="34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September 30, 2021</w:t>
            </w:r>
          </w:p>
        </w:tc>
        <w:tc>
          <w:tcPr>
            <w:tcW w:w="320" w:type="dxa"/>
            <w:vAlign w:val="bottom"/>
          </w:tcPr>
          <w:p>
            <w:pPr>
              <w:spacing w:after="0"/>
              <w:rPr>
                <w:sz w:val="18"/>
                <w:szCs w:val="18"/>
                <w:color w:val="auto"/>
              </w:rPr>
            </w:pP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December 31, 2020</w:t>
            </w:r>
          </w:p>
        </w:tc>
      </w:tr>
      <w:tr>
        <w:trPr>
          <w:trHeight w:val="183"/>
        </w:trPr>
        <w:tc>
          <w:tcPr>
            <w:tcW w:w="26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3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r>
      <w:tr>
        <w:trPr>
          <w:trHeight w:val="189"/>
        </w:trPr>
        <w:tc>
          <w:tcPr>
            <w:tcW w:w="26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Operating lease assets</w:t>
            </w:r>
          </w:p>
        </w:tc>
        <w:tc>
          <w:tcPr>
            <w:tcW w:w="3700" w:type="dxa"/>
            <w:vAlign w:val="bottom"/>
            <w:tcBorders>
              <w:bottom w:val="single" w:sz="8" w:color="CCEEFF"/>
            </w:tcBorders>
            <w:gridSpan w:val="2"/>
          </w:tcPr>
          <w:p>
            <w:pPr>
              <w:ind w:left="400"/>
              <w:spacing w:after="0" w:line="189" w:lineRule="exact"/>
              <w:rPr>
                <w:sz w:val="20"/>
                <w:szCs w:val="20"/>
                <w:color w:val="auto"/>
              </w:rPr>
            </w:pPr>
            <w:r>
              <w:rPr>
                <w:rFonts w:ascii="Arial" w:cs="Arial" w:eastAsia="Arial" w:hAnsi="Arial"/>
                <w:sz w:val="18"/>
                <w:szCs w:val="18"/>
                <w:color w:val="auto"/>
              </w:rPr>
              <w:t>Right of use asset</w:t>
            </w:r>
          </w:p>
        </w:tc>
        <w:tc>
          <w:tcPr>
            <w:tcW w:w="340" w:type="dxa"/>
            <w:vAlign w:val="bottom"/>
            <w:tcBorders>
              <w:bottom w:val="single" w:sz="8" w:color="auto"/>
            </w:tcBorders>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125,258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132,374</w:t>
            </w:r>
          </w:p>
        </w:tc>
      </w:tr>
      <w:tr>
        <w:trPr>
          <w:trHeight w:val="183"/>
        </w:trPr>
        <w:tc>
          <w:tcPr>
            <w:tcW w:w="26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leased assets</w:t>
            </w:r>
          </w:p>
        </w:tc>
        <w:tc>
          <w:tcPr>
            <w:tcW w:w="3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125,258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132,374</w:t>
            </w:r>
          </w:p>
        </w:tc>
      </w:tr>
      <w:tr>
        <w:trPr>
          <w:trHeight w:val="20"/>
        </w:trPr>
        <w:tc>
          <w:tcPr>
            <w:tcW w:w="2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70"/>
        </w:trPr>
        <w:tc>
          <w:tcPr>
            <w:tcW w:w="26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89"/>
        </w:trPr>
        <w:tc>
          <w:tcPr>
            <w:tcW w:w="2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3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r>
      <w:tr>
        <w:trPr>
          <w:trHeight w:val="189"/>
        </w:trPr>
        <w:tc>
          <w:tcPr>
            <w:tcW w:w="2620" w:type="dxa"/>
            <w:vAlign w:val="bottom"/>
          </w:tcPr>
          <w:p>
            <w:pPr>
              <w:spacing w:after="0" w:line="189" w:lineRule="exact"/>
              <w:rPr>
                <w:sz w:val="20"/>
                <w:szCs w:val="20"/>
                <w:color w:val="auto"/>
              </w:rPr>
            </w:pPr>
            <w:r>
              <w:rPr>
                <w:rFonts w:ascii="Arial" w:cs="Arial" w:eastAsia="Arial" w:hAnsi="Arial"/>
                <w:sz w:val="18"/>
                <w:szCs w:val="18"/>
                <w:color w:val="auto"/>
              </w:rPr>
              <w:t>Current</w:t>
            </w:r>
          </w:p>
        </w:tc>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89"/>
        </w:trPr>
        <w:tc>
          <w:tcPr>
            <w:tcW w:w="2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370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8"/>
                <w:szCs w:val="18"/>
                <w:color w:val="auto"/>
              </w:rPr>
              <w:t>Current portion of lease liability</w:t>
            </w: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27,315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27,223</w:t>
            </w:r>
          </w:p>
        </w:tc>
      </w:tr>
      <w:tr>
        <w:trPr>
          <w:trHeight w:val="189"/>
        </w:trPr>
        <w:tc>
          <w:tcPr>
            <w:tcW w:w="2620" w:type="dxa"/>
            <w:vAlign w:val="bottom"/>
          </w:tcPr>
          <w:p>
            <w:pPr>
              <w:spacing w:after="0" w:line="189" w:lineRule="exact"/>
              <w:rPr>
                <w:sz w:val="20"/>
                <w:szCs w:val="20"/>
                <w:color w:val="auto"/>
              </w:rPr>
            </w:pPr>
            <w:r>
              <w:rPr>
                <w:rFonts w:ascii="Arial" w:cs="Arial" w:eastAsia="Arial" w:hAnsi="Arial"/>
                <w:sz w:val="18"/>
                <w:szCs w:val="18"/>
                <w:color w:val="auto"/>
              </w:rPr>
              <w:t>Noncurrent</w:t>
            </w:r>
          </w:p>
        </w:tc>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89"/>
        </w:trPr>
        <w:tc>
          <w:tcPr>
            <w:tcW w:w="2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370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8"/>
                <w:szCs w:val="18"/>
                <w:color w:val="auto"/>
              </w:rPr>
              <w:t>Long-term lease liability, net</w:t>
            </w:r>
          </w:p>
        </w:tc>
        <w:tc>
          <w:tcPr>
            <w:tcW w:w="34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114,261</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122,678</w:t>
            </w:r>
          </w:p>
        </w:tc>
      </w:tr>
      <w:tr>
        <w:trPr>
          <w:trHeight w:val="183"/>
        </w:trPr>
        <w:tc>
          <w:tcPr>
            <w:tcW w:w="262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141,576</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149,901</w:t>
            </w:r>
          </w:p>
        </w:tc>
      </w:tr>
      <w:tr>
        <w:trPr>
          <w:trHeight w:val="20"/>
        </w:trPr>
        <w:tc>
          <w:tcPr>
            <w:tcW w:w="2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r>
      <w:tr>
        <w:trPr>
          <w:trHeight w:val="358"/>
        </w:trPr>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4"/>
          </w:tcPr>
          <w:p>
            <w:pPr>
              <w:jc w:val="right"/>
              <w:ind w:right="1630"/>
              <w:spacing w:after="0"/>
              <w:rPr>
                <w:sz w:val="20"/>
                <w:szCs w:val="20"/>
                <w:color w:val="auto"/>
              </w:rPr>
            </w:pPr>
            <w:r>
              <w:rPr>
                <w:rFonts w:ascii="Arial" w:cs="Arial" w:eastAsia="Arial" w:hAnsi="Arial"/>
                <w:sz w:val="18"/>
                <w:szCs w:val="18"/>
                <w:color w:val="auto"/>
              </w:rPr>
              <w:t>Three Months Ended</w:t>
            </w:r>
          </w:p>
        </w:tc>
      </w:tr>
      <w:tr>
        <w:trPr>
          <w:trHeight w:val="217"/>
        </w:trPr>
        <w:tc>
          <w:tcPr>
            <w:tcW w:w="2620" w:type="dxa"/>
            <w:vAlign w:val="bottom"/>
          </w:tcPr>
          <w:p>
            <w:pPr>
              <w:spacing w:after="0"/>
              <w:rPr>
                <w:sz w:val="20"/>
                <w:szCs w:val="20"/>
                <w:color w:val="auto"/>
              </w:rPr>
            </w:pPr>
            <w:r>
              <w:rPr>
                <w:rFonts w:ascii="Arial" w:cs="Arial" w:eastAsia="Arial" w:hAnsi="Arial"/>
                <w:sz w:val="18"/>
                <w:szCs w:val="18"/>
                <w:color w:val="auto"/>
              </w:rPr>
              <w:t>Lease cost (in thousands)</w:t>
            </w:r>
          </w:p>
        </w:tc>
        <w:tc>
          <w:tcPr>
            <w:tcW w:w="3700" w:type="dxa"/>
            <w:vAlign w:val="bottom"/>
            <w:gridSpan w:val="2"/>
          </w:tcPr>
          <w:p>
            <w:pPr>
              <w:ind w:left="400"/>
              <w:spacing w:after="0"/>
              <w:rPr>
                <w:sz w:val="20"/>
                <w:szCs w:val="20"/>
                <w:color w:val="auto"/>
              </w:rPr>
            </w:pPr>
            <w:r>
              <w:rPr>
                <w:rFonts w:ascii="Arial" w:cs="Arial" w:eastAsia="Arial" w:hAnsi="Arial"/>
                <w:sz w:val="18"/>
                <w:szCs w:val="18"/>
                <w:color w:val="auto"/>
              </w:rPr>
              <w:t>Classification</w:t>
            </w:r>
          </w:p>
        </w:tc>
        <w:tc>
          <w:tcPr>
            <w:tcW w:w="34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September 30, 2021</w:t>
            </w:r>
          </w:p>
        </w:tc>
        <w:tc>
          <w:tcPr>
            <w:tcW w:w="320" w:type="dxa"/>
            <w:vAlign w:val="bottom"/>
          </w:tcPr>
          <w:p>
            <w:pPr>
              <w:spacing w:after="0"/>
              <w:rPr>
                <w:sz w:val="18"/>
                <w:szCs w:val="18"/>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September 30, 2020</w:t>
            </w:r>
          </w:p>
        </w:tc>
      </w:tr>
      <w:tr>
        <w:trPr>
          <w:trHeight w:val="183"/>
        </w:trPr>
        <w:tc>
          <w:tcPr>
            <w:tcW w:w="26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3620" w:type="dxa"/>
            <w:vAlign w:val="bottom"/>
            <w:tcBorders>
              <w:top w:val="single" w:sz="8" w:color="auto"/>
            </w:tcBorders>
            <w:shd w:val="clear" w:color="auto" w:fill="CCEEFF"/>
          </w:tcPr>
          <w:p>
            <w:pPr>
              <w:ind w:left="400"/>
              <w:spacing w:after="0" w:line="182" w:lineRule="exact"/>
              <w:rPr>
                <w:sz w:val="20"/>
                <w:szCs w:val="20"/>
                <w:color w:val="auto"/>
              </w:rPr>
            </w:pPr>
            <w:r>
              <w:rPr>
                <w:rFonts w:ascii="Arial" w:cs="Arial" w:eastAsia="Arial" w:hAnsi="Arial"/>
                <w:sz w:val="18"/>
                <w:szCs w:val="18"/>
                <w:color w:val="auto"/>
              </w:rPr>
              <w:t>SG&amp;A expenses</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8,521</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8,285</w:t>
            </w:r>
          </w:p>
        </w:tc>
      </w:tr>
      <w:tr>
        <w:trPr>
          <w:trHeight w:val="189"/>
        </w:trPr>
        <w:tc>
          <w:tcPr>
            <w:tcW w:w="2620" w:type="dxa"/>
            <w:vAlign w:val="bottom"/>
          </w:tcPr>
          <w:p>
            <w:pPr>
              <w:spacing w:after="0" w:line="189" w:lineRule="exact"/>
              <w:rPr>
                <w:sz w:val="20"/>
                <w:szCs w:val="20"/>
                <w:color w:val="auto"/>
              </w:rPr>
            </w:pPr>
            <w:r>
              <w:rPr>
                <w:rFonts w:ascii="Arial" w:cs="Arial" w:eastAsia="Arial" w:hAnsi="Arial"/>
                <w:sz w:val="18"/>
                <w:szCs w:val="18"/>
                <w:color w:val="auto"/>
              </w:rPr>
              <w:t>Financing lease cost</w:t>
            </w:r>
          </w:p>
        </w:tc>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89"/>
        </w:trPr>
        <w:tc>
          <w:tcPr>
            <w:tcW w:w="2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leased assets</w:t>
            </w:r>
          </w:p>
        </w:tc>
        <w:tc>
          <w:tcPr>
            <w:tcW w:w="370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8"/>
                <w:szCs w:val="18"/>
                <w:color w:val="auto"/>
              </w:rPr>
              <w:t>SG&amp;A expenses</w:t>
            </w:r>
          </w:p>
        </w:tc>
        <w:tc>
          <w:tcPr>
            <w:tcW w:w="34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r>
      <w:tr>
        <w:trPr>
          <w:trHeight w:val="189"/>
        </w:trPr>
        <w:tc>
          <w:tcPr>
            <w:tcW w:w="2620" w:type="dxa"/>
            <w:vAlign w:val="bottom"/>
          </w:tcPr>
          <w:p>
            <w:pPr>
              <w:ind w:left="120"/>
              <w:spacing w:after="0" w:line="189" w:lineRule="exact"/>
              <w:rPr>
                <w:sz w:val="20"/>
                <w:szCs w:val="20"/>
                <w:color w:val="auto"/>
              </w:rPr>
            </w:pPr>
            <w:r>
              <w:rPr>
                <w:rFonts w:ascii="Arial" w:cs="Arial" w:eastAsia="Arial" w:hAnsi="Arial"/>
                <w:sz w:val="18"/>
                <w:szCs w:val="18"/>
                <w:color w:val="auto"/>
              </w:rPr>
              <w:t>Interest on lease liabilities</w:t>
            </w:r>
          </w:p>
        </w:tc>
        <w:tc>
          <w:tcPr>
            <w:tcW w:w="3700" w:type="dxa"/>
            <w:vAlign w:val="bottom"/>
            <w:gridSpan w:val="2"/>
          </w:tcPr>
          <w:p>
            <w:pPr>
              <w:ind w:left="400"/>
              <w:spacing w:after="0" w:line="189" w:lineRule="exact"/>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6"/>
                <w:szCs w:val="16"/>
                <w:color w:val="auto"/>
              </w:rPr>
            </w:pPr>
          </w:p>
        </w:tc>
        <w:tc>
          <w:tcPr>
            <w:tcW w:w="2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Arial" w:cs="Arial" w:eastAsia="Arial" w:hAnsi="Arial"/>
                <w:sz w:val="18"/>
                <w:szCs w:val="18"/>
                <w:color w:val="auto"/>
              </w:rPr>
              <w:t>13</w:t>
            </w:r>
          </w:p>
        </w:tc>
      </w:tr>
      <w:tr>
        <w:trPr>
          <w:trHeight w:val="257"/>
        </w:trPr>
        <w:tc>
          <w:tcPr>
            <w:tcW w:w="2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SG&amp;A expenses</w:t>
            </w:r>
          </w:p>
        </w:tc>
        <w:tc>
          <w:tcPr>
            <w:tcW w:w="34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r>
      <w:tr>
        <w:trPr>
          <w:trHeight w:val="189"/>
        </w:trPr>
        <w:tc>
          <w:tcPr>
            <w:tcW w:w="26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Short term lease cost</w:t>
            </w:r>
          </w:p>
        </w:tc>
        <w:tc>
          <w:tcPr>
            <w:tcW w:w="3700" w:type="dxa"/>
            <w:vAlign w:val="bottom"/>
            <w:tcBorders>
              <w:bottom w:val="single" w:sz="8" w:color="CCEEFF"/>
            </w:tcBorders>
            <w:gridSpan w:val="2"/>
          </w:tcPr>
          <w:p>
            <w:pPr>
              <w:ind w:left="400"/>
              <w:spacing w:after="0" w:line="189" w:lineRule="exact"/>
              <w:rPr>
                <w:sz w:val="20"/>
                <w:szCs w:val="20"/>
                <w:color w:val="auto"/>
              </w:rPr>
            </w:pPr>
            <w:r>
              <w:rPr>
                <w:rFonts w:ascii="Arial" w:cs="Arial" w:eastAsia="Arial" w:hAnsi="Arial"/>
                <w:sz w:val="18"/>
                <w:szCs w:val="18"/>
                <w:color w:val="auto"/>
              </w:rPr>
              <w:t>SG&amp;A expenses</w:t>
            </w:r>
          </w:p>
        </w:tc>
        <w:tc>
          <w:tcPr>
            <w:tcW w:w="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145</w:t>
            </w:r>
          </w:p>
        </w:tc>
      </w:tr>
      <w:tr>
        <w:trPr>
          <w:trHeight w:val="183"/>
        </w:trPr>
        <w:tc>
          <w:tcPr>
            <w:tcW w:w="26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lease cost</w:t>
            </w:r>
          </w:p>
        </w:tc>
        <w:tc>
          <w:tcPr>
            <w:tcW w:w="3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12,386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11,949</w:t>
            </w:r>
          </w:p>
        </w:tc>
      </w:tr>
      <w:tr>
        <w:trPr>
          <w:trHeight w:val="20"/>
        </w:trPr>
        <w:tc>
          <w:tcPr>
            <w:tcW w:w="2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r>
      <w:tr>
        <w:trPr>
          <w:trHeight w:val="358"/>
        </w:trPr>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4"/>
          </w:tcPr>
          <w:p>
            <w:pPr>
              <w:jc w:val="right"/>
              <w:ind w:right="1670"/>
              <w:spacing w:after="0"/>
              <w:rPr>
                <w:sz w:val="20"/>
                <w:szCs w:val="20"/>
                <w:color w:val="auto"/>
              </w:rPr>
            </w:pPr>
            <w:r>
              <w:rPr>
                <w:rFonts w:ascii="Arial" w:cs="Arial" w:eastAsia="Arial" w:hAnsi="Arial"/>
                <w:sz w:val="18"/>
                <w:szCs w:val="18"/>
                <w:color w:val="auto"/>
              </w:rPr>
              <w:t>Nine Months Ended</w:t>
            </w:r>
          </w:p>
        </w:tc>
      </w:tr>
      <w:tr>
        <w:trPr>
          <w:trHeight w:val="217"/>
        </w:trPr>
        <w:tc>
          <w:tcPr>
            <w:tcW w:w="2620" w:type="dxa"/>
            <w:vAlign w:val="bottom"/>
          </w:tcPr>
          <w:p>
            <w:pPr>
              <w:spacing w:after="0"/>
              <w:rPr>
                <w:sz w:val="20"/>
                <w:szCs w:val="20"/>
                <w:color w:val="auto"/>
              </w:rPr>
            </w:pPr>
            <w:r>
              <w:rPr>
                <w:rFonts w:ascii="Arial" w:cs="Arial" w:eastAsia="Arial" w:hAnsi="Arial"/>
                <w:sz w:val="18"/>
                <w:szCs w:val="18"/>
                <w:color w:val="auto"/>
              </w:rPr>
              <w:t>Lease cost (in thousands)</w:t>
            </w:r>
          </w:p>
        </w:tc>
        <w:tc>
          <w:tcPr>
            <w:tcW w:w="3700" w:type="dxa"/>
            <w:vAlign w:val="bottom"/>
            <w:gridSpan w:val="2"/>
          </w:tcPr>
          <w:p>
            <w:pPr>
              <w:ind w:left="400"/>
              <w:spacing w:after="0"/>
              <w:rPr>
                <w:sz w:val="20"/>
                <w:szCs w:val="20"/>
                <w:color w:val="auto"/>
              </w:rPr>
            </w:pPr>
            <w:r>
              <w:rPr>
                <w:rFonts w:ascii="Arial" w:cs="Arial" w:eastAsia="Arial" w:hAnsi="Arial"/>
                <w:sz w:val="18"/>
                <w:szCs w:val="18"/>
                <w:color w:val="auto"/>
              </w:rPr>
              <w:t>Classification</w:t>
            </w:r>
          </w:p>
        </w:tc>
        <w:tc>
          <w:tcPr>
            <w:tcW w:w="34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September 30, 2021</w:t>
            </w:r>
          </w:p>
        </w:tc>
        <w:tc>
          <w:tcPr>
            <w:tcW w:w="320" w:type="dxa"/>
            <w:vAlign w:val="bottom"/>
          </w:tcPr>
          <w:p>
            <w:pPr>
              <w:spacing w:after="0"/>
              <w:rPr>
                <w:sz w:val="18"/>
                <w:szCs w:val="18"/>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September 30, 2020</w:t>
            </w:r>
          </w:p>
        </w:tc>
      </w:tr>
      <w:tr>
        <w:trPr>
          <w:trHeight w:val="183"/>
        </w:trPr>
        <w:tc>
          <w:tcPr>
            <w:tcW w:w="26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3620" w:type="dxa"/>
            <w:vAlign w:val="bottom"/>
            <w:tcBorders>
              <w:top w:val="single" w:sz="8" w:color="auto"/>
            </w:tcBorders>
            <w:shd w:val="clear" w:color="auto" w:fill="CCEEFF"/>
          </w:tcPr>
          <w:p>
            <w:pPr>
              <w:ind w:left="400"/>
              <w:spacing w:after="0" w:line="182" w:lineRule="exact"/>
              <w:rPr>
                <w:sz w:val="20"/>
                <w:szCs w:val="20"/>
                <w:color w:val="auto"/>
              </w:rPr>
            </w:pPr>
            <w:r>
              <w:rPr>
                <w:rFonts w:ascii="Arial" w:cs="Arial" w:eastAsia="Arial" w:hAnsi="Arial"/>
                <w:sz w:val="18"/>
                <w:szCs w:val="18"/>
                <w:color w:val="auto"/>
              </w:rPr>
              <w:t>SG&amp;A expenses</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25,532</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24,758</w:t>
            </w:r>
          </w:p>
        </w:tc>
      </w:tr>
      <w:tr>
        <w:trPr>
          <w:trHeight w:val="189"/>
        </w:trPr>
        <w:tc>
          <w:tcPr>
            <w:tcW w:w="2620" w:type="dxa"/>
            <w:vAlign w:val="bottom"/>
          </w:tcPr>
          <w:p>
            <w:pPr>
              <w:spacing w:after="0" w:line="189" w:lineRule="exact"/>
              <w:rPr>
                <w:sz w:val="20"/>
                <w:szCs w:val="20"/>
                <w:color w:val="auto"/>
              </w:rPr>
            </w:pPr>
            <w:r>
              <w:rPr>
                <w:rFonts w:ascii="Arial" w:cs="Arial" w:eastAsia="Arial" w:hAnsi="Arial"/>
                <w:sz w:val="18"/>
                <w:szCs w:val="18"/>
                <w:color w:val="auto"/>
              </w:rPr>
              <w:t>Financing lease cost</w:t>
            </w:r>
          </w:p>
        </w:tc>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89"/>
        </w:trPr>
        <w:tc>
          <w:tcPr>
            <w:tcW w:w="2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leased assets</w:t>
            </w:r>
          </w:p>
        </w:tc>
        <w:tc>
          <w:tcPr>
            <w:tcW w:w="370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8"/>
                <w:szCs w:val="18"/>
                <w:color w:val="auto"/>
              </w:rPr>
              <w:t>SG&amp;A expenses</w:t>
            </w:r>
          </w:p>
        </w:tc>
        <w:tc>
          <w:tcPr>
            <w:tcW w:w="34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w:t>
            </w:r>
          </w:p>
        </w:tc>
      </w:tr>
      <w:tr>
        <w:trPr>
          <w:trHeight w:val="189"/>
        </w:trPr>
        <w:tc>
          <w:tcPr>
            <w:tcW w:w="2620" w:type="dxa"/>
            <w:vAlign w:val="bottom"/>
          </w:tcPr>
          <w:p>
            <w:pPr>
              <w:ind w:left="120"/>
              <w:spacing w:after="0" w:line="189" w:lineRule="exact"/>
              <w:rPr>
                <w:sz w:val="20"/>
                <w:szCs w:val="20"/>
                <w:color w:val="auto"/>
              </w:rPr>
            </w:pPr>
            <w:r>
              <w:rPr>
                <w:rFonts w:ascii="Arial" w:cs="Arial" w:eastAsia="Arial" w:hAnsi="Arial"/>
                <w:sz w:val="18"/>
                <w:szCs w:val="18"/>
                <w:color w:val="auto"/>
              </w:rPr>
              <w:t>Interest on lease liabilities</w:t>
            </w:r>
          </w:p>
        </w:tc>
        <w:tc>
          <w:tcPr>
            <w:tcW w:w="3700" w:type="dxa"/>
            <w:vAlign w:val="bottom"/>
            <w:gridSpan w:val="2"/>
          </w:tcPr>
          <w:p>
            <w:pPr>
              <w:ind w:left="400"/>
              <w:spacing w:after="0" w:line="189" w:lineRule="exact"/>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6"/>
                <w:szCs w:val="16"/>
                <w:color w:val="auto"/>
              </w:rPr>
            </w:pPr>
          </w:p>
        </w:tc>
        <w:tc>
          <w:tcPr>
            <w:tcW w:w="2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r>
      <w:tr>
        <w:trPr>
          <w:trHeight w:val="256"/>
        </w:trPr>
        <w:tc>
          <w:tcPr>
            <w:tcW w:w="2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SG&amp;A expenses</w:t>
            </w:r>
          </w:p>
        </w:tc>
        <w:tc>
          <w:tcPr>
            <w:tcW w:w="34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r>
      <w:tr>
        <w:trPr>
          <w:trHeight w:val="189"/>
        </w:trPr>
        <w:tc>
          <w:tcPr>
            <w:tcW w:w="26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Short term lease cost</w:t>
            </w:r>
          </w:p>
        </w:tc>
        <w:tc>
          <w:tcPr>
            <w:tcW w:w="3700" w:type="dxa"/>
            <w:vAlign w:val="bottom"/>
            <w:tcBorders>
              <w:bottom w:val="single" w:sz="8" w:color="CCEEFF"/>
            </w:tcBorders>
            <w:gridSpan w:val="2"/>
          </w:tcPr>
          <w:p>
            <w:pPr>
              <w:ind w:left="400"/>
              <w:spacing w:after="0" w:line="189" w:lineRule="exact"/>
              <w:rPr>
                <w:sz w:val="20"/>
                <w:szCs w:val="20"/>
                <w:color w:val="auto"/>
              </w:rPr>
            </w:pPr>
            <w:r>
              <w:rPr>
                <w:rFonts w:ascii="Arial" w:cs="Arial" w:eastAsia="Arial" w:hAnsi="Arial"/>
                <w:sz w:val="18"/>
                <w:szCs w:val="18"/>
                <w:color w:val="auto"/>
              </w:rPr>
              <w:t>SG&amp;A expenses</w:t>
            </w:r>
          </w:p>
        </w:tc>
        <w:tc>
          <w:tcPr>
            <w:tcW w:w="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375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531</w:t>
            </w:r>
          </w:p>
        </w:tc>
      </w:tr>
      <w:tr>
        <w:trPr>
          <w:trHeight w:val="183"/>
        </w:trPr>
        <w:tc>
          <w:tcPr>
            <w:tcW w:w="26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lease cost</w:t>
            </w:r>
          </w:p>
        </w:tc>
        <w:tc>
          <w:tcPr>
            <w:tcW w:w="3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36,655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35,768</w:t>
            </w:r>
          </w:p>
        </w:tc>
      </w:tr>
      <w:tr>
        <w:trPr>
          <w:trHeight w:val="20"/>
        </w:trPr>
        <w:tc>
          <w:tcPr>
            <w:tcW w:w="2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60" w:hanging="215"/>
        <w:spacing w:after="0"/>
        <w:tabs>
          <w:tab w:leader="none" w:pos="26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Variable lease costs consist primarily of taxes, insurance, and common area or other maintenance costs for the Company’s leased facilities.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vMerge w:val="restart"/>
          </w:tcPr>
          <w:p>
            <w:pPr>
              <w:spacing w:after="0"/>
              <w:rPr>
                <w:sz w:val="20"/>
                <w:szCs w:val="20"/>
                <w:color w:val="auto"/>
              </w:rPr>
            </w:pPr>
            <w:r>
              <w:rPr>
                <w:rFonts w:ascii="Arial" w:cs="Arial" w:eastAsia="Arial" w:hAnsi="Arial"/>
                <w:sz w:val="18"/>
                <w:szCs w:val="18"/>
                <w:color w:val="auto"/>
              </w:rPr>
              <w:t>Other Information (in thousands)</w:t>
            </w:r>
          </w:p>
        </w:tc>
        <w:tc>
          <w:tcPr>
            <w:tcW w:w="360" w:type="dxa"/>
            <w:vAlign w:val="bottom"/>
          </w:tcPr>
          <w:p>
            <w:pPr>
              <w:spacing w:after="0"/>
              <w:rPr>
                <w:sz w:val="20"/>
                <w:szCs w:val="20"/>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w w:val="89"/>
              </w:rPr>
              <w:t>September 30, 2021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Nine Months Ended</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w w:val="89"/>
              </w:rPr>
              <w:t>September 30, 2020</w:t>
            </w:r>
          </w:p>
        </w:tc>
        <w:tc>
          <w:tcPr>
            <w:tcW w:w="0" w:type="dxa"/>
            <w:vAlign w:val="bottom"/>
          </w:tcPr>
          <w:p>
            <w:pPr>
              <w:spacing w:after="0"/>
              <w:rPr>
                <w:sz w:val="1"/>
                <w:szCs w:val="1"/>
                <w:color w:val="auto"/>
              </w:rPr>
            </w:pPr>
          </w:p>
        </w:tc>
      </w:tr>
      <w:tr>
        <w:trPr>
          <w:trHeight w:val="160"/>
        </w:trPr>
        <w:tc>
          <w:tcPr>
            <w:tcW w:w="61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vMerge w:val="continue"/>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3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20" w:type="dxa"/>
            <w:vAlign w:val="bottom"/>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3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(27,675)</w:t>
            </w:r>
          </w:p>
        </w:tc>
        <w:tc>
          <w:tcPr>
            <w:tcW w:w="16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(26,808)</w:t>
            </w:r>
          </w:p>
        </w:tc>
        <w:tc>
          <w:tcPr>
            <w:tcW w:w="0" w:type="dxa"/>
            <w:vAlign w:val="bottom"/>
          </w:tcPr>
          <w:p>
            <w:pPr>
              <w:spacing w:after="0"/>
              <w:rPr>
                <w:sz w:val="1"/>
                <w:szCs w:val="1"/>
                <w:color w:val="auto"/>
              </w:rPr>
            </w:pPr>
          </w:p>
        </w:tc>
      </w:tr>
      <w:tr>
        <w:trPr>
          <w:trHeight w:val="189"/>
        </w:trPr>
        <w:tc>
          <w:tcPr>
            <w:tcW w:w="61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cash flows from financing leases</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9"/>
        </w:trPr>
        <w:tc>
          <w:tcPr>
            <w:tcW w:w="6120" w:type="dxa"/>
            <w:vAlign w:val="bottom"/>
          </w:tcPr>
          <w:p>
            <w:pPr>
              <w:ind w:left="120"/>
              <w:spacing w:after="0" w:line="189" w:lineRule="exact"/>
              <w:rPr>
                <w:sz w:val="20"/>
                <w:szCs w:val="20"/>
                <w:color w:val="auto"/>
              </w:rPr>
            </w:pPr>
            <w:r>
              <w:rPr>
                <w:rFonts w:ascii="Arial" w:cs="Arial" w:eastAsia="Arial" w:hAnsi="Arial"/>
                <w:sz w:val="18"/>
                <w:szCs w:val="18"/>
                <w:color w:val="auto"/>
              </w:rPr>
              <w:t>Financing cash flows from financing leases</w:t>
            </w:r>
          </w:p>
        </w:tc>
        <w:tc>
          <w:tcPr>
            <w:tcW w:w="3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89"/>
        </w:trPr>
        <w:tc>
          <w:tcPr>
            <w:tcW w:w="61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3"/>
              </w:rPr>
              <w:t>Lease right-of-use assets obtained or modified in exchange for lease obligations</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14,010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175"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identical or similar assets or liabilities in non-active markets;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71" w:lineRule="exact"/>
        <w:rPr>
          <w:sz w:val="20"/>
          <w:szCs w:val="20"/>
          <w:color w:val="auto"/>
        </w:rPr>
      </w:pPr>
    </w:p>
    <w:p>
      <w:pPr>
        <w:ind w:left="660" w:right="300"/>
        <w:spacing w:after="0" w:line="24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43" w:lineRule="exact"/>
        <w:rPr>
          <w:sz w:val="20"/>
          <w:szCs w:val="20"/>
          <w:color w:val="auto"/>
        </w:rPr>
      </w:pPr>
    </w:p>
    <w:p>
      <w:pPr>
        <w:jc w:val="both"/>
        <w:ind w:right="300"/>
        <w:spacing w:after="0" w:line="235"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September 30, 2021 and December 31, 2020 according to the valuation techniques the Company uses to determine their fair values. There have been no transfers of assets among the fair value hierarchies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gridSpan w:val="3"/>
          </w:tcPr>
          <w:p>
            <w:pPr>
              <w:jc w:val="right"/>
              <w:ind w:right="1150"/>
              <w:spacing w:after="0"/>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217"/>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September 30, 2021</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right"/>
              <w:ind w:right="111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Level 1</w:t>
            </w: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44,264</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43" w:lineRule="exact"/>
        <w:rPr>
          <w:sz w:val="20"/>
          <w:szCs w:val="20"/>
          <w:color w:val="auto"/>
        </w:rPr>
      </w:pPr>
    </w:p>
    <w:p>
      <w:pPr>
        <w:ind w:left="980" w:right="560"/>
        <w:spacing w:after="0" w:line="24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carrying amount approximates fair value.</w:t>
      </w:r>
    </w:p>
    <w:p>
      <w:pPr>
        <w:spacing w:after="0" w:line="143" w:lineRule="exact"/>
        <w:rPr>
          <w:sz w:val="20"/>
          <w:szCs w:val="20"/>
          <w:color w:val="auto"/>
        </w:rPr>
      </w:pPr>
    </w:p>
    <w:p>
      <w:pPr>
        <w:ind w:left="980" w:right="100"/>
        <w:spacing w:after="0" w:line="235"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 under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use for current operations. The value was measured using quoted market prices in active markets. The carrying amount approximates fair value.</w:t>
      </w:r>
    </w:p>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three and nine months ended September 30, 2021, the Company recognized a $0.7 million charge in selling, general and administrative expenses to write-down property, plant and equipment and right of use assets to their estimated fair values. During the nine months ended September 30, 2020, the Company recognized a $2.2 million charge in selling, general and administrative expenses to write-down property, plant, and equipment and right of use assets to their estimated fair values.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 No impairment charges were recorded during the three months ended September 30, 2020.</w:t>
      </w:r>
    </w:p>
    <w:p>
      <w:pPr>
        <w:spacing w:after="0" w:line="137"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During the nine months ended September 30, 2021, the Company recorded a $1.1 million adjustment to reflect an increase in the fair value to restore leased property to its original condition at the end of the lease. The change in the estimated value of the Company’s asset retirement obligation resulted in a $1.1 million increase in property, plant and equipment, a $0.1 million increase in other current liabilities, and a $1.0 million increase in other long-term liabilities. The Company measured the fair value of its asset retirement obligation based on the estimated amounts and timing of settlements, an estimated risk adjusted rate of return, and expected inflation rates, which are considered Level 2 inputs.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Plans</w:t>
      </w:r>
    </w:p>
    <w:p>
      <w:pPr>
        <w:spacing w:after="0" w:line="17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At the Annual Meeting of Stockholders held on July 20, 2021 (the “Annual Meeting”), the Company’s stockholders approved the 2021 Omnibus Equity Compensation Plan (the “2021 Plan”). The 2021 Plan replaced 2012 Omnibus Award Plan (the “Prior Plan”). No new awards will be granted under the Prior Plan after the date of the Annual Meeting. However, the Company granted equity awards under the Prior Plan to the Company’s non-employee directors on the date of the Annual Meeting, and all awards granted under the Prior Plan that were outstanding on the date of stockholder approval of the 2021 Plan will remain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 available under the 2021 Plan. To the extent that any award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3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3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measures and recognizes compensation expense for all stock based awards at fair value. The financial statements for the three and nine months ended September 30, 2021 and 2020 include compensation expense for the portion of outstanding awards that vested during those periods. The Company recognizes stock based compensation expenses on a straight-line basis over the requisite service period of the award, which is generally the option vesting term. Total stock based compensation expense related to stock options was $0.1 million for both the three months ended September 30, 2021 and 2020. Total stock based compensation expense related to stock options was $0.3 million for both the nine months ended September 30, 2021 and 2020. Stock based compensation expense pertaining to stock options is included in selling, general and administrative expenses in the accompanying Consolidated Statements of Operations.</w:t>
      </w:r>
    </w:p>
    <w:p>
      <w:pPr>
        <w:spacing w:after="0" w:line="15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As of September 30, 2021, the Company had outstanding stock options to purchase 992,695 shares of common stock at a weighted average exercise price of $10.91.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$0.5 million for both the three months ended September 30, 2021 and 2020. Total stock based compensation expense related to restricted stock was $1.6 million and $1.3 million for the nine months ended September 30, 2021 and 2020, respectively. Stock based compensation expense pertaining to restricted stock awards is included in selling, general and administrative expenses in the accompanying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had 1,355,707 outstanding restricted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New Markets Tax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7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54"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48"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In December 2016, U.S. Bank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1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determined that the financing arrangement with the Investment Fund and CDEs constitutes a variable interest entity (“VIE”). The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ongoing activities of the Investment Fund – collecting and remitting interest and fees and NMTC compliance – were all considered in the initial design</w:t>
      </w:r>
    </w:p>
    <w:p>
      <w:pPr>
        <w:spacing w:after="0"/>
        <w:rPr>
          <w:sz w:val="20"/>
          <w:szCs w:val="20"/>
          <w:color w:val="auto"/>
        </w:rPr>
      </w:pPr>
      <w:r>
        <w:rPr>
          <w:rFonts w:ascii="Arial" w:cs="Arial" w:eastAsia="Arial" w:hAnsi="Arial"/>
          <w:sz w:val="16"/>
          <w:szCs w:val="16"/>
          <w:color w:val="auto"/>
        </w:rPr>
        <w:t>and are not expected to significantly affect economic performance throughout the life of the Investment Fund. Management considered the contractual</w:t>
      </w:r>
    </w:p>
    <w:p>
      <w:pPr>
        <w:spacing w:after="0" w:line="238" w:lineRule="auto"/>
        <w:rPr>
          <w:sz w:val="20"/>
          <w:szCs w:val="20"/>
          <w:color w:val="auto"/>
        </w:rPr>
      </w:pPr>
      <w:r>
        <w:rPr>
          <w:rFonts w:ascii="Arial" w:cs="Arial" w:eastAsia="Arial" w:hAnsi="Arial"/>
          <w:sz w:val="17"/>
          <w:szCs w:val="17"/>
          <w:color w:val="auto"/>
        </w:rPr>
        <w:t>arrangements that obligate the Company to deliver tax benefits and provide various other guarantees to the structure; U.S. Bank’s lack of a material</w:t>
      </w:r>
    </w:p>
    <w:p>
      <w:pPr>
        <w:spacing w:after="0"/>
        <w:rPr>
          <w:sz w:val="20"/>
          <w:szCs w:val="20"/>
          <w:color w:val="auto"/>
        </w:rPr>
      </w:pPr>
      <w:r>
        <w:rPr>
          <w:rFonts w:ascii="Arial" w:cs="Arial" w:eastAsia="Arial" w:hAnsi="Arial"/>
          <w:sz w:val="16"/>
          <w:szCs w:val="16"/>
          <w:color w:val="auto"/>
        </w:rPr>
        <w:t>interest in the underlying economics of the project; and the fact that the Company is obligated to absorb losses of the Investment Fund. The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concluded that it is the primary beneficiary of the VIE and consolidated the Investment Fund, as a VIE, in accordance with the accounting standards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consolidation. In 2016, U.S. Bank’s contributions of $3.2 million, net of syndication fees, were included in cash, restricted cash, other accrued liabilities</w:t>
      </w:r>
    </w:p>
    <w:p>
      <w:pPr>
        <w:spacing w:after="0" w:line="238" w:lineRule="auto"/>
        <w:rPr>
          <w:sz w:val="20"/>
          <w:szCs w:val="20"/>
          <w:color w:val="auto"/>
        </w:rPr>
      </w:pPr>
      <w:r>
        <w:rPr>
          <w:rFonts w:ascii="Arial" w:cs="Arial" w:eastAsia="Arial" w:hAnsi="Arial"/>
          <w:sz w:val="17"/>
          <w:szCs w:val="17"/>
          <w:color w:val="auto"/>
        </w:rPr>
        <w:t>and other long-term liabilities in the consolidated balance sheet. The Company incurred $1.3 million of syndication fees in connection with this</w:t>
      </w:r>
    </w:p>
    <w:p>
      <w:pPr>
        <w:spacing w:after="0"/>
        <w:rPr>
          <w:sz w:val="20"/>
          <w:szCs w:val="20"/>
          <w:color w:val="auto"/>
        </w:rPr>
      </w:pPr>
      <w:r>
        <w:rPr>
          <w:rFonts w:ascii="Arial" w:cs="Arial" w:eastAsia="Arial" w:hAnsi="Arial"/>
          <w:sz w:val="16"/>
          <w:szCs w:val="16"/>
          <w:color w:val="auto"/>
        </w:rPr>
        <w:t>transaction, which were classified as other current assets and other non-current assets in the consolidated balance sheet. The Company is recognizing the</w:t>
      </w:r>
    </w:p>
    <w:p>
      <w:pPr>
        <w:spacing w:after="0" w:line="238" w:lineRule="auto"/>
        <w:rPr>
          <w:sz w:val="20"/>
          <w:szCs w:val="20"/>
          <w:color w:val="auto"/>
        </w:rPr>
      </w:pPr>
      <w:r>
        <w:rPr>
          <w:rFonts w:ascii="Arial" w:cs="Arial" w:eastAsia="Arial" w:hAnsi="Arial"/>
          <w:sz w:val="17"/>
          <w:szCs w:val="17"/>
          <w:color w:val="auto"/>
        </w:rPr>
        <w:t>benefit of this net $1.9 million contribution over the seven-year compliance period as it is being earned through the on-going compliance with the</w:t>
      </w:r>
    </w:p>
    <w:p>
      <w:pPr>
        <w:spacing w:after="0" w:line="232" w:lineRule="auto"/>
        <w:rPr>
          <w:sz w:val="20"/>
          <w:szCs w:val="20"/>
          <w:color w:val="auto"/>
        </w:rPr>
      </w:pPr>
      <w:r>
        <w:rPr>
          <w:rFonts w:ascii="Arial" w:cs="Arial" w:eastAsia="Arial" w:hAnsi="Arial"/>
          <w:sz w:val="17"/>
          <w:szCs w:val="17"/>
          <w:color w:val="auto"/>
        </w:rPr>
        <w:t>conditions of the NMTC program. As of September 30, 2021, the balance of the contribution liability for this arrangement was $1.0 million, of which</w:t>
      </w:r>
    </w:p>
    <w:p>
      <w:pPr>
        <w:spacing w:after="0"/>
        <w:rPr>
          <w:sz w:val="20"/>
          <w:szCs w:val="20"/>
          <w:color w:val="auto"/>
        </w:rPr>
      </w:pPr>
      <w:r>
        <w:rPr>
          <w:rFonts w:ascii="Arial" w:cs="Arial" w:eastAsia="Arial" w:hAnsi="Arial"/>
          <w:sz w:val="16"/>
          <w:szCs w:val="16"/>
          <w:color w:val="auto"/>
        </w:rPr>
        <w:t>$0.5 million was classified as other accrued liabilities on the Consolidated Balance Sheet and $0.5 million was classified as other long-term liabilities 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Balance Sheet.</w:t>
      </w:r>
    </w:p>
    <w:p>
      <w:pPr>
        <w:spacing w:after="0" w:line="155"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September 30, 2021, the remaining balance in the Investment Fund available for reimbursement to the Company was $0.7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July 9, 2018, Fumitake Nishi, a former Company employee and the brother-in-law of Robert A. Rucker, the Company’s former Interim Chief Executive Officer and President, former member of the Company’s Board of Directors, and former holder of more than 5% of the Company’s common stock as of September 30, 2021, informed the Company he had reacquired a majority of the equity of one of its key vendors, Nanyang Helin Stone Co. Ltd (“Nanyang”). Mr. Nishi also has an ownership interest in Tilestyling Co. Ltd (“Tile Style”), a vendor from which the Company started acquiring product in 2020. Nanyang and Tile Style supply the Company with natural stone products, including hand-crafted mosaics, listellos and other accessories. The Company paid $7.6 million to Nanyang in connection with purchases made during the year ended December 31, 2020. During the three and nine months ended September 30, 2021, the Company purchased $2.9 million and $6.2 million of products from Nanyang, respectively. As of September 30, 2021, there were no accounts payable due to Nanyang. The Company paid $0.7 million to Tile Style in connection with purchases made during the year ended December 31, 2020. During the three and nine months ended September 30, 2021, the Company purchased $1.0 million and $2.1 million of products from Tile Style, respectively. As of September 30, 2021, the accounts payable due to Tile Style was $0.1 million.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50"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Management and the Audit Committee have evaluated these relationships and determined that it would be in the Company’s best interests to continue purchasing products from Nanyang and to begin purchasing products from Tile Style. The Company believes Nanyang and Tile Style each provide an important combination of quality, product availability and pricing, and relying solely on other vendors to supply similar product to the Company would not be in the Company’s best interests. The Company and the Audit Committee will continue to review future purchases from Nanyang and Tile Style and compare the pricing for products purchased from each of Nanyang and Tile Style to the pricing of same or similar products purchased from unrelated vendors.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w:t>
      </w:r>
    </w:p>
    <w:p>
      <w:pPr>
        <w:spacing w:after="0" w:line="17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On November 4, 2021, the Company announced that the Board of Directors had declared a $0.65 special dividend to stockholders of record as of the close of business on November 19, 2021. The dividend will be paid on December 3, 2021.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2020 and our consolidated financial statements and related notes appearing elsewhere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many of which have been, and may further be, exacerbated by the COVID-19 pandemic, include, but are not limited to, our anticipated new store openings, remodeling plans, and growth opportunities; our business strengths, marketing strategies, competitive advantages and role in our industry and markets; our expectations regarding the potential impacts on our business of the COVID-19 pandemic, including its effect on general economic conditions and credit markets and on customer traffic to our stores, as well as the potential duration of the COVID-19 pandemic and the length and adequacy of measures we have taken to attempt to mitigate the impact of the COVID-19 pandemic on our business;</w:t>
      </w:r>
    </w:p>
    <w:p>
      <w:pPr>
        <w:spacing w:after="0" w:line="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i w:val="1"/>
          <w:iCs w:val="1"/>
          <w:color w:val="auto"/>
        </w:rPr>
        <w:t>our ability to successfully implement our strategic plan and the anticipated benefits of our strategic plan; any statements with respect to dividends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refinancing due to market conditions resulting from the COVID-19 pandemic; supply costs and expectations, including the continued availability of sufficient products from our suppliers and the potential impact of the COVID-19 pandemic on, among other things, product availability and pricing and timing and cost of deliveries; our expectations with respect to ongoing compliance with the terms of the Credit Agreement (as defined below), including the possibility that the impact of the COVID-19 pandemic on our business may result in our inability to maintain such compliance, as well as the potential impact of the phase out of LIBOR; our ability to provide timely delivery to our customers; the effect of regulations on us and our industry, and our suppliers’ compliance with such regulations, including any environmental or climate change-related requirements; our expectations regarding the effects of employee recruiting, training, mentoring, and retention, as well as the potential impact of the federal COVID-19 vaccination mandate on our ability to recruit and retain employees; the potential impact of cybersecurity breaches or disruptions to our management information systems; our ability to successfully implement our information technology initiatives, including our enterprise resource planning (“ERP”) system; our ability to effectively manage our online sales; our ability to remediate material weaknesses in our internal control over financial reporting; costs and adequacy of insurance; the potential impact of natural disasters and other catastrophic events; risks inherent in operating as a holding company; fluctuations in material and energy costs; the potential outcome of any legal proceedings; risks related to ownership of our common stock; and those factors set forth in the section captioned “Risk Factors” in our Annual Report on Form 10-K for the year ended December 31, 2020.</w:t>
      </w:r>
    </w:p>
    <w:p>
      <w:pPr>
        <w:spacing w:after="0" w:line="143"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51"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i w:val="1"/>
          <w:iCs w:val="1"/>
          <w:color w:val="auto"/>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175" w:lineRule="exact"/>
        <w:rPr>
          <w:sz w:val="20"/>
          <w:szCs w:val="20"/>
          <w:color w:val="auto"/>
        </w:rPr>
      </w:pPr>
    </w:p>
    <w:p>
      <w:pPr>
        <w:jc w:val="both"/>
        <w:ind w:right="160"/>
        <w:spacing w:after="0" w:line="253" w:lineRule="auto"/>
        <w:rPr>
          <w:sz w:val="20"/>
          <w:szCs w:val="20"/>
          <w:color w:val="auto"/>
        </w:rPr>
      </w:pPr>
      <w:r>
        <w:rPr>
          <w:rFonts w:ascii="Arial" w:cs="Arial" w:eastAsia="Arial" w:hAnsi="Arial"/>
          <w:sz w:val="17"/>
          <w:szCs w:val="17"/>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September 30, 2021, we operated 143 stores in 31 states and the District of Columbia, with an average size of approximately 20,000 square feet.</w:t>
      </w:r>
    </w:p>
    <w:p>
      <w:pPr>
        <w:spacing w:after="0" w:line="138"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March 2020, the World Health Organization declared the COVID-19 outbreak a global pandemic. COVID-19 has negatively impacted public health and the global economy, disrupted global supply chains, and created volatility in financial markets. The continuing implications of COVID-19 on us remain uncertain and will depend on certain future developments, including the duration, scope and severity of the pandemic and the effects of new variants of COVID-19, some of which may be more virulent or transmissible than the initial strain; its impact on our employees, customers and suppliers; the range and timing of government mandated restrictions and other measures, including the reimplementation of previously lifted measures or imposition of new measures and the potential impact of the federal vaccination mandate on our labor supply and future results of operations; and the success of the deployment and widespread adoption of approved COVID-19 vaccines and their effectiveness against new variants of COVID-19. This uncertainty could have a material impact on the accounting estimates and assumptions utilized to prepare our consolidated financial statements in future reporting periods, which could result in a material adverse impact on our financial position, results of operations and cash flows.</w:t>
      </w:r>
    </w:p>
    <w:p>
      <w:pPr>
        <w:spacing w:after="0" w:line="13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COVID-19 pandemic had a significant impact on our operations during 2020. For instance, we experienced a sharp decline in traffic toward the end of the first quarter of 2020 following the onset of COVID-19 in the United States. In response, we took steps to reduce selling, general and administrative (sometimes referred to as “SG&amp;A”) expenses by eliminating a portion of our workforce, reducing store hours, curtailing advertising spending, reducing the number of replenishment trucks sent from our distribution centers to our stores and limiting other SG&amp;A spending when possible. As state and local governments started lifting restrictions toward the end of the second quarter of 2020, we saw an improvement in traffic and sales trends. Throughout the remainder of 2020, we took a cautious approach to investing in activities that would increase our SG&amp;A expenses, which included operating our stores at a reduced hours schedule compared to the prior year.</w:t>
      </w:r>
    </w:p>
    <w:p>
      <w:pPr>
        <w:spacing w:after="0" w:line="149"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pandemic has had a significant impact on our supply chain. During the third quarter of 2021, we continued to experience elevated levels of product shortages, which were partially due to vendor production delays and global shipping capacity constraints resulting, in part, from the impact of COVID-19. We continue to actively work with our vendors to secure delivery of backordered product. Additionally, many of our vendors have begun to communicate price increases in response to inflationary cost pressure, which, combined with escalated international shipping rates, is resulting in an increase in the cost of our inventory and corresponding pressure on our gross margin rates. In response to this cost pressure, we have adjusted, and plan to continue to adjust, our pricing.</w:t>
      </w:r>
    </w:p>
    <w:p>
      <w:pPr>
        <w:spacing w:after="0" w:line="14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September 9, 2021, President Biden announced a proposed new rule that would require all employers with at least 100 employees to ensure that their employees are fully vaccinated or require unvaccinated workers to obtain a negative test at least once a week. On November 4, 2021, the Department of Labor’s Occupational Safety and Health Administration (“OSHA”) issued an emergency regulation to carry out this mandate. It is not currently possible to predict with any certainty the exact impact of the new regulation. As a company with more than 100 employees, we are required, by January 4, 2022,</w:t>
      </w:r>
    </w:p>
    <w:p>
      <w:pPr>
        <w:spacing w:after="0" w:line="2" w:lineRule="exact"/>
        <w:rPr>
          <w:sz w:val="20"/>
          <w:szCs w:val="20"/>
          <w:color w:val="auto"/>
        </w:rPr>
      </w:pPr>
    </w:p>
    <w:p>
      <w:pPr>
        <w:ind w:right="560"/>
        <w:spacing w:after="0" w:line="243" w:lineRule="auto"/>
        <w:rPr>
          <w:sz w:val="20"/>
          <w:szCs w:val="20"/>
          <w:color w:val="auto"/>
        </w:rPr>
      </w:pPr>
      <w:r>
        <w:rPr>
          <w:rFonts w:ascii="Arial" w:cs="Arial" w:eastAsia="Arial" w:hAnsi="Arial"/>
          <w:sz w:val="17"/>
          <w:szCs w:val="17"/>
          <w:color w:val="auto"/>
        </w:rPr>
        <w:t>to mandate COVID-19 vaccination of our workforce or require our unvaccinated employees to be tested weekly and wear a face covering while working. This mandate could result in employee attrition and difficulty satisfying future labor needs and may have an adverse effect on future profit margins. We remain steadfast in our commitment to taking actions to ensure the safety of our labor force.</w:t>
      </w:r>
    </w:p>
    <w:p>
      <w:pPr>
        <w:spacing w:after="0" w:line="14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While we are cautiously optimistic with the current business trend and the progress made distributing COVID-19 vaccinations in recent months, the continued sporadic outbreaks of COVID-19 cases occurring globally, as well as the ongoing spread of new COVID-19 variants, could have a negative impact on us. Specifically, we could be adversely impacted by limitations on our employees to perform their work due to illness caused by the pandemic or local, state or federal orders requiring stores to close or employees to remain home; labor shortages resulting from various factors, including mandatory vaccination requirements; limitations of carriers to deliver our products to customers; product shortages; limitations on the ability of our customers to conduct their business and purchase our products and services; and limitations on the ability of our customers to pay us in a timely manner. These events could have a material adverse effect on our results of operations, cash flows and liquidity. In addition, even after the COVID-19</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ind w:right="1160"/>
        <w:spacing w:after="0" w:line="438" w:lineRule="auto"/>
        <w:rPr>
          <w:sz w:val="20"/>
          <w:szCs w:val="20"/>
          <w:color w:val="auto"/>
        </w:rPr>
      </w:pPr>
      <w:r>
        <w:rPr>
          <w:rFonts w:ascii="Arial" w:cs="Arial" w:eastAsia="Arial" w:hAnsi="Arial"/>
          <w:sz w:val="18"/>
          <w:szCs w:val="18"/>
          <w:color w:val="auto"/>
        </w:rPr>
        <w:t xml:space="preserve">pandemic has subsided, we may continue to experience adverse impacts to our business as a result of the economic impact of the pandemic. </w:t>
      </w:r>
      <w:r>
        <w:rPr>
          <w:rFonts w:ascii="Arial" w:cs="Arial" w:eastAsia="Arial" w:hAnsi="Arial"/>
          <w:sz w:val="18"/>
          <w:szCs w:val="18"/>
          <w:b w:val="1"/>
          <w:bCs w:val="1"/>
          <w:color w:val="auto"/>
        </w:rPr>
        <w:t>September 2021 Quarter Financial Overview</w:t>
      </w:r>
    </w:p>
    <w:p>
      <w:pPr>
        <w:spacing w:after="0" w:line="1"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For the three months ended September 30, 2021 and 2020, we reported net sales of $92.2 million and $81.5 million, respectively. The sales results during the three months ended September 30, 2020 were adversely impacted by the ongoing COVID-19 pandemic, which resulted in reduced store hours, lower levels of traffic and an overall decrease in sales. Over the last 12 months, we have seen improved sales due to strong demand for home improvement products, which, combined with the execution of the Company’s strategy and an improvement in average ticket have contributed to a 12.8% increase in sales at comparable stores during the three months ended September 30, 2021.</w:t>
      </w:r>
    </w:p>
    <w:p>
      <w:pPr>
        <w:spacing w:after="0" w:line="148"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table below sets forth information about our comparable store sales growth (decline) for the three and nine months ended September 30, 2021 and 2020.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50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For the three months ended</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For the nine months ended</w:t>
            </w:r>
          </w:p>
        </w:tc>
      </w:tr>
      <w:tr>
        <w:trPr>
          <w:trHeight w:val="217"/>
        </w:trPr>
        <w:tc>
          <w:tcPr>
            <w:tcW w:w="6480" w:type="dxa"/>
            <w:vAlign w:val="bottom"/>
          </w:tcPr>
          <w:p>
            <w:pPr>
              <w:spacing w:after="0"/>
              <w:rPr>
                <w:sz w:val="18"/>
                <w:szCs w:val="18"/>
                <w:color w:val="auto"/>
              </w:rPr>
            </w:pPr>
          </w:p>
        </w:tc>
        <w:tc>
          <w:tcPr>
            <w:tcW w:w="250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r>
      <w:tr>
        <w:trPr>
          <w:trHeight w:val="183"/>
        </w:trPr>
        <w:tc>
          <w:tcPr>
            <w:tcW w:w="648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6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Comparable store sales growth (decline)</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12.8 %</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14.9 %</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(8.3)%</w:t>
            </w:r>
          </w:p>
        </w:tc>
      </w:tr>
    </w:tbl>
    <w:p>
      <w:pPr>
        <w:spacing w:after="0" w:line="16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For the three months ended September 30, 2021 and 2020, we reported gross profit of $62.9 million and $55.3 million, respectively. The increase in gross profit was primarily due to the increase in sales. The gross margin rate was 68.2% and 67.9% for the three months ended September 30, 2021 and 2020, respectively. The increase in gross margin rate was primarily driven by better pricing and an improvement in customer delivery collection rates, partially offset by increased costs for our products during the three months ended September 30, 2021 compared to the three months ended September 30, 2020.</w:t>
      </w:r>
    </w:p>
    <w:p>
      <w:pPr>
        <w:spacing w:after="0" w:line="12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For the three months ended September 30, 2021 and 2020, we reported income from operations of $3.2 million and $2.9 million, respectively. The increase in income from operations was primarily due to the improvement in sales, which was partially offset by a $7.4 million increase in selling, general and administrative expenses. The increase in selling, general and administrative expenses was largely attributable to an increase in expenses as the Company has resumed normal business operations and included a $1.7 million increase in staffing costs, a $0.5 million increase in marketing expenses, a $0.4 million increase in travel, a $0.4 million increase in store maintenance expenses and a $0.3 million increase in recruiting expenses. Additionally, variable compensation costs increased by $1.1 million and technology consulting costs increased by $0.7 million. The increase in SG&amp;A expenses during the three months ended September 30, 2021 also included $0.7 million related to asset impairment. The asset impairment charge was recorded given diminished projections of future cash flows associated with a store that had underperformed prior to the onset of COVID-19, experienced further sales declines during 2020, has struggled to rebound as we emerge from the pandemic, and has been challenged by staffing turnover during 2021.</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 was $44.4 million and $57.3 million for the nine months ended September 30, 2021 and 2020, respectively.</w:t>
      </w:r>
    </w:p>
    <w:p>
      <w:pPr>
        <w:spacing w:after="0" w:line="18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After review and consideration of capital allocation alternatives with its financial advisor, the Independent Transaction Committee of the Board of Directors of the Company (the “Board”) recommended that the Board approve a special dividend of $0.65 per share. The members of the Board unanimously approved this recommendation on November 2, 2021. On November 4, 2021, we announced that the Board declared a $0.65 special dividend to stockholders of record as of the close of business on November 19, 2021. The dividend will be paid on December 3,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represents total charges to customers, net of returns, and includes freight charged to customers. We recognize sales at the time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2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comparable store sales operating metric is the percentage change in sales of comparable stores period-over-period. A store is considered comparable on the first day of the 13th full month of operation. When a store is relocated, it is excluded from the comparable store sales calculation. Comparable store sales includes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operating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jc w:val="both"/>
        <w:ind w:right="320"/>
        <w:spacing w:after="0" w:line="246" w:lineRule="auto"/>
        <w:rPr>
          <w:sz w:val="20"/>
          <w:szCs w:val="20"/>
          <w:color w:val="auto"/>
        </w:rPr>
      </w:pPr>
      <w:r>
        <w:rPr>
          <w:rFonts w:ascii="Arial" w:cs="Arial" w:eastAsia="Arial" w:hAnsi="Arial"/>
          <w:sz w:val="18"/>
          <w:szCs w:val="18"/>
          <w:color w:val="auto"/>
        </w:rPr>
        <w:t>metric provides useful information to both management and investors to evaluate the Company’s performance, the effectiveness of its strategy and its competitive position.</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customs and duties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43" w:lineRule="exact"/>
        <w:rPr>
          <w:sz w:val="20"/>
          <w:szCs w:val="20"/>
          <w:color w:val="auto"/>
        </w:rPr>
      </w:pPr>
    </w:p>
    <w:p>
      <w:pPr>
        <w:ind w:right="1640"/>
        <w:spacing w:after="0" w:line="24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is net sales less cost of sales. Gross margin rate is the percentage determined by dividing gross profit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w:t>
      </w:r>
    </w:p>
    <w:p>
      <w:pPr>
        <w:spacing w:after="0" w:line="143" w:lineRule="exact"/>
        <w:rPr>
          <w:sz w:val="20"/>
          <w:szCs w:val="20"/>
          <w:color w:val="auto"/>
        </w:rPr>
      </w:pPr>
    </w:p>
    <w:p>
      <w:pPr>
        <w:jc w:val="both"/>
        <w:ind w:right="340"/>
        <w:spacing w:after="0" w:line="235"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 occupancy,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utilities, maintenance costs, advertising costs, shipping and transportation expenses to move inventory from our distribution centers to our stores, and depreciation and amortization.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ind w:left="1560"/>
        <w:spacing w:after="0"/>
        <w:rPr>
          <w:sz w:val="20"/>
          <w:szCs w:val="20"/>
          <w:color w:val="auto"/>
        </w:rPr>
      </w:pPr>
      <w:r>
        <w:rPr>
          <w:rFonts w:ascii="Arial" w:cs="Arial" w:eastAsia="Arial" w:hAnsi="Arial"/>
          <w:sz w:val="18"/>
          <w:szCs w:val="18"/>
          <w:b w:val="1"/>
          <w:bCs w:val="1"/>
          <w:u w:val="single" w:color="auto"/>
          <w:color w:val="auto"/>
        </w:rPr>
        <w:t>Comparison of the three months ended September 30, 2021 to the three months ended September 30,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 of sales</w:t>
            </w:r>
          </w:p>
        </w:tc>
        <w:tc>
          <w:tcPr>
            <w:tcW w:w="440" w:type="dxa"/>
            <w:vAlign w:val="bottom"/>
          </w:tcPr>
          <w:p>
            <w:pPr>
              <w:spacing w:after="0"/>
              <w:rPr>
                <w:sz w:val="21"/>
                <w:szCs w:val="21"/>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92,240</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81,492</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29,291</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31.8</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26,188</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32.1</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62,949</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68.2</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55,304</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67.9</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59,791</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64.8</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52,403</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64.3</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3,158</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2,901</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(204)</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(0.2)%</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(239)</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2,954</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2,662</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3.3</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(779)</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(0.8)%</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(748)</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83"/>
        </w:trPr>
        <w:tc>
          <w:tcPr>
            <w:tcW w:w="53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2,175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2.4 %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1,914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do not foot due to rounding.</w:t>
      </w:r>
    </w:p>
    <w:p>
      <w:pPr>
        <w:spacing w:after="0" w:line="8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third quarter of 2021 increased $10.7 million, or 13.2%, compared with the third quarter of 2020. The sales results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2020 were adversely impacted by the ongoing COVID-19 pandemic, which resulted in reduced store hours, lower levels of traffic and an overall decrease in sales during the three months ended September 30, 2020. Over the last 12 months, we have seen improved sales due to strong demand for home improvement products, which, combined with the execution of the Company’s strategy and an improvement in average ticket have contributed to a 12.8% increase in sales at comparable stores during the three months ended September 30, 2021.</w:t>
      </w:r>
    </w:p>
    <w:p>
      <w:pPr>
        <w:spacing w:after="0" w:line="13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for the third quarter of 2021 increased $7.6 million, or 13.8%, compared with the third quarter of 2020, primarily due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in sales. The gross margin rate was 68.2% and 67.9% for the three months ended September 30, 2021 and 2020, respectively. The increase in gross margin rate was primarily driven by better pricing and an improvement in customer delivery collection rates, partially offset by increased costs for our products during the three months ended September 30, 2021 compared to the three months ended September 30, 2020.</w:t>
      </w:r>
    </w:p>
    <w:p>
      <w:pPr>
        <w:spacing w:after="0" w:line="144"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third quarter of 2021 increased $7.4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14.1%, compared with the third quarter of 2020. The increase in selling, general and administrative expenses was largely attributable to an increase in expenses as the Company has resumed normal business operations and included a $1.7 million increase in staffing costs, a $0.5 million increase in marketing expenses, a $0.4 million increase in travel, a $0.4 million increase in store maintenance expenses and a $0.3 million increase in recruiting expenses. Additionally, variable compensation costs increased by $1.1 million and technology consulting costs increased by $0.7 million. The increase in SG&amp;A expenses during the three months ended September 30, 2021 also included $0.7 million related to asset impairment.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$0.2 million for both the third quarter of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The provision for income taxes for the third quarter of 2021 increased $0.1 million compared with the third quarter of 2020.</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the provision for income tax was largely due to the increase in income before taxes. Our effective tax rate for the three months ended</w:t>
      </w:r>
    </w:p>
    <w:p>
      <w:pPr>
        <w:spacing w:after="0"/>
        <w:rPr>
          <w:sz w:val="20"/>
          <w:szCs w:val="20"/>
          <w:color w:val="auto"/>
        </w:rPr>
      </w:pPr>
      <w:r>
        <w:rPr>
          <w:rFonts w:ascii="Arial" w:cs="Arial" w:eastAsia="Arial" w:hAnsi="Arial"/>
          <w:sz w:val="18"/>
          <w:szCs w:val="18"/>
          <w:color w:val="auto"/>
        </w:rPr>
        <w:t>September 30, 2021 and 2020 was 26.4% and 28.1%, respectively.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380" w:type="dxa"/>
            <w:vAlign w:val="bottom"/>
            <w:gridSpan w:val="3"/>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507"/>
        </w:trPr>
        <w:tc>
          <w:tcPr>
            <w:tcW w:w="1360" w:type="dxa"/>
            <w:vAlign w:val="bottom"/>
            <w:tcBorders>
              <w:top w:val="single" w:sz="8" w:color="0563C1"/>
            </w:tcBorders>
          </w:tcPr>
          <w:p>
            <w:pPr>
              <w:spacing w:after="0"/>
              <w:rPr>
                <w:sz w:val="24"/>
                <w:szCs w:val="24"/>
                <w:color w:val="auto"/>
              </w:rPr>
            </w:pPr>
          </w:p>
        </w:tc>
        <w:tc>
          <w:tcPr>
            <w:tcW w:w="8600" w:type="dxa"/>
            <w:vAlign w:val="bottom"/>
            <w:gridSpan w:val="12"/>
          </w:tcPr>
          <w:p>
            <w:pPr>
              <w:ind w:left="260"/>
              <w:spacing w:after="0"/>
              <w:rPr>
                <w:sz w:val="20"/>
                <w:szCs w:val="20"/>
                <w:color w:val="auto"/>
              </w:rPr>
            </w:pPr>
            <w:r>
              <w:rPr>
                <w:rFonts w:ascii="Arial" w:cs="Arial" w:eastAsia="Arial" w:hAnsi="Arial"/>
                <w:sz w:val="18"/>
                <w:szCs w:val="18"/>
                <w:b w:val="1"/>
                <w:bCs w:val="1"/>
                <w:color w:val="auto"/>
                <w:w w:val="92"/>
              </w:rPr>
              <w:t>Comparison of the nine months ended September 30, 2021 to the nine months ended September 30, 2020</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1"/>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 of sales</w:t>
            </w:r>
          </w:p>
        </w:tc>
        <w:tc>
          <w:tcPr>
            <w:tcW w:w="4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 of sales</w:t>
            </w:r>
          </w:p>
        </w:tc>
      </w:tr>
      <w:tr>
        <w:trPr>
          <w:trHeight w:val="183"/>
        </w:trPr>
        <w:tc>
          <w:tcPr>
            <w:tcW w:w="53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280,517</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243,501</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86,957</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31.0</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77,828</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32.0</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193,560</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69.0</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165,673</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68.0</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175,880</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62.7</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161,972</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66.5</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17,680</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3,701</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gridSpan w:val="3"/>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(517)</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(0.2)%</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(1,646)</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(0.7)%</w:t>
            </w:r>
          </w:p>
        </w:tc>
      </w:tr>
      <w:tr>
        <w:trPr>
          <w:trHeight w:val="183"/>
        </w:trPr>
        <w:tc>
          <w:tcPr>
            <w:tcW w:w="53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17,163</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2,055</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0.8</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gridSpan w:val="3"/>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(4,197)</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2,601</w:t>
            </w: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c>
          <w:tcPr>
            <w:tcW w:w="32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tcBorders>
              <w:top w:val="single" w:sz="8" w:color="CCEEFF"/>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12,966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4.6 %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4,656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1.9 %</w:t>
            </w: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nine months ended September 30, 2021 increased $37.0 million, or 15.2%, compared with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The sales results during the nine months ended September 30, 2020 were adversely impacted by the onset of COVID-19 in the United States and the shelter in place restrictions implemented by many state and local governments in response to the pandemic. This resulted in store closures, reduced store hours, lower levels of traffic and an overall decrease in sales during the nine months ended September 30, 2020. Over the last 12 months, we have seen restrictions ease, the rollout of vaccinations in the United States, and strong demand for home improvement products. These factors, combined with the execution of the Company’s strategy and an improvement in average ticket have contributed to a 14.9% increase in sales at comparable stores.</w:t>
      </w:r>
    </w:p>
    <w:p>
      <w:pPr>
        <w:spacing w:after="0" w:line="10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nine months ended September 30, 2021 increased $27.9 million, or 16.8%, compared with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2020. The increase in gross profit was primarily due to the increase in sales. The gross margin rate was 69.0% and 68.0% for the nine months ended September 30, 2021 and 2020, respectively. The increase in gross margin rate was primarily driven by better pricing and an improvement in customer delivery collection rates during the nine months ended September 30, 2021 when compared to the nine months ended September 30, 2020.</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SG&amp;A expenses for the nine months ended September 30, 2021 increased $13.9 million, or 8.6%,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the nine months ended September 30, 2020. The increase in SG&amp;A expenses included a $6.1 million increase in variable compensation expenses and a $2.0 million increase in transportation costs. Additionally, SG&amp;A expenses increased as the Company resumed normal business operations during 2021 and included a $2.4 million increase in staffing costs, a $1.4 million increase in marketing expenses, a $0.5 million increase in travel expenses, a $0.3 million increase in store maintenance expenses and a $0.3 million increase in recruiting expenses. During the nine months ended September 30, 2020, the Company recorded $2.2 million of asset impairment charges and $2.0 million of legal costs incurred in connection with shareholder litigation in SG&amp;A expenses. During the nine months ended September 30, 2021, the Company recorded $0.7 million of asset impairment charges. The Company did not record any legal costs in connection with shareholder litigation during the nine months ended September 30, 2021.</w:t>
      </w:r>
    </w:p>
    <w:p>
      <w:pPr>
        <w:spacing w:after="0" w:line="13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$0.5 million and $1.6 million for the nine months ended September 30, 2021 and 2020, respectively.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to the decrease in outstanding debt during the nine months ended September 30, 2021.</w:t>
      </w:r>
    </w:p>
    <w:p>
      <w:pPr>
        <w:spacing w:after="0" w:line="143" w:lineRule="exact"/>
        <w:rPr>
          <w:sz w:val="20"/>
          <w:szCs w:val="20"/>
          <w:color w:val="auto"/>
        </w:rPr>
      </w:pPr>
    </w:p>
    <w:p>
      <w:pPr>
        <w:ind w:right="140"/>
        <w:spacing w:after="0"/>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Provision for income taxes increased $6.8 million for the nine months ended September 30, 2021 compared with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2020. Our effective tax rate for the nine months ended September 30, 2021 and 2020 was 24.5% and (126.6)%, respectively. The tax benefit recognized during the nine months ended September 30, 2020 and the change in the effective tax rate was primarily due the enactment of the Coronavirus Aid, Relief, and Economic Security Act (the CARES Act), which gave the Company the ability to carry back federal net operating losses to years with a federal statutory tax rate of 35%. The Company’s effective tax rate during the nine months ended September 30, 2021 included a $0.4 million tax benefit associated with restricted stock award vestings.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(loss)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5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and nine months ended September 30, 2021 and 2020 is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89"/>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60" w:type="dxa"/>
            <w:vAlign w:val="bottom"/>
            <w:gridSpan w:val="6"/>
          </w:tcPr>
          <w:p>
            <w:pPr>
              <w:jc w:val="center"/>
              <w:ind w:right="40"/>
              <w:spacing w:after="0" w:line="189" w:lineRule="exact"/>
              <w:rPr>
                <w:sz w:val="20"/>
                <w:szCs w:val="20"/>
                <w:color w:val="auto"/>
              </w:rPr>
            </w:pPr>
            <w:r>
              <w:rPr>
                <w:rFonts w:ascii="Arial" w:cs="Arial" w:eastAsia="Arial" w:hAnsi="Arial"/>
                <w:sz w:val="18"/>
                <w:szCs w:val="18"/>
                <w:color w:val="auto"/>
                <w:w w:val="90"/>
              </w:rPr>
              <w:t>Three Months Ended</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7"/>
        </w:trPr>
        <w:tc>
          <w:tcPr>
            <w:tcW w:w="5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88"/>
              </w:rPr>
              <w:t>September 30,</w:t>
            </w: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50"/>
        </w:trPr>
        <w:tc>
          <w:tcPr>
            <w:tcW w:w="57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 of sales</w:t>
            </w: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2020</w:t>
            </w:r>
          </w:p>
        </w:tc>
        <w:tc>
          <w:tcPr>
            <w:tcW w:w="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right"/>
              <w:ind w:right="130"/>
              <w:spacing w:after="0" w:line="250" w:lineRule="exact"/>
              <w:rPr>
                <w:sz w:val="20"/>
                <w:szCs w:val="20"/>
                <w:color w:val="auto"/>
              </w:rPr>
            </w:pPr>
            <w:r>
              <w:rPr>
                <w:rFonts w:ascii="Arial" w:cs="Arial" w:eastAsia="Arial" w:hAnsi="Arial"/>
                <w:sz w:val="17"/>
                <w:szCs w:val="17"/>
                <w:color w:val="auto"/>
              </w:rPr>
              <w:t>% of sales</w:t>
            </w:r>
            <w:r>
              <w:rPr>
                <w:rFonts w:ascii="Arial" w:cs="Arial" w:eastAsia="Arial" w:hAnsi="Arial"/>
                <w:sz w:val="28"/>
                <w:szCs w:val="28"/>
                <w:color w:val="auto"/>
                <w:vertAlign w:val="superscript"/>
              </w:rPr>
              <w:t>(1)</w:t>
            </w:r>
          </w:p>
        </w:tc>
      </w:tr>
      <w:tr>
        <w:trPr>
          <w:trHeight w:val="183"/>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2,175</w:t>
            </w: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1,914</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204</w:t>
            </w:r>
          </w:p>
        </w:tc>
        <w:tc>
          <w:tcPr>
            <w:tcW w:w="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26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239</w:t>
            </w:r>
          </w:p>
        </w:tc>
        <w:tc>
          <w:tcPr>
            <w:tcW w:w="20" w:type="dxa"/>
            <w:vAlign w:val="bottom"/>
          </w:tcPr>
          <w:p>
            <w:pPr>
              <w:spacing w:after="0"/>
              <w:rPr>
                <w:sz w:val="16"/>
                <w:szCs w:val="16"/>
                <w:color w:val="auto"/>
              </w:rPr>
            </w:pPr>
          </w:p>
        </w:tc>
        <w:tc>
          <w:tcPr>
            <w:tcW w:w="1060" w:type="dxa"/>
            <w:vAlign w:val="bottom"/>
          </w:tcPr>
          <w:p>
            <w:pPr>
              <w:jc w:val="right"/>
              <w:ind w:right="10"/>
              <w:spacing w:after="0" w:line="189" w:lineRule="exact"/>
              <w:rPr>
                <w:sz w:val="20"/>
                <w:szCs w:val="20"/>
                <w:color w:val="auto"/>
              </w:rPr>
            </w:pPr>
            <w:r>
              <w:rPr>
                <w:rFonts w:ascii="Arial" w:cs="Arial" w:eastAsia="Arial" w:hAnsi="Arial"/>
                <w:sz w:val="18"/>
                <w:szCs w:val="18"/>
                <w:color w:val="auto"/>
              </w:rPr>
              <w:t>0.3</w:t>
            </w:r>
          </w:p>
        </w:tc>
        <w:tc>
          <w:tcPr>
            <w:tcW w:w="3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779</w:t>
            </w: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748</w:t>
            </w: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6,689</w:t>
            </w:r>
          </w:p>
        </w:tc>
        <w:tc>
          <w:tcPr>
            <w:tcW w:w="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7.3</w:t>
            </w:r>
          </w:p>
        </w:tc>
        <w:tc>
          <w:tcPr>
            <w:tcW w:w="26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7,656</w:t>
            </w:r>
          </w:p>
        </w:tc>
        <w:tc>
          <w:tcPr>
            <w:tcW w:w="20" w:type="dxa"/>
            <w:vAlign w:val="bottom"/>
          </w:tcPr>
          <w:p>
            <w:pPr>
              <w:spacing w:after="0"/>
              <w:rPr>
                <w:sz w:val="16"/>
                <w:szCs w:val="16"/>
                <w:color w:val="auto"/>
              </w:rPr>
            </w:pPr>
          </w:p>
        </w:tc>
        <w:tc>
          <w:tcPr>
            <w:tcW w:w="1060" w:type="dxa"/>
            <w:vAlign w:val="bottom"/>
          </w:tcPr>
          <w:p>
            <w:pPr>
              <w:jc w:val="right"/>
              <w:ind w:right="10"/>
              <w:spacing w:after="0" w:line="189" w:lineRule="exact"/>
              <w:rPr>
                <w:sz w:val="20"/>
                <w:szCs w:val="20"/>
                <w:color w:val="auto"/>
              </w:rPr>
            </w:pPr>
            <w:r>
              <w:rPr>
                <w:rFonts w:ascii="Arial" w:cs="Arial" w:eastAsia="Arial" w:hAnsi="Arial"/>
                <w:sz w:val="18"/>
                <w:szCs w:val="18"/>
                <w:color w:val="auto"/>
              </w:rPr>
              <w:t>9.4</w:t>
            </w:r>
          </w:p>
        </w:tc>
        <w:tc>
          <w:tcPr>
            <w:tcW w:w="3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560</w:t>
            </w:r>
          </w:p>
        </w:tc>
        <w:tc>
          <w:tcPr>
            <w:tcW w:w="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0.6</w:t>
            </w:r>
          </w:p>
        </w:tc>
        <w:tc>
          <w:tcPr>
            <w:tcW w:w="26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567</w:t>
            </w:r>
          </w:p>
        </w:tc>
        <w:tc>
          <w:tcPr>
            <w:tcW w:w="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0.7</w:t>
            </w:r>
          </w:p>
        </w:tc>
        <w:tc>
          <w:tcPr>
            <w:tcW w:w="30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10,407</w:t>
            </w:r>
          </w:p>
        </w:tc>
        <w:tc>
          <w:tcPr>
            <w:tcW w:w="4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11.3</w:t>
            </w:r>
          </w:p>
        </w:tc>
        <w:tc>
          <w:tcPr>
            <w:tcW w:w="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5"/>
                <w:szCs w:val="15"/>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11,124</w:t>
            </w:r>
          </w:p>
        </w:tc>
        <w:tc>
          <w:tcPr>
            <w:tcW w:w="20" w:type="dxa"/>
            <w:vAlign w:val="bottom"/>
          </w:tcPr>
          <w:p>
            <w:pPr>
              <w:spacing w:after="0"/>
              <w:rPr>
                <w:sz w:val="15"/>
                <w:szCs w:val="15"/>
                <w:color w:val="auto"/>
              </w:rPr>
            </w:pPr>
          </w:p>
        </w:tc>
        <w:tc>
          <w:tcPr>
            <w:tcW w:w="106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13.7</w:t>
            </w:r>
          </w:p>
        </w:tc>
        <w:tc>
          <w:tcPr>
            <w:tcW w:w="3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358"/>
        </w:trPr>
        <w:tc>
          <w:tcPr>
            <w:tcW w:w="5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9"/>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60" w:type="dxa"/>
            <w:vAlign w:val="bottom"/>
            <w:gridSpan w:val="6"/>
          </w:tcPr>
          <w:p>
            <w:pPr>
              <w:jc w:val="center"/>
              <w:ind w:right="60"/>
              <w:spacing w:after="0" w:line="189" w:lineRule="exact"/>
              <w:rPr>
                <w:sz w:val="20"/>
                <w:szCs w:val="20"/>
                <w:color w:val="auto"/>
              </w:rPr>
            </w:pPr>
            <w:r>
              <w:rPr>
                <w:rFonts w:ascii="Arial" w:cs="Arial" w:eastAsia="Arial" w:hAnsi="Arial"/>
                <w:sz w:val="18"/>
                <w:szCs w:val="18"/>
                <w:color w:val="auto"/>
                <w:w w:val="92"/>
              </w:rPr>
              <w:t>Nine Months Ended</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7"/>
        </w:trPr>
        <w:tc>
          <w:tcPr>
            <w:tcW w:w="5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88"/>
              </w:rPr>
              <w:t>September 30,</w:t>
            </w: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50"/>
        </w:trPr>
        <w:tc>
          <w:tcPr>
            <w:tcW w:w="5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1"/>
                <w:szCs w:val="21"/>
                <w:color w:val="auto"/>
              </w:rPr>
            </w:pPr>
          </w:p>
        </w:tc>
        <w:tc>
          <w:tcPr>
            <w:tcW w:w="1340" w:type="dxa"/>
            <w:vAlign w:val="bottom"/>
            <w:gridSpan w:val="3"/>
          </w:tcPr>
          <w:p>
            <w:pPr>
              <w:jc w:val="center"/>
              <w:ind w:right="60"/>
              <w:spacing w:after="0" w:line="250" w:lineRule="exact"/>
              <w:rPr>
                <w:sz w:val="20"/>
                <w:szCs w:val="20"/>
                <w:color w:val="auto"/>
              </w:rPr>
            </w:pPr>
            <w:r>
              <w:rPr>
                <w:rFonts w:ascii="Arial" w:cs="Arial" w:eastAsia="Arial" w:hAnsi="Arial"/>
                <w:sz w:val="17"/>
                <w:szCs w:val="17"/>
                <w:color w:val="auto"/>
                <w:w w:val="90"/>
              </w:rPr>
              <w:t>% of sales</w:t>
            </w:r>
            <w:r>
              <w:rPr>
                <w:rFonts w:ascii="Arial" w:cs="Arial" w:eastAsia="Arial" w:hAnsi="Arial"/>
                <w:sz w:val="28"/>
                <w:szCs w:val="28"/>
                <w:color w:val="auto"/>
                <w:w w:val="90"/>
                <w:vertAlign w:val="superscript"/>
              </w:rPr>
              <w:t>(1)</w:t>
            </w:r>
          </w:p>
        </w:tc>
        <w:tc>
          <w:tcPr>
            <w:tcW w:w="500" w:type="dxa"/>
            <w:vAlign w:val="bottom"/>
          </w:tcPr>
          <w:p>
            <w:pPr>
              <w:spacing w:after="0"/>
              <w:rPr>
                <w:sz w:val="21"/>
                <w:szCs w:val="21"/>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color w:val="auto"/>
                <w:w w:val="89"/>
              </w:rPr>
              <w:t>2020</w:t>
            </w:r>
          </w:p>
        </w:tc>
        <w:tc>
          <w:tcPr>
            <w:tcW w:w="20" w:type="dxa"/>
            <w:vAlign w:val="bottom"/>
          </w:tcPr>
          <w:p>
            <w:pPr>
              <w:spacing w:after="0"/>
              <w:rPr>
                <w:sz w:val="21"/>
                <w:szCs w:val="21"/>
                <w:color w:val="auto"/>
              </w:rPr>
            </w:pPr>
          </w:p>
        </w:tc>
        <w:tc>
          <w:tcPr>
            <w:tcW w:w="1360" w:type="dxa"/>
            <w:vAlign w:val="bottom"/>
            <w:gridSpan w:val="2"/>
          </w:tcPr>
          <w:p>
            <w:pPr>
              <w:jc w:val="right"/>
              <w:ind w:right="130"/>
              <w:spacing w:after="0" w:line="250" w:lineRule="exact"/>
              <w:rPr>
                <w:sz w:val="20"/>
                <w:szCs w:val="20"/>
                <w:color w:val="auto"/>
              </w:rPr>
            </w:pPr>
            <w:r>
              <w:rPr>
                <w:rFonts w:ascii="Arial" w:cs="Arial" w:eastAsia="Arial" w:hAnsi="Arial"/>
                <w:sz w:val="17"/>
                <w:szCs w:val="17"/>
                <w:color w:val="auto"/>
              </w:rPr>
              <w:t>% of sales</w:t>
            </w:r>
            <w:r>
              <w:rPr>
                <w:rFonts w:ascii="Arial" w:cs="Arial" w:eastAsia="Arial" w:hAnsi="Arial"/>
                <w:sz w:val="28"/>
                <w:szCs w:val="28"/>
                <w:color w:val="auto"/>
                <w:vertAlign w:val="superscript"/>
              </w:rPr>
              <w:t>(1)</w:t>
            </w:r>
          </w:p>
        </w:tc>
      </w:tr>
      <w:tr>
        <w:trPr>
          <w:trHeight w:val="183"/>
        </w:trPr>
        <w:tc>
          <w:tcPr>
            <w:tcW w:w="5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12,966</w:t>
            </w:r>
          </w:p>
        </w:tc>
        <w:tc>
          <w:tcPr>
            <w:tcW w:w="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w:t>
            </w:r>
          </w:p>
        </w:tc>
        <w:tc>
          <w:tcPr>
            <w:tcW w:w="26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4,656</w:t>
            </w:r>
          </w:p>
        </w:tc>
        <w:tc>
          <w:tcPr>
            <w:tcW w:w="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1.9</w:t>
            </w:r>
          </w:p>
        </w:tc>
        <w:tc>
          <w:tcPr>
            <w:tcW w:w="3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517</w:t>
            </w:r>
          </w:p>
        </w:tc>
        <w:tc>
          <w:tcPr>
            <w:tcW w:w="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26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1,646</w:t>
            </w:r>
          </w:p>
        </w:tc>
        <w:tc>
          <w:tcPr>
            <w:tcW w:w="20" w:type="dxa"/>
            <w:vAlign w:val="bottom"/>
          </w:tcPr>
          <w:p>
            <w:pPr>
              <w:spacing w:after="0"/>
              <w:rPr>
                <w:sz w:val="16"/>
                <w:szCs w:val="16"/>
                <w:color w:val="auto"/>
              </w:rPr>
            </w:pPr>
          </w:p>
        </w:tc>
        <w:tc>
          <w:tcPr>
            <w:tcW w:w="1060" w:type="dxa"/>
            <w:vAlign w:val="bottom"/>
          </w:tcPr>
          <w:p>
            <w:pPr>
              <w:jc w:val="right"/>
              <w:ind w:right="10"/>
              <w:spacing w:after="0" w:line="189" w:lineRule="exact"/>
              <w:rPr>
                <w:sz w:val="20"/>
                <w:szCs w:val="20"/>
                <w:color w:val="auto"/>
              </w:rPr>
            </w:pPr>
            <w:r>
              <w:rPr>
                <w:rFonts w:ascii="Arial" w:cs="Arial" w:eastAsia="Arial" w:hAnsi="Arial"/>
                <w:sz w:val="18"/>
                <w:szCs w:val="18"/>
                <w:color w:val="auto"/>
              </w:rPr>
              <w:t>0.7</w:t>
            </w:r>
          </w:p>
        </w:tc>
        <w:tc>
          <w:tcPr>
            <w:tcW w:w="3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4,197</w:t>
            </w: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(2,601)</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20,948</w:t>
            </w:r>
          </w:p>
        </w:tc>
        <w:tc>
          <w:tcPr>
            <w:tcW w:w="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7.5</w:t>
            </w:r>
          </w:p>
        </w:tc>
        <w:tc>
          <w:tcPr>
            <w:tcW w:w="26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23,738</w:t>
            </w:r>
          </w:p>
        </w:tc>
        <w:tc>
          <w:tcPr>
            <w:tcW w:w="20" w:type="dxa"/>
            <w:vAlign w:val="bottom"/>
          </w:tcPr>
          <w:p>
            <w:pPr>
              <w:spacing w:after="0"/>
              <w:rPr>
                <w:sz w:val="16"/>
                <w:szCs w:val="16"/>
                <w:color w:val="auto"/>
              </w:rPr>
            </w:pPr>
          </w:p>
        </w:tc>
        <w:tc>
          <w:tcPr>
            <w:tcW w:w="1060" w:type="dxa"/>
            <w:vAlign w:val="bottom"/>
          </w:tcPr>
          <w:p>
            <w:pPr>
              <w:jc w:val="right"/>
              <w:ind w:right="10"/>
              <w:spacing w:after="0" w:line="189" w:lineRule="exact"/>
              <w:rPr>
                <w:sz w:val="20"/>
                <w:szCs w:val="20"/>
                <w:color w:val="auto"/>
              </w:rPr>
            </w:pPr>
            <w:r>
              <w:rPr>
                <w:rFonts w:ascii="Arial" w:cs="Arial" w:eastAsia="Arial" w:hAnsi="Arial"/>
                <w:sz w:val="18"/>
                <w:szCs w:val="18"/>
                <w:color w:val="auto"/>
              </w:rPr>
              <w:t>9.7</w:t>
            </w:r>
          </w:p>
        </w:tc>
        <w:tc>
          <w:tcPr>
            <w:tcW w:w="3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1,859</w:t>
            </w:r>
          </w:p>
        </w:tc>
        <w:tc>
          <w:tcPr>
            <w:tcW w:w="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26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1,671</w:t>
            </w:r>
          </w:p>
        </w:tc>
        <w:tc>
          <w:tcPr>
            <w:tcW w:w="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0.7</w:t>
            </w:r>
          </w:p>
        </w:tc>
        <w:tc>
          <w:tcPr>
            <w:tcW w:w="30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40,487</w:t>
            </w:r>
          </w:p>
        </w:tc>
        <w:tc>
          <w:tcPr>
            <w:tcW w:w="4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14.4</w:t>
            </w:r>
          </w:p>
        </w:tc>
        <w:tc>
          <w:tcPr>
            <w:tcW w:w="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5"/>
                <w:szCs w:val="15"/>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29,110</w:t>
            </w:r>
          </w:p>
        </w:tc>
        <w:tc>
          <w:tcPr>
            <w:tcW w:w="20" w:type="dxa"/>
            <w:vAlign w:val="bottom"/>
          </w:tcPr>
          <w:p>
            <w:pPr>
              <w:spacing w:after="0"/>
              <w:rPr>
                <w:sz w:val="15"/>
                <w:szCs w:val="15"/>
                <w:color w:val="auto"/>
              </w:rPr>
            </w:pPr>
          </w:p>
        </w:tc>
        <w:tc>
          <w:tcPr>
            <w:tcW w:w="106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Amounts do not foot due to rounding.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806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47"/>
        </w:trPr>
        <w:tc>
          <w:tcPr>
            <w:tcW w:w="8060" w:type="dxa"/>
            <w:vAlign w:val="bottom"/>
            <w:gridSpan w:val="2"/>
          </w:tcPr>
          <w:p>
            <w:pPr>
              <w:spacing w:after="0"/>
              <w:rPr>
                <w:sz w:val="20"/>
                <w:szCs w:val="20"/>
                <w:color w:val="auto"/>
              </w:rPr>
            </w:pPr>
            <w:r>
              <w:rPr>
                <w:rFonts w:ascii="Arial" w:cs="Arial" w:eastAsia="Arial" w:hAnsi="Arial"/>
                <w:sz w:val="18"/>
                <w:szCs w:val="18"/>
                <w:color w:val="auto"/>
              </w:rPr>
              <w:t>The calculation of pretax return on capital employed is as follows: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3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5"/>
          </w:tcPr>
          <w:p>
            <w:pPr>
              <w:jc w:val="right"/>
              <w:ind w:right="1280"/>
              <w:spacing w:after="0"/>
              <w:rPr>
                <w:sz w:val="20"/>
                <w:szCs w:val="20"/>
                <w:color w:val="auto"/>
              </w:rPr>
            </w:pPr>
            <w:r>
              <w:rPr>
                <w:rFonts w:ascii="Arial" w:cs="Arial" w:eastAsia="Arial" w:hAnsi="Arial"/>
                <w:sz w:val="18"/>
                <w:szCs w:val="18"/>
                <w:color w:val="auto"/>
              </w:rPr>
              <w:t>(in thousands)</w:t>
            </w:r>
          </w:p>
        </w:tc>
      </w:tr>
      <w:tr>
        <w:trPr>
          <w:trHeight w:val="217"/>
        </w:trPr>
        <w:tc>
          <w:tcPr>
            <w:tcW w:w="13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5"/>
          </w:tcPr>
          <w:p>
            <w:pPr>
              <w:jc w:val="right"/>
              <w:ind w:right="1260"/>
              <w:spacing w:after="0"/>
              <w:rPr>
                <w:sz w:val="20"/>
                <w:szCs w:val="20"/>
                <w:color w:val="auto"/>
              </w:rPr>
            </w:pPr>
            <w:r>
              <w:rPr>
                <w:rFonts w:ascii="Arial" w:cs="Arial" w:eastAsia="Arial" w:hAnsi="Arial"/>
                <w:sz w:val="18"/>
                <w:szCs w:val="18"/>
                <w:color w:val="auto"/>
              </w:rPr>
              <w:t>September 30,</w:t>
            </w:r>
          </w:p>
        </w:tc>
      </w:tr>
      <w:tr>
        <w:trPr>
          <w:trHeight w:val="250"/>
        </w:trPr>
        <w:tc>
          <w:tcPr>
            <w:tcW w:w="1360" w:type="dxa"/>
            <w:vAlign w:val="bottom"/>
            <w:tcBorders>
              <w:bottom w:val="single" w:sz="8" w:color="CCEEFF"/>
            </w:tcBorders>
          </w:tcPr>
          <w:p>
            <w:pPr>
              <w:spacing w:after="0"/>
              <w:rPr>
                <w:sz w:val="21"/>
                <w:szCs w:val="21"/>
                <w:color w:val="auto"/>
              </w:rPr>
            </w:pPr>
          </w:p>
        </w:tc>
        <w:tc>
          <w:tcPr>
            <w:tcW w:w="67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90"/>
              <w:spacing w:after="0" w:line="250" w:lineRule="exact"/>
              <w:rPr>
                <w:sz w:val="20"/>
                <w:szCs w:val="20"/>
                <w:color w:val="auto"/>
              </w:rPr>
            </w:pPr>
            <w:r>
              <w:rPr>
                <w:rFonts w:ascii="Arial" w:cs="Arial" w:eastAsia="Arial" w:hAnsi="Arial"/>
                <w:sz w:val="17"/>
                <w:szCs w:val="17"/>
                <w:color w:val="auto"/>
              </w:rPr>
              <w:t>2021</w:t>
            </w:r>
            <w:r>
              <w:rPr>
                <w:rFonts w:ascii="Arial" w:cs="Arial" w:eastAsia="Arial" w:hAnsi="Arial"/>
                <w:sz w:val="28"/>
                <w:szCs w:val="28"/>
                <w:color w:val="auto"/>
                <w:vertAlign w:val="superscript"/>
              </w:rPr>
              <w:t>(1)</w:t>
            </w:r>
          </w:p>
        </w:tc>
        <w:tc>
          <w:tcPr>
            <w:tcW w:w="2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90"/>
              <w:spacing w:after="0" w:line="250" w:lineRule="exact"/>
              <w:rPr>
                <w:sz w:val="20"/>
                <w:szCs w:val="20"/>
                <w:color w:val="auto"/>
              </w:rPr>
            </w:pPr>
            <w:r>
              <w:rPr>
                <w:rFonts w:ascii="Arial" w:cs="Arial" w:eastAsia="Arial" w:hAnsi="Arial"/>
                <w:sz w:val="17"/>
                <w:szCs w:val="17"/>
                <w:color w:val="auto"/>
              </w:rPr>
              <w:t>2020</w:t>
            </w:r>
            <w:r>
              <w:rPr>
                <w:rFonts w:ascii="Arial" w:cs="Arial" w:eastAsia="Arial" w:hAnsi="Arial"/>
                <w:sz w:val="28"/>
                <w:szCs w:val="28"/>
                <w:color w:val="auto"/>
                <w:vertAlign w:val="superscript"/>
              </w:rPr>
              <w:t>(1)</w:t>
            </w:r>
          </w:p>
        </w:tc>
        <w:tc>
          <w:tcPr>
            <w:tcW w:w="400" w:type="dxa"/>
            <w:vAlign w:val="bottom"/>
            <w:tcBorders>
              <w:bottom w:val="single" w:sz="8" w:color="CCEEFF"/>
            </w:tcBorders>
          </w:tcPr>
          <w:p>
            <w:pPr>
              <w:spacing w:after="0"/>
              <w:rPr>
                <w:sz w:val="21"/>
                <w:szCs w:val="21"/>
                <w:color w:val="auto"/>
              </w:rPr>
            </w:pPr>
          </w:p>
        </w:tc>
      </w:tr>
      <w:tr>
        <w:trPr>
          <w:trHeight w:val="183"/>
        </w:trPr>
        <w:tc>
          <w:tcPr>
            <w:tcW w:w="80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 (trailing twelve months)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20,355</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(712)</w:t>
            </w:r>
          </w:p>
        </w:tc>
        <w:tc>
          <w:tcPr>
            <w:tcW w:w="400" w:type="dxa"/>
            <w:vAlign w:val="bottom"/>
            <w:shd w:val="clear" w:color="auto" w:fill="CCEEFF"/>
          </w:tcPr>
          <w:p>
            <w:pPr>
              <w:spacing w:after="0"/>
              <w:rPr>
                <w:sz w:val="15"/>
                <w:szCs w:val="15"/>
                <w:color w:val="auto"/>
              </w:rPr>
            </w:pPr>
          </w:p>
        </w:tc>
      </w:tr>
      <w:tr>
        <w:trPr>
          <w:trHeight w:val="189"/>
        </w:trPr>
        <w:tc>
          <w:tcPr>
            <w:tcW w:w="136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353,491</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378,380</w:t>
            </w:r>
          </w:p>
        </w:tc>
        <w:tc>
          <w:tcPr>
            <w:tcW w:w="400" w:type="dxa"/>
            <w:vAlign w:val="bottom"/>
            <w:shd w:val="clear" w:color="auto" w:fill="CCEEFF"/>
          </w:tcPr>
          <w:p>
            <w:pPr>
              <w:spacing w:after="0"/>
              <w:rPr>
                <w:sz w:val="16"/>
                <w:szCs w:val="16"/>
                <w:color w:val="auto"/>
              </w:rPr>
            </w:pP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(16,909)</w:t>
            </w:r>
          </w:p>
        </w:tc>
        <w:tc>
          <w:tcPr>
            <w:tcW w:w="240" w:type="dxa"/>
            <w:vAlign w:val="bottom"/>
          </w:tcPr>
          <w:p>
            <w:pPr>
              <w:spacing w:after="0"/>
              <w:rPr>
                <w:sz w:val="16"/>
                <w:szCs w:val="16"/>
                <w:color w:val="auto"/>
              </w:rPr>
            </w:pP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(15,605)</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(110)</w:t>
            </w: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(40,322)</w:t>
            </w:r>
          </w:p>
        </w:tc>
        <w:tc>
          <w:tcPr>
            <w:tcW w:w="240" w:type="dxa"/>
            <w:vAlign w:val="bottom"/>
          </w:tcPr>
          <w:p>
            <w:pPr>
              <w:spacing w:after="0"/>
              <w:rPr>
                <w:sz w:val="16"/>
                <w:szCs w:val="16"/>
                <w:color w:val="auto"/>
              </w:rPr>
            </w:pP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(35,986)</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Less: Lease liability</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(144,787)</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(154,962)</w:t>
            </w: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(4,511)</w:t>
            </w:r>
          </w:p>
        </w:tc>
        <w:tc>
          <w:tcPr>
            <w:tcW w:w="240" w:type="dxa"/>
            <w:vAlign w:val="bottom"/>
          </w:tcPr>
          <w:p>
            <w:pPr>
              <w:spacing w:after="0"/>
              <w:rPr>
                <w:sz w:val="16"/>
                <w:szCs w:val="16"/>
                <w:color w:val="auto"/>
              </w:rPr>
            </w:pP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(4,185)</w:t>
            </w:r>
          </w:p>
        </w:tc>
      </w:tr>
      <w:tr>
        <w:trPr>
          <w:trHeight w:val="182"/>
        </w:trPr>
        <w:tc>
          <w:tcPr>
            <w:tcW w:w="806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146,740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167,532</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0"/>
        </w:trPr>
        <w:tc>
          <w:tcPr>
            <w:tcW w:w="13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ind w:firstLine="59"/>
        <w:spacing w:after="0" w:line="194" w:lineRule="auto"/>
        <w:tabs>
          <w:tab w:leader="none" w:pos="288"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Our principal liquidity requirements have been for working capital and capital expenditures. Our principal sources of liquidity are $44.3 million of cash and cash equivalents at September 30, 2021, our cash flow from operations, and borrowings available under our Credit Agreement. We expect to use this liquidity for purchasing additional merchandise inventory, maintaining our existing stores, and general corporate purposes. We also recently approved a special dividend that will enable us to return excess capital to stockholders.</w:t>
      </w:r>
    </w:p>
    <w:p>
      <w:pPr>
        <w:spacing w:after="0" w:line="14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September 18, 2018, Holdings and its operating subsidiary, The Tile Shop, LLC, entered into a Credit Agreement with Bank of America, N.A., Fifth Third Bank and Citizens Bank (the “Credit Agreement”). The Credit Agreement provides us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 (c) the Eurodollar rate plus 1.00%, in each case plus 0.50% to 1.25% depending on our rent adjusted leverage ratio. At September 30, 2021, the base interest rate was 3.75% and the LIBOR-based interest rate was 1.59%. We did not have any borrowings outstanding on our revolving line of credit as of September 30, 2021. In addition, we have standby letters of credit outstanding related to our workers’ compensation and medical insurance policies. Standby letters of credit totaled $2.4 million as of both September 30, 2021 and December 31, 2020. There was $97.6 million available for borrowing on the revolving line of credit as of September 30, 2021, which may be used to support our growth and for working capital purposes.</w:t>
      </w:r>
    </w:p>
    <w:p>
      <w:pPr>
        <w:spacing w:after="0" w:line="149"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September 30, 2021.</w:t>
      </w:r>
    </w:p>
    <w:p>
      <w:pPr>
        <w:spacing w:after="0" w:line="15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We believe that our cash flow from operations, together with our existing cash and cash equivalents and borrowings available under our Credit Agreement, will be sufficient to fund our operations and anticipated capital expenditures over at least the next twelve months. However, the worldwide economic disruptions caused by the COVID-19 pandemic could materially affect our future access to our sources of liquidity. In the event of a sustained market deterioration and declines in net sales, profit and operating cash flow, we may need additional liquidity, which would require us to evaluate available alternatives and take appropriate 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right="420"/>
        <w:spacing w:after="0" w:line="307" w:lineRule="auto"/>
        <w:rPr>
          <w:sz w:val="20"/>
          <w:szCs w:val="20"/>
          <w:color w:val="auto"/>
        </w:rPr>
      </w:pPr>
      <w:r>
        <w:rPr>
          <w:rFonts w:ascii="Arial" w:cs="Arial" w:eastAsia="Arial" w:hAnsi="Arial"/>
          <w:sz w:val="16"/>
          <w:szCs w:val="16"/>
          <w:color w:val="auto"/>
        </w:rPr>
        <w:t>Capital expenditures were $8.9 million and $1.3 million for the nine months ended September 30, 2021 and 2020, respectively. The increase in capital expenditures in 2021 was due to investments in one new store, one store relocation, store remodels, merchandising and information technology assets.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nine months ended September 30, 2021 and 2020.</w:t>
      </w:r>
    </w:p>
    <w:p>
      <w:pPr>
        <w:spacing w:after="0" w:line="21"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(in thousands)</w:t>
      </w:r>
    </w:p>
    <w:p>
      <w:pPr>
        <w:jc w:val="center"/>
        <w:ind w:left="8320"/>
        <w:spacing w:after="0" w:line="219" w:lineRule="auto"/>
        <w:rPr>
          <w:sz w:val="20"/>
          <w:szCs w:val="20"/>
          <w:color w:val="auto"/>
        </w:rPr>
      </w:pPr>
      <w:r>
        <w:rPr>
          <w:rFonts w:ascii="Arial" w:cs="Arial" w:eastAsia="Arial" w:hAnsi="Arial"/>
          <w:sz w:val="18"/>
          <w:szCs w:val="18"/>
          <w:color w:val="auto"/>
        </w:rPr>
        <w:t>Nine Months Ended</w:t>
      </w:r>
    </w:p>
    <w:p>
      <w:pPr>
        <w:jc w:val="center"/>
        <w:ind w:left="8320"/>
        <w:spacing w:after="0" w:line="233" w:lineRule="auto"/>
        <w:rPr>
          <w:sz w:val="20"/>
          <w:szCs w:val="20"/>
          <w:color w:val="auto"/>
        </w:rPr>
      </w:pPr>
      <w:r>
        <w:rPr>
          <w:rFonts w:ascii="Arial" w:cs="Arial" w:eastAsia="Arial" w:hAnsi="Arial"/>
          <w:sz w:val="18"/>
          <w:szCs w:val="18"/>
          <w:color w:val="auto"/>
        </w:rPr>
        <w:t>September 30,</w:t>
      </w:r>
    </w:p>
    <w:tbl>
      <w:tblPr>
        <w:tblLayout w:type="fixed"/>
        <w:tblInd w:w="0" w:type="dxa"/>
        <w:tblCellMar>
          <w:top w:w="0" w:type="dxa"/>
          <w:left w:w="0" w:type="dxa"/>
          <w:bottom w:w="0" w:type="dxa"/>
          <w:right w:w="0" w:type="dxa"/>
        </w:tblCellMar>
      </w:tblPr>
      <w:tr>
        <w:trPr>
          <w:trHeight w:val="183"/>
        </w:trPr>
        <w:tc>
          <w:tcPr>
            <w:tcW w:w="8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44,390</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57,347</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(8,933)</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(1,315)</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(821)</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(56,278)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right="360"/>
        <w:spacing w:after="0" w:line="235" w:lineRule="auto"/>
        <w:rPr>
          <w:sz w:val="20"/>
          <w:szCs w:val="20"/>
          <w:color w:val="auto"/>
        </w:rPr>
      </w:pPr>
      <w:r>
        <w:rPr>
          <w:rFonts w:ascii="Arial" w:cs="Arial" w:eastAsia="Arial" w:hAnsi="Arial"/>
          <w:sz w:val="18"/>
          <w:szCs w:val="18"/>
          <w:color w:val="auto"/>
        </w:rPr>
        <w:t>Net cash provided by operating activities during the nine months ended September 30, 2021 was $44.4 million compared with $57.3 million during the nine months ended September 30, 2020. The decrease was primarily attributable to a decrease in cash provided by the change in inventory, which was partially offset by an increase in net income.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Net cash used in investing activities totaled $8.9 million for the nine months ended September 30, 2021 compared with $1.3 million for the nine months ended September 30, 2020. The increase in cash used in investing activities was due to an increase in capital expenditures during 2021 to invest in one new store, one store relocation, store remodels, merchandising and information technology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380"/>
        <w:spacing w:after="0" w:line="307" w:lineRule="auto"/>
        <w:rPr>
          <w:sz w:val="20"/>
          <w:szCs w:val="20"/>
          <w:color w:val="auto"/>
        </w:rPr>
      </w:pPr>
      <w:r>
        <w:rPr>
          <w:rFonts w:ascii="Arial" w:cs="Arial" w:eastAsia="Arial" w:hAnsi="Arial"/>
          <w:sz w:val="16"/>
          <w:szCs w:val="16"/>
          <w:color w:val="auto"/>
        </w:rPr>
        <w:t>Net cash used in financing activities was $0.8 million for the nine months ended September 30, 2021 compared with $56.3 million for the nine months ended September 30, 2020. The decrease in cash used in financing activities during the third quarter of 2021 was due to a decrease in debt payments.</w:t>
      </w:r>
    </w:p>
    <w:p>
      <w:pPr>
        <w:spacing w:after="0" w:line="96"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Cash and cash equivalents totaled $44.3 million at September 30, 2021 compared with $9.6 million at December 31, 2020. Working capital was $53.1 million at September 30, 2021 compared with $27.9 million at December 31, 2020. The increase in working capital during the nine months ended September 30, 2021 was primarily due to an increase in cash and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As of September 30, 2021 and December 31, 2020,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the first quarter of fiscal 2021, we adopted new accounting requirements related to the measurement of credit losses on financial instruments, including trade receivables. The new standard and subsequent amendments replaced the incurred loss impairment model with a forward-looking expected credit loss model, which will generally result in earlier recognition of credit losses. Our allowance for doubtful accounts represents an estimate of expected credit losses related to our trade receivables. To estimate our allowance for doubtful accounts, we leverage information on historical losses, current conditions, and reasonable and supportable forecasts of future conditions. Account balances are written off against the allowance when we deem the amount is uncollectible. The adoption of this standard did not have a material impact on our consolidated financial statements.</w:t>
      </w:r>
    </w:p>
    <w:p>
      <w:pPr>
        <w:spacing w:after="0" w:line="136" w:lineRule="exact"/>
        <w:rPr>
          <w:sz w:val="20"/>
          <w:szCs w:val="20"/>
          <w:color w:val="auto"/>
        </w:rPr>
      </w:pPr>
    </w:p>
    <w:p>
      <w:pPr>
        <w:ind w:right="380"/>
        <w:spacing w:after="0" w:line="276" w:lineRule="auto"/>
        <w:rPr>
          <w:sz w:val="20"/>
          <w:szCs w:val="20"/>
          <w:color w:val="auto"/>
        </w:rPr>
      </w:pPr>
      <w:r>
        <w:rPr>
          <w:rFonts w:ascii="Arial" w:cs="Arial" w:eastAsia="Arial" w:hAnsi="Arial"/>
          <w:sz w:val="16"/>
          <w:szCs w:val="16"/>
          <w:color w:val="auto"/>
        </w:rPr>
        <w:t>In the first quarter of fiscal 2021, we adopted a new accounting standard that simplifies accounting for income taxes. Specifically, the new standard simplifies aspects of accounting for franchise taxes and enacted changes in tax laws or rates and clarifies the accounting for transactions that result in a step-up in the tax basis of goodwill. The adoption of this standard did not have a material impact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March 2020, the Financial Accounting Standards Board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when the election is made through December 31, 2022. We are currently evaluating the impact this guidance will have on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on Form 10-K for the fiscal year ended December 31,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evaluated the effectiveness of our disclosure controls and procedures as of September 30, 2021 and concluded that our disclosure controls and procedures were not effective as of September 30, 2021 due to material weaknesses in our internal control over financial reporting as described below.</w:t>
      </w:r>
    </w:p>
    <w:p>
      <w:pPr>
        <w:spacing w:after="0" w:line="136"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On January 1, 2019, we implemented an ERP system on a company-wide basis. As previously disclosed, during the year ended December 31, 2019, we identified two material weaknesses in internal control over financial reporting that arose from the new ERP system implementation. The two material weaknesses are:</w:t>
      </w:r>
    </w:p>
    <w:p>
      <w:pPr>
        <w:spacing w:after="0" w:line="148" w:lineRule="exact"/>
        <w:rPr>
          <w:sz w:val="20"/>
          <w:szCs w:val="20"/>
          <w:color w:val="auto"/>
        </w:rPr>
      </w:pPr>
    </w:p>
    <w:p>
      <w:pPr>
        <w:ind w:left="660" w:right="160"/>
        <w:spacing w:after="0" w:line="231" w:lineRule="auto"/>
        <w:rPr>
          <w:sz w:val="20"/>
          <w:szCs w:val="20"/>
          <w:color w:val="auto"/>
        </w:rPr>
      </w:pPr>
      <w:r>
        <w:rPr>
          <w:rFonts w:ascii="Arial" w:cs="Arial" w:eastAsia="Arial" w:hAnsi="Arial"/>
          <w:sz w:val="18"/>
          <w:szCs w:val="18"/>
          <w:color w:val="auto"/>
        </w:rPr>
        <w:t>The ineffective design and implementation of effective controls with respect to the ERP system conversion. Specifically, we did not exercise sufficient corporate governance and oversight, design effective controls over the ERP implementation to ensure appropriate data conversion and data integrity, or provide sufficient end-user training to our employees to ensure that our employees could effectively operate the system and carry out their responsibilities.</w:t>
      </w:r>
    </w:p>
    <w:p>
      <w:pPr>
        <w:spacing w:after="0" w:line="148" w:lineRule="exact"/>
        <w:rPr>
          <w:sz w:val="20"/>
          <w:szCs w:val="20"/>
          <w:color w:val="auto"/>
        </w:rPr>
      </w:pPr>
    </w:p>
    <w:p>
      <w:pPr>
        <w:ind w:left="660" w:right="180"/>
        <w:spacing w:after="0" w:line="261" w:lineRule="auto"/>
        <w:rPr>
          <w:sz w:val="20"/>
          <w:szCs w:val="20"/>
          <w:color w:val="auto"/>
        </w:rPr>
      </w:pPr>
      <w:r>
        <w:rPr>
          <w:rFonts w:ascii="Arial" w:cs="Arial" w:eastAsia="Arial" w:hAnsi="Arial"/>
          <w:sz w:val="16"/>
          <w:szCs w:val="16"/>
          <w:color w:val="auto"/>
        </w:rPr>
        <w:t>The ineffective design and implementation of IT general controls (“ITGCs”)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 Our business process controls (automated and manual) are dependent on the affected ITGCs and, therefore, are also deemed ineffective because they are adversely impacted by the ineffective ITGCs.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Remediation of Material Weaknesses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adjusted, and intend to consider further adjustments to, our previously disclosed plans relating to addressing these material weaknesses. We have taken steps to strengthen our change management procedures and performed a project to segregate responsibilities from users with access to our ERP system. The identified material weaknesses in internal control over financial reporting will not be considered remediated until controls have been designed and are in operation for a sufficient period of time for our management to conclude that the material weaknesses have been remediated. We will continue to assess the effectiveness of our remediation efforts in connection with our evaluations of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There were no changes in internal control over financial reporting (as defined by Rule 13a-15(f) under the Exchange Act) during the quarter ended September 30, 2021 that have materially affected, or are reasonably likely to materially affect, our internal control over financial reporting, except as set forth above under “Planned Remediation of Material Weaknesses”.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There have been no material changes from the risk factors previously disclosed in our Annual Report on Form 10-K for the year ended December 31, 2020, except as set forth below. Disclosures of risks should not be interpreted to imply that the risks have not already materialized. The COVID-19 pandemic continues to present a risk to our business, and the impacts from COVID-19, including supply chain disruptions, could exacerbate other risks discussed in Part I Item 1A. Risk Factors of our Annual Report on Form 10-K for the year ended December 31, 2020, any of which could have a material adverse effect on us. This situation is continuously evolving, and additional impacts may arise of which we are not currently aware.</w:t>
      </w:r>
    </w:p>
    <w:p>
      <w:pPr>
        <w:spacing w:after="0" w:line="14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The new regulation concerning mandatory COVID-19 vaccination of employees could have a material adverse impact on our business and results of operations.</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On September 9, 2021, President Biden announced a proposed new rule that would require all employers with at least 100 employees to ensure that their employees are fully vaccinated or require unvaccinated workers to obtain a negative COVID-19 test at least once a week. On November 4, 2021, OSHA issued an emergency regulation to carry out this mandate. It is currently not possible to predict with any certainty the exact impact the new regulation will have on us. As a company with more than 100 employees, we are required, by January 4, 2022, to mandate COVID-19 vaccination of our workforce or require our unvaccinated employees to be tested weekly and wear a face covering while working. This could result in employee attrition and difficulty satisfying future labor needs. If we were to lose employees, it could have an adverse effect on future revenues and costs, and, correspondingly, on future profit margins, which could be material. Accordingly, the new regulation could have a material adverse effect on our business and results of operations.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9"/>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04"/>
        </w:trPr>
        <w:tc>
          <w:tcPr>
            <w:tcW w:w="4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Total Number of</w:t>
            </w:r>
          </w:p>
        </w:tc>
        <w:tc>
          <w:tcPr>
            <w:tcW w:w="1480" w:type="dxa"/>
            <w:vAlign w:val="bottom"/>
          </w:tcPr>
          <w:p>
            <w:pPr>
              <w:jc w:val="right"/>
              <w:spacing w:after="0"/>
              <w:rPr>
                <w:sz w:val="20"/>
                <w:szCs w:val="20"/>
                <w:color w:val="auto"/>
              </w:rPr>
            </w:pPr>
            <w:r>
              <w:rPr>
                <w:rFonts w:ascii="Arial" w:cs="Arial" w:eastAsia="Arial" w:hAnsi="Arial"/>
                <w:sz w:val="18"/>
                <w:szCs w:val="18"/>
                <w:color w:val="auto"/>
                <w:w w:val="95"/>
              </w:rPr>
              <w:t>Maximum Number</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84"/>
              </w:rPr>
              <w:t>Shares Purchased as</w:t>
            </w: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w w:val="91"/>
              </w:rPr>
              <w:t>of Shares that May</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93"/>
              </w:rPr>
              <w:t>Part of Publicly</w:t>
            </w:r>
          </w:p>
        </w:tc>
        <w:tc>
          <w:tcPr>
            <w:tcW w:w="148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2"/>
              </w:rPr>
              <w:t>Yet be Purchased</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Total Number of</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spacing w:after="0" w:line="189" w:lineRule="exact"/>
              <w:rPr>
                <w:sz w:val="20"/>
                <w:szCs w:val="20"/>
                <w:color w:val="auto"/>
              </w:rPr>
            </w:pPr>
            <w:r>
              <w:rPr>
                <w:rFonts w:ascii="Arial" w:cs="Arial" w:eastAsia="Arial" w:hAnsi="Arial"/>
                <w:sz w:val="18"/>
                <w:szCs w:val="18"/>
                <w:color w:val="auto"/>
              </w:rPr>
              <w:t>Average Price</w:t>
            </w:r>
          </w:p>
        </w:tc>
        <w:tc>
          <w:tcPr>
            <w:tcW w:w="162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90"/>
              </w:rPr>
              <w:t>Announced Plans or</w:t>
            </w: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w w:val="91"/>
              </w:rPr>
              <w:t>Under the Plans or</w:t>
            </w:r>
          </w:p>
        </w:tc>
      </w:tr>
      <w:tr>
        <w:trPr>
          <w:trHeight w:val="190"/>
        </w:trPr>
        <w:tc>
          <w:tcPr>
            <w:tcW w:w="4860" w:type="dxa"/>
            <w:vAlign w:val="bottom"/>
            <w:gridSpan w:val="2"/>
          </w:tcPr>
          <w:p>
            <w:pPr>
              <w:spacing w:after="0" w:line="190" w:lineRule="exact"/>
              <w:rPr>
                <w:sz w:val="20"/>
                <w:szCs w:val="20"/>
                <w:color w:val="auto"/>
              </w:rPr>
            </w:pPr>
            <w:r>
              <w:rPr>
                <w:rFonts w:ascii="Arial" w:cs="Arial" w:eastAsia="Arial" w:hAnsi="Arial"/>
                <w:sz w:val="18"/>
                <w:szCs w:val="18"/>
                <w:color w:val="auto"/>
              </w:rPr>
              <w:t>Period</w:t>
            </w:r>
          </w:p>
        </w:tc>
        <w:tc>
          <w:tcPr>
            <w:tcW w:w="1480" w:type="dxa"/>
            <w:vAlign w:val="bottom"/>
          </w:tcPr>
          <w:p>
            <w:pPr>
              <w:jc w:val="right"/>
              <w:ind w:right="10"/>
              <w:spacing w:after="0" w:line="190" w:lineRule="exact"/>
              <w:rPr>
                <w:sz w:val="20"/>
                <w:szCs w:val="20"/>
                <w:color w:val="auto"/>
              </w:rPr>
            </w:pPr>
            <w:r>
              <w:rPr>
                <w:rFonts w:ascii="Arial" w:cs="Arial" w:eastAsia="Arial" w:hAnsi="Arial"/>
                <w:sz w:val="18"/>
                <w:szCs w:val="18"/>
                <w:color w:val="auto"/>
                <w:w w:val="91"/>
              </w:rPr>
              <w:t>Shares Purchased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Paid per Share</w:t>
            </w:r>
          </w:p>
        </w:tc>
        <w:tc>
          <w:tcPr>
            <w:tcW w:w="1620" w:type="dxa"/>
            <w:vAlign w:val="bottom"/>
            <w:gridSpan w:val="2"/>
          </w:tcPr>
          <w:p>
            <w:pPr>
              <w:jc w:val="center"/>
              <w:ind w:right="160"/>
              <w:spacing w:after="0" w:line="190" w:lineRule="exact"/>
              <w:rPr>
                <w:sz w:val="20"/>
                <w:szCs w:val="20"/>
                <w:color w:val="auto"/>
              </w:rPr>
            </w:pPr>
            <w:r>
              <w:rPr>
                <w:rFonts w:ascii="Arial" w:cs="Arial" w:eastAsia="Arial" w:hAnsi="Arial"/>
                <w:sz w:val="18"/>
                <w:szCs w:val="18"/>
                <w:color w:val="auto"/>
                <w:w w:val="89"/>
              </w:rPr>
              <w:t>Program</w:t>
            </w:r>
          </w:p>
        </w:tc>
        <w:tc>
          <w:tcPr>
            <w:tcW w:w="1480" w:type="dxa"/>
            <w:vAlign w:val="bottom"/>
          </w:tcPr>
          <w:p>
            <w:pPr>
              <w:jc w:val="right"/>
              <w:ind w:right="310"/>
              <w:spacing w:after="0" w:line="190" w:lineRule="exact"/>
              <w:rPr>
                <w:sz w:val="20"/>
                <w:szCs w:val="20"/>
                <w:color w:val="auto"/>
              </w:rPr>
            </w:pPr>
            <w:r>
              <w:rPr>
                <w:rFonts w:ascii="Arial" w:cs="Arial" w:eastAsia="Arial" w:hAnsi="Arial"/>
                <w:sz w:val="18"/>
                <w:szCs w:val="18"/>
                <w:color w:val="auto"/>
              </w:rPr>
              <w:t>Programs</w:t>
            </w:r>
          </w:p>
        </w:tc>
      </w:tr>
      <w:tr>
        <w:trPr>
          <w:trHeight w:val="20"/>
        </w:trPr>
        <w:tc>
          <w:tcPr>
            <w:tcW w:w="48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48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July 1, 2021 - July 31, 2021</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25,939</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87"/>
              </w:rPr>
              <w:t>(1)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4.42</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August 1, 2021 - August 31, 2021</w:t>
            </w:r>
          </w:p>
        </w:tc>
        <w:tc>
          <w:tcPr>
            <w:tcW w:w="1480" w:type="dxa"/>
            <w:vAlign w:val="bottom"/>
          </w:tcPr>
          <w:p>
            <w:pPr>
              <w:jc w:val="right"/>
              <w:spacing w:after="0"/>
              <w:rPr>
                <w:sz w:val="20"/>
                <w:szCs w:val="20"/>
                <w:color w:val="auto"/>
              </w:rPr>
            </w:pPr>
            <w:r>
              <w:rPr>
                <w:rFonts w:ascii="Arial" w:cs="Arial" w:eastAsia="Arial" w:hAnsi="Arial"/>
                <w:sz w:val="18"/>
                <w:szCs w:val="18"/>
                <w:color w:val="auto"/>
              </w:rPr>
              <w:t>2,004</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w w:val="97"/>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2021 - September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3"/>
        </w:trPr>
        <w:tc>
          <w:tcPr>
            <w:tcW w:w="4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27,943</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4.11</w:t>
            </w:r>
          </w:p>
        </w:tc>
        <w:tc>
          <w:tcPr>
            <w:tcW w:w="26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160" w:hanging="332"/>
        <w:spacing w:after="0" w:line="237"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We withheld a total of 15,311 shares to satisfy tax withholding obligations due upon the vesting of restricted stock grants, as allowed by the 2012 Omnibus Award Plan. We did not pay cash to repurchase these shares, nor were these repurchases part of a publicly announced plan or program. We repurchased an additional 10,628 shares pursuant to the terms of the underlying restricted stock agreements, as allowed by the 2012 Omnibus Award Plan. We paid $0.0001 per share, the par value, to repurchase these shares. These repurchases were not part of a publicly announced plan or program.</w:t>
      </w:r>
    </w:p>
    <w:p>
      <w:pPr>
        <w:spacing w:after="0" w:line="28" w:lineRule="exact"/>
        <w:rPr>
          <w:rFonts w:ascii="Arial" w:cs="Arial" w:eastAsia="Arial" w:hAnsi="Arial"/>
          <w:sz w:val="25"/>
          <w:szCs w:val="25"/>
          <w:color w:val="auto"/>
          <w:vertAlign w:val="superscript"/>
        </w:rPr>
      </w:pPr>
    </w:p>
    <w:p>
      <w:pPr>
        <w:ind w:left="340" w:right="300" w:hanging="332"/>
        <w:spacing w:after="0" w:line="203" w:lineRule="auto"/>
        <w:tabs>
          <w:tab w:leader="none" w:pos="340"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We repurchased 2,004 shares pursuant to the terms of the underlying restricted stock agreements, as allowed by the 2012 Omnibus Award Plan. We paid $0.0001 per share, the par value, to repurchase these shares. These repurchases were not part of a publicly announced plan or program.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following table sets forth, as of November 1, 2021, information regarding beneficial ownership of our common stock by each person, or group of affiliated persons, known by us to beneficially own more than 5% of our common stock.</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have based our calculation of the percentage of beneficial ownership on 51,969,094 shares of our common stock outstanding on November 1, 2021.</w:t>
      </w:r>
    </w:p>
    <w:p>
      <w:pPr>
        <w:spacing w:after="0" w:line="194"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Unless otherwise noted below, the address for each of the shareholders in the table below is c/o Tile Shop Holdings, Inc., 14000 Carlson Parkway, Plymouth, Minnesota 55441.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Number of Shares</w:t>
            </w:r>
          </w:p>
        </w:tc>
        <w:tc>
          <w:tcPr>
            <w:tcW w:w="10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500" w:type="dxa"/>
            <w:vAlign w:val="bottom"/>
            <w:gridSpan w:val="2"/>
            <w:vMerge w:val="continue"/>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Beneficially Owned</w:t>
            </w: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5% Stockholders:</w:t>
            </w:r>
          </w:p>
        </w:tc>
        <w:tc>
          <w:tcPr>
            <w:tcW w:w="18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J. Jacullo III, Director</w:t>
            </w:r>
            <w:r>
              <w:rPr>
                <w:rFonts w:ascii="Arial" w:cs="Arial" w:eastAsia="Arial" w:hAnsi="Arial"/>
                <w:sz w:val="29"/>
                <w:szCs w:val="29"/>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8,591,379</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8500" w:type="dxa"/>
            <w:vAlign w:val="bottom"/>
            <w:gridSpan w:val="2"/>
          </w:tcPr>
          <w:p>
            <w:pPr>
              <w:spacing w:after="0" w:line="256" w:lineRule="exact"/>
              <w:rPr>
                <w:sz w:val="20"/>
                <w:szCs w:val="20"/>
                <w:color w:val="auto"/>
              </w:rPr>
            </w:pPr>
            <w:r>
              <w:rPr>
                <w:rFonts w:ascii="Arial" w:cs="Arial" w:eastAsia="Arial" w:hAnsi="Arial"/>
                <w:sz w:val="18"/>
                <w:szCs w:val="18"/>
                <w:color w:val="auto"/>
              </w:rPr>
              <w:t>Peter H. Kamin, Chairman of the Board</w:t>
            </w:r>
            <w:r>
              <w:rPr>
                <w:rFonts w:ascii="Arial" w:cs="Arial" w:eastAsia="Arial" w:hAnsi="Arial"/>
                <w:sz w:val="29"/>
                <w:szCs w:val="29"/>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6,872,802</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Cannell Capital LLC</w:t>
            </w:r>
            <w:r>
              <w:rPr>
                <w:rFonts w:ascii="Arial" w:cs="Arial" w:eastAsia="Arial" w:hAnsi="Arial"/>
                <w:sz w:val="29"/>
                <w:szCs w:val="29"/>
                <w:color w:val="auto"/>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3,147,164</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tcPr>
          <w:p>
            <w:pPr>
              <w:spacing w:after="0" w:line="256" w:lineRule="exact"/>
              <w:rPr>
                <w:sz w:val="20"/>
                <w:szCs w:val="20"/>
                <w:color w:val="auto"/>
              </w:rPr>
            </w:pPr>
            <w:r>
              <w:rPr>
                <w:rFonts w:ascii="Arial" w:cs="Arial" w:eastAsia="Arial" w:hAnsi="Arial"/>
                <w:sz w:val="18"/>
                <w:szCs w:val="18"/>
                <w:color w:val="auto"/>
              </w:rPr>
              <w:t>Savitr Capital LLC</w:t>
            </w:r>
            <w:r>
              <w:rPr>
                <w:rFonts w:ascii="Arial" w:cs="Arial" w:eastAsia="Arial" w:hAnsi="Arial"/>
                <w:sz w:val="29"/>
                <w:szCs w:val="29"/>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2,770,535</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Philotimo Fund, LP and affiliates</w:t>
            </w:r>
            <w:r>
              <w:rPr>
                <w:rFonts w:ascii="Arial" w:cs="Arial" w:eastAsia="Arial" w:hAnsi="Arial"/>
                <w:sz w:val="29"/>
                <w:szCs w:val="29"/>
                <w:color w:val="auto"/>
                <w:vertAlign w:val="superscript"/>
              </w:rPr>
              <w:t>(5)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2,597,857</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200" w:hanging="652"/>
        <w:spacing w:after="0" w:line="237"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a Schedule 13D/A filed with the SEC on January 16, 2020 by JWTS, Inc. (“JWTS”), Peter J. Jacullo III, and the Katherine D. Jacullo Children’s 1993 Irrevocable Trust (the “Jacullo Trust”) and a Form 4 filed by Mr. Jacullo with the SEC on July 21, 2021. JWTS directly holds 4,441,180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3,676,989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473,210 shares of common stock over which he has sole voting and dispositive power, including 14,477 shares of unvested restricted common stock.</w:t>
      </w:r>
    </w:p>
    <w:p>
      <w:pPr>
        <w:spacing w:after="0" w:line="148" w:lineRule="exact"/>
        <w:rPr>
          <w:rFonts w:ascii="Arial" w:cs="Arial" w:eastAsia="Arial" w:hAnsi="Arial"/>
          <w:sz w:val="17"/>
          <w:szCs w:val="17"/>
          <w:color w:val="auto"/>
        </w:rPr>
      </w:pPr>
    </w:p>
    <w:p>
      <w:pPr>
        <w:ind w:left="660" w:right="20" w:hanging="652"/>
        <w:spacing w:after="0" w:line="25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14, 2020 by Peter H. Kamin and a Form 4 filed by Mr. Kamin with the SEC on July 21, 2021. Includes (i) 1,694,608 shares of common stock held by the Peter H. Kamin Revocable Trust dated February 2003, of which Peter H. Kamin is the trustee; (ii) 1,033,562 shares of common stock held by the Peter H. Kamin Childrens Trust dated March 1997, of which Mr. Kamin is the trustee; (iii) 97,453 shares of common stock held by the Peter H. Kamin Family Foundation, of which Mr. Kamin is the trustee; (iv) 328,711 shares of common stock held by the Peter H. Kamin GST Trust, of which Mr. Kamin is the trustee; (v) 333,307 shares of common stock held by 3K Limited Partnership, of which Mr. Kamin is the general partner; and (vi) 3,385,161 shares of common stock directly held by Mr. Kamin, including 23,918 shares of unvested restricted common stock. Mr. Kamin has sole voting and dispositive power over all such shares.</w:t>
      </w:r>
    </w:p>
    <w:p>
      <w:pPr>
        <w:spacing w:after="0" w:line="138" w:lineRule="exact"/>
        <w:rPr>
          <w:rFonts w:ascii="Arial" w:cs="Arial" w:eastAsia="Arial" w:hAnsi="Arial"/>
          <w:sz w:val="16"/>
          <w:szCs w:val="16"/>
          <w:color w:val="auto"/>
        </w:rPr>
      </w:pPr>
    </w:p>
    <w:p>
      <w:pPr>
        <w:ind w:left="660" w:right="100" w:hanging="65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3, 2021 by Cannell Capital LLC and J. Carlo Cannell. Cannell Capital LLC acts as the investment adviser to Tonga Partners, L.P., Tristan Partners, L.P. and Tristan Offshore Fund, Ltd. (the “Funds”) and as investment advisor to various separately-managed accounts (collectively with the Funds, the “Investment Vehicles”). Mr. Cannell is the sole managing member of Cannell Capital LLC and investment adviser to the Investment Vehicles. As such, Cannell Capital LLC and Mr. Cannell may be deemed to beneficially own the 3,147,164 shares of common stock held directly by the Investment Vehicles and have sole voting and dispositive power over such shares. The business address of the reporting persons is 245 Meriwether Circle, Alta, Wyoming 83414.</w:t>
      </w:r>
    </w:p>
    <w:p>
      <w:pPr>
        <w:spacing w:after="0" w:line="150" w:lineRule="exact"/>
        <w:rPr>
          <w:rFonts w:ascii="Arial" w:cs="Arial" w:eastAsia="Arial" w:hAnsi="Arial"/>
          <w:sz w:val="17"/>
          <w:szCs w:val="17"/>
          <w:color w:val="auto"/>
        </w:rPr>
      </w:pPr>
    </w:p>
    <w:p>
      <w:pPr>
        <w:ind w:left="660" w:right="240" w:hanging="652"/>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660" w:hanging="652"/>
        <w:spacing w:after="0" w:line="23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4, 2021 by Philotimo Fund, LP (“Philotimo”), Kanen Wealth Management, LLC (“KWM”), and David L. Kanen, reporting holdings as of January 22, 2021. KWM is the general partner of Philotimo. Mr. Kanen is the managing member of KWM. By virtue of these relationships, KWM may be deemed to beneficially own the shares of common stock owned by Philotimo, and Mr. Kanen may be deemed to beneficially own the shares of common stock owned by each of Philotimo and KWM. Philotimo reported beneficial ownership of, and shared voting and dispositive power over, 1,524,524 shares. KWM reported beneficial ownership of, and shared voting and dispositive power over, 2,512,155 shares. Mr. Kanen reported beneficial ownership of 2,597,857 shares, including 85,702 shares over which he has sole voting and dispositive power and 2,512,155 shares over which he has shared voting and dispositive power. The business address of the reporting persons is 5850 Coral Ridge Drive, Suite 309, Coral Springs, Florida 33076.</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6"/>
          </w:tcPr>
          <w:p>
            <w:pPr>
              <w:spacing w:after="0"/>
              <w:rPr>
                <w:sz w:val="20"/>
                <w:szCs w:val="20"/>
                <w:color w:val="auto"/>
              </w:rPr>
            </w:pPr>
            <w:r>
              <w:rPr>
                <w:rFonts w:ascii="Arial" w:cs="Arial" w:eastAsia="Arial" w:hAnsi="Arial"/>
                <w:sz w:val="18"/>
                <w:szCs w:val="18"/>
                <w:color w:val="auto"/>
              </w:rPr>
              <w:t>Exhibit No.</w:t>
            </w:r>
          </w:p>
        </w:tc>
        <w:tc>
          <w:tcPr>
            <w:tcW w:w="10020" w:type="dxa"/>
            <w:vAlign w:val="bottom"/>
            <w:gridSpan w:val="17"/>
          </w:tcPr>
          <w:p>
            <w:pPr>
              <w:spacing w:after="0"/>
              <w:rPr>
                <w:sz w:val="20"/>
                <w:szCs w:val="20"/>
                <w:color w:val="auto"/>
              </w:rPr>
            </w:pPr>
            <w:r>
              <w:rPr>
                <w:rFonts w:ascii="Arial" w:cs="Arial" w:eastAsia="Arial" w:hAnsi="Arial"/>
                <w:sz w:val="18"/>
                <w:szCs w:val="18"/>
                <w:color w:val="auto"/>
              </w:rPr>
              <w:t>Description</w:t>
            </w:r>
          </w:p>
        </w:tc>
      </w:tr>
      <w:tr>
        <w:trPr>
          <w:trHeight w:val="27"/>
        </w:trPr>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42">
              <w:r>
                <w:rPr>
                  <w:rFonts w:ascii="Arial" w:cs="Arial" w:eastAsia="Arial" w:hAnsi="Arial"/>
                  <w:sz w:val="18"/>
                  <w:szCs w:val="18"/>
                  <w:color w:val="0563C1"/>
                </w:rPr>
                <w:t>3.</w:t>
              </w:r>
              <w:r>
                <w:rPr>
                  <w:rFonts w:ascii="Arial" w:cs="Arial" w:eastAsia="Arial" w:hAnsi="Arial"/>
                  <w:sz w:val="18"/>
                  <w:szCs w:val="18"/>
                  <w:u w:val="single" w:color="auto"/>
                  <w:color w:val="0563C1"/>
                </w:rPr>
                <w:t>1</w:t>
              </w:r>
            </w:hyperlink>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rFonts w:ascii="Arial" w:cs="Arial" w:eastAsia="Arial" w:hAnsi="Arial"/>
                <w:sz w:val="18"/>
                <w:szCs w:val="18"/>
                <w:color w:val="0563C1"/>
                <w:w w:val="92"/>
              </w:rPr>
            </w:pPr>
            <w:hyperlink r:id="rId42">
              <w:r>
                <w:rPr>
                  <w:rFonts w:ascii="Arial" w:cs="Arial" w:eastAsia="Arial" w:hAnsi="Arial"/>
                  <w:sz w:val="18"/>
                  <w:szCs w:val="18"/>
                  <w:color w:val="0563C1"/>
                  <w:w w:val="92"/>
                </w:rPr>
                <w:t>Certificate of Incorporation of Tile Shop Holdings, Inc. (incorporated by reference to Exhibit 3.1 to the Company’s Registration Statement</w:t>
              </w:r>
            </w:hyperlink>
          </w:p>
        </w:tc>
      </w:tr>
      <w:tr>
        <w:trPr>
          <w:trHeight w:val="169"/>
        </w:trPr>
        <w:tc>
          <w:tcPr>
            <w:tcW w:w="240" w:type="dxa"/>
            <w:vAlign w:val="bottom"/>
            <w:tcBorders>
              <w:top w:val="single" w:sz="8" w:color="0563C1"/>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563C1"/>
            </w:tcBorders>
            <w:gridSpan w:val="17"/>
            <w:shd w:val="clear" w:color="auto" w:fill="CCEEFF"/>
          </w:tcPr>
          <w:p>
            <w:pPr>
              <w:spacing w:after="0" w:line="169" w:lineRule="exact"/>
              <w:rPr>
                <w:rFonts w:ascii="Arial" w:cs="Arial" w:eastAsia="Arial" w:hAnsi="Arial"/>
                <w:sz w:val="18"/>
                <w:szCs w:val="18"/>
                <w:color w:val="0563C1"/>
              </w:rPr>
            </w:pPr>
            <w:hyperlink r:id="rId42">
              <w:r>
                <w:rPr>
                  <w:rFonts w:ascii="Arial" w:cs="Arial" w:eastAsia="Arial" w:hAnsi="Arial"/>
                  <w:sz w:val="18"/>
                  <w:szCs w:val="18"/>
                  <w:color w:val="0563C1"/>
                </w:rPr>
                <w:t>on Form S-4 (Reg. No. 333-182482) filed with the Securities and Exchange Commission on July 2, 2012).</w:t>
              </w:r>
            </w:hyperlink>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left w:val="single" w:sz="8" w:color="0563C1"/>
            </w:tcBorders>
            <w:shd w:val="clear" w:color="auto" w:fill="0563C1"/>
          </w:tcPr>
          <w:p>
            <w:pPr>
              <w:spacing w:after="0"/>
              <w:rPr>
                <w:sz w:val="2"/>
                <w:szCs w:val="2"/>
                <w:color w:val="auto"/>
              </w:rPr>
            </w:pPr>
          </w:p>
        </w:tc>
        <w:tc>
          <w:tcPr>
            <w:tcW w:w="360" w:type="dxa"/>
            <w:vAlign w:val="bottom"/>
            <w:shd w:val="clear" w:color="auto" w:fill="0563C1"/>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62"/>
        </w:trPr>
        <w:tc>
          <w:tcPr>
            <w:tcW w:w="420" w:type="dxa"/>
            <w:vAlign w:val="bottom"/>
            <w:gridSpan w:val="2"/>
          </w:tcPr>
          <w:p>
            <w:pPr>
              <w:spacing w:after="0" w:line="162" w:lineRule="exact"/>
              <w:rPr>
                <w:rFonts w:ascii="Arial" w:cs="Arial" w:eastAsia="Arial" w:hAnsi="Arial"/>
                <w:sz w:val="18"/>
                <w:szCs w:val="18"/>
                <w:color w:val="0563C1"/>
              </w:rPr>
            </w:pPr>
            <w:hyperlink r:id="rId43">
              <w:r>
                <w:rPr>
                  <w:rFonts w:ascii="Arial" w:cs="Arial" w:eastAsia="Arial" w:hAnsi="Arial"/>
                  <w:sz w:val="18"/>
                  <w:szCs w:val="18"/>
                  <w:color w:val="0563C1"/>
                </w:rPr>
                <w:t>3.</w:t>
              </w:r>
              <w:r>
                <w:rPr>
                  <w:rFonts w:ascii="Arial" w:cs="Arial" w:eastAsia="Arial" w:hAnsi="Arial"/>
                  <w:sz w:val="18"/>
                  <w:szCs w:val="18"/>
                  <w:u w:val="single" w:color="auto"/>
                  <w:color w:val="0563C1"/>
                </w:rPr>
                <w:t>2</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w w:val="94"/>
              </w:rPr>
            </w:pPr>
            <w:hyperlink r:id="rId43">
              <w:r>
                <w:rPr>
                  <w:rFonts w:ascii="Arial" w:cs="Arial" w:eastAsia="Arial" w:hAnsi="Arial"/>
                  <w:sz w:val="18"/>
                  <w:szCs w:val="18"/>
                  <w:color w:val="0563C1"/>
                  <w:w w:val="94"/>
                </w:rPr>
                <w:t>Certificate of Amendment to the Certificate of Incorporation of Tile Shop Holdings, Inc. (incorporated by reference to Exhibit 3.2 to the</w:t>
              </w:r>
            </w:hyperlink>
          </w:p>
        </w:tc>
      </w:tr>
      <w:tr>
        <w:trPr>
          <w:trHeight w:val="176"/>
        </w:trPr>
        <w:tc>
          <w:tcPr>
            <w:tcW w:w="240" w:type="dxa"/>
            <w:vAlign w:val="bottom"/>
            <w:tcBorders>
              <w:top w:val="single" w:sz="8" w:color="0563C1"/>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60" w:type="dxa"/>
            <w:vAlign w:val="bottom"/>
            <w:tcBorders>
              <w:top w:val="single" w:sz="8" w:color="0563C1"/>
              <w:bottom w:val="single" w:sz="8" w:color="0563C1"/>
            </w:tcBorders>
            <w:gridSpan w:val="9"/>
          </w:tcPr>
          <w:p>
            <w:pPr>
              <w:spacing w:after="0" w:line="169" w:lineRule="exact"/>
              <w:rPr>
                <w:rFonts w:ascii="Arial" w:cs="Arial" w:eastAsia="Arial" w:hAnsi="Arial"/>
                <w:sz w:val="18"/>
                <w:szCs w:val="18"/>
                <w:color w:val="0563C1"/>
                <w:w w:val="91"/>
              </w:rPr>
            </w:pPr>
            <w:hyperlink r:id="rId43">
              <w:r>
                <w:rPr>
                  <w:rFonts w:ascii="Arial" w:cs="Arial" w:eastAsia="Arial" w:hAnsi="Arial"/>
                  <w:sz w:val="18"/>
                  <w:szCs w:val="18"/>
                  <w:color w:val="0563C1"/>
                  <w:w w:val="91"/>
                </w:rPr>
                <w:t>Company’s Current Report on Form 8-K filed with the Securities and Exchange Commission on July 21, 2021).</w:t>
              </w:r>
            </w:hyperlink>
          </w:p>
        </w:tc>
        <w:tc>
          <w:tcPr>
            <w:tcW w:w="1800" w:type="dxa"/>
            <w:vAlign w:val="bottom"/>
            <w:tcBorders>
              <w:top w:val="single" w:sz="8" w:color="0563C1"/>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44">
              <w:r>
                <w:rPr>
                  <w:rFonts w:ascii="Arial" w:cs="Arial" w:eastAsia="Arial" w:hAnsi="Arial"/>
                  <w:sz w:val="18"/>
                  <w:szCs w:val="18"/>
                  <w:color w:val="0563C1"/>
                </w:rPr>
                <w:t>3.</w:t>
              </w:r>
              <w:r>
                <w:rPr>
                  <w:rFonts w:ascii="Arial" w:cs="Arial" w:eastAsia="Arial" w:hAnsi="Arial"/>
                  <w:sz w:val="18"/>
                  <w:szCs w:val="18"/>
                  <w:u w:val="single" w:color="auto"/>
                  <w:color w:val="0563C1"/>
                </w:rPr>
                <w:t>3</w:t>
              </w:r>
            </w:hyperlink>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rFonts w:ascii="Arial" w:cs="Arial" w:eastAsia="Arial" w:hAnsi="Arial"/>
                <w:sz w:val="18"/>
                <w:szCs w:val="18"/>
                <w:color w:val="0563C1"/>
                <w:w w:val="95"/>
              </w:rPr>
            </w:pPr>
            <w:hyperlink r:id="rId44">
              <w:r>
                <w:rPr>
                  <w:rFonts w:ascii="Arial" w:cs="Arial" w:eastAsia="Arial" w:hAnsi="Arial"/>
                  <w:sz w:val="18"/>
                  <w:szCs w:val="18"/>
                  <w:color w:val="0563C1"/>
                  <w:w w:val="95"/>
                </w:rPr>
                <w:t>By-Laws of Tile Shop Holdings, Inc. (incorporated by reference to Exhibit 3.2 to the Company’s Registration Statement on Form S-4</w:t>
              </w:r>
            </w:hyperlink>
          </w:p>
        </w:tc>
      </w:tr>
      <w:tr>
        <w:trPr>
          <w:trHeight w:val="176"/>
        </w:trPr>
        <w:tc>
          <w:tcPr>
            <w:tcW w:w="240" w:type="dxa"/>
            <w:vAlign w:val="bottom"/>
            <w:tcBorders>
              <w:top w:val="single" w:sz="8" w:color="0563C1"/>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6720" w:type="dxa"/>
            <w:vAlign w:val="bottom"/>
            <w:tcBorders>
              <w:top w:val="single" w:sz="8" w:color="0563C1"/>
              <w:bottom w:val="single" w:sz="8" w:color="0563C1"/>
            </w:tcBorders>
            <w:gridSpan w:val="5"/>
            <w:shd w:val="clear" w:color="auto" w:fill="CCEEFF"/>
          </w:tcPr>
          <w:p>
            <w:pPr>
              <w:spacing w:after="0" w:line="169" w:lineRule="exact"/>
              <w:rPr>
                <w:rFonts w:ascii="Arial" w:cs="Arial" w:eastAsia="Arial" w:hAnsi="Arial"/>
                <w:sz w:val="18"/>
                <w:szCs w:val="18"/>
                <w:color w:val="0563C1"/>
                <w:w w:val="91"/>
              </w:rPr>
            </w:pPr>
            <w:hyperlink r:id="rId44">
              <w:r>
                <w:rPr>
                  <w:rFonts w:ascii="Arial" w:cs="Arial" w:eastAsia="Arial" w:hAnsi="Arial"/>
                  <w:sz w:val="18"/>
                  <w:szCs w:val="18"/>
                  <w:color w:val="0563C1"/>
                  <w:w w:val="91"/>
                </w:rPr>
                <w:t>(Reg. No. 333-182482) filed with the Securities and Exchange Commission on July 2, 2012).</w:t>
              </w:r>
            </w:hyperlink>
          </w:p>
        </w:tc>
        <w:tc>
          <w:tcPr>
            <w:tcW w:w="2940" w:type="dxa"/>
            <w:vAlign w:val="bottom"/>
            <w:tcBorders>
              <w:top w:val="single" w:sz="8" w:color="0563C1"/>
              <w:bottom w:val="single" w:sz="8" w:color="CCEEFF"/>
            </w:tcBorders>
            <w:gridSpan w:val="8"/>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62"/>
        </w:trPr>
        <w:tc>
          <w:tcPr>
            <w:tcW w:w="500" w:type="dxa"/>
            <w:vAlign w:val="bottom"/>
            <w:gridSpan w:val="3"/>
          </w:tcPr>
          <w:p>
            <w:pPr>
              <w:spacing w:after="0" w:line="162" w:lineRule="exact"/>
              <w:rPr>
                <w:rFonts w:ascii="Arial" w:cs="Arial" w:eastAsia="Arial" w:hAnsi="Arial"/>
                <w:sz w:val="18"/>
                <w:szCs w:val="18"/>
                <w:color w:val="0563C1"/>
              </w:rPr>
            </w:pPr>
            <w:hyperlink r:id="rId45">
              <w:r>
                <w:rPr>
                  <w:rFonts w:ascii="Arial" w:cs="Arial" w:eastAsia="Arial" w:hAnsi="Arial"/>
                  <w:sz w:val="18"/>
                  <w:szCs w:val="18"/>
                  <w:color w:val="0563C1"/>
                </w:rPr>
                <w:t>10.</w:t>
              </w:r>
              <w:r>
                <w:rPr>
                  <w:rFonts w:ascii="Arial" w:cs="Arial" w:eastAsia="Arial" w:hAnsi="Arial"/>
                  <w:sz w:val="18"/>
                  <w:szCs w:val="18"/>
                  <w:u w:val="single" w:color="auto"/>
                  <w:color w:val="0563C1"/>
                </w:rPr>
                <w:t>1*</w:t>
              </w:r>
            </w:hyperlink>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w w:val="93"/>
              </w:rPr>
            </w:pPr>
            <w:hyperlink r:id="rId45">
              <w:r>
                <w:rPr>
                  <w:rFonts w:ascii="Arial" w:cs="Arial" w:eastAsia="Arial" w:hAnsi="Arial"/>
                  <w:sz w:val="18"/>
                  <w:szCs w:val="18"/>
                  <w:color w:val="0563C1"/>
                  <w:w w:val="93"/>
                </w:rPr>
                <w:t>Tile Shop Holdings, Inc. 2021 Omnibus Equity Compensation Plan (incorporated by reference to Exhibit 10.1 to the Company’s Current</w:t>
              </w:r>
            </w:hyperlink>
          </w:p>
        </w:tc>
      </w:tr>
      <w:tr>
        <w:trPr>
          <w:trHeight w:val="176"/>
        </w:trPr>
        <w:tc>
          <w:tcPr>
            <w:tcW w:w="240" w:type="dxa"/>
            <w:vAlign w:val="bottom"/>
            <w:tcBorders>
              <w:top w:val="single" w:sz="8" w:color="0563C1"/>
            </w:tcBorders>
          </w:tcPr>
          <w:p>
            <w:pPr>
              <w:spacing w:after="0"/>
              <w:rPr>
                <w:sz w:val="15"/>
                <w:szCs w:val="15"/>
                <w:color w:val="auto"/>
              </w:rPr>
            </w:pPr>
          </w:p>
        </w:tc>
        <w:tc>
          <w:tcPr>
            <w:tcW w:w="180" w:type="dxa"/>
            <w:vAlign w:val="bottom"/>
            <w:tcBorders>
              <w:top w:val="single" w:sz="8" w:color="0563C1"/>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0" w:type="dxa"/>
            <w:vAlign w:val="bottom"/>
            <w:tcBorders>
              <w:top w:val="single" w:sz="8" w:color="0563C1"/>
              <w:bottom w:val="single" w:sz="8" w:color="0563C1"/>
            </w:tcBorders>
            <w:gridSpan w:val="4"/>
          </w:tcPr>
          <w:p>
            <w:pPr>
              <w:spacing w:after="0" w:line="169" w:lineRule="exact"/>
              <w:rPr>
                <w:rFonts w:ascii="Arial" w:cs="Arial" w:eastAsia="Arial" w:hAnsi="Arial"/>
                <w:sz w:val="18"/>
                <w:szCs w:val="18"/>
                <w:color w:val="0563C1"/>
                <w:w w:val="91"/>
              </w:rPr>
            </w:pPr>
            <w:hyperlink r:id="rId45">
              <w:r>
                <w:rPr>
                  <w:rFonts w:ascii="Arial" w:cs="Arial" w:eastAsia="Arial" w:hAnsi="Arial"/>
                  <w:sz w:val="18"/>
                  <w:szCs w:val="18"/>
                  <w:color w:val="0563C1"/>
                  <w:w w:val="91"/>
                </w:rPr>
                <w:t>Report on Form 8-K filed with the Securities and Exchange Commission on July 21, 2021).</w:t>
              </w:r>
            </w:hyperlink>
          </w:p>
        </w:tc>
        <w:tc>
          <w:tcPr>
            <w:tcW w:w="3280" w:type="dxa"/>
            <w:vAlign w:val="bottom"/>
            <w:tcBorders>
              <w:top w:val="single" w:sz="8" w:color="0563C1"/>
            </w:tcBorders>
            <w:gridSpan w:val="12"/>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420" w:type="dxa"/>
            <w:vAlign w:val="bottom"/>
            <w:tcBorders>
              <w:bottom w:val="single" w:sz="8" w:color="0563C1"/>
            </w:tcBorders>
            <w:gridSpan w:val="2"/>
            <w:shd w:val="clear" w:color="auto" w:fill="CCEEFF"/>
          </w:tcPr>
          <w:p>
            <w:pPr>
              <w:spacing w:after="0" w:line="162" w:lineRule="exact"/>
              <w:rPr>
                <w:rFonts w:ascii="Arial" w:cs="Arial" w:eastAsia="Arial" w:hAnsi="Arial"/>
                <w:sz w:val="18"/>
                <w:szCs w:val="18"/>
                <w:color w:val="0563C1"/>
                <w:w w:val="95"/>
              </w:rPr>
            </w:pPr>
            <w:hyperlink r:id="rId46">
              <w:r>
                <w:rPr>
                  <w:rFonts w:ascii="Arial" w:cs="Arial" w:eastAsia="Arial" w:hAnsi="Arial"/>
                  <w:sz w:val="18"/>
                  <w:szCs w:val="18"/>
                  <w:color w:val="0563C1"/>
                  <w:w w:val="95"/>
                </w:rPr>
                <w:t>10.</w:t>
              </w:r>
              <w:r>
                <w:rPr>
                  <w:rFonts w:ascii="Arial" w:cs="Arial" w:eastAsia="Arial" w:hAnsi="Arial"/>
                  <w:sz w:val="18"/>
                  <w:szCs w:val="18"/>
                  <w:u w:val="single" w:color="auto"/>
                  <w:color w:val="0563C1"/>
                  <w:w w:val="95"/>
                </w:rPr>
                <w:t>2*</w:t>
              </w:r>
            </w:hyperlink>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080" w:type="dxa"/>
            <w:vAlign w:val="bottom"/>
            <w:tcBorders>
              <w:bottom w:val="single" w:sz="8" w:color="0563C1"/>
            </w:tcBorders>
            <w:gridSpan w:val="10"/>
            <w:shd w:val="clear" w:color="auto" w:fill="CCEEFF"/>
          </w:tcPr>
          <w:p>
            <w:pPr>
              <w:spacing w:after="0" w:line="162" w:lineRule="exact"/>
              <w:rPr>
                <w:rFonts w:ascii="Arial" w:cs="Arial" w:eastAsia="Arial" w:hAnsi="Arial"/>
                <w:sz w:val="18"/>
                <w:szCs w:val="18"/>
                <w:color w:val="0563C1"/>
                <w:w w:val="92"/>
              </w:rPr>
            </w:pPr>
            <w:hyperlink r:id="rId46">
              <w:r>
                <w:rPr>
                  <w:rFonts w:ascii="Arial" w:cs="Arial" w:eastAsia="Arial" w:hAnsi="Arial"/>
                  <w:sz w:val="18"/>
                  <w:szCs w:val="18"/>
                  <w:color w:val="0563C1"/>
                  <w:w w:val="92"/>
                </w:rPr>
                <w:t>Form of Nonqualified Stock Option Agreement under the Tile Shop Holdings, Inc. 2021 Omnibus Equity Compensation Plan</w:t>
              </w:r>
            </w:hyperlink>
          </w:p>
        </w:tc>
        <w:tc>
          <w:tcPr>
            <w:tcW w:w="940" w:type="dxa"/>
            <w:vAlign w:val="bottom"/>
            <w:tcBorders>
              <w:bottom w:val="single" w:sz="8" w:color="CCEEFF"/>
            </w:tcBorders>
            <w:gridSpan w:val="7"/>
            <w:shd w:val="clear" w:color="auto" w:fill="CCEEFF"/>
          </w:tcPr>
          <w:p>
            <w:pPr>
              <w:spacing w:after="0"/>
              <w:rPr>
                <w:sz w:val="14"/>
                <w:szCs w:val="14"/>
                <w:color w:val="auto"/>
              </w:rPr>
            </w:pPr>
          </w:p>
        </w:tc>
      </w:tr>
      <w:tr>
        <w:trPr>
          <w:trHeight w:val="169"/>
        </w:trPr>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9" w:lineRule="exact"/>
              <w:rPr>
                <w:rFonts w:ascii="Arial" w:cs="Arial" w:eastAsia="Arial" w:hAnsi="Arial"/>
                <w:sz w:val="18"/>
                <w:szCs w:val="18"/>
                <w:color w:val="0563C1"/>
                <w:w w:val="98"/>
              </w:rPr>
            </w:pPr>
            <w:hyperlink r:id="rId46">
              <w:r>
                <w:rPr>
                  <w:rFonts w:ascii="Arial" w:cs="Arial" w:eastAsia="Arial" w:hAnsi="Arial"/>
                  <w:sz w:val="18"/>
                  <w:szCs w:val="18"/>
                  <w:color w:val="0563C1"/>
                  <w:w w:val="98"/>
                </w:rPr>
                <w:t>(incorporated by reference to Exhibit 10.2 to the Company’s Current Report on Form 8-K filed with the Securities and Exchange</w:t>
              </w:r>
            </w:hyperlink>
          </w:p>
        </w:tc>
      </w:tr>
      <w:tr>
        <w:trPr>
          <w:trHeight w:val="169"/>
        </w:trPr>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9320" w:type="dxa"/>
            <w:vAlign w:val="bottom"/>
            <w:tcBorders>
              <w:top w:val="single" w:sz="8" w:color="0563C1"/>
            </w:tcBorders>
            <w:gridSpan w:val="11"/>
            <w:shd w:val="clear" w:color="auto" w:fill="CCEEFF"/>
          </w:tcPr>
          <w:p>
            <w:pPr>
              <w:spacing w:after="0" w:line="169" w:lineRule="exact"/>
              <w:rPr>
                <w:rFonts w:ascii="Arial" w:cs="Arial" w:eastAsia="Arial" w:hAnsi="Arial"/>
                <w:sz w:val="18"/>
                <w:szCs w:val="18"/>
                <w:color w:val="0563C1"/>
              </w:rPr>
            </w:pPr>
            <w:hyperlink r:id="rId46">
              <w:r>
                <w:rPr>
                  <w:rFonts w:ascii="Arial" w:cs="Arial" w:eastAsia="Arial" w:hAnsi="Arial"/>
                  <w:sz w:val="18"/>
                  <w:szCs w:val="18"/>
                  <w:color w:val="0563C1"/>
                </w:rPr>
                <w:t>Commission on July 21, 2021).</w:t>
              </w:r>
            </w:hyperlink>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62"/>
        </w:trPr>
        <w:tc>
          <w:tcPr>
            <w:tcW w:w="500" w:type="dxa"/>
            <w:vAlign w:val="bottom"/>
            <w:gridSpan w:val="3"/>
          </w:tcPr>
          <w:p>
            <w:pPr>
              <w:spacing w:after="0" w:line="162" w:lineRule="exact"/>
              <w:rPr>
                <w:rFonts w:ascii="Arial" w:cs="Arial" w:eastAsia="Arial" w:hAnsi="Arial"/>
                <w:sz w:val="18"/>
                <w:szCs w:val="18"/>
                <w:color w:val="0563C1"/>
              </w:rPr>
            </w:pPr>
            <w:hyperlink r:id="rId47">
              <w:r>
                <w:rPr>
                  <w:rFonts w:ascii="Arial" w:cs="Arial" w:eastAsia="Arial" w:hAnsi="Arial"/>
                  <w:sz w:val="18"/>
                  <w:szCs w:val="18"/>
                  <w:color w:val="0563C1"/>
                </w:rPr>
                <w:t>10.</w:t>
              </w:r>
              <w:r>
                <w:rPr>
                  <w:rFonts w:ascii="Arial" w:cs="Arial" w:eastAsia="Arial" w:hAnsi="Arial"/>
                  <w:sz w:val="18"/>
                  <w:szCs w:val="18"/>
                  <w:u w:val="single" w:color="auto"/>
                  <w:color w:val="0563C1"/>
                </w:rPr>
                <w:t>3*</w:t>
              </w:r>
            </w:hyperlink>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w w:val="91"/>
              </w:rPr>
            </w:pPr>
            <w:hyperlink r:id="rId47">
              <w:r>
                <w:rPr>
                  <w:rFonts w:ascii="Arial" w:cs="Arial" w:eastAsia="Arial" w:hAnsi="Arial"/>
                  <w:sz w:val="18"/>
                  <w:szCs w:val="18"/>
                  <w:color w:val="0563C1"/>
                  <w:w w:val="91"/>
                </w:rPr>
                <w:t>Form of Incentive Stock Option Agreement under the Tile Shop Holdings, Inc. 2021 Omnibus Equity Compensation Plan (incorporated by</w:t>
              </w:r>
            </w:hyperlink>
          </w:p>
        </w:tc>
      </w:tr>
      <w:tr>
        <w:trPr>
          <w:trHeight w:val="169"/>
        </w:trPr>
        <w:tc>
          <w:tcPr>
            <w:tcW w:w="240" w:type="dxa"/>
            <w:vAlign w:val="bottom"/>
            <w:tcBorders>
              <w:top w:val="single" w:sz="8" w:color="0563C1"/>
            </w:tcBorders>
          </w:tcPr>
          <w:p>
            <w:pPr>
              <w:spacing w:after="0"/>
              <w:rPr>
                <w:sz w:val="14"/>
                <w:szCs w:val="14"/>
                <w:color w:val="auto"/>
              </w:rPr>
            </w:pPr>
          </w:p>
        </w:tc>
        <w:tc>
          <w:tcPr>
            <w:tcW w:w="180" w:type="dxa"/>
            <w:vAlign w:val="bottom"/>
            <w:tcBorders>
              <w:top w:val="single" w:sz="8" w:color="0563C1"/>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tcBorders>
              <w:top w:val="single" w:sz="8" w:color="0563C1"/>
            </w:tcBorders>
            <w:gridSpan w:val="17"/>
          </w:tcPr>
          <w:p>
            <w:pPr>
              <w:spacing w:after="0" w:line="169" w:lineRule="exact"/>
              <w:rPr>
                <w:rFonts w:ascii="Arial" w:cs="Arial" w:eastAsia="Arial" w:hAnsi="Arial"/>
                <w:sz w:val="18"/>
                <w:szCs w:val="18"/>
                <w:color w:val="0563C1"/>
                <w:w w:val="93"/>
              </w:rPr>
            </w:pPr>
            <w:hyperlink r:id="rId47">
              <w:r>
                <w:rPr>
                  <w:rFonts w:ascii="Arial" w:cs="Arial" w:eastAsia="Arial" w:hAnsi="Arial"/>
                  <w:sz w:val="18"/>
                  <w:szCs w:val="18"/>
                  <w:color w:val="0563C1"/>
                  <w:w w:val="93"/>
                </w:rPr>
                <w:t>reference to Exhibit 10.3 to the Company’s Current Report on Form 8-K filed with the Securities and Exchange Commission on July 21,</w:t>
              </w:r>
            </w:hyperlink>
          </w:p>
        </w:tc>
      </w:tr>
      <w:tr>
        <w:trPr>
          <w:trHeight w:val="169"/>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top w:val="single" w:sz="8" w:color="0563C1"/>
            </w:tcBorders>
            <w:gridSpan w:val="2"/>
          </w:tcPr>
          <w:p>
            <w:pPr>
              <w:spacing w:after="0" w:line="169" w:lineRule="exact"/>
              <w:rPr>
                <w:rFonts w:ascii="Arial" w:cs="Arial" w:eastAsia="Arial" w:hAnsi="Arial"/>
                <w:sz w:val="18"/>
                <w:szCs w:val="18"/>
                <w:color w:val="0563C1"/>
              </w:rPr>
            </w:pPr>
            <w:hyperlink r:id="rId47">
              <w:r>
                <w:rPr>
                  <w:rFonts w:ascii="Arial" w:cs="Arial" w:eastAsia="Arial" w:hAnsi="Arial"/>
                  <w:sz w:val="18"/>
                  <w:szCs w:val="18"/>
                  <w:color w:val="0563C1"/>
                </w:rPr>
                <w:t>2021).</w:t>
              </w:r>
            </w:hyperlink>
          </w:p>
        </w:tc>
        <w:tc>
          <w:tcPr>
            <w:tcW w:w="1420" w:type="dxa"/>
            <w:vAlign w:val="bottom"/>
            <w:tcBorders>
              <w:top w:val="single" w:sz="8" w:color="0563C1"/>
            </w:tcBorders>
          </w:tcPr>
          <w:p>
            <w:pPr>
              <w:spacing w:after="0"/>
              <w:rPr>
                <w:sz w:val="14"/>
                <w:szCs w:val="14"/>
                <w:color w:val="auto"/>
              </w:rPr>
            </w:pPr>
          </w:p>
        </w:tc>
        <w:tc>
          <w:tcPr>
            <w:tcW w:w="4340" w:type="dxa"/>
            <w:vAlign w:val="bottom"/>
            <w:tcBorders>
              <w:top w:val="single" w:sz="8" w:color="0563C1"/>
            </w:tcBorders>
          </w:tcPr>
          <w:p>
            <w:pPr>
              <w:spacing w:after="0"/>
              <w:rPr>
                <w:sz w:val="14"/>
                <w:szCs w:val="14"/>
                <w:color w:val="auto"/>
              </w:rPr>
            </w:pPr>
          </w:p>
        </w:tc>
        <w:tc>
          <w:tcPr>
            <w:tcW w:w="120" w:type="dxa"/>
            <w:vAlign w:val="bottom"/>
            <w:tcBorders>
              <w:top w:val="single" w:sz="8" w:color="0563C1"/>
            </w:tcBorders>
          </w:tcPr>
          <w:p>
            <w:pPr>
              <w:spacing w:after="0"/>
              <w:rPr>
                <w:sz w:val="14"/>
                <w:szCs w:val="14"/>
                <w:color w:val="auto"/>
              </w:rPr>
            </w:pPr>
          </w:p>
        </w:tc>
        <w:tc>
          <w:tcPr>
            <w:tcW w:w="460" w:type="dxa"/>
            <w:vAlign w:val="bottom"/>
            <w:tcBorders>
              <w:top w:val="single" w:sz="8" w:color="0563C1"/>
            </w:tcBorders>
          </w:tcPr>
          <w:p>
            <w:pPr>
              <w:spacing w:after="0"/>
              <w:rPr>
                <w:sz w:val="14"/>
                <w:szCs w:val="14"/>
                <w:color w:val="auto"/>
              </w:rPr>
            </w:pPr>
          </w:p>
        </w:tc>
        <w:tc>
          <w:tcPr>
            <w:tcW w:w="120" w:type="dxa"/>
            <w:vAlign w:val="bottom"/>
            <w:tcBorders>
              <w:top w:val="single" w:sz="8" w:color="0563C1"/>
            </w:tcBorders>
          </w:tcPr>
          <w:p>
            <w:pPr>
              <w:spacing w:after="0"/>
              <w:rPr>
                <w:sz w:val="14"/>
                <w:szCs w:val="14"/>
                <w:color w:val="auto"/>
              </w:rPr>
            </w:pPr>
          </w:p>
        </w:tc>
        <w:tc>
          <w:tcPr>
            <w:tcW w:w="360" w:type="dxa"/>
            <w:vAlign w:val="bottom"/>
            <w:tcBorders>
              <w:top w:val="single" w:sz="8" w:color="0563C1"/>
            </w:tcBorders>
          </w:tcPr>
          <w:p>
            <w:pPr>
              <w:spacing w:after="0"/>
              <w:rPr>
                <w:sz w:val="14"/>
                <w:szCs w:val="14"/>
                <w:color w:val="auto"/>
              </w:rPr>
            </w:pPr>
          </w:p>
        </w:tc>
        <w:tc>
          <w:tcPr>
            <w:tcW w:w="400" w:type="dxa"/>
            <w:vAlign w:val="bottom"/>
            <w:tcBorders>
              <w:top w:val="single" w:sz="8" w:color="0563C1"/>
            </w:tcBorders>
          </w:tcPr>
          <w:p>
            <w:pPr>
              <w:spacing w:after="0"/>
              <w:rPr>
                <w:sz w:val="14"/>
                <w:szCs w:val="14"/>
                <w:color w:val="auto"/>
              </w:rPr>
            </w:pPr>
          </w:p>
        </w:tc>
        <w:tc>
          <w:tcPr>
            <w:tcW w:w="1020" w:type="dxa"/>
            <w:vAlign w:val="bottom"/>
            <w:tcBorders>
              <w:top w:val="single" w:sz="8" w:color="0563C1"/>
            </w:tcBorders>
          </w:tcPr>
          <w:p>
            <w:pPr>
              <w:spacing w:after="0"/>
              <w:rPr>
                <w:sz w:val="14"/>
                <w:szCs w:val="14"/>
                <w:color w:val="auto"/>
              </w:rPr>
            </w:pPr>
          </w:p>
        </w:tc>
        <w:tc>
          <w:tcPr>
            <w:tcW w:w="240" w:type="dxa"/>
            <w:vAlign w:val="bottom"/>
            <w:tcBorders>
              <w:top w:val="single" w:sz="8" w:color="0563C1"/>
            </w:tcBorders>
          </w:tcPr>
          <w:p>
            <w:pPr>
              <w:spacing w:after="0"/>
              <w:rPr>
                <w:sz w:val="14"/>
                <w:szCs w:val="14"/>
                <w:color w:val="auto"/>
              </w:rPr>
            </w:pPr>
          </w:p>
        </w:tc>
        <w:tc>
          <w:tcPr>
            <w:tcW w:w="300" w:type="dxa"/>
            <w:vAlign w:val="bottom"/>
            <w:tcBorders>
              <w:top w:val="single" w:sz="8" w:color="0563C1"/>
            </w:tcBorders>
          </w:tcPr>
          <w:p>
            <w:pPr>
              <w:spacing w:after="0"/>
              <w:rPr>
                <w:sz w:val="14"/>
                <w:szCs w:val="14"/>
                <w:color w:val="auto"/>
              </w:rPr>
            </w:pPr>
          </w:p>
        </w:tc>
        <w:tc>
          <w:tcPr>
            <w:tcW w:w="40" w:type="dxa"/>
            <w:vAlign w:val="bottom"/>
            <w:tcBorders>
              <w:top w:val="single" w:sz="8" w:color="0563C1"/>
            </w:tcBorders>
          </w:tcPr>
          <w:p>
            <w:pPr>
              <w:spacing w:after="0"/>
              <w:rPr>
                <w:sz w:val="14"/>
                <w:szCs w:val="14"/>
                <w:color w:val="auto"/>
              </w:rPr>
            </w:pPr>
          </w:p>
        </w:tc>
        <w:tc>
          <w:tcPr>
            <w:tcW w:w="180" w:type="dxa"/>
            <w:vAlign w:val="bottom"/>
            <w:tcBorders>
              <w:top w:val="single" w:sz="8" w:color="0563C1"/>
            </w:tcBorders>
          </w:tcPr>
          <w:p>
            <w:pPr>
              <w:spacing w:after="0"/>
              <w:rPr>
                <w:sz w:val="14"/>
                <w:szCs w:val="14"/>
                <w:color w:val="auto"/>
              </w:rPr>
            </w:pPr>
          </w:p>
        </w:tc>
        <w:tc>
          <w:tcPr>
            <w:tcW w:w="20" w:type="dxa"/>
            <w:vAlign w:val="bottom"/>
            <w:tcBorders>
              <w:top w:val="single" w:sz="8" w:color="0563C1"/>
            </w:tcBorders>
          </w:tcPr>
          <w:p>
            <w:pPr>
              <w:spacing w:after="0"/>
              <w:rPr>
                <w:sz w:val="14"/>
                <w:szCs w:val="14"/>
                <w:color w:val="auto"/>
              </w:rPr>
            </w:pPr>
          </w:p>
        </w:tc>
        <w:tc>
          <w:tcPr>
            <w:tcW w:w="20" w:type="dxa"/>
            <w:vAlign w:val="bottom"/>
            <w:tcBorders>
              <w:top w:val="single" w:sz="8" w:color="0563C1"/>
            </w:tcBorders>
          </w:tcPr>
          <w:p>
            <w:pPr>
              <w:spacing w:after="0"/>
              <w:rPr>
                <w:sz w:val="14"/>
                <w:szCs w:val="14"/>
                <w:color w:val="auto"/>
              </w:rPr>
            </w:pPr>
          </w:p>
        </w:tc>
        <w:tc>
          <w:tcPr>
            <w:tcW w:w="140" w:type="dxa"/>
            <w:vAlign w:val="bottom"/>
          </w:tcPr>
          <w:p>
            <w:pPr>
              <w:spacing w:after="0"/>
              <w:rPr>
                <w:sz w:val="14"/>
                <w:szCs w:val="14"/>
                <w:color w:val="auto"/>
              </w:rPr>
            </w:pPr>
          </w:p>
        </w:tc>
      </w:tr>
      <w:tr>
        <w:trPr>
          <w:trHeight w:val="27"/>
        </w:trPr>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2"/>
        </w:trPr>
        <w:tc>
          <w:tcPr>
            <w:tcW w:w="500" w:type="dxa"/>
            <w:vAlign w:val="bottom"/>
            <w:gridSpan w:val="3"/>
            <w:shd w:val="clear" w:color="auto" w:fill="CCEEFF"/>
          </w:tcPr>
          <w:p>
            <w:pPr>
              <w:spacing w:after="0" w:line="162" w:lineRule="exact"/>
              <w:rPr>
                <w:rFonts w:ascii="Arial" w:cs="Arial" w:eastAsia="Arial" w:hAnsi="Arial"/>
                <w:sz w:val="18"/>
                <w:szCs w:val="18"/>
                <w:color w:val="0563C1"/>
              </w:rPr>
            </w:pPr>
            <w:hyperlink r:id="rId48">
              <w:r>
                <w:rPr>
                  <w:rFonts w:ascii="Arial" w:cs="Arial" w:eastAsia="Arial" w:hAnsi="Arial"/>
                  <w:sz w:val="18"/>
                  <w:szCs w:val="18"/>
                  <w:color w:val="0563C1"/>
                </w:rPr>
                <w:t>10.</w:t>
              </w:r>
              <w:r>
                <w:rPr>
                  <w:rFonts w:ascii="Arial" w:cs="Arial" w:eastAsia="Arial" w:hAnsi="Arial"/>
                  <w:sz w:val="18"/>
                  <w:szCs w:val="18"/>
                  <w:u w:val="single" w:color="auto"/>
                  <w:color w:val="0563C1"/>
                </w:rPr>
                <w:t>4*</w:t>
              </w:r>
            </w:hyperlink>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rFonts w:ascii="Arial" w:cs="Arial" w:eastAsia="Arial" w:hAnsi="Arial"/>
                <w:sz w:val="18"/>
                <w:szCs w:val="18"/>
                <w:color w:val="0563C1"/>
                <w:w w:val="95"/>
              </w:rPr>
            </w:pPr>
            <w:hyperlink r:id="rId48">
              <w:r>
                <w:rPr>
                  <w:rFonts w:ascii="Arial" w:cs="Arial" w:eastAsia="Arial" w:hAnsi="Arial"/>
                  <w:sz w:val="18"/>
                  <w:szCs w:val="18"/>
                  <w:color w:val="0563C1"/>
                  <w:w w:val="95"/>
                </w:rPr>
                <w:t>Form of Stock Restriction Agreement under the Tile Shop Holdings, Inc. 2021 Omnibus Equity Compensation Plan (incorporated by</w:t>
              </w:r>
            </w:hyperlink>
          </w:p>
        </w:tc>
      </w:tr>
      <w:tr>
        <w:trPr>
          <w:trHeight w:val="169"/>
        </w:trPr>
        <w:tc>
          <w:tcPr>
            <w:tcW w:w="240" w:type="dxa"/>
            <w:vAlign w:val="bottom"/>
            <w:tcBorders>
              <w:top w:val="single" w:sz="8" w:color="0563C1"/>
            </w:tcBorders>
            <w:shd w:val="clear" w:color="auto" w:fill="CCEEFF"/>
          </w:tcPr>
          <w:p>
            <w:pPr>
              <w:spacing w:after="0"/>
              <w:rPr>
                <w:sz w:val="14"/>
                <w:szCs w:val="14"/>
                <w:color w:val="auto"/>
              </w:rPr>
            </w:pPr>
          </w:p>
        </w:tc>
        <w:tc>
          <w:tcPr>
            <w:tcW w:w="180" w:type="dxa"/>
            <w:vAlign w:val="bottom"/>
            <w:tcBorders>
              <w:top w:val="single" w:sz="8" w:color="0563C1"/>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563C1"/>
            </w:tcBorders>
            <w:gridSpan w:val="12"/>
            <w:shd w:val="clear" w:color="auto" w:fill="CCEEFF"/>
          </w:tcPr>
          <w:p>
            <w:pPr>
              <w:spacing w:after="0" w:line="169" w:lineRule="exact"/>
              <w:rPr>
                <w:rFonts w:ascii="Arial" w:cs="Arial" w:eastAsia="Arial" w:hAnsi="Arial"/>
                <w:sz w:val="18"/>
                <w:szCs w:val="18"/>
                <w:color w:val="0563C1"/>
                <w:w w:val="91"/>
              </w:rPr>
            </w:pPr>
            <w:hyperlink r:id="rId48">
              <w:r>
                <w:rPr>
                  <w:rFonts w:ascii="Arial" w:cs="Arial" w:eastAsia="Arial" w:hAnsi="Arial"/>
                  <w:sz w:val="18"/>
                  <w:szCs w:val="18"/>
                  <w:color w:val="0563C1"/>
                  <w:w w:val="91"/>
                </w:rPr>
                <w:t>reference to Exhibit 10.4 to the Company’s Current Report on Form 8-K filed with the Securities and Exchange Commission on July</w:t>
              </w:r>
            </w:hyperlink>
          </w:p>
        </w:tc>
        <w:tc>
          <w:tcPr>
            <w:tcW w:w="220" w:type="dxa"/>
            <w:vAlign w:val="bottom"/>
            <w:tcBorders>
              <w:top w:val="single" w:sz="8" w:color="CCEEFF"/>
            </w:tcBorders>
            <w:gridSpan w:val="2"/>
            <w:shd w:val="clear" w:color="auto" w:fill="CCEEFF"/>
          </w:tcPr>
          <w:p>
            <w:pPr>
              <w:jc w:val="right"/>
              <w:spacing w:after="0" w:line="169" w:lineRule="exact"/>
              <w:rPr>
                <w:rFonts w:ascii="Arial" w:cs="Arial" w:eastAsia="Arial" w:hAnsi="Arial"/>
                <w:sz w:val="18"/>
                <w:szCs w:val="18"/>
                <w:color w:val="0563C1"/>
                <w:w w:val="79"/>
              </w:rPr>
            </w:pPr>
            <w:hyperlink r:id="rId48">
              <w:r>
                <w:rPr>
                  <w:rFonts w:ascii="Arial" w:cs="Arial" w:eastAsia="Arial" w:hAnsi="Arial"/>
                  <w:sz w:val="18"/>
                  <w:szCs w:val="18"/>
                  <w:color w:val="0563C1"/>
                  <w:w w:val="79"/>
                </w:rPr>
                <w:t>21,</w:t>
              </w:r>
            </w:hyperlink>
          </w:p>
        </w:tc>
        <w:tc>
          <w:tcPr>
            <w:tcW w:w="180" w:type="dxa"/>
            <w:vAlign w:val="bottom"/>
            <w:tcBorders>
              <w:top w:val="single" w:sz="8" w:color="CCEEFF"/>
            </w:tcBorders>
            <w:gridSpan w:val="3"/>
            <w:shd w:val="clear" w:color="auto" w:fill="CCEEFF"/>
          </w:tcPr>
          <w:p>
            <w:pPr>
              <w:spacing w:after="0"/>
              <w:rPr>
                <w:sz w:val="14"/>
                <w:szCs w:val="14"/>
                <w:color w:val="auto"/>
              </w:rPr>
            </w:pPr>
          </w:p>
        </w:tc>
      </w:tr>
      <w:tr>
        <w:trPr>
          <w:trHeight w:val="169"/>
        </w:trPr>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0563C1"/>
            </w:tcBorders>
            <w:gridSpan w:val="2"/>
            <w:shd w:val="clear" w:color="auto" w:fill="CCEEFF"/>
          </w:tcPr>
          <w:p>
            <w:pPr>
              <w:spacing w:after="0" w:line="169" w:lineRule="exact"/>
              <w:rPr>
                <w:rFonts w:ascii="Arial" w:cs="Arial" w:eastAsia="Arial" w:hAnsi="Arial"/>
                <w:sz w:val="18"/>
                <w:szCs w:val="18"/>
                <w:color w:val="0563C1"/>
              </w:rPr>
            </w:pPr>
            <w:hyperlink r:id="rId48">
              <w:r>
                <w:rPr>
                  <w:rFonts w:ascii="Arial" w:cs="Arial" w:eastAsia="Arial" w:hAnsi="Arial"/>
                  <w:sz w:val="18"/>
                  <w:szCs w:val="18"/>
                  <w:color w:val="0563C1"/>
                </w:rPr>
                <w:t>2021).</w:t>
              </w:r>
            </w:hyperlink>
          </w:p>
        </w:tc>
        <w:tc>
          <w:tcPr>
            <w:tcW w:w="1420" w:type="dxa"/>
            <w:vAlign w:val="bottom"/>
            <w:tcBorders>
              <w:top w:val="single" w:sz="8" w:color="0563C1"/>
            </w:tcBorders>
            <w:shd w:val="clear" w:color="auto" w:fill="CCEEFF"/>
          </w:tcPr>
          <w:p>
            <w:pPr>
              <w:spacing w:after="0"/>
              <w:rPr>
                <w:sz w:val="14"/>
                <w:szCs w:val="14"/>
                <w:color w:val="auto"/>
              </w:rPr>
            </w:pPr>
          </w:p>
        </w:tc>
        <w:tc>
          <w:tcPr>
            <w:tcW w:w="4340" w:type="dxa"/>
            <w:vAlign w:val="bottom"/>
            <w:tcBorders>
              <w:top w:val="single" w:sz="8" w:color="0563C1"/>
            </w:tcBorders>
            <w:shd w:val="clear" w:color="auto" w:fill="CCEEFF"/>
          </w:tcPr>
          <w:p>
            <w:pPr>
              <w:spacing w:after="0"/>
              <w:rPr>
                <w:sz w:val="14"/>
                <w:szCs w:val="14"/>
                <w:color w:val="auto"/>
              </w:rPr>
            </w:pPr>
          </w:p>
        </w:tc>
        <w:tc>
          <w:tcPr>
            <w:tcW w:w="120" w:type="dxa"/>
            <w:vAlign w:val="bottom"/>
            <w:tcBorders>
              <w:top w:val="single" w:sz="8" w:color="0563C1"/>
            </w:tcBorders>
            <w:shd w:val="clear" w:color="auto" w:fill="CCEEFF"/>
          </w:tcPr>
          <w:p>
            <w:pPr>
              <w:spacing w:after="0"/>
              <w:rPr>
                <w:sz w:val="14"/>
                <w:szCs w:val="14"/>
                <w:color w:val="auto"/>
              </w:rPr>
            </w:pPr>
          </w:p>
        </w:tc>
        <w:tc>
          <w:tcPr>
            <w:tcW w:w="460" w:type="dxa"/>
            <w:vAlign w:val="bottom"/>
            <w:tcBorders>
              <w:top w:val="single" w:sz="8" w:color="0563C1"/>
            </w:tcBorders>
            <w:shd w:val="clear" w:color="auto" w:fill="CCEEFF"/>
          </w:tcPr>
          <w:p>
            <w:pPr>
              <w:spacing w:after="0"/>
              <w:rPr>
                <w:sz w:val="14"/>
                <w:szCs w:val="14"/>
                <w:color w:val="auto"/>
              </w:rPr>
            </w:pPr>
          </w:p>
        </w:tc>
        <w:tc>
          <w:tcPr>
            <w:tcW w:w="120" w:type="dxa"/>
            <w:vAlign w:val="bottom"/>
            <w:tcBorders>
              <w:top w:val="single" w:sz="8" w:color="0563C1"/>
              <w:left w:val="single" w:sz="8" w:color="CCEEFF"/>
            </w:tcBorders>
            <w:shd w:val="clear" w:color="auto" w:fill="CCEEFF"/>
          </w:tcPr>
          <w:p>
            <w:pPr>
              <w:spacing w:after="0"/>
              <w:rPr>
                <w:sz w:val="14"/>
                <w:szCs w:val="14"/>
                <w:color w:val="auto"/>
              </w:rPr>
            </w:pPr>
          </w:p>
        </w:tc>
        <w:tc>
          <w:tcPr>
            <w:tcW w:w="360" w:type="dxa"/>
            <w:vAlign w:val="bottom"/>
            <w:tcBorders>
              <w:top w:val="single" w:sz="8" w:color="0563C1"/>
            </w:tcBorders>
            <w:shd w:val="clear" w:color="auto" w:fill="CCEEFF"/>
          </w:tcPr>
          <w:p>
            <w:pPr>
              <w:spacing w:after="0"/>
              <w:rPr>
                <w:sz w:val="14"/>
                <w:szCs w:val="14"/>
                <w:color w:val="auto"/>
              </w:rPr>
            </w:pPr>
          </w:p>
        </w:tc>
        <w:tc>
          <w:tcPr>
            <w:tcW w:w="400" w:type="dxa"/>
            <w:vAlign w:val="bottom"/>
            <w:tcBorders>
              <w:top w:val="single" w:sz="8" w:color="0563C1"/>
            </w:tcBorders>
            <w:shd w:val="clear" w:color="auto" w:fill="CCEEFF"/>
          </w:tcPr>
          <w:p>
            <w:pPr>
              <w:spacing w:after="0"/>
              <w:rPr>
                <w:sz w:val="14"/>
                <w:szCs w:val="14"/>
                <w:color w:val="auto"/>
              </w:rPr>
            </w:pPr>
          </w:p>
        </w:tc>
        <w:tc>
          <w:tcPr>
            <w:tcW w:w="1020" w:type="dxa"/>
            <w:vAlign w:val="bottom"/>
            <w:tcBorders>
              <w:top w:val="single" w:sz="8" w:color="0563C1"/>
            </w:tcBorders>
            <w:shd w:val="clear" w:color="auto" w:fill="CCEEFF"/>
          </w:tcPr>
          <w:p>
            <w:pPr>
              <w:spacing w:after="0"/>
              <w:rPr>
                <w:sz w:val="14"/>
                <w:szCs w:val="14"/>
                <w:color w:val="auto"/>
              </w:rPr>
            </w:pPr>
          </w:p>
        </w:tc>
        <w:tc>
          <w:tcPr>
            <w:tcW w:w="240" w:type="dxa"/>
            <w:vAlign w:val="bottom"/>
            <w:tcBorders>
              <w:top w:val="single" w:sz="8" w:color="0563C1"/>
            </w:tcBorders>
            <w:shd w:val="clear" w:color="auto" w:fill="CCEEFF"/>
          </w:tcPr>
          <w:p>
            <w:pPr>
              <w:spacing w:after="0"/>
              <w:rPr>
                <w:sz w:val="14"/>
                <w:szCs w:val="14"/>
                <w:color w:val="auto"/>
              </w:rPr>
            </w:pPr>
          </w:p>
        </w:tc>
        <w:tc>
          <w:tcPr>
            <w:tcW w:w="300" w:type="dxa"/>
            <w:vAlign w:val="bottom"/>
            <w:tcBorders>
              <w:top w:val="single" w:sz="8" w:color="0563C1"/>
            </w:tcBorders>
            <w:shd w:val="clear" w:color="auto" w:fill="CCEEFF"/>
          </w:tcPr>
          <w:p>
            <w:pPr>
              <w:spacing w:after="0"/>
              <w:rPr>
                <w:sz w:val="14"/>
                <w:szCs w:val="14"/>
                <w:color w:val="auto"/>
              </w:rPr>
            </w:pPr>
          </w:p>
        </w:tc>
        <w:tc>
          <w:tcPr>
            <w:tcW w:w="40" w:type="dxa"/>
            <w:vAlign w:val="bottom"/>
            <w:tcBorders>
              <w:top w:val="single" w:sz="8" w:color="0563C1"/>
            </w:tcBorders>
            <w:shd w:val="clear" w:color="auto" w:fill="CCEEFF"/>
          </w:tcPr>
          <w:p>
            <w:pPr>
              <w:spacing w:after="0"/>
              <w:rPr>
                <w:sz w:val="14"/>
                <w:szCs w:val="14"/>
                <w:color w:val="auto"/>
              </w:rPr>
            </w:pPr>
          </w:p>
        </w:tc>
        <w:tc>
          <w:tcPr>
            <w:tcW w:w="180" w:type="dxa"/>
            <w:vAlign w:val="bottom"/>
            <w:tcBorders>
              <w:top w:val="single" w:sz="8" w:color="0563C1"/>
            </w:tcBorders>
            <w:shd w:val="clear" w:color="auto" w:fill="CCEEFF"/>
          </w:tcPr>
          <w:p>
            <w:pPr>
              <w:spacing w:after="0"/>
              <w:rPr>
                <w:sz w:val="14"/>
                <w:szCs w:val="14"/>
                <w:color w:val="auto"/>
              </w:rPr>
            </w:pPr>
          </w:p>
        </w:tc>
        <w:tc>
          <w:tcPr>
            <w:tcW w:w="20" w:type="dxa"/>
            <w:vAlign w:val="bottom"/>
            <w:tcBorders>
              <w:top w:val="single" w:sz="8" w:color="0563C1"/>
            </w:tcBorders>
            <w:shd w:val="clear" w:color="auto" w:fill="CCEEFF"/>
          </w:tcPr>
          <w:p>
            <w:pPr>
              <w:spacing w:after="0"/>
              <w:rPr>
                <w:sz w:val="14"/>
                <w:szCs w:val="14"/>
                <w:color w:val="auto"/>
              </w:rPr>
            </w:pPr>
          </w:p>
        </w:tc>
        <w:tc>
          <w:tcPr>
            <w:tcW w:w="20" w:type="dxa"/>
            <w:vAlign w:val="bottom"/>
            <w:tcBorders>
              <w:top w:val="single" w:sz="8" w:color="0563C1"/>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62"/>
        </w:trPr>
        <w:tc>
          <w:tcPr>
            <w:tcW w:w="500" w:type="dxa"/>
            <w:vAlign w:val="bottom"/>
            <w:gridSpan w:val="3"/>
          </w:tcPr>
          <w:p>
            <w:pPr>
              <w:spacing w:after="0" w:line="162" w:lineRule="exact"/>
              <w:rPr>
                <w:rFonts w:ascii="Arial" w:cs="Arial" w:eastAsia="Arial" w:hAnsi="Arial"/>
                <w:sz w:val="18"/>
                <w:szCs w:val="18"/>
                <w:color w:val="0563C1"/>
              </w:rPr>
            </w:pPr>
            <w:hyperlink r:id="rId49">
              <w:r>
                <w:rPr>
                  <w:rFonts w:ascii="Arial" w:cs="Arial" w:eastAsia="Arial" w:hAnsi="Arial"/>
                  <w:sz w:val="18"/>
                  <w:szCs w:val="18"/>
                  <w:color w:val="0563C1"/>
                </w:rPr>
                <w:t>10.</w:t>
              </w:r>
              <w:r>
                <w:rPr>
                  <w:rFonts w:ascii="Arial" w:cs="Arial" w:eastAsia="Arial" w:hAnsi="Arial"/>
                  <w:sz w:val="18"/>
                  <w:szCs w:val="18"/>
                  <w:u w:val="single" w:color="auto"/>
                  <w:color w:val="0563C1"/>
                </w:rPr>
                <w:t>5*</w:t>
              </w:r>
            </w:hyperlink>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w w:val="92"/>
              </w:rPr>
            </w:pPr>
            <w:hyperlink r:id="rId49">
              <w:r>
                <w:rPr>
                  <w:rFonts w:ascii="Arial" w:cs="Arial" w:eastAsia="Arial" w:hAnsi="Arial"/>
                  <w:sz w:val="18"/>
                  <w:szCs w:val="18"/>
                  <w:color w:val="0563C1"/>
                  <w:w w:val="92"/>
                </w:rPr>
                <w:t>Form of Performance-Based Stock Restriction Agreement under the Tile Shop Holdings, Inc. 2021 Omnibus Equity Compensation Plan</w:t>
              </w:r>
            </w:hyperlink>
          </w:p>
        </w:tc>
      </w:tr>
      <w:tr>
        <w:trPr>
          <w:trHeight w:val="169"/>
        </w:trPr>
        <w:tc>
          <w:tcPr>
            <w:tcW w:w="240" w:type="dxa"/>
            <w:vAlign w:val="bottom"/>
            <w:tcBorders>
              <w:top w:val="single" w:sz="8" w:color="0563C1"/>
            </w:tcBorders>
          </w:tcPr>
          <w:p>
            <w:pPr>
              <w:spacing w:after="0"/>
              <w:rPr>
                <w:sz w:val="14"/>
                <w:szCs w:val="14"/>
                <w:color w:val="auto"/>
              </w:rPr>
            </w:pPr>
          </w:p>
        </w:tc>
        <w:tc>
          <w:tcPr>
            <w:tcW w:w="180" w:type="dxa"/>
            <w:vAlign w:val="bottom"/>
            <w:tcBorders>
              <w:top w:val="single" w:sz="8" w:color="0563C1"/>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40" w:type="dxa"/>
            <w:vAlign w:val="bottom"/>
            <w:tcBorders>
              <w:top w:val="single" w:sz="8" w:color="0563C1"/>
            </w:tcBorders>
            <w:gridSpan w:val="14"/>
          </w:tcPr>
          <w:p>
            <w:pPr>
              <w:spacing w:after="0" w:line="169" w:lineRule="exact"/>
              <w:rPr>
                <w:rFonts w:ascii="Arial" w:cs="Arial" w:eastAsia="Arial" w:hAnsi="Arial"/>
                <w:sz w:val="18"/>
                <w:szCs w:val="18"/>
                <w:color w:val="0563C1"/>
                <w:w w:val="96"/>
              </w:rPr>
            </w:pPr>
            <w:hyperlink r:id="rId49">
              <w:r>
                <w:rPr>
                  <w:rFonts w:ascii="Arial" w:cs="Arial" w:eastAsia="Arial" w:hAnsi="Arial"/>
                  <w:sz w:val="18"/>
                  <w:szCs w:val="18"/>
                  <w:color w:val="0563C1"/>
                  <w:w w:val="96"/>
                </w:rPr>
                <w:t>(incorporated by reference to Exhibit 10.5 to the Company’s Current Report on Form 8-K filed with the Securities and Exchange</w:t>
              </w:r>
            </w:hyperlink>
          </w:p>
        </w:tc>
        <w:tc>
          <w:tcPr>
            <w:tcW w:w="180" w:type="dxa"/>
            <w:vAlign w:val="bottom"/>
            <w:gridSpan w:val="3"/>
          </w:tcPr>
          <w:p>
            <w:pPr>
              <w:spacing w:after="0"/>
              <w:rPr>
                <w:sz w:val="14"/>
                <w:szCs w:val="14"/>
                <w:color w:val="auto"/>
              </w:rPr>
            </w:pPr>
          </w:p>
        </w:tc>
      </w:tr>
      <w:tr>
        <w:trPr>
          <w:trHeight w:val="169"/>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20" w:type="dxa"/>
            <w:vAlign w:val="bottom"/>
            <w:tcBorders>
              <w:top w:val="single" w:sz="8" w:color="0563C1"/>
            </w:tcBorders>
            <w:gridSpan w:val="11"/>
          </w:tcPr>
          <w:p>
            <w:pPr>
              <w:spacing w:after="0" w:line="169" w:lineRule="exact"/>
              <w:rPr>
                <w:rFonts w:ascii="Arial" w:cs="Arial" w:eastAsia="Arial" w:hAnsi="Arial"/>
                <w:sz w:val="18"/>
                <w:szCs w:val="18"/>
                <w:color w:val="0563C1"/>
              </w:rPr>
            </w:pPr>
            <w:hyperlink r:id="rId49">
              <w:r>
                <w:rPr>
                  <w:rFonts w:ascii="Arial" w:cs="Arial" w:eastAsia="Arial" w:hAnsi="Arial"/>
                  <w:sz w:val="18"/>
                  <w:szCs w:val="18"/>
                  <w:color w:val="0563C1"/>
                </w:rPr>
                <w:t>Commission on July 21, 2021).</w:t>
              </w:r>
            </w:hyperlink>
          </w:p>
        </w:tc>
        <w:tc>
          <w:tcPr>
            <w:tcW w:w="700" w:type="dxa"/>
            <w:vAlign w:val="bottom"/>
            <w:gridSpan w:val="6"/>
          </w:tcPr>
          <w:p>
            <w:pPr>
              <w:spacing w:after="0"/>
              <w:rPr>
                <w:sz w:val="14"/>
                <w:szCs w:val="14"/>
                <w:color w:val="auto"/>
              </w:rPr>
            </w:pPr>
          </w:p>
        </w:tc>
      </w:tr>
      <w:tr>
        <w:trPr>
          <w:trHeight w:val="27"/>
        </w:trPr>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2"/>
        </w:trPr>
        <w:tc>
          <w:tcPr>
            <w:tcW w:w="600" w:type="dxa"/>
            <w:vAlign w:val="bottom"/>
            <w:gridSpan w:val="4"/>
            <w:shd w:val="clear" w:color="auto" w:fill="CCEEFF"/>
          </w:tcPr>
          <w:p>
            <w:pPr>
              <w:spacing w:after="0" w:line="162" w:lineRule="exact"/>
              <w:rPr>
                <w:rFonts w:ascii="Arial" w:cs="Arial" w:eastAsia="Arial" w:hAnsi="Arial"/>
                <w:sz w:val="18"/>
                <w:szCs w:val="18"/>
                <w:color w:val="0563C1"/>
              </w:rPr>
            </w:pPr>
            <w:hyperlink w:anchor="page32">
              <w:r>
                <w:rPr>
                  <w:rFonts w:ascii="Arial" w:cs="Arial" w:eastAsia="Arial" w:hAnsi="Arial"/>
                  <w:sz w:val="18"/>
                  <w:szCs w:val="18"/>
                  <w:color w:val="0563C1"/>
                </w:rPr>
                <w:t>31.</w:t>
              </w:r>
              <w:r>
                <w:rPr>
                  <w:rFonts w:ascii="Arial" w:cs="Arial" w:eastAsia="Arial" w:hAnsi="Arial"/>
                  <w:sz w:val="18"/>
                  <w:szCs w:val="18"/>
                  <w:u w:val="single" w:color="auto"/>
                  <w:color w:val="0563C1"/>
                </w:rPr>
                <w:t>1**</w:t>
              </w:r>
            </w:hyperlink>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rFonts w:ascii="Arial" w:cs="Arial" w:eastAsia="Arial" w:hAnsi="Arial"/>
                <w:sz w:val="18"/>
                <w:szCs w:val="18"/>
                <w:color w:val="0563C1"/>
              </w:rPr>
            </w:pPr>
            <w:hyperlink w:anchor="page32">
              <w:r>
                <w:rPr>
                  <w:rFonts w:ascii="Arial" w:cs="Arial" w:eastAsia="Arial" w:hAnsi="Arial"/>
                  <w:sz w:val="18"/>
                  <w:szCs w:val="18"/>
                  <w:color w:val="0563C1"/>
                </w:rPr>
                <w:t>Certification of Chief Executive Officer Pursuant to Section 302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62"/>
        </w:trPr>
        <w:tc>
          <w:tcPr>
            <w:tcW w:w="600" w:type="dxa"/>
            <w:vAlign w:val="bottom"/>
            <w:gridSpan w:val="4"/>
          </w:tcPr>
          <w:p>
            <w:pPr>
              <w:spacing w:after="0" w:line="162" w:lineRule="exact"/>
              <w:rPr>
                <w:rFonts w:ascii="Arial" w:cs="Arial" w:eastAsia="Arial" w:hAnsi="Arial"/>
                <w:sz w:val="18"/>
                <w:szCs w:val="18"/>
                <w:color w:val="0563C1"/>
              </w:rPr>
            </w:pPr>
            <w:hyperlink w:anchor="page33">
              <w:r>
                <w:rPr>
                  <w:rFonts w:ascii="Arial" w:cs="Arial" w:eastAsia="Arial" w:hAnsi="Arial"/>
                  <w:sz w:val="18"/>
                  <w:szCs w:val="18"/>
                  <w:color w:val="0563C1"/>
                </w:rPr>
                <w:t>31.</w:t>
              </w:r>
              <w:r>
                <w:rPr>
                  <w:rFonts w:ascii="Arial" w:cs="Arial" w:eastAsia="Arial" w:hAnsi="Arial"/>
                  <w:sz w:val="18"/>
                  <w:szCs w:val="18"/>
                  <w:u w:val="single" w:color="auto"/>
                  <w:color w:val="0563C1"/>
                </w:rPr>
                <w:t>2**</w:t>
              </w:r>
            </w:hyperlink>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rPr>
            </w:pPr>
            <w:hyperlink w:anchor="page33">
              <w:r>
                <w:rPr>
                  <w:rFonts w:ascii="Arial" w:cs="Arial" w:eastAsia="Arial" w:hAnsi="Arial"/>
                  <w:sz w:val="18"/>
                  <w:szCs w:val="18"/>
                  <w:color w:val="0563C1"/>
                </w:rPr>
                <w:t>Certification of Chief Financial Officer Pursuant to Section 302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9"/>
        </w:trPr>
        <w:tc>
          <w:tcPr>
            <w:tcW w:w="600" w:type="dxa"/>
            <w:vAlign w:val="bottom"/>
            <w:tcBorders>
              <w:bottom w:val="single" w:sz="8" w:color="0563C1"/>
            </w:tcBorders>
            <w:gridSpan w:val="4"/>
            <w:shd w:val="clear" w:color="auto" w:fill="CCEEFF"/>
          </w:tcPr>
          <w:p>
            <w:pPr>
              <w:spacing w:after="0" w:line="162" w:lineRule="exact"/>
              <w:rPr>
                <w:rFonts w:ascii="Arial" w:cs="Arial" w:eastAsia="Arial" w:hAnsi="Arial"/>
                <w:sz w:val="18"/>
                <w:szCs w:val="18"/>
                <w:color w:val="0563C1"/>
              </w:rPr>
            </w:pPr>
            <w:hyperlink w:anchor="page34">
              <w:r>
                <w:rPr>
                  <w:rFonts w:ascii="Arial" w:cs="Arial" w:eastAsia="Arial" w:hAnsi="Arial"/>
                  <w:sz w:val="18"/>
                  <w:szCs w:val="18"/>
                  <w:color w:val="0563C1"/>
                </w:rPr>
                <w:t>32.</w:t>
              </w:r>
              <w:r>
                <w:rPr>
                  <w:rFonts w:ascii="Arial" w:cs="Arial" w:eastAsia="Arial" w:hAnsi="Arial"/>
                  <w:sz w:val="18"/>
                  <w:szCs w:val="18"/>
                  <w:u w:val="single" w:color="auto"/>
                  <w:color w:val="0563C1"/>
                </w:rPr>
                <w:t>1***</w:t>
              </w:r>
            </w:hyperlink>
          </w:p>
        </w:tc>
        <w:tc>
          <w:tcPr>
            <w:tcW w:w="2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300" w:type="dxa"/>
            <w:vAlign w:val="bottom"/>
            <w:tcBorders>
              <w:bottom w:val="single" w:sz="8" w:color="0563C1"/>
            </w:tcBorders>
            <w:gridSpan w:val="7"/>
            <w:shd w:val="clear" w:color="auto" w:fill="CCEEFF"/>
          </w:tcPr>
          <w:p>
            <w:pPr>
              <w:spacing w:after="0" w:line="162" w:lineRule="exact"/>
              <w:rPr>
                <w:rFonts w:ascii="Arial" w:cs="Arial" w:eastAsia="Arial" w:hAnsi="Arial"/>
                <w:sz w:val="18"/>
                <w:szCs w:val="18"/>
                <w:color w:val="0563C1"/>
                <w:w w:val="91"/>
              </w:rPr>
            </w:pPr>
            <w:hyperlink w:anchor="page34">
              <w:r>
                <w:rPr>
                  <w:rFonts w:ascii="Arial" w:cs="Arial" w:eastAsia="Arial" w:hAnsi="Arial"/>
                  <w:sz w:val="18"/>
                  <w:szCs w:val="18"/>
                  <w:color w:val="0563C1"/>
                  <w:w w:val="91"/>
                </w:rPr>
                <w:t>Certifications of Chief Executive Officer Pursuant to Section 906 of the Sarbanes Oxley Act of 2002.</w:t>
              </w:r>
            </w:hyperlink>
          </w:p>
        </w:tc>
        <w:tc>
          <w:tcPr>
            <w:tcW w:w="2720" w:type="dxa"/>
            <w:vAlign w:val="bottom"/>
            <w:tcBorders>
              <w:bottom w:val="single" w:sz="8" w:color="CCEEFF"/>
            </w:tcBorders>
            <w:gridSpan w:val="10"/>
            <w:shd w:val="clear" w:color="auto" w:fill="CCEEFF"/>
          </w:tcPr>
          <w:p>
            <w:pPr>
              <w:spacing w:after="0"/>
              <w:rPr>
                <w:sz w:val="14"/>
                <w:szCs w:val="14"/>
                <w:color w:val="auto"/>
              </w:rPr>
            </w:pPr>
          </w:p>
        </w:tc>
      </w:tr>
      <w:tr>
        <w:trPr>
          <w:trHeight w:val="162"/>
        </w:trPr>
        <w:tc>
          <w:tcPr>
            <w:tcW w:w="600" w:type="dxa"/>
            <w:vAlign w:val="bottom"/>
            <w:gridSpan w:val="4"/>
          </w:tcPr>
          <w:p>
            <w:pPr>
              <w:spacing w:after="0" w:line="162" w:lineRule="exact"/>
              <w:rPr>
                <w:rFonts w:ascii="Arial" w:cs="Arial" w:eastAsia="Arial" w:hAnsi="Arial"/>
                <w:sz w:val="18"/>
                <w:szCs w:val="18"/>
                <w:color w:val="0563C1"/>
              </w:rPr>
            </w:pPr>
            <w:hyperlink w:anchor="page35">
              <w:r>
                <w:rPr>
                  <w:rFonts w:ascii="Arial" w:cs="Arial" w:eastAsia="Arial" w:hAnsi="Arial"/>
                  <w:sz w:val="18"/>
                  <w:szCs w:val="18"/>
                  <w:color w:val="0563C1"/>
                </w:rPr>
                <w:t>32.</w:t>
              </w:r>
              <w:r>
                <w:rPr>
                  <w:rFonts w:ascii="Arial" w:cs="Arial" w:eastAsia="Arial" w:hAnsi="Arial"/>
                  <w:sz w:val="18"/>
                  <w:szCs w:val="18"/>
                  <w:u w:val="single" w:color="auto"/>
                  <w:color w:val="0563C1"/>
                </w:rPr>
                <w:t>2***</w:t>
              </w:r>
            </w:hyperlink>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rPr>
            </w:pPr>
            <w:hyperlink w:anchor="page35">
              <w:r>
                <w:rPr>
                  <w:rFonts w:ascii="Arial" w:cs="Arial" w:eastAsia="Arial" w:hAnsi="Arial"/>
                  <w:sz w:val="18"/>
                  <w:szCs w:val="18"/>
                  <w:color w:val="0563C1"/>
                </w:rPr>
                <w:t>Certifications of Chief Financial Officer Pursuant to Section 906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shd w:val="clear" w:color="auto" w:fill="0563C1"/>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left w:val="single" w:sz="8" w:color="0563C1"/>
            </w:tcBorders>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1"/>
        </w:trPr>
        <w:tc>
          <w:tcPr>
            <w:tcW w:w="500" w:type="dxa"/>
            <w:vAlign w:val="bottom"/>
            <w:gridSpan w:val="3"/>
            <w:shd w:val="clear" w:color="auto" w:fill="CCEEFF"/>
          </w:tcPr>
          <w:p>
            <w:pPr>
              <w:spacing w:after="0" w:line="161"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1" w:lineRule="exact"/>
              <w:rPr>
                <w:sz w:val="20"/>
                <w:szCs w:val="20"/>
                <w:color w:val="auto"/>
              </w:rPr>
            </w:pPr>
            <w:r>
              <w:rPr>
                <w:rFonts w:ascii="Arial" w:cs="Arial" w:eastAsia="Arial" w:hAnsi="Arial"/>
                <w:sz w:val="18"/>
                <w:szCs w:val="18"/>
                <w:color w:val="auto"/>
                <w:w w:val="93"/>
              </w:rPr>
              <w:t>The following financial statements from the Quarterly Report on Form 10-Q for the quarter ended September 30, 2021 are formatted in</w:t>
            </w:r>
          </w:p>
        </w:tc>
      </w:tr>
      <w:tr>
        <w:trPr>
          <w:trHeight w:val="189"/>
        </w:trPr>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2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auto"/>
                <w:w w:val="93"/>
              </w:rPr>
              <w:t>iXBRL (Inline eXtensible Business Reporting Language): (i) Consolidated Balance Sheets, (ii) Consolidated Statements of Operations,</w:t>
            </w:r>
          </w:p>
        </w:tc>
      </w:tr>
      <w:tr>
        <w:trPr>
          <w:trHeight w:val="189"/>
        </w:trPr>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2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auto"/>
                <w:w w:val="98"/>
              </w:rPr>
              <w:t>(iii) Consolidated Statements of Comprehensive Income, (iv) Consolidated Statements of Stockholders’ Equity, (v) Consolidated</w:t>
            </w:r>
          </w:p>
        </w:tc>
      </w:tr>
      <w:tr>
        <w:trPr>
          <w:trHeight w:val="217"/>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Statements of Cash Flows, and (vi) the Notes to Consolidated Financial Statements.</w:t>
            </w: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20" w:lineRule="exact"/>
        <w:rPr>
          <w:sz w:val="20"/>
          <w:szCs w:val="20"/>
          <w:color w:val="auto"/>
        </w:rPr>
      </w:pPr>
    </w:p>
    <w:p>
      <w:pPr>
        <w:ind w:right="7560" w:firstLine="8"/>
        <w:spacing w:after="0" w:line="228" w:lineRule="auto"/>
        <w:tabs>
          <w:tab w:leader="none" w:pos="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compensatory plan or arrangement.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618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TILE SHOP HOLDINGS, INC.</w:t>
            </w: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Dated: November 4, 2021</w:t>
            </w:r>
          </w:p>
        </w:tc>
        <w:tc>
          <w:tcPr>
            <w:tcW w:w="6180" w:type="dxa"/>
            <w:vAlign w:val="bottom"/>
            <w:gridSpan w:val="2"/>
          </w:tcPr>
          <w:p>
            <w:pPr>
              <w:ind w:left="1940"/>
              <w:spacing w:after="0"/>
              <w:rPr>
                <w:sz w:val="20"/>
                <w:szCs w:val="20"/>
                <w:color w:val="auto"/>
              </w:rPr>
            </w:pPr>
            <w:r>
              <w:rPr>
                <w:rFonts w:ascii="Arial" w:cs="Arial" w:eastAsia="Arial" w:hAnsi="Arial"/>
                <w:sz w:val="18"/>
                <w:szCs w:val="18"/>
                <w:color w:val="auto"/>
              </w:rPr>
              <w:t>By: /s/ CABELL H. LOLMAUGH</w:t>
            </w:r>
          </w:p>
        </w:tc>
      </w:tr>
      <w:tr>
        <w:trPr>
          <w:trHeight w:val="155"/>
        </w:trPr>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Cabell H. Lolmaugh</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3700" w:type="dxa"/>
            <w:vAlign w:val="bottom"/>
          </w:tcPr>
          <w:p>
            <w:pPr>
              <w:spacing w:after="0"/>
              <w:rPr>
                <w:sz w:val="20"/>
                <w:szCs w:val="20"/>
                <w:color w:val="auto"/>
              </w:rPr>
            </w:pPr>
            <w:r>
              <w:rPr>
                <w:rFonts w:ascii="Arial" w:cs="Arial" w:eastAsia="Arial" w:hAnsi="Arial"/>
                <w:sz w:val="18"/>
                <w:szCs w:val="18"/>
                <w:color w:val="auto"/>
              </w:rPr>
              <w:t>Dated: November 4, 2021</w:t>
            </w:r>
          </w:p>
        </w:tc>
        <w:tc>
          <w:tcPr>
            <w:tcW w:w="6180" w:type="dxa"/>
            <w:vAlign w:val="bottom"/>
            <w:gridSpan w:val="2"/>
          </w:tcPr>
          <w:p>
            <w:pPr>
              <w:ind w:left="1940"/>
              <w:spacing w:after="0"/>
              <w:rPr>
                <w:sz w:val="20"/>
                <w:szCs w:val="20"/>
                <w:color w:val="auto"/>
              </w:rPr>
            </w:pPr>
            <w:r>
              <w:rPr>
                <w:rFonts w:ascii="Arial" w:cs="Arial" w:eastAsia="Arial" w:hAnsi="Arial"/>
                <w:sz w:val="18"/>
                <w:szCs w:val="18"/>
                <w:color w:val="auto"/>
              </w:rPr>
              <w:t>By: /s/ NANCY DIMATTIA</w:t>
            </w:r>
          </w:p>
        </w:tc>
      </w:tr>
      <w:tr>
        <w:trPr>
          <w:trHeight w:val="155"/>
        </w:trPr>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Nancy DiMattia</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27"/>
        </w:trPr>
        <w:tc>
          <w:tcPr>
            <w:tcW w:w="3700" w:type="dxa"/>
            <w:vAlign w:val="bottom"/>
          </w:tcPr>
          <w:p>
            <w:pPr>
              <w:spacing w:after="0"/>
              <w:rPr>
                <w:sz w:val="24"/>
                <w:szCs w:val="24"/>
                <w:color w:val="auto"/>
              </w:rPr>
            </w:pPr>
          </w:p>
        </w:tc>
        <w:tc>
          <w:tcPr>
            <w:tcW w:w="226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108" w:right="379" w:bottom="1440" w:gutter="0" w:footer="0" w:header="0"/>
        </w:sectPr>
      </w:pPr>
    </w:p>
    <w:bookmarkStart w:id="31" w:name="page32"/>
    <w:bookmarkEnd w:id="31"/>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80" w:right="2199" w:firstLine="1998"/>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spacing w:after="0" w:line="1" w:lineRule="exact"/>
        <w:rPr>
          <w:sz w:val="20"/>
          <w:szCs w:val="20"/>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80" w:right="2219" w:firstLine="2023"/>
        <w:spacing w:after="0" w:line="409" w:lineRule="auto"/>
        <w:rPr>
          <w:sz w:val="20"/>
          <w:szCs w:val="20"/>
          <w:color w:val="auto"/>
        </w:rPr>
      </w:pPr>
      <w:r>
        <w:rPr>
          <w:rFonts w:ascii="Arial" w:cs="Arial" w:eastAsia="Arial" w:hAnsi="Arial"/>
          <w:sz w:val="18"/>
          <w:szCs w:val="18"/>
          <w:b w:val="1"/>
          <w:bCs w:val="1"/>
          <w:color w:val="auto"/>
        </w:rPr>
        <w:t xml:space="preserve">302 CERTIFICATION OF CHIEF FINANCIAL OFFICER </w:t>
      </w:r>
      <w:r>
        <w:rPr>
          <w:rFonts w:ascii="Arial" w:cs="Arial" w:eastAsia="Arial" w:hAnsi="Arial"/>
          <w:sz w:val="18"/>
          <w:szCs w:val="18"/>
          <w:color w:val="auto"/>
        </w:rPr>
        <w:t>I, Nancy DiMattia, certify that:</w:t>
      </w:r>
    </w:p>
    <w:p>
      <w:pPr>
        <w:spacing w:after="0" w:line="1" w:lineRule="exact"/>
        <w:rPr>
          <w:sz w:val="20"/>
          <w:szCs w:val="20"/>
          <w:color w:val="auto"/>
        </w:rPr>
      </w:pPr>
    </w:p>
    <w:p>
      <w:pPr>
        <w:ind w:left="500" w:hanging="31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7"/>
          <w:szCs w:val="17"/>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Nancy DiMattia,</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29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Quarterly Report on Form 10-Q of the Company for the period ended September 30, 2021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29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Nancy DiMattia, the Chief Financial Officer of Tile Shop Holdings, Inc. (the “Company”), hereby certify that the Quarterly Report on Form 10-Q of the Company for the period ended September 30, 2021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7"/>
          <w:szCs w:val="17"/>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Nancy DiMattia,</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42" Type="http://schemas.openxmlformats.org/officeDocument/2006/relationships/hyperlink" Target="http://www.sec.gov/Archives/edgar/data/1552800/000114420412037509/v316486_ex3-1.htm" TargetMode="External"/><Relationship Id="rId43" Type="http://schemas.openxmlformats.org/officeDocument/2006/relationships/hyperlink" Target="http://www.sec.gov/Archives/edgar/data/1552800/000110465921094416/tm2122262d1_ex3-2.htm" TargetMode="External"/><Relationship Id="rId44" Type="http://schemas.openxmlformats.org/officeDocument/2006/relationships/hyperlink" Target="http://www.sec.gov/Archives/edgar/data/1552800/000114420412037509/v316486_ex3-2.htm" TargetMode="External"/><Relationship Id="rId45" Type="http://schemas.openxmlformats.org/officeDocument/2006/relationships/hyperlink" Target="http://www.sec.gov/Archives/edgar/data/1552800/000110465921094416/tm2122262d1_ex10-1.htm" TargetMode="External"/><Relationship Id="rId46" Type="http://schemas.openxmlformats.org/officeDocument/2006/relationships/hyperlink" Target="http://www.sec.gov/Archives/edgar/data/1552800/000110465921094416/tm2122262d1_ex10-2.htm" TargetMode="External"/><Relationship Id="rId47" Type="http://schemas.openxmlformats.org/officeDocument/2006/relationships/hyperlink" Target="http://www.sec.gov/Archives/edgar/data/1552800/000110465921094416/tm2122262d1_ex10-3.htm" TargetMode="External"/><Relationship Id="rId48" Type="http://schemas.openxmlformats.org/officeDocument/2006/relationships/hyperlink" Target="http://www.sec.gov/Archives/edgar/data/1552800/000110465921094416/tm2122262d1_ex10-4.htm" TargetMode="External"/><Relationship Id="rId49" Type="http://schemas.openxmlformats.org/officeDocument/2006/relationships/hyperlink" Target="http://www.sec.gov/Archives/edgar/data/1552800/000110465921094416/tm2122262d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2021-11-04T16:06:54Z</dcterms:created>
  <dcterms:modified xsi:type="dcterms:W3CDTF">2021-11-04T16:06:54Z</dcterms:modified>
</cp:coreProperties>
</file>