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ind w:left="4"/>
        <w:spacing w:after="0"/>
        <w:rPr>
          <w:sz w:val="20"/>
          <w:szCs w:val="20"/>
          <w:color w:val="auto"/>
        </w:rPr>
      </w:pPr>
      <w:r>
        <w:rPr>
          <w:rFonts w:ascii="Times New Roman" w:cs="Times New Roman" w:eastAsia="Times New Roman" w:hAnsi="Times New Roman"/>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15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684" w:right="60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Commission file number: 001-35629</w:t>
      </w:r>
    </w:p>
    <w:p>
      <w:pPr>
        <w:spacing w:after="0" w:line="25"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96"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TILE SHOP HOLDINGS, INC.</w:t>
      </w:r>
    </w:p>
    <w:p>
      <w:pPr>
        <w:spacing w:after="0" w:line="46"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34"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45-5538095</w:t>
            </w:r>
          </w:p>
        </w:tc>
      </w:tr>
      <w:tr>
        <w:trPr>
          <w:trHeight w:val="238"/>
        </w:trPr>
        <w:tc>
          <w:tcPr>
            <w:tcW w:w="44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37"/>
        </w:trPr>
        <w:tc>
          <w:tcPr>
            <w:tcW w:w="44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Plymouth, Minnesota</w:t>
            </w:r>
          </w:p>
        </w:tc>
        <w:tc>
          <w:tcPr>
            <w:tcW w:w="37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55441</w:t>
            </w:r>
          </w:p>
        </w:tc>
      </w:tr>
      <w:tr>
        <w:trPr>
          <w:trHeight w:val="238"/>
        </w:trPr>
        <w:tc>
          <w:tcPr>
            <w:tcW w:w="44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(763) 852-2988</w:t>
      </w:r>
    </w:p>
    <w:p>
      <w:pPr>
        <w:spacing w:after="0" w:line="3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5" w:lineRule="exact"/>
        <w:rPr>
          <w:sz w:val="24"/>
          <w:szCs w:val="24"/>
          <w:color w:val="auto"/>
        </w:rPr>
      </w:pPr>
    </w:p>
    <w:p>
      <w:pPr>
        <w:ind w:left="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jc w:val="both"/>
        <w:ind w:left="4" w:right="2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044"/>
          </w:cols>
          <w:pgMar w:left="896" w:top="698" w:right="959" w:bottom="1440" w:gutter="0" w:footer="0" w:header="0"/>
        </w:sectPr>
      </w:pPr>
    </w:p>
    <w:p>
      <w:pPr>
        <w:spacing w:after="0" w:line="122"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both"/>
        <w:ind w:right="40"/>
        <w:spacing w:after="0" w:line="250" w:lineRule="exact"/>
        <w:rPr>
          <w:sz w:val="20"/>
          <w:szCs w:val="20"/>
          <w:color w:val="auto"/>
        </w:rPr>
      </w:pPr>
      <w:r>
        <w:rPr>
          <w:rFonts w:ascii="MS PGothic" w:cs="MS PGothic" w:eastAsia="MS PGothic" w:hAnsi="MS PGothic"/>
          <w:sz w:val="16"/>
          <w:szCs w:val="16"/>
          <w:color w:val="auto"/>
        </w:rPr>
        <w:t>☐ ☐</w:t>
      </w:r>
    </w:p>
    <w:p>
      <w:pPr>
        <w:spacing w:after="0" w:line="82" w:lineRule="exact"/>
        <w:rPr>
          <w:sz w:val="24"/>
          <w:szCs w:val="24"/>
          <w:color w:val="auto"/>
        </w:rPr>
      </w:pPr>
    </w:p>
    <w:p>
      <w:pPr>
        <w:sectPr>
          <w:pgSz w:w="11900" w:h="16838" w:orient="portrait"/>
          <w:cols w:equalWidth="0" w:num="5">
            <w:col w:w="1704" w:space="300"/>
            <w:col w:w="4980" w:space="720"/>
            <w:col w:w="1320" w:space="80"/>
            <w:col w:w="660" w:space="80"/>
            <w:col w:w="200"/>
          </w:cols>
          <w:pgMar w:left="896" w:top="698" w:right="959" w:bottom="1440" w:gutter="0" w:footer="0" w:header="0"/>
          <w:type w:val="continuous"/>
        </w:sectPr>
      </w:pPr>
    </w:p>
    <w:p>
      <w:pPr>
        <w:ind w:left="4" w:right="74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As of April 22, 2016, there were 51,493,590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906145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4"/>
          </w:cols>
          <w:pgMar w:left="896" w:top="698" w:right="9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9180" w:type="dxa"/>
            <w:vAlign w:val="bottom"/>
            <w:gridSpan w:val="24"/>
            <w:shd w:val="clear" w:color="auto" w:fill="CCEEFF"/>
          </w:tcPr>
          <w:p>
            <w:pPr>
              <w:spacing w:after="0" w:line="15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8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2300" w:type="dxa"/>
            <w:vAlign w:val="bottom"/>
            <w:tcBorders>
              <w:top w:val="single" w:sz="8" w:color="0000EE"/>
            </w:tcBorders>
            <w:gridSpan w:val="11"/>
          </w:tcPr>
          <w:p>
            <w:pPr>
              <w:ind w:left="20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120" w:type="dxa"/>
            <w:vAlign w:val="bottom"/>
            <w:tcBorders>
              <w:top w:val="single" w:sz="8" w:color="CCEEFF"/>
            </w:tcBorders>
            <w:gridSpan w:val="10"/>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(Loss) Income</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Stockholders’ Equity (Deficit)</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3.</w:t>
              </w:r>
            </w:hyperlink>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Quantitative and Qualitative Disclosures About Market Risk</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4.</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9180" w:type="dxa"/>
            <w:vAlign w:val="bottom"/>
            <w:gridSpan w:val="24"/>
          </w:tcPr>
          <w:p>
            <w:pPr>
              <w:spacing w:after="0" w:line="17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PART II. OTHER INFORMATION</w:t>
              </w:r>
            </w:hyperlink>
          </w:p>
        </w:tc>
        <w:tc>
          <w:tcPr>
            <w:tcW w:w="8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1.</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1A.</w:t>
              </w:r>
            </w:hyperlink>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2.</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Unregistered Sales of Equity Securities and Use of Proceeds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3.</w:t>
              </w:r>
            </w:hyperlink>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Defaults Upon Senior Securities</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4.</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Mine Safety Disclosures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5.</w:t>
              </w:r>
            </w:hyperlink>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Other Information</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6.</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Signatures</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918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 Index</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authorized: 100,000,000 shares; issued and outstanding: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51,438,973 and 51,437,973 shares,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par value $0.0001; authorized: 10,000,000 shares; issued and outstanding: 0 shares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(58,227)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115,201</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245,458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380" w:type="dxa"/>
            <w:vAlign w:val="bottom"/>
            <w:gridSpan w:val="2"/>
          </w:tcPr>
          <w:p>
            <w:pPr>
              <w:jc w:val="center"/>
              <w:ind w:right="875"/>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80" w:type="dxa"/>
            <w:vAlign w:val="bottom"/>
            <w:gridSpan w:val="2"/>
          </w:tcPr>
          <w:p>
            <w:pPr>
              <w:jc w:val="center"/>
              <w:ind w:right="875"/>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80" w:type="dxa"/>
            <w:vAlign w:val="bottom"/>
            <w:gridSpan w:val="2"/>
          </w:tcPr>
          <w:p>
            <w:pPr>
              <w:jc w:val="center"/>
              <w:ind w:right="855"/>
              <w:spacing w:after="0"/>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80" w:type="dxa"/>
            <w:vAlign w:val="bottom"/>
            <w:gridSpan w:val="2"/>
          </w:tcPr>
          <w:p>
            <w:pPr>
              <w:jc w:val="center"/>
              <w:ind w:right="875"/>
              <w:spacing w:after="0"/>
              <w:rPr>
                <w:sz w:val="20"/>
                <w:szCs w:val="20"/>
                <w:color w:val="auto"/>
              </w:rPr>
            </w:pPr>
            <w:r>
              <w:rPr>
                <w:rFonts w:ascii="Times New Roman" w:cs="Times New Roman" w:eastAsia="Times New Roman" w:hAnsi="Times New Roman"/>
                <w:sz w:val="18"/>
                <w:szCs w:val="18"/>
                <w:color w:val="auto"/>
                <w:w w:val="98"/>
              </w:rPr>
              <w:t>(unaudited)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(4,459)</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16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3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51,359,167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51,125,221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51,666,432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51,163,963</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4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4"/>
        </w:trPr>
        <w:tc>
          <w:tcPr>
            <w:tcW w:w="1340" w:type="dxa"/>
            <w:vAlign w:val="bottom"/>
            <w:tcBorders>
              <w:top w:val="single" w:sz="8" w:color="0000EE"/>
            </w:tcBorders>
          </w:tcPr>
          <w:p>
            <w:pPr>
              <w:spacing w:after="0"/>
              <w:rPr>
                <w:sz w:val="24"/>
                <w:szCs w:val="24"/>
                <w:color w:val="auto"/>
              </w:rPr>
            </w:pPr>
          </w:p>
        </w:tc>
        <w:tc>
          <w:tcPr>
            <w:tcW w:w="600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60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Consolidated Statements of Comprehensive (Loss) Income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60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5"/>
        </w:trPr>
        <w:tc>
          <w:tcPr>
            <w:tcW w:w="13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13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10"/>
        </w:trPr>
        <w:tc>
          <w:tcPr>
            <w:tcW w:w="134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Currency translation adjustment, net of provision for taxes of $1 and $0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3,659</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06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7"/>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(loss)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51,314,005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93,695</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51,437,973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115,201</w:t>
            </w:r>
          </w:p>
        </w:tc>
        <w:tc>
          <w:tcPr>
            <w:tcW w:w="0" w:type="dxa"/>
            <w:vAlign w:val="bottom"/>
          </w:tcPr>
          <w:p>
            <w:pPr>
              <w:spacing w:after="0"/>
              <w:rPr>
                <w:sz w:val="1"/>
                <w:szCs w:val="1"/>
                <w:color w:val="auto"/>
              </w:rPr>
            </w:pPr>
          </w:p>
        </w:tc>
      </w:tr>
      <w:tr>
        <w:trPr>
          <w:trHeight w:val="203"/>
        </w:trPr>
        <w:tc>
          <w:tcPr>
            <w:tcW w:w="31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left="31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51,438,973</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181,430</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4"/>
        </w:trPr>
        <w:tc>
          <w:tcPr>
            <w:tcW w:w="1340" w:type="dxa"/>
            <w:vAlign w:val="bottom"/>
            <w:tcBorders>
              <w:top w:val="single" w:sz="8" w:color="0000EE"/>
            </w:tcBorders>
          </w:tcPr>
          <w:p>
            <w:pPr>
              <w:spacing w:after="0"/>
              <w:rPr>
                <w:sz w:val="24"/>
                <w:szCs w:val="24"/>
                <w:color w:val="auto"/>
              </w:rPr>
            </w:pPr>
          </w:p>
        </w:tc>
        <w:tc>
          <w:tcPr>
            <w:tcW w:w="594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59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9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59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5"/>
        </w:trPr>
        <w:tc>
          <w:tcPr>
            <w:tcW w:w="13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13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10"/>
        </w:trPr>
        <w:tc>
          <w:tcPr>
            <w:tcW w:w="1340" w:type="dxa"/>
            <w:vAlign w:val="bottom"/>
            <w:tcBorders>
              <w:bottom w:val="single" w:sz="8" w:color="CCEEFF"/>
            </w:tcBorders>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8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30"/>
        </w:trPr>
        <w:tc>
          <w:tcPr>
            <w:tcW w:w="7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Loss on disposals of property, plant and equipment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30"/>
        </w:trPr>
        <w:tc>
          <w:tcPr>
            <w:tcW w:w="7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30"/>
        </w:trPr>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Trade receivables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r>
      <w:tr>
        <w:trPr>
          <w:trHeight w:val="230"/>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0"/>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tax receivable/ payable</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r>
      <w:tr>
        <w:trPr>
          <w:trHeight w:val="230"/>
        </w:trPr>
        <w:tc>
          <w:tcPr>
            <w:tcW w:w="72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r>
      <w:tr>
        <w:trPr>
          <w:trHeight w:val="210"/>
        </w:trPr>
        <w:tc>
          <w:tcPr>
            <w:tcW w:w="7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r>
      <w:tr>
        <w:trPr>
          <w:trHeight w:val="21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(6,375)</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10"/>
        </w:trPr>
        <w:tc>
          <w:tcPr>
            <w:tcW w:w="728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1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Payments of long-term debt and capital lease obligations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(15,031)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Advances on line of credit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deposits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728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(18,351)</w:t>
            </w:r>
          </w:p>
        </w:tc>
      </w:tr>
      <w:tr>
        <w:trPr>
          <w:trHeight w:val="21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change in cash</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17"/>
        </w:trPr>
        <w:tc>
          <w:tcPr>
            <w:tcW w:w="7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 included in accounts payable and accrued expenses</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8"/>
                <w:szCs w:val="18"/>
                <w:color w:val="auto"/>
              </w:rPr>
            </w:pP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34"/>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paid (received) for income taxes, net of refunds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Tile Shop, LLC (“The Tile Shop”) was formed on December 30, 2002, as a Delaware limited liability company and began operations on January 1, 2003. Tile Shop Holdings, Inc. (“Holdings,” and together with its wholly owned subsidiaries, the “Company”) was incorporated under the laws of the state of Delaware in June 2012 to become the parent company of The Tile Shop, LLC.</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engaged in the sale of tile, stone, glass, and other flooring products. The Company also manufactures setting and maintenance materials in Michigan, Virginia, Oklahoma and Wisconsin. The Company’s primary market is retail sales to consumers, contractors, designers and home builders. As of March 31, 2016, the Company had 115 stores in 31 states and an on-line retail operation. The Company also has distribution centers located in Michigan, Virginia, Oklahoma and Wisconsin. The Company has a sourcing operation located in China.</w:t>
      </w:r>
    </w:p>
    <w:p>
      <w:pPr>
        <w:spacing w:after="0" w:line="18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2016 are not necessarily indicative of the results that may be expected for the fiscal year ending December 31, 2016.</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statements should be read in conjunction with the Consolidated Financial Statements and footnotes included in our Annual Report on Form 10-K for the fiscal year ended December 31, 2015. The accounting policies used in preparing these Consolidated Financial Statements are the same as those described in Note 1 to the Consolidated Financial Statements in such Form 10-K. Certain prior year amounts have been reclassified to conform to current year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April 2015, the Financial Accounting Standards Board (FASB) issued a standard that requires debt issuance costs related to a recognized debt liability be presented in the balance sheet as a direct deduction from the carrying amount of that debt liability.</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historically presented debt issuance costs, or fees paid to third party advisors related to directly issuing debt, as assets on the Consolidated Balance Sheet. The guidance simplifies the presentation of debt issuance costs by requiring debt issuance costs to be presented as a deduction from the corresponding liability, consistent with debt discounts. This guidance gives entities the ability to make a policy election regarding the classification of debt issuance costs associated with revolving line of credit agreements. The Company has elected to present the unamortized debt issuance costs associated with its revolving line of credit as other assets in the Consolidated Balance Sheet. Unamortized deferred financing costs attributable to the new market tax credit program are also classified as other assets in the Consolidated Balance Sheet. The Company has applied this guidance retrospectively to the prior period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reclassification did not impact net income previously reported or any prior amounts reported on the Consolidated Statements of Operations. The following table presents the effect of the retrospective application of this change in accounting principle on the Company’s Consolidated Balance Sheet as of December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As Reported</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Effect of Change</w:t>
            </w:r>
          </w:p>
        </w:tc>
        <w:tc>
          <w:tcPr>
            <w:tcW w:w="1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As Adjusted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in Accounting</w:t>
            </w:r>
          </w:p>
        </w:tc>
        <w:tc>
          <w:tcPr>
            <w:tcW w:w="1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Principle</w:t>
            </w:r>
          </w:p>
        </w:tc>
        <w:tc>
          <w:tcPr>
            <w:tcW w:w="14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245,435</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 net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245,435</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Inventories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weighted average cost method) or market. Inventories consist primarily of merchandise held for sale. Inventories were comprised of the following as of March 31, 2016 and 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 transit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17"/>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provisions for losses related to shrinkage and other amounts that are otherwise not expected to be fully recoverable.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are calculated based on historical shrinkage, selling price, margin and current business trends.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Income taxes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on net income before income taxes for the three months ended March 31, 2016 and 2015 was 39.8% and 43.0%, respectively. During the three months ended March 31, 2015, the Company recognized an increase in tax expense in connection with certain state income tax changes enacted during the quarter. State tax rate changes did not have a significant impact on the effective tax rate during the three months ended March 31, 2016. For the three months ended March 31, 2016 and 2015, the Company recorded a provision for income taxes of $4.5 million and $2.8 million, respectively.</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records interest and penalties relating to uncertain tax positions in income tax expense. As of March 31, 2016 and 2015, the Company has not recognized any liabilities for uncertain tax positions nor have interest and penalties related to uncertain tax positions been accrued.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5"/>
        </w:trPr>
        <w:tc>
          <w:tcPr>
            <w:tcW w:w="6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30"/>
        </w:trPr>
        <w:tc>
          <w:tcPr>
            <w:tcW w:w="6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 the three months ended</w:t>
            </w:r>
          </w:p>
        </w:tc>
      </w:tr>
      <w:tr>
        <w:trPr>
          <w:trHeight w:val="234"/>
        </w:trPr>
        <w:tc>
          <w:tcPr>
            <w:tcW w:w="6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10"/>
        </w:trPr>
        <w:tc>
          <w:tcPr>
            <w:tcW w:w="60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51,359,167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51,125,221</w:t>
            </w: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 attributable to stock-based awards</w:t>
            </w:r>
          </w:p>
        </w:tc>
        <w:tc>
          <w:tcPr>
            <w:tcW w:w="14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w:t>
            </w:r>
          </w:p>
        </w:tc>
      </w:tr>
      <w:tr>
        <w:trPr>
          <w:trHeight w:val="21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51,666,432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51,163,963</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securities excluded from EPS calculation</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1,750,735</w:t>
            </w:r>
          </w:p>
        </w:tc>
      </w:tr>
      <w:tr>
        <w:trPr>
          <w:trHeight w:val="64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Other Accrued Liabilities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5"/>
        </w:trPr>
        <w:tc>
          <w:tcPr>
            <w:tcW w:w="6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6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60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wages and salaries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17"/>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19,327</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 2015, the Company and its operating subsidiary, The Tile Shop, LLC, entered into a credit agreement with Fifth Third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 and Huntington National Bank (the “Credit Agreement”). The Credit Agreement provides the Company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million senior secured credit facility, comprised of a five-year $50.0 million term loan and a $75.0 million revolving line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is secured by virtually all of the assets of the Company, including but not limited to, inventory,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and real property. Borrowings pursuant to the Credit Agreement bear interest at either a base rate or a LIBOR-based rate,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of the Company. The LIBOR-based rate will range from LIBOR plus 1.50% to 2.00%, depending on The Tile Shop’s leverage ratio.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rate is equal to the greatest of: (a) the Federal funds rate plus 0.50%, (b) the Fifth Third Bank “prime rate,” and (c) the Eurodollar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plus 1.00%, in each case plus 0.50% to 1.00% depending on The Tile Shop’s leverage ratio. At March 31, 2016 the base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4.25% and the LIBOR-based interest rate was 2.19%. Borrowings outstanding consisted of $40.5 million on the term loan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The Company can elect to prepay the term loan without incurring a penalty. Additional borrowings pursuant to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may be used to support the Company’s growth and for working capital purposes. The Company incurred $1.0 million of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costs in connection with the Credit Agreement and will be amortized over the five-year life of the Credit Agreement.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costs attributable to the term loan are classified as a reduction of debt in the Consolidated Balance Sheet. Debt issuance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the revolving line of credit are classified as assets in the Consolidated Balance Sheet. The term loan requires quarterly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as follows (in thousands):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6180" w:type="dxa"/>
            <w:vAlign w:val="bottom"/>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800" w:type="dxa"/>
            <w:vAlign w:val="bottom"/>
          </w:tcPr>
          <w:p>
            <w:pPr>
              <w:spacing w:after="0"/>
              <w:rPr>
                <w:sz w:val="17"/>
                <w:szCs w:val="17"/>
                <w:color w:val="auto"/>
              </w:rPr>
            </w:pPr>
          </w:p>
        </w:tc>
      </w:tr>
      <w:tr>
        <w:trPr>
          <w:trHeight w:val="216"/>
        </w:trPr>
        <w:tc>
          <w:tcPr>
            <w:tcW w:w="3140" w:type="dxa"/>
            <w:vAlign w:val="bottom"/>
          </w:tcPr>
          <w:p>
            <w:pPr>
              <w:spacing w:after="0"/>
              <w:rPr>
                <w:sz w:val="18"/>
                <w:szCs w:val="18"/>
                <w:color w:val="auto"/>
              </w:rPr>
            </w:pPr>
          </w:p>
        </w:tc>
        <w:tc>
          <w:tcPr>
            <w:tcW w:w="6180" w:type="dxa"/>
            <w:vAlign w:val="bottom"/>
          </w:tcPr>
          <w:p>
            <w:pPr>
              <w:jc w:val="center"/>
              <w:ind w:right="2270"/>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8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6180" w:type="dxa"/>
            <w:vAlign w:val="bottom"/>
          </w:tcPr>
          <w:p>
            <w:pPr>
              <w:jc w:val="center"/>
              <w:ind w:right="2270"/>
              <w:spacing w:after="0"/>
              <w:rPr>
                <w:sz w:val="20"/>
                <w:szCs w:val="20"/>
                <w:color w:val="auto"/>
              </w:rPr>
            </w:pPr>
            <w:r>
              <w:rPr>
                <w:rFonts w:ascii="Times New Roman" w:cs="Times New Roman" w:eastAsia="Times New Roman" w:hAnsi="Times New Roman"/>
                <w:sz w:val="18"/>
                <w:szCs w:val="18"/>
                <w:color w:val="auto"/>
                <w:w w:val="98"/>
              </w:rPr>
              <w:t>(unaudited)</w:t>
            </w:r>
          </w:p>
        </w:tc>
        <w:tc>
          <w:tcPr>
            <w:tcW w:w="800" w:type="dxa"/>
            <w:vAlign w:val="bottom"/>
          </w:tcPr>
          <w:p>
            <w:pPr>
              <w:spacing w:after="0"/>
              <w:rPr>
                <w:sz w:val="20"/>
                <w:szCs w:val="20"/>
                <w:color w:val="auto"/>
              </w:rPr>
            </w:pPr>
          </w:p>
        </w:tc>
      </w:tr>
      <w:tr>
        <w:trPr>
          <w:trHeight w:val="716"/>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6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2016 to June 30, 2017</w:t>
            </w:r>
          </w:p>
        </w:tc>
        <w:tc>
          <w:tcPr>
            <w:tcW w:w="6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2017 to June 30, 2018</w:t>
            </w:r>
          </w:p>
        </w:tc>
        <w:tc>
          <w:tcPr>
            <w:tcW w:w="6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2018 to March 31, 2020</w:t>
            </w:r>
          </w:p>
        </w:tc>
        <w:tc>
          <w:tcPr>
            <w:tcW w:w="6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9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In addition, except with respect to pro rata payments made by The Tile Shop or other subsidiaries to Holdings or any other equity owner of such entity, the Credit Agreement prohibits the payments of cash dividends. The Company was in compliance with the covenants as of March 31,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at March 31, 2016 and December 31, 2015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31, 2016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December 31, 2015</w:t>
            </w:r>
          </w:p>
        </w:tc>
      </w:tr>
      <w:tr>
        <w:trPr>
          <w:trHeight w:val="205"/>
        </w:trPr>
        <w:tc>
          <w:tcPr>
            <w:tcW w:w="6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Unamortized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Unamortized</w:t>
            </w:r>
          </w:p>
        </w:tc>
        <w:tc>
          <w:tcPr>
            <w:tcW w:w="20" w:type="dxa"/>
            <w:vAlign w:val="bottom"/>
          </w:tcPr>
          <w:p>
            <w:pPr>
              <w:spacing w:after="0"/>
              <w:rPr>
                <w:sz w:val="17"/>
                <w:szCs w:val="17"/>
                <w:color w:val="auto"/>
              </w:rPr>
            </w:pPr>
          </w:p>
        </w:tc>
      </w:tr>
      <w:tr>
        <w:trPr>
          <w:trHeight w:val="230"/>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Debt Issuance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Debt Issuance</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Costs</w:t>
            </w:r>
          </w:p>
        </w:tc>
        <w:tc>
          <w:tcPr>
            <w:tcW w:w="4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Costs</w:t>
            </w:r>
          </w:p>
        </w:tc>
      </w:tr>
      <w:tr>
        <w:trPr>
          <w:trHeight w:val="178"/>
        </w:trPr>
        <w:tc>
          <w:tcPr>
            <w:tcW w:w="60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Term note payable - interest at 2.19% and 2.18% at March 31, 2016 and December</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2015,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20"/>
                <w:szCs w:val="20"/>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Commercial bank credit facility</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Variable interest rate bonds (0.35% at both March 31, 2016 and December 31,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which mature April 1, 2023, collateralized by buildings and equipment</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debt obligations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r>
      <w:tr>
        <w:trPr>
          <w:trHeight w:val="21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36,255</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22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include the following financial instruments: cash and cash equivalents, trade receivables, accounts payable, accrued expenses, capital leases, notes payable, and debt. At March 31, 2016 and December 31, 2015, the carrying amount of the Company’s cash and cash equivalents, trade receivables, accounts payable and accrued expenses approximated their fair values due to their short-term maturities. The carrying value of the Company’s borrowings and capital lease obligation approximates fair value based upon the market interest rates available to the Company for debt and capital lease obligations with similar risk and maturities.</w:t>
      </w:r>
    </w:p>
    <w:p>
      <w:pPr>
        <w:spacing w:after="0" w:line="18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that are available in active markets for the identical assets or liabilities at the measurement date.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Level 2 – Significant other observable inputs available at the measurement date, other than quoted prices included in Level 1, either directly or indirectly, including:</w:t>
      </w:r>
    </w:p>
    <w:p>
      <w:pPr>
        <w:spacing w:after="0" w:line="22" w:lineRule="exact"/>
        <w:rPr>
          <w:sz w:val="20"/>
          <w:szCs w:val="20"/>
          <w:color w:val="auto"/>
        </w:rPr>
      </w:pPr>
    </w:p>
    <w:p>
      <w:pPr>
        <w:ind w:left="900" w:hanging="580"/>
        <w:spacing w:after="0"/>
        <w:tabs>
          <w:tab w:leader="none" w:pos="9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Quoted prices for similar assets or liabilities in active markets;</w:t>
      </w:r>
    </w:p>
    <w:p>
      <w:pPr>
        <w:spacing w:after="0" w:line="141" w:lineRule="exact"/>
        <w:rPr>
          <w:rFonts w:ascii="Times New Roman" w:cs="Times New Roman" w:eastAsia="Times New Roman" w:hAnsi="Times New Roman"/>
          <w:sz w:val="29"/>
          <w:szCs w:val="29"/>
          <w:color w:val="auto"/>
          <w:vertAlign w:val="superscript"/>
        </w:rPr>
      </w:pPr>
    </w:p>
    <w:p>
      <w:pPr>
        <w:ind w:left="880" w:hanging="560"/>
        <w:spacing w:after="0" w:line="186" w:lineRule="auto"/>
        <w:tabs>
          <w:tab w:leader="none" w:pos="88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Quoted prices for identical or similar assets in non-active markets;</w:t>
      </w:r>
    </w:p>
    <w:p>
      <w:pPr>
        <w:spacing w:after="0" w:line="142" w:lineRule="exact"/>
        <w:rPr>
          <w:rFonts w:ascii="Times New Roman" w:cs="Times New Roman" w:eastAsia="Times New Roman" w:hAnsi="Times New Roman"/>
          <w:sz w:val="28"/>
          <w:szCs w:val="28"/>
          <w:color w:val="auto"/>
          <w:vertAlign w:val="superscript"/>
        </w:rPr>
      </w:pPr>
    </w:p>
    <w:p>
      <w:pPr>
        <w:ind w:left="800" w:hanging="480"/>
        <w:spacing w:after="0" w:line="186" w:lineRule="auto"/>
        <w:tabs>
          <w:tab w:leader="none" w:pos="80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Inputs other than quoted prices that are observable for the asset or liability; and</w:t>
      </w:r>
    </w:p>
    <w:p>
      <w:pPr>
        <w:spacing w:after="0" w:line="142" w:lineRule="exact"/>
        <w:rPr>
          <w:rFonts w:ascii="Times New Roman" w:cs="Times New Roman" w:eastAsia="Times New Roman" w:hAnsi="Times New Roman"/>
          <w:sz w:val="28"/>
          <w:szCs w:val="28"/>
          <w:color w:val="auto"/>
          <w:vertAlign w:val="superscript"/>
        </w:rPr>
      </w:pPr>
    </w:p>
    <w:p>
      <w:pPr>
        <w:ind w:left="740" w:hanging="420"/>
        <w:spacing w:after="0" w:line="186" w:lineRule="auto"/>
        <w:tabs>
          <w:tab w:leader="none" w:pos="74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Inputs that are derived principally from or corroborated by other observable market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00"/>
          </w:cols>
          <w:pgMar w:left="900" w:top="117" w:right="7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Level 3 – Significant unobservable inputs that cannot be corroborated by observable market data and reflect the use of significant management judgment. These values are generally determined using pricing models for which the assumptions utilize management’s estimates of market participant assumptions.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at fair value. The financial statements for the three months ended March 31, 2016 and 2015 include compensation cost for the portion of outstanding awards that vested during those periods. The Company recognizes stock-based compensation costs on a straight-line basis over the requisite service period of the award, which is generally the option vesting term. Total stock-based compensation expense related to stock options was $1.0 million and $0.8 million for the three months ended March 31, 2016 and 2015, respectively. Stock-based compensation expense is included in selling, general and administrative expenses in the accompanying Consolidated Statements of Operations.</w:t>
      </w:r>
    </w:p>
    <w:p>
      <w:pPr>
        <w:spacing w:after="0" w:line="1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2016, the Company had outstanding stock options to purchase 2,800,945 shares of common stock at a weighted average exercise price of $13.06.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awards restricted common shares to selected employees, and non-employee directors. Recipients are not required to provide any consideration other than continued service. Restricted share awards are subject to certain restrictions on transfer, and all or part of the shares awarded may be subject to forfeiture upon the occurrence of certain events, including employment termination. The restricted stock is valued at its grant date fair value and expensed over the requisite service period or the vesting term of the awards. Total stock-based compensation expense related to restricted stock was $0.2 million and $0.5 million for the three months ended March 31, 2016 and 2015, respectively. Stock-based compensation expense is included in selling, general and administrative expenses in the accompanying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the Company had 79,036 outstanding restricted common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New Market Tax Credit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2013 the Company entered into a financing transaction with Chase Community Equity (“Chase”), and U.S. Bank Community, LLC (“U.S. Bank”, and, collectively with Chase, the “investors”) related to a $19.1 million acquisition, rehabilitation and construction of the Company’s new distribution and manufacturing center in Durant, Oklahoma. The investors made a capital contribution to, and Tile Shop Lending made a loan to Chase New Market Tax Credit, The Tile Shop of Oklahoma Investment Fund, LLC, and The Tile Shop Investment Fund LLC (the “Investment Funds”)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2013, Tile Shop Lending loaned $13.5 million to the Investment Funds at an interest rate of 1.35% per year and with a maturity of September 30, 2043. The Investment Funds then contributed the loan to certain CDEs, which, in turn, loaned the funds on similar terms to Tile Shop of Oklahoma, LLC, an indirect, wholly-owned subsidiary of the Company. The proceeds of the loans from the CDEs (including loans representing the capital contribution made by the investors, net of syndication fees) were used to partially fund the new manufacturing and distribution center project.</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2013, the investors also contributed $5.6 million to the Investment Funds and, by virtue of such contribution, are entitled to substantially all of the tax benefits derived from the NMTCs, while the Company effectively received net loan proceeds equal to the investors’ contributions to the Investment Fund.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determined that the financing arrangement with the Investment Funds and CDEs contains a variable interest entity (“VIE”). The ongoing activities of the Investment Funds – collecting and remitting interest and fees and NMTC compliance – were all considered in the initial design and are not expected to significantly affect economic performance throughout the life of the Investment Funds. Management considered the contractual arrangements that obligate the Company to deliver tax benefits and provide various other guarantees to the structure; Chase’s and U.S. Bank’s lack of a material interest in the underling economics of the project; and the fact that the Company is obligated to absorb losses of the Investment Fund. The Company concluded that they are the primary beneficiary of the VIE and consolidated the Investment Funds, as a VIE, in accordance with the accounting standards for consolidation. Chase’s and U.S. Bank’s contributions of $4.4 million, net of syndication fees, are included in cash and other long-term liabilities in the accompanying Consolidated Balance Sheet. The benefit of this net $4.4 million contribution is recognized as a decrease in depreciation expense as the Company amortizes the contribution liability over the seven-year compliance period as it is being earned through the on-going compliance with the conditions of the NMTC program. As of March 31, 2016, the balance of the contribution liability was $2.9 million and is classified as other long-term liabilities on the Consolidated Balance Sheet.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two of its former executive officers, five of its outside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then consolidated. The plaintiffs are three investors who seek to represent a class or classes consisting of (1) all purchasers of Tile Shop common stock between August 22, 2012 and January 28, 2014 (the “alleged class period”), seeking to pursue remedies under the Securities Exchange Act of 1934; and (2) all purchasers of Tile Shop common stock pursuant and/or traceable to the Company’s December 2012 registration statements, seeking to pursue remedies under the Securities Act of 1933. Six firms who were underwriters in the December 2012 secondary public offering are also named as defendants. In their consolidated amended complaint (the “complaint”), the plaintiffs allege that during the alleged class period, certain defendants made false or misleading statements of material fact in press releases and SEC filings about the Company’s relationships with its vendors, its gross margins, and its supply chain and producer relationships, and that defendants failed to disclose certain related party transactions. The complaint asserts claims under Sections 11, 12(a)(2), and 15 of the Securities Act of 1933, and under Sections 10(b) and 20(a) of the Securities Exchange Act of 1934. In addition to attorney’s fees and costs, the plaintiffs seek to recover damages on behalf of the members of the purported classes. The defendants are vigorously defending the matter. The matter is now in discovery.</w:t>
      </w:r>
    </w:p>
    <w:p>
      <w:pPr>
        <w:spacing w:after="0" w:line="1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also is a Defendant in a consolidated action brought derivatively on behalf of the Company by two shareholders of the Company. One action was first filed in the United States District Court for the District of Minnesota, and then voluntarily dismissed and re-filed in the Court of Chancery for the State of Delaware (“Delaware Chancery Court”). The second action was filed in Delaware Chancery Court. The two actions have since been consolidated by the Delaware Chancery Court under the caption In re Tile Shop Holdings, Inc. Stockholder Derivative Litigation. On July 31, 2015, the plaintiff-shareholders filed their Verified Consolidated Stockholder Derivative Complaint (“complaint”). The complaint names as defendants six members of the Company’s Board of Directors, and a former employee of the Company. The complaint tracks many of the same factual allegations as have been made in the above-described federal securities class action. It alleges that the defendant-directors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 also alleges claims for insider trading and unjust enrichment. The complaint seeks damages, disgorgement, an award of attorneys’ fees and other expenses, and an order compelling changes to the Company’s corporate governance and internal procedures. On November 2, 2015, defendants filed a motion to dismiss the derivative action, or in the alternative, to stay it pending resolution of the Beaver County Employees’ Retirement Fund action described above. Subsequently, the parties entered into a stipulation, and the Court entered an Order, staying the derivative action until resolution of the Beaver County Employees’ Retirement Fund action described above, or until a mutually agreeable resolution of the derivative action.</w:t>
      </w:r>
    </w:p>
    <w:p>
      <w:pPr>
        <w:spacing w:after="0" w:line="19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Given the uncertainty of litigation and the preliminary stage of these cases, the Company cannot reasonably estimate the possible loss or range of loss that may result from these actions.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New Accounting Pronouncements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 final standard on revenue from contracts with customers. The new standard sets forth a single comprehensive model for recognizing and reporting revenue. The new standard is effective for the Company in fiscal year 2018, and permits the use of either a retrospective or a cumulative effect transition method. The Company is currently assessing the impact of implementing the new guidance on its consolidated financial statements.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August 2014, the FASB issued a standard requiring an entity’s management to evaluate whether there is substantial doubt about an entity’s ability to continue as a going concern within one year after the date of the financial statements. The guidance also sets forth a series of disclosures that are required in the event the entity’s management concludes that there is substantial doubt about the entity’s ability to continue as a going concern. The new standard becomes effective for the Company in fiscal 2016 and requires an ongoing evaluation at each interim and annual period thereafter. The Company is currently assessing the effect the new standard will have on its consolidated financial statements.</w:t>
      </w:r>
    </w:p>
    <w:p>
      <w:pPr>
        <w:spacing w:after="0" w:line="18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April 2015, the FASB issued a standard that requires debt issuance costs related to a recognized debt liability be presented in the balance sheet as a direct deduction from the carrying amount of that debt liability. The Company adopted the provisions of this statement in the first quarter of 2016 and prior periods have been retrospectively adjusted (see “Note 1 to the Consolidated Financial Statements”).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February 2015, the FASB issued a new accounting standard that will modify current consolidation guidance. The standard makes changes to both the variable interest entity model and the voting interest entity model, including modifying the evaluation of whether limited partnerships or similar legal entities are VIEs or voting interest entities and amending the guidance for assessing how relationships of related parties affect the consolidation analysis of VIEs. The standard is effective for the Company in fiscal 2016. The adoption of this new standard did not have a material effect on the Company’s financial statements.</w:t>
      </w:r>
    </w:p>
    <w:p>
      <w:pPr>
        <w:spacing w:after="0" w:line="18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In July 2015, the FASB issued a standard which simplifies the subsequent measurement of inventory. Currently, an entity is required to measure inventory at the lower of cost or market, whereby market can be replacement cost, net realizable value, or net realizable value less an approximately normal profit margin. The changes require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Currently, the Company applies the net realizable value market option to measure inventories at the lower of cost or market. These changes become effective for the Company in fiscal 2017. The Company is currently assessing the effect the new standard will have on its consolidated financial statements.</w:t>
      </w:r>
    </w:p>
    <w:p>
      <w:pPr>
        <w:spacing w:after="0" w:line="1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a standard that primarily requires organizations that lease assets to recognize the rights and obligations created by those leases on the balance sheet. The standard is effective in 2019, with early adoption permitted. The Company is currently assessing the effect the new standard will have on its consolidated financial statements.</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March 2016, the FASB issued a standard that changes the accounting for certain aspects of share-based payments to employees. The guidance requires the recognition of the income tax effects of awards in the income statement when the awards vest or are settled, thus eliminating additional paid-in capital tax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in 2017 with early adoption permitted. The Company is currently assessing the effect the new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Annual Report on Form 10-K for the year ended December 31, 2015 and our consolidated financial statements and related notes appearing elsewhere in this Quarterly Report on Form 10-Q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opening new stores and maintaining or renovating existing stores, changes to economic conditions and customer preferences, disruptions in our supply chain, or inventory management, competitive factors, increases to interest rates or other impacts on our ability to obtain or maintain financing, unanticipated expenses related to operating as a public company including but not limited to litigation-related expenses, and those factors disclosed in the section captioned “Risk Factors” in our Annual Report for the fiscal year ended December 31, 2015,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Trends</w:t>
      </w:r>
    </w:p>
    <w:p>
      <w:pPr>
        <w:spacing w:after="0" w:line="22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We are a specialty retailer of manufactured and natural stone tiles, setting and maintenance materials, and related accessories in the United States. We offer a wide selection of products, attractive prices, and exceptional customer service in an extensive showroom setting. As of March 31, 2016, we operated 115 stores in 31 states, with an average size of 21,700 square feet. We also sell our products on our website.</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manufactured and natural stone tiles, accessories, and related materials in the United States.</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that the highly-fragmented United States retail tile market provides us with a significant opportunity to expand our store base. We opened 1 new store in the first three months of 2016, and opened 7 new stores in the United States during 2015. We plan to open an additional 8 to 11 stores in 2016.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2016 and 2015, we reported net sales of $84.7 million and $73.0 million, respectively, and income from operations of $11.8 million and $7.2 million, respectively. The increase in sales and income from operations was primarily due to same store sales growth of 13.2% and 4.5% for the three months ended March 31, 2016 and 2015, respectively.</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$27.5 million and $26.1 million for the three months ended March 31, 2016 and 2015, respectively, which was used to fund operations, new store construction activities, and debt repayments. We expect to continue to fund our capital expenditures and daily operations from our operating cash flows. As of March 31, 2016, we had cash of $16.4 million and working capital of $40.6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7" w:right="9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Consolidated Statements of Operations</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represents total charges to customers, net of returns, and includes freight charged to customers. We recognize sales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time that the customer takes possession of the merchandise or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Comparable store sales for the three months ended March 31, 2016 increased $9.6 million, compared to the three months ended March 31, 2015. The table below sets forth information about our same store sales growth for the three months ended March 31, 2016 and 2015.</w:t>
      </w:r>
    </w:p>
    <w:p>
      <w:pPr>
        <w:spacing w:after="0" w:line="22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store sales growth</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13.2 %</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4.5 %</w:t>
            </w: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increase in same store sales growth is primarily attributable to an increase in the volume of transactions, as well as increases in average transaction size. Same store sale amounts include total charges to customers less any actual returns, and the change in the returns provision related to comparable stores. In general, we consider a store comparable on the first day of the 13th full month of operation.</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Between April 1, 2015 and March 31, 2016, we opened 6 new store locations. Incremental net sales of $2.1 million occurred in the three months ended March 31, 2016 from stores not included in the comparable store base.</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consists primarily of material costs, freight, duties, and storage and delivery of product to the customers,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costs associated with manufacturing of setting and maintenance materials. For the three months ended March 31, 2016 and 2015, our cost of sales as a percentage of net sales was 29.5% and 30.1%, respectively. The decrease was primarily attributable to improved collection of customer delivery revenue and inventory control process improvements.</w:t>
      </w:r>
    </w:p>
    <w:p>
      <w:pPr>
        <w:spacing w:after="0" w:line="177"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For the three months ended March 31, 2016 and 2015, our selling, general,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expenses as a percentage of net sales were 56.6% and 60.0%, respectively. The decrease was primarily attributable to an increase in same store sales, which outpaced the growth of selling, general, and administrative expenses for the three months ended March 31, 2016.</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We are subject to income tax in the United States as well as other tax jurisdictions in which we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Our effective tax rate for the three months ended March 31, 2016 and 2015 was 39.8% and 43.0%, respectively. During the three months ended March 31, 2015, we recognized an increase in tax expense in connection with certain state income tax changes enacted during the quarter. State tax rate changes did not have a significant impact on the effective tax rate during the three months ended March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Measures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calculate Adjusted EBITDA by taking net income calculated in accordance with accounting principles generally accepted in the United States, or GAAP, and adjusting for interest expense, income taxes, depreciation and amortization, stock based compensation expense, and special charges consisting of litigation costs. Adjusted EBITDA margin is equal to Adjusted EBITDA divided by net sales. Free cash flows is calculated by taking net cash provided by operating activities and subtracting net cash used for capital expenditures. Non-GAAP net income excludes the special charges including investigation and litigation costs and is net of tax.</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Adjusted EBITDA to net income for the three months ended March 31, 2016 and 2015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Pr>
          <w:p>
            <w:pPr>
              <w:spacing w:after="0"/>
              <w:rPr>
                <w:sz w:val="19"/>
                <w:szCs w:val="19"/>
                <w:color w:val="auto"/>
              </w:rPr>
            </w:pPr>
          </w:p>
        </w:tc>
      </w:t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17"/>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reconciliation of free cash flows to net cash provided by operating activities for the three months ended March 31, 2016 and 2015 is as follows:</w:t>
      </w:r>
    </w:p>
    <w:p>
      <w:pPr>
        <w:spacing w:after="0" w:line="229"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27,473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26,126</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tcPr>
          <w:p>
            <w:pPr>
              <w:spacing w:after="0"/>
              <w:rPr>
                <w:sz w:val="19"/>
                <w:szCs w:val="19"/>
                <w:color w:val="auto"/>
              </w:rPr>
            </w:pP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(6,375)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(4,575)</w:t>
            </w:r>
          </w:p>
        </w:tc>
      </w:tr>
      <w:tr>
        <w:trPr>
          <w:trHeight w:val="217"/>
        </w:trPr>
        <w:tc>
          <w:tcPr>
            <w:tcW w:w="7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flows</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21,098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21,551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Non-GAAP net income to GAAP net income for the three months ended March 31, 2016 and 2015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19"/>
                <w:szCs w:val="19"/>
                <w:color w:val="auto"/>
              </w:rPr>
            </w:pPr>
          </w:p>
        </w:tc>
      </w:tr>
      <w:tr>
        <w:trPr>
          <w:trHeight w:val="234"/>
        </w:trPr>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color w:val="auto"/>
              </w:rPr>
              <w:t>March 31, 2016</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March 31, 2015</w:t>
            </w:r>
          </w:p>
        </w:tc>
        <w:tc>
          <w:tcPr>
            <w:tcW w:w="440" w:type="dxa"/>
            <w:vAlign w:val="bottom"/>
            <w:tcBorders>
              <w:bottom w:val="single" w:sz="8" w:color="auto"/>
            </w:tcBorders>
          </w:tcPr>
          <w:p>
            <w:pPr>
              <w:spacing w:after="0"/>
              <w:rPr>
                <w:sz w:val="20"/>
                <w:szCs w:val="20"/>
                <w:color w:val="auto"/>
              </w:rPr>
            </w:pPr>
          </w:p>
        </w:tc>
      </w:tr>
      <w:tr>
        <w:trPr>
          <w:trHeight w:val="28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Pretax</w:t>
            </w:r>
          </w:p>
        </w:tc>
        <w:tc>
          <w:tcPr>
            <w:tcW w:w="10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Net of Tax</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Pretax</w:t>
            </w:r>
          </w:p>
        </w:tc>
        <w:tc>
          <w:tcPr>
            <w:tcW w:w="10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Amounts</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 costs</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7"/>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08</w:t>
            </w:r>
          </w:p>
        </w:tc>
      </w:tr>
    </w:tbl>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three months ended March 31, 2016 to the three months ended March 31,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1760" w:type="dxa"/>
            <w:vAlign w:val="bottom"/>
            <w:gridSpan w:val="3"/>
          </w:tcPr>
          <w:p>
            <w:pPr>
              <w:jc w:val="right"/>
              <w:ind w:right="655"/>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2015</w:t>
            </w:r>
          </w:p>
        </w:tc>
        <w:tc>
          <w:tcPr>
            <w:tcW w:w="16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84,714</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72,963</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69.9 %</w:t>
            </w: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47,949</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56.6 %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43,776</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9.9 %</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(803)</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(4,459)</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(2,762)</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1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9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first quarter of 2016 increased $11.7 million, or 16.1%, over the first quarter of 2015. Comparable store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$9.6 million during the first quarter of 2016 due to an increase in the volume of transactions, as well as an increase in the average transaction size. Net sales for the 6 new stores open less than twelve months were $2.1 million during the first quarter of 2016.</w:t>
      </w:r>
    </w:p>
    <w:p>
      <w:pPr>
        <w:spacing w:after="0" w:line="171"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first quarter of 2016 increased $8.7 million, or 17.1%, compared to the first quarter of 2015, primarily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increase in net sales. The gross margin rate increased from 69.9% for the first quarter of 2015 to 70.5% for the first quarter of 2016. The increase in the gross margin rate was primarily attributable to improved collection of customer delivery revenue and inventory control process improvements.</w:t>
      </w:r>
    </w:p>
    <w:p>
      <w:pPr>
        <w:spacing w:after="0" w:line="1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first quarter of 2016 increased $4.2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9.5%, compared to the first quarter of 2015. The increase in selling, general, and administrative expenses was primarily due to an increase in compensation and benefit costs of $3.3 million and occupancy costs of $0.6 million as a result of opening 6 new stores during the period from April 1, 2015 through March 31, 2016, and an increase in variable compensation associated with a 13.2% increase in comparable store sales for the three months ended March 31, 2016. Selling, general, and administrative expenses as a percentage of net sales decreased to 56.6% for the first quarter of 2016 compared to 60.0% for the first quarter of 2015. The decrease in selling, general, and administrative expenses as a percentage of net sales was primarily due to a maturing store base that has higher net sales levels, which outpaced the growth of selling, general, and administrative expenses.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costs of $0.7 million and $0.5 million for each of the first quarters of 2016 and 2015, respectively, which relate to special charges consisting of litigation expenses.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Pre-opening Costs </w:t>
      </w:r>
      <w:r>
        <w:rPr>
          <w:rFonts w:ascii="Times New Roman" w:cs="Times New Roman" w:eastAsia="Times New Roman" w:hAnsi="Times New Roman"/>
          <w:sz w:val="18"/>
          <w:szCs w:val="18"/>
          <w:color w:val="auto"/>
        </w:rPr>
        <w:t>Our pre-opening costs are those typically associated with the opening of a new store and generally include rent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costs and promotional costs. We expense pre-opening costs as incurred and include these costs in selling, general and administrative expenses. During the first quarter of 2016 and 2015, we incurred pre-opening costs of $0.2 million and $0.1 million, respectively.</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$0.2 million for the first quarter of 2016 compared to the first quarter of 2015. The decrease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the decrease in the debt balance in 2016.</w:t>
      </w:r>
    </w:p>
    <w:p>
      <w:pPr>
        <w:spacing w:after="0" w:line="15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Income tax provision increased $1.7 million for the first quarter of 2016 compared to the first quarter of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higher income before income taxes in the first quarter of 2016. Our effective tax rate for the three months ended March 31, 2016 and 2015 was 39.8% and 43.0%, respectively. During the three months ended March 31, 2015, we recognized an increase in tax expense in connection with certain state income tax changes enacted during the quarter. State tax rate changes did not have a significant impact on the effective tax rate during the three months ended March 31,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principal uses of liquidity have been investments in working capital and capital expenditures. Our principal sources of liquidity are $16.4 million of cash and cash equivalents at March 31, 2016, our cash flow from operations, and borrowings available under our credit facility. We expect to use this liquidity for opening new stores, purchasing additional merchandise inventory, maintaining our existing stores, reducing outstanding debt, and general corporate purposes.</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June 2, 2015, we and our operating subsidiary, The Tile Shop, LLC, entered into a credit agreement with Fifth Third Bank, Bank of America, N.A., and Huntington National Bank (the “Credit Agreement”). The Credit Agreement provides us with a $125.0 million senior secured credit facility, comprised of a five-year $50.0 million term loan and a $75.0 million revolving line of credit. The Credit Agreement is secured by virtually all of our assets, including but not limited to, inventory, receivables, equipment and real property. Borrowings pursuant to the Credit Agreement bear interest at either a base rate or a LIBOR-based rate, at our option.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March 31, 2016 the base interest rate was 4.25% and the LIBOR-based interest rate was 2.19%. Borrowings outstanding consisted of $40.5 million on the term loan as of March 31, 2016. We can elect to prepay the term loan without incurring a penalty. The term loan requires quarterly principal payments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2016 to June 30, 2017</w:t>
            </w:r>
          </w:p>
        </w:tc>
        <w:tc>
          <w:tcPr>
            <w:tcW w:w="3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2017 to June 30, 2018</w:t>
            </w: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2018 to March 31, 2020</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9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In addition, except with respect to pro rata payments made by The Tile Shop or other subsidiaries to Holdings or any other equity owner of such entity, the Credit Agreement prohibits the payments of cash dividends. We were in compliance with the covenants as of March 31, 2016.</w:t>
      </w:r>
    </w:p>
    <w:p>
      <w:pPr>
        <w:spacing w:after="0" w:line="18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Capital expenditures paid in the three months ended March 31, 2016 were $6.4 million. Approximately $4.2 million of this was for new store build-out, remodels of existing stores, and merchandising projects. The remainder was for general corporate and information technology purposes.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 We intend to open an additional 8 to 11 stores during 2016. Total capital expenditures are expected to be between $25 million and $30 million in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three months ended March 31, 2016 and 2015.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39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39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96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2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0" w:type="dxa"/>
            <w:vAlign w:val="bottom"/>
          </w:tcPr>
          <w:p>
            <w:pPr>
              <w:spacing w:after="0"/>
              <w:rPr>
                <w:sz w:val="19"/>
                <w:szCs w:val="19"/>
                <w:color w:val="auto"/>
              </w:rPr>
            </w:pP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(15,025)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20" w:type="dxa"/>
            <w:vAlign w:val="bottom"/>
          </w:tcPr>
          <w:p>
            <w:pPr>
              <w:spacing w:after="0"/>
              <w:rPr>
                <w:sz w:val="19"/>
                <w:szCs w:val="19"/>
                <w:color w:val="auto"/>
              </w:rPr>
            </w:pPr>
          </w:p>
        </w:tc>
      </w:tr>
      <w:tr>
        <w:trPr>
          <w:trHeight w:val="864"/>
        </w:trPr>
        <w:tc>
          <w:tcPr>
            <w:tcW w:w="3960" w:type="dxa"/>
            <w:vAlign w:val="bottom"/>
          </w:tcPr>
          <w:p>
            <w:pPr>
              <w:spacing w:after="0"/>
              <w:rPr>
                <w:sz w:val="24"/>
                <w:szCs w:val="24"/>
                <w:color w:val="auto"/>
              </w:rPr>
            </w:pPr>
          </w:p>
        </w:tc>
        <w:tc>
          <w:tcPr>
            <w:tcW w:w="354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96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3960" w:type="dxa"/>
            <w:vAlign w:val="bottom"/>
            <w:tcBorders>
              <w:bottom w:val="single" w:sz="8" w:color="EEEEEE"/>
            </w:tcBorders>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during the three months ended March 31, 2016 was $27.5 million, compared to $26.1 million during the three months ended March 31, 2015. The increase is attributable to an increase in net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totaled $6.4 million for the three months ended March 31, 2016, compared to $4.6 million for the three months ended March 31, 2015. Net cash used in investing activities in each period was primarily for capital purchases of store fixtures, equipment, building improvements and leasehold improvements for stores opened or remodeled, asset additions in our distribution and manufacturing facilities, and general corporate information technology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$15.0 million for the three months ended March 31, 2016, compared to $18.4 million for the three months ended March 31, 2015. Cash used in financing activities during the three months ended March 31, 2016 was primarily for payments of long-term debt and capital lease obligations of $15.0 million. At March 31, 2016, we were in compliance with our debt covenants. We intend to make principal payments due in future periods using cash from operations.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$16.4 million at March 31, 2016, versus $10.3 million at December 31, 2015. We have working capital of $40.6 million at March 31, 2016, compared to working capital of $47.5 million at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March 31, 2016 and December 31, 2015,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there were no material changes to our contractual obligations outside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 final standard on revenue from contracts with customers. The new standard sets forth a single comprehensive model for recognizing and reporting revenue. The new standard is effective in fiscal year 2018, and permits the use of either a retrospective or a cumulative effect transition method. We are currently assessing the impact of implementing the new guidance on our consolidated financial statements.</w:t>
      </w:r>
    </w:p>
    <w:p>
      <w:pPr>
        <w:spacing w:after="0" w:line="18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August 2014, the FASB issued a standard requiring an entity’s management to evaluate whether there is substantial doubt about an entity’s ability to continue as a going concern within one year after the date of the financial statements. The guidance also sets forth a series of disclosures that are required in the event the entity’s management concludes that there is substantial doubt about the entity’s ability to continue as a going concern. The new standard becomes effective in fiscal 2016 and requires an ongoing evaluation at each interim and annual period thereafter. We are currently assessing the effect the new standard will have on our consolidated financial statements.</w:t>
      </w:r>
    </w:p>
    <w:p>
      <w:pPr>
        <w:spacing w:after="0" w:line="1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April 2015, the FASB issued a standard that requires debt issuance costs related to a recognized debt liability be presented in the balance sheet as a direct deduction from the carrying amount of that debt liability. We adopted the provisions of this statement in the first quarter of 2016 and prior periods have been retrospectively adjusted (see “Note 1 to the Consolidated Financial Statements”).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February 2015, the FASB issued a new accounting standard that will modify current consolidation guidance. The standard makes changes to both the variable interest entity model and the voting interest entity model, including modifying the evaluation of whether limited partnerships or similar legal entities are VIEs or voting interest entities and amending the guidance for assessing how relationships of related parties affect the consolidation analysis of VIEs. The standard is effective in fiscal 2016. The adoption of this new standard did not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2015, the FASB issued a standard which simplifies the subsequent measurement of inventory. Currently, an entity is required to measure inventory at the lower of cost or market, whereby market can be replacement cost, net realizable value, or net realizable value less an approximately normal profit margin. The changes require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Currently, we apply the net realizable value market option to measure inventories at the lower of cost or market. These changes become effective in fiscal 2017. We are currently assessing the effect the new standard will have on our consolidated financial statements.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a standard that primarily requires organizations that lease assets to recognize the rights and obligations created by those leases on the balance sheet. The standard is effective in 2019, with early adoption permitted. We are currently assessing the effect the new standard will have on our consolidated financial statements.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March 2016, the FASB issued a standard that changes the accounting for certain aspects of share-based payments to employees. The guidance requires the recognition of the income tax effects of awards in the income statement when the awards vest or are settled, thus eliminating additional paid-in capital tax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in 2017 with early adoption permitted. We are currently assessing the effect the new standard will have on our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our Form 10-K for the fiscal year ended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March 31, 2016 and have concluded that such disclosure controls and procedures were effective as of the end of the period covered by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changes to our internal control over financial reporting occurring during the quarter ended March 31, 2016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7" w:right="9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two of its former executive officers, five of its outside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then consolidated. The plaintiffs are three investors who seek to represent a class or classes consisting of (1) all purchasers of Tile Shop common stock between August 22, 2012 and January 28, 2014 (the “alleged class period”), seeking to pursue remedies under the Securities Exchange Act of 1934; and (2) all purchasers of Tile Shop common stock pursuant and/or traceable to the Company’s December 2012 registration statements, seeking to pursue remedies under the Securities Act of 1933. Six firms who were underwriters in the December 2012 secondary public offering are also named as defendants. In their consolidated amended complaint (the “complaint”), the plaintiffs allege that during the alleged class period, certain defendants made false or misleading statements of material fact in press releases and SEC filings about the Company’s relationships with its vendors, its gross margins, and its supply chain and producer relationships, and that defendants failed to disclose certain related party transactions. The complaint asserts claims under Sections 11, 12(a)(2), and 15 of the Securities Act of 1933, and under Sections 10(b) and 20(a) of the Securities Exchange Act of 1934. In addition to attorney’s fees and costs, the plaintiffs seek to recover damages on behalf of the members of the purported classes. The defendants are vigorously defending the matter. The matter is now in discovery.</w:t>
      </w:r>
    </w:p>
    <w:p>
      <w:pPr>
        <w:spacing w:after="0" w:line="1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also is a Defendant in a consolidated action brought derivatively on behalf of the Company by two shareholders of the Company. One action was first filed in the United States District Court for the District of Minnesota, and then voluntarily dismissed and re-filed in the Court of Chancery for the State of Delaware (“Delaware Chancery Court”). The second action was filed in Delaware Chancery Court. The two actions have since been consolidated by the Delaware Chancery Court under the caption In re Tile Shop Holdings, Inc. Stockholder Derivative Litigation. On July 31, 2015, the plaintiff-shareholders filed their Verified Consolidated Stockholder Derivative Complaint (“complaint”). The complaint names as defendants six members of the Company’s Board of Directors, and a former employee of the Company. The complaint tracks many of the same factual allegations as have been made in the above-described federal securities class action. It alleges that the defendant-directors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 also alleges claims for insider trading and unjust enrichment. The complaint seeks damages, disgorgement, an award of attorneys’ fees and other expenses, and an order compelling changes to the Company’s corporate governance and internal procedures. On November 2, 2015, defendants filed a motion to dismiss the derivative action, or in the alternative, to stay it pending resolution of the Beaver County Employees’ Retirement Fund action described above. Subsequently, the parties entered into a stipulation, and the Court entered an Order, staying the derivative action until resolution of the Beaver County Employees’ Retirement Fund action described above, or until a mutually agreeable resolution of the derivative action.</w:t>
      </w:r>
    </w:p>
    <w:p>
      <w:pPr>
        <w:spacing w:after="0" w:line="19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Given the uncertainty of litigation and the preliminary stage of these cases, the Company cannot reasonably estimate the possible loss or range of loss that may result from these actions.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3.1</w:t>
            </w:r>
          </w:p>
        </w:tc>
        <w:tc>
          <w:tcPr>
            <w:tcW w:w="520" w:type="dxa"/>
            <w:vAlign w:val="bottom"/>
            <w:shd w:val="clear" w:color="auto" w:fill="CCEEFF"/>
          </w:tcPr>
          <w:p>
            <w:pPr>
              <w:spacing w:after="0"/>
              <w:rPr>
                <w:sz w:val="17"/>
                <w:szCs w:val="17"/>
                <w:color w:val="auto"/>
              </w:rPr>
            </w:pP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Certificate of Incorporation of Tile Shop Holdings, Inc. (incorporated by reference to Exhibit 3.1 to the Company’s Registration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Statement on 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3.2</w:t>
            </w:r>
          </w:p>
        </w:tc>
        <w:tc>
          <w:tcPr>
            <w:tcW w:w="520" w:type="dxa"/>
            <w:vAlign w:val="bottom"/>
          </w:tcPr>
          <w:p>
            <w:pPr>
              <w:spacing w:after="0"/>
              <w:rPr>
                <w:sz w:val="17"/>
                <w:szCs w:val="17"/>
                <w:color w:val="auto"/>
              </w:rPr>
            </w:pPr>
          </w:p>
        </w:tc>
        <w:tc>
          <w:tcPr>
            <w:tcW w:w="93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By-Laws of Tile Shop Holdings, Inc. (incorporated by reference to Exhibit 3.2 to the Company’s Registration Statement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40" w:type="dxa"/>
            <w:vAlign w:val="bottom"/>
            <w:gridSpan w:val="2"/>
          </w:tcPr>
          <w:p>
            <w:pPr>
              <w:spacing w:after="0"/>
              <w:rPr>
                <w:sz w:val="15"/>
                <w:szCs w:val="15"/>
                <w:color w:val="auto"/>
              </w:rPr>
            </w:pPr>
          </w:p>
        </w:tc>
        <w:tc>
          <w:tcPr>
            <w:tcW w:w="9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Offer Letter Agreement, between Tile Shop Holdings, Inc. and Lynda Stout, dated February 29, 2016.</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40" w:type="dxa"/>
            <w:vAlign w:val="bottom"/>
            <w:gridSpan w:val="2"/>
            <w:shd w:val="clear" w:color="auto" w:fill="CCEEFF"/>
          </w:tcPr>
          <w:p>
            <w:pPr>
              <w:spacing w:after="0"/>
              <w:rPr>
                <w:sz w:val="19"/>
                <w:szCs w:val="19"/>
                <w:color w:val="auto"/>
              </w:rPr>
            </w:pPr>
          </w:p>
        </w:tc>
        <w:tc>
          <w:tcPr>
            <w:tcW w:w="9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 of Tile Shop Holdings, Inc.</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40" w:type="dxa"/>
            <w:vAlign w:val="bottom"/>
            <w:gridSpan w:val="2"/>
          </w:tcPr>
          <w:p>
            <w:pPr>
              <w:spacing w:after="0"/>
              <w:rPr>
                <w:sz w:val="19"/>
                <w:szCs w:val="19"/>
                <w:color w:val="auto"/>
              </w:rPr>
            </w:pPr>
          </w:p>
        </w:tc>
        <w:tc>
          <w:tcPr>
            <w:tcW w:w="9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31.1*</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shd w:val="clear" w:color="auto" w:fill="CCEEFF"/>
          </w:tcPr>
          <w:p>
            <w:pPr>
              <w:spacing w:after="0"/>
              <w:rPr>
                <w:sz w:val="13"/>
                <w:szCs w:val="13"/>
                <w:color w:val="auto"/>
              </w:rPr>
            </w:pPr>
          </w:p>
        </w:tc>
        <w:tc>
          <w:tcPr>
            <w:tcW w:w="9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tcPr>
          <w:p>
            <w:pPr>
              <w:spacing w:after="0"/>
              <w:rPr>
                <w:sz w:val="13"/>
                <w:szCs w:val="13"/>
                <w:color w:val="auto"/>
              </w:rPr>
            </w:pPr>
          </w:p>
        </w:tc>
        <w:tc>
          <w:tcPr>
            <w:tcW w:w="9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32.1**</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Certifications of Chief Executive Officer Pursuant to Section 906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shd w:val="clear" w:color="auto" w:fill="CCEEFF"/>
          </w:tcPr>
          <w:p>
            <w:pPr>
              <w:spacing w:after="0"/>
              <w:rPr>
                <w:sz w:val="13"/>
                <w:szCs w:val="13"/>
                <w:color w:val="auto"/>
              </w:rPr>
            </w:pPr>
          </w:p>
        </w:tc>
        <w:tc>
          <w:tcPr>
            <w:tcW w:w="9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Certifications of Chief Financial Officer Pursuant to Section 906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tcPr>
          <w:p>
            <w:pPr>
              <w:spacing w:after="0"/>
              <w:rPr>
                <w:sz w:val="13"/>
                <w:szCs w:val="13"/>
                <w:color w:val="auto"/>
              </w:rPr>
            </w:pPr>
          </w:p>
        </w:tc>
        <w:tc>
          <w:tcPr>
            <w:tcW w:w="9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shd w:val="clear" w:color="auto" w:fill="CCEEFF"/>
          </w:tcPr>
          <w:p>
            <w:pPr>
              <w:spacing w:after="0"/>
              <w:rPr>
                <w:sz w:val="13"/>
                <w:szCs w:val="13"/>
                <w:color w:val="auto"/>
              </w:rPr>
            </w:pPr>
          </w:p>
        </w:tc>
        <w:tc>
          <w:tcPr>
            <w:tcW w:w="9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tcPr>
          <w:p>
            <w:pPr>
              <w:spacing w:after="0"/>
              <w:rPr>
                <w:sz w:val="13"/>
                <w:szCs w:val="13"/>
                <w:color w:val="auto"/>
              </w:rPr>
            </w:pPr>
          </w:p>
        </w:tc>
        <w:tc>
          <w:tcPr>
            <w:tcW w:w="9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shd w:val="clear" w:color="auto" w:fill="CCEEFF"/>
          </w:tcPr>
          <w:p>
            <w:pPr>
              <w:spacing w:after="0"/>
              <w:rPr>
                <w:sz w:val="13"/>
                <w:szCs w:val="13"/>
                <w:color w:val="auto"/>
              </w:rPr>
            </w:pPr>
          </w:p>
        </w:tc>
        <w:tc>
          <w:tcPr>
            <w:tcW w:w="9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tcPr>
          <w:p>
            <w:pPr>
              <w:spacing w:after="0"/>
              <w:rPr>
                <w:sz w:val="13"/>
                <w:szCs w:val="13"/>
                <w:color w:val="auto"/>
              </w:rPr>
            </w:pPr>
          </w:p>
        </w:tc>
        <w:tc>
          <w:tcPr>
            <w:tcW w:w="9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40" w:type="dxa"/>
            <w:vAlign w:val="bottom"/>
            <w:gridSpan w:val="2"/>
            <w:shd w:val="clear" w:color="auto" w:fill="CCEEFF"/>
          </w:tcPr>
          <w:p>
            <w:pPr>
              <w:spacing w:after="0"/>
              <w:rPr>
                <w:sz w:val="13"/>
                <w:szCs w:val="13"/>
                <w:color w:val="auto"/>
              </w:rPr>
            </w:pPr>
          </w:p>
        </w:tc>
        <w:tc>
          <w:tcPr>
            <w:tcW w:w="9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71"/>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TILE SHOP HOLDINGS,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28, 2016</w:t>
            </w:r>
          </w:p>
        </w:tc>
        <w:tc>
          <w:tcPr>
            <w:tcW w:w="55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CHRIS R. HOMEISTER</w:t>
            </w:r>
          </w:p>
        </w:tc>
      </w:tr>
      <w:tr>
        <w:trPr>
          <w:trHeight w:val="191"/>
        </w:trPr>
        <w:tc>
          <w:tcPr>
            <w:tcW w:w="3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Chris R. Homeister</w:t>
            </w:r>
          </w:p>
        </w:tc>
      </w:tr>
      <w:tr>
        <w:trPr>
          <w:trHeight w:val="234"/>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6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28, 2016</w:t>
            </w:r>
          </w:p>
        </w:tc>
        <w:tc>
          <w:tcPr>
            <w:tcW w:w="55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KIRK L. GEADELMANN</w:t>
            </w:r>
          </w:p>
        </w:tc>
      </w:tr>
      <w:tr>
        <w:trPr>
          <w:trHeight w:val="191"/>
        </w:trPr>
        <w:tc>
          <w:tcPr>
            <w:tcW w:w="3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Kirk L. Geadelmann</w:t>
            </w:r>
          </w:p>
        </w:tc>
      </w:tr>
      <w:tr>
        <w:trPr>
          <w:trHeight w:val="234"/>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17" w:right="9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TILE SHOP HOLDINGS,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2"/>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0"/>
              </w:rPr>
              <w:t>No.</w:t>
            </w:r>
          </w:p>
        </w:tc>
        <w:tc>
          <w:tcPr>
            <w:tcW w:w="58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shd w:val="clear" w:color="auto" w:fill="CCEEFF"/>
          </w:tcPr>
          <w:p>
            <w:pPr>
              <w:spacing w:after="0"/>
              <w:rPr>
                <w:sz w:val="15"/>
                <w:szCs w:val="15"/>
                <w:color w:val="auto"/>
              </w:rPr>
            </w:pPr>
          </w:p>
        </w:tc>
        <w:tc>
          <w:tcPr>
            <w:tcW w:w="92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Certificate of Incorporation of Tile Shop Holdings, Inc. (incorporated by reference to Exhibit 3.1 to the Company’s Registration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S-4 filed with the Securities and Exchange Commission on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4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7"/>
              </w:rPr>
              <w:t>3.2</w:t>
            </w:r>
          </w:p>
        </w:tc>
        <w:tc>
          <w:tcPr>
            <w:tcW w:w="580" w:type="dxa"/>
            <w:vAlign w:val="bottom"/>
          </w:tcPr>
          <w:p>
            <w:pPr>
              <w:spacing w:after="0"/>
              <w:rPr>
                <w:sz w:val="17"/>
                <w:szCs w:val="17"/>
                <w:color w:val="auto"/>
              </w:rPr>
            </w:pPr>
          </w:p>
        </w:tc>
        <w:tc>
          <w:tcPr>
            <w:tcW w:w="9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By-Laws of Tile Shop Holdings, Inc. (incorporated by reference to Exhibit 3.2 to the Company’s Registration Statement 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S-4 filed with the Securities and Exchange Commission on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2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 Letter Agreement, between Tile Shop Holdings, Inc. and Lynda Stout, dated February 29,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20" w:type="dxa"/>
            <w:vAlign w:val="bottom"/>
            <w:gridSpan w:val="2"/>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of Tile Shop Holdings,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2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31.1*</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32.1**</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Certifications of Chief Executive Officer Pursuant to Section 906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of Chief Financial Officer Pursuant to Section 906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gridSpan w:val="2"/>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Furnished 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80" w:type="dxa"/>
            <w:vAlign w:val="bottom"/>
            <w:gridSpan w:val="2"/>
          </w:tcPr>
          <w:p>
            <w:pPr>
              <w:jc w:val="center"/>
              <w:ind w:right="770"/>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25" w:name="page26"/>
    <w:bookmarkEnd w:id="25"/>
    <w:p>
      <w:pPr>
        <w:ind w:left="80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14000 Carlson Parkway</w:t>
      </w:r>
    </w:p>
    <w:p>
      <w:pPr>
        <w:jc w:val="center"/>
        <w:spacing w:after="0"/>
        <w:rPr>
          <w:sz w:val="20"/>
          <w:szCs w:val="20"/>
          <w:color w:val="auto"/>
        </w:rPr>
      </w:pPr>
      <w:r>
        <w:rPr>
          <w:rFonts w:ascii="Times New Roman" w:cs="Times New Roman" w:eastAsia="Times New Roman" w:hAnsi="Times New Roman"/>
          <w:sz w:val="18"/>
          <w:szCs w:val="18"/>
          <w:b w:val="1"/>
          <w:bCs w:val="1"/>
          <w:color w:val="auto"/>
        </w:rPr>
        <w:t>Plymouth, Minnesota 55441</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January 28, 2016</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Lynda Stout</w:t>
      </w:r>
    </w:p>
    <w:p>
      <w:pPr>
        <w:ind w:left="100"/>
        <w:spacing w:after="0" w:line="203" w:lineRule="auto"/>
        <w:rPr>
          <w:sz w:val="20"/>
          <w:szCs w:val="20"/>
          <w:color w:val="auto"/>
        </w:rPr>
      </w:pPr>
      <w:r>
        <w:rPr>
          <w:rFonts w:ascii="Times New Roman" w:cs="Times New Roman" w:eastAsia="Times New Roman" w:hAnsi="Times New Roman"/>
          <w:sz w:val="18"/>
          <w:szCs w:val="18"/>
          <w:color w:val="auto"/>
        </w:rPr>
        <w:t>PO Box 79048</w:t>
      </w:r>
    </w:p>
    <w:p>
      <w:pPr>
        <w:ind w:left="100"/>
        <w:spacing w:after="0"/>
        <w:rPr>
          <w:sz w:val="20"/>
          <w:szCs w:val="20"/>
          <w:color w:val="auto"/>
        </w:rPr>
      </w:pPr>
      <w:r>
        <w:rPr>
          <w:rFonts w:ascii="Times New Roman" w:cs="Times New Roman" w:eastAsia="Times New Roman" w:hAnsi="Times New Roman"/>
          <w:sz w:val="18"/>
          <w:szCs w:val="18"/>
          <w:color w:val="auto"/>
        </w:rPr>
        <w:t>Charlotte, NC 28271</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Lynda:</w:t>
      </w:r>
    </w:p>
    <w:p>
      <w:pPr>
        <w:spacing w:after="0" w:line="144" w:lineRule="exact"/>
        <w:rPr>
          <w:sz w:val="20"/>
          <w:szCs w:val="20"/>
          <w:color w:val="auto"/>
        </w:rPr>
      </w:pPr>
    </w:p>
    <w:p>
      <w:pPr>
        <w:ind w:left="100" w:right="119"/>
        <w:spacing w:after="0" w:line="237" w:lineRule="auto"/>
        <w:rPr>
          <w:sz w:val="20"/>
          <w:szCs w:val="20"/>
          <w:color w:val="auto"/>
        </w:rPr>
      </w:pPr>
      <w:r>
        <w:rPr>
          <w:rFonts w:ascii="Times New Roman" w:cs="Times New Roman" w:eastAsia="Times New Roman" w:hAnsi="Times New Roman"/>
          <w:sz w:val="18"/>
          <w:szCs w:val="18"/>
          <w:color w:val="auto"/>
        </w:rPr>
        <w:t>I am delighted to offer you a position at Tile Shop Holdings, Inc. (the “Company”). This letter serves to confirm the terms of our offer of employment:</w:t>
      </w:r>
    </w:p>
    <w:p>
      <w:pPr>
        <w:spacing w:after="0" w:line="30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Position:</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 Retail Stores</w:t>
            </w:r>
          </w:p>
        </w:tc>
        <w:tc>
          <w:tcPr>
            <w:tcW w:w="0" w:type="dxa"/>
            <w:vAlign w:val="bottom"/>
          </w:tcPr>
          <w:p>
            <w:pPr>
              <w:spacing w:after="0"/>
              <w:rPr>
                <w:sz w:val="1"/>
                <w:szCs w:val="1"/>
                <w:color w:val="auto"/>
              </w:rPr>
            </w:pPr>
          </w:p>
        </w:tc>
      </w:tr>
      <w:tr>
        <w:trPr>
          <w:trHeight w:val="378"/>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Start date:</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29, 2016</w:t>
            </w:r>
          </w:p>
        </w:tc>
        <w:tc>
          <w:tcPr>
            <w:tcW w:w="0" w:type="dxa"/>
            <w:vAlign w:val="bottom"/>
          </w:tcPr>
          <w:p>
            <w:pPr>
              <w:spacing w:after="0"/>
              <w:rPr>
                <w:sz w:val="1"/>
                <w:szCs w:val="1"/>
                <w:color w:val="auto"/>
              </w:rPr>
            </w:pPr>
          </w:p>
        </w:tc>
      </w:tr>
      <w:tr>
        <w:trPr>
          <w:trHeight w:val="378"/>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Status:</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Full-time, Regular</w:t>
            </w:r>
          </w:p>
        </w:tc>
        <w:tc>
          <w:tcPr>
            <w:tcW w:w="0" w:type="dxa"/>
            <w:vAlign w:val="bottom"/>
          </w:tcPr>
          <w:p>
            <w:pPr>
              <w:spacing w:after="0"/>
              <w:rPr>
                <w:sz w:val="1"/>
                <w:szCs w:val="1"/>
                <w:color w:val="auto"/>
              </w:rPr>
            </w:pPr>
          </w:p>
        </w:tc>
      </w:tr>
      <w:tr>
        <w:trPr>
          <w:trHeight w:val="378"/>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Reporting to:</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Chris Homeister, CEO</w:t>
            </w:r>
          </w:p>
        </w:tc>
        <w:tc>
          <w:tcPr>
            <w:tcW w:w="0" w:type="dxa"/>
            <w:vAlign w:val="bottom"/>
          </w:tcPr>
          <w:p>
            <w:pPr>
              <w:spacing w:after="0"/>
              <w:rPr>
                <w:sz w:val="1"/>
                <w:szCs w:val="1"/>
                <w:color w:val="auto"/>
              </w:rPr>
            </w:pPr>
          </w:p>
        </w:tc>
      </w:tr>
      <w:tr>
        <w:trPr>
          <w:trHeight w:val="333"/>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Base salary (annualized) of $310,000, paid in accordance with the Company’s normal payroll</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procedures.</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 should note that the Company may modify salaries and benefits from time to time as its</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74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Board of Directors or the Compensation Committee thereof deems necessary or appropriate, and</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74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all forms of compensation which are referred to in this offer letter are subject to applicable</w:t>
            </w:r>
          </w:p>
        </w:tc>
        <w:tc>
          <w:tcPr>
            <w:tcW w:w="0" w:type="dxa"/>
            <w:vAlign w:val="bottom"/>
          </w:tcPr>
          <w:p>
            <w:pPr>
              <w:spacing w:after="0"/>
              <w:rPr>
                <w:sz w:val="1"/>
                <w:szCs w:val="1"/>
                <w:color w:val="auto"/>
              </w:rPr>
            </w:pPr>
          </w:p>
        </w:tc>
      </w:tr>
      <w:tr>
        <w:trPr>
          <w:trHeight w:val="176"/>
        </w:trPr>
        <w:tc>
          <w:tcPr>
            <w:tcW w:w="1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Bonus:</w:t>
            </w:r>
          </w:p>
        </w:tc>
        <w:tc>
          <w:tcPr>
            <w:tcW w:w="74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withholding and payroll taxes.</w:t>
            </w:r>
          </w:p>
        </w:tc>
        <w:tc>
          <w:tcPr>
            <w:tcW w:w="0" w:type="dxa"/>
            <w:vAlign w:val="bottom"/>
          </w:tcPr>
          <w:p>
            <w:pPr>
              <w:spacing w:after="0"/>
              <w:rPr>
                <w:sz w:val="1"/>
                <w:szCs w:val="1"/>
                <w:color w:val="auto"/>
              </w:rPr>
            </w:pPr>
          </w:p>
        </w:tc>
      </w:tr>
      <w:tr>
        <w:trPr>
          <w:trHeight w:val="184"/>
        </w:trPr>
        <w:tc>
          <w:tcPr>
            <w:tcW w:w="1400" w:type="dxa"/>
            <w:vAlign w:val="bottom"/>
            <w:vMerge w:val="continue"/>
          </w:tcPr>
          <w:p>
            <w:pPr>
              <w:spacing w:after="0"/>
              <w:rPr>
                <w:sz w:val="16"/>
                <w:szCs w:val="16"/>
                <w:color w:val="auto"/>
              </w:rPr>
            </w:pPr>
          </w:p>
        </w:tc>
        <w:tc>
          <w:tcPr>
            <w:tcW w:w="74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The Bonus opportunity would be 50% of pay and it would be based on achieving Company-wide</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goals and personal goals and objectives, pro-rated for the partial year during which you are</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employed by the Company.</w:t>
            </w:r>
          </w:p>
        </w:tc>
        <w:tc>
          <w:tcPr>
            <w:tcW w:w="0" w:type="dxa"/>
            <w:vAlign w:val="bottom"/>
          </w:tcPr>
          <w:p>
            <w:pPr>
              <w:spacing w:after="0"/>
              <w:rPr>
                <w:sz w:val="1"/>
                <w:szCs w:val="1"/>
                <w:color w:val="auto"/>
              </w:rPr>
            </w:pPr>
          </w:p>
        </w:tc>
      </w:tr>
      <w:tr>
        <w:trPr>
          <w:trHeight w:val="333"/>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You will be eligible to receive the Company’s standard benefit package for employees of your</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level.</w:t>
            </w:r>
          </w:p>
        </w:tc>
        <w:tc>
          <w:tcPr>
            <w:tcW w:w="0" w:type="dxa"/>
            <w:vAlign w:val="bottom"/>
          </w:tcPr>
          <w:p>
            <w:pPr>
              <w:spacing w:after="0"/>
              <w:rPr>
                <w:sz w:val="1"/>
                <w:szCs w:val="1"/>
                <w:color w:val="auto"/>
              </w:rPr>
            </w:pPr>
          </w:p>
        </w:tc>
      </w:tr>
      <w:tr>
        <w:trPr>
          <w:trHeight w:val="333"/>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Subject to approval by the Company’s Board of Directors, you will be granted options to purchase</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100,000 shares of the Company’s common stock. The exercise price of the options will be the fair</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market value of the Company’s common stock as of the date of grant. These options will vest over</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a five-year period and will otherwise be subject to the terms of the Company’s 2012 Equity Award</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Plan (the “Plan”) and your Stock Option Agreement entered into pursuant thereto. The options</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will vest evenly over the course of 5 years at 20% per year. The options will have a 7-year life</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upon issuance.</w:t>
            </w:r>
          </w:p>
        </w:tc>
        <w:tc>
          <w:tcPr>
            <w:tcW w:w="0" w:type="dxa"/>
            <w:vAlign w:val="bottom"/>
          </w:tcPr>
          <w:p>
            <w:pPr>
              <w:spacing w:after="0"/>
              <w:rPr>
                <w:sz w:val="1"/>
                <w:szCs w:val="1"/>
                <w:color w:val="auto"/>
              </w:rPr>
            </w:pPr>
          </w:p>
        </w:tc>
      </w:tr>
      <w:tr>
        <w:trPr>
          <w:trHeight w:val="378"/>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Vacation:</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 weeks</w:t>
            </w:r>
          </w:p>
        </w:tc>
        <w:tc>
          <w:tcPr>
            <w:tcW w:w="0" w:type="dxa"/>
            <w:vAlign w:val="bottom"/>
          </w:tcPr>
          <w:p>
            <w:pPr>
              <w:spacing w:after="0"/>
              <w:rPr>
                <w:sz w:val="1"/>
                <w:szCs w:val="1"/>
                <w:color w:val="auto"/>
              </w:rPr>
            </w:pPr>
          </w:p>
        </w:tc>
      </w:tr>
      <w:tr>
        <w:trPr>
          <w:trHeight w:val="378"/>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laptop, tablet, and cell phone of your choosing will be issued on your start date.</w:t>
            </w:r>
          </w:p>
        </w:tc>
        <w:tc>
          <w:tcPr>
            <w:tcW w:w="0" w:type="dxa"/>
            <w:vAlign w:val="bottom"/>
          </w:tcPr>
          <w:p>
            <w:pPr>
              <w:spacing w:after="0"/>
              <w:rPr>
                <w:sz w:val="1"/>
                <w:szCs w:val="1"/>
                <w:color w:val="auto"/>
              </w:rPr>
            </w:pPr>
          </w:p>
        </w:tc>
      </w:tr>
      <w:tr>
        <w:trPr>
          <w:trHeight w:val="333"/>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Re-Location</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 will reimburse re-location related expenses directly to you. For large expenditures,</w:t>
            </w:r>
          </w:p>
        </w:tc>
        <w:tc>
          <w:tcPr>
            <w:tcW w:w="0" w:type="dxa"/>
            <w:vAlign w:val="bottom"/>
          </w:tcPr>
          <w:p>
            <w:pPr>
              <w:spacing w:after="0"/>
              <w:rPr>
                <w:sz w:val="1"/>
                <w:szCs w:val="1"/>
                <w:color w:val="auto"/>
              </w:rPr>
            </w:pPr>
          </w:p>
        </w:tc>
      </w:tr>
      <w:tr>
        <w:trPr>
          <w:trHeight w:val="189"/>
        </w:trPr>
        <w:tc>
          <w:tcPr>
            <w:tcW w:w="14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Expenses:</w:t>
            </w:r>
          </w:p>
        </w:tc>
        <w:tc>
          <w:tcPr>
            <w:tcW w:w="74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please have them pre-approved by me first. At your election, the company will pay these expenses</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directly to a vendor of your choosing that will assist you in your move.</w:t>
            </w:r>
          </w:p>
        </w:tc>
        <w:tc>
          <w:tcPr>
            <w:tcW w:w="0" w:type="dxa"/>
            <w:vAlign w:val="bottom"/>
          </w:tcPr>
          <w:p>
            <w:pPr>
              <w:spacing w:after="0"/>
              <w:rPr>
                <w:sz w:val="1"/>
                <w:szCs w:val="1"/>
                <w:color w:val="auto"/>
              </w:rPr>
            </w:pPr>
          </w:p>
        </w:tc>
      </w:tr>
      <w:tr>
        <w:trPr>
          <w:trHeight w:val="392"/>
        </w:trPr>
        <w:tc>
          <w:tcPr>
            <w:tcW w:w="140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EEEEEE"/>
            </w:tcBorders>
          </w:tcPr>
          <w:p>
            <w:pPr>
              <w:spacing w:after="0" w:line="20" w:lineRule="exact"/>
              <w:rPr>
                <w:sz w:val="1"/>
                <w:szCs w:val="1"/>
                <w:color w:val="auto"/>
              </w:rPr>
            </w:pPr>
          </w:p>
        </w:tc>
        <w:tc>
          <w:tcPr>
            <w:tcW w:w="74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1660" w:right="959"/>
        <w:spacing w:after="0" w:line="251" w:lineRule="auto"/>
        <w:rPr>
          <w:sz w:val="20"/>
          <w:szCs w:val="20"/>
          <w:color w:val="auto"/>
        </w:rPr>
      </w:pPr>
      <w:r>
        <w:rPr>
          <w:rFonts w:ascii="Times New Roman" w:cs="Times New Roman" w:eastAsia="Times New Roman" w:hAnsi="Times New Roman"/>
          <w:sz w:val="18"/>
          <w:szCs w:val="18"/>
          <w:color w:val="auto"/>
        </w:rPr>
        <w:t>It is the expectation of the company that your permanent move to the Twin Cities will be completed 3 months following your start date.</w:t>
      </w:r>
    </w:p>
    <w:p>
      <w:pPr>
        <w:spacing w:after="0" w:line="121" w:lineRule="exact"/>
        <w:rPr>
          <w:sz w:val="20"/>
          <w:szCs w:val="20"/>
          <w:color w:val="auto"/>
        </w:rPr>
      </w:pPr>
    </w:p>
    <w:p>
      <w:pPr>
        <w:ind w:left="100" w:right="159"/>
        <w:spacing w:after="0" w:line="226" w:lineRule="auto"/>
        <w:rPr>
          <w:sz w:val="20"/>
          <w:szCs w:val="20"/>
          <w:color w:val="auto"/>
        </w:rPr>
      </w:pPr>
      <w:r>
        <w:rPr>
          <w:rFonts w:ascii="Times New Roman" w:cs="Times New Roman" w:eastAsia="Times New Roman" w:hAnsi="Times New Roman"/>
          <w:sz w:val="18"/>
          <w:szCs w:val="18"/>
          <w:color w:val="auto"/>
        </w:rPr>
        <w:t>If a copy of your Social Security Card is not already on file with the Company, please provide the Company with your Social Security Card when you execute and return this letter. We will make a copy of your card and it will be kept in your employee file for payroll purposes.</w:t>
      </w:r>
    </w:p>
    <w:p>
      <w:pPr>
        <w:spacing w:after="0" w:line="118" w:lineRule="exact"/>
        <w:rPr>
          <w:sz w:val="20"/>
          <w:szCs w:val="20"/>
          <w:color w:val="auto"/>
        </w:rPr>
      </w:pPr>
    </w:p>
    <w:p>
      <w:pPr>
        <w:ind w:left="100" w:right="259"/>
        <w:spacing w:after="0" w:line="217" w:lineRule="auto"/>
        <w:rPr>
          <w:sz w:val="20"/>
          <w:szCs w:val="20"/>
          <w:color w:val="auto"/>
        </w:rPr>
      </w:pPr>
      <w:r>
        <w:rPr>
          <w:rFonts w:ascii="Times New Roman" w:cs="Times New Roman" w:eastAsia="Times New Roman" w:hAnsi="Times New Roman"/>
          <w:sz w:val="18"/>
          <w:szCs w:val="18"/>
          <w:color w:val="auto"/>
        </w:rPr>
        <w:t>Please understand that your employment with the Company is for no specified period and constitutes “at-will” employment. As a result, you are free to resign at any time, for any reason or for no reason, with or without notice. Similarly, the Company is free to conclude its employment relationship with you at any time, with or without cause, and with or without notice. This offer of employment is valid for consideration by the candidate until Friday, January 29, 2016.</w:t>
      </w:r>
    </w:p>
    <w:p>
      <w:pPr>
        <w:spacing w:after="0" w:line="118" w:lineRule="exact"/>
        <w:rPr>
          <w:sz w:val="20"/>
          <w:szCs w:val="20"/>
          <w:color w:val="auto"/>
        </w:rPr>
      </w:pPr>
    </w:p>
    <w:p>
      <w:pPr>
        <w:ind w:left="100" w:right="219"/>
        <w:spacing w:after="0" w:line="226" w:lineRule="auto"/>
        <w:rPr>
          <w:sz w:val="20"/>
          <w:szCs w:val="20"/>
          <w:color w:val="auto"/>
        </w:rPr>
      </w:pPr>
      <w:r>
        <w:rPr>
          <w:rFonts w:ascii="Times New Roman" w:cs="Times New Roman" w:eastAsia="Times New Roman" w:hAnsi="Times New Roman"/>
          <w:sz w:val="18"/>
          <w:szCs w:val="18"/>
          <w:color w:val="auto"/>
        </w:rPr>
        <w:t>The Company reserves the right to conduct background investigations and/or reference checks on all of its potential employees. Your job offer, therefore, is contingent upon a clearance of such a background investigation and/or reference check, if any.</w:t>
      </w:r>
    </w:p>
    <w:p>
      <w:pPr>
        <w:spacing w:after="0" w:line="118" w:lineRule="exact"/>
        <w:rPr>
          <w:sz w:val="20"/>
          <w:szCs w:val="20"/>
          <w:color w:val="auto"/>
        </w:rPr>
      </w:pPr>
    </w:p>
    <w:p>
      <w:pPr>
        <w:ind w:left="100" w:right="139"/>
        <w:spacing w:after="0" w:line="220" w:lineRule="auto"/>
        <w:rPr>
          <w:sz w:val="20"/>
          <w:szCs w:val="20"/>
          <w:color w:val="auto"/>
        </w:rPr>
      </w:pPr>
      <w:r>
        <w:rPr>
          <w:rFonts w:ascii="Times New Roman" w:cs="Times New Roman" w:eastAsia="Times New Roman" w:hAnsi="Times New Roman"/>
          <w:sz w:val="18"/>
          <w:szCs w:val="18"/>
          <w:color w:val="auto"/>
        </w:rPr>
        <w:t>For purposes of federal immigration law, you will be required to provide to the Company documentary evidence of your identity and eligibility for employment in the United States, if you have not already done so. Such documentation must be provided to the Company within three (3) business days of your date of hire, or our employment relationship with you may be terminated.</w:t>
      </w:r>
    </w:p>
    <w:p>
      <w:pPr>
        <w:spacing w:after="0" w:line="119" w:lineRule="exact"/>
        <w:rPr>
          <w:sz w:val="20"/>
          <w:szCs w:val="20"/>
          <w:color w:val="auto"/>
        </w:rPr>
      </w:pPr>
    </w:p>
    <w:p>
      <w:pPr>
        <w:jc w:val="both"/>
        <w:ind w:left="100" w:right="279"/>
        <w:spacing w:after="0" w:line="226" w:lineRule="auto"/>
        <w:rPr>
          <w:sz w:val="20"/>
          <w:szCs w:val="20"/>
          <w:color w:val="auto"/>
        </w:rPr>
      </w:pPr>
      <w:r>
        <w:rPr>
          <w:rFonts w:ascii="Times New Roman" w:cs="Times New Roman" w:eastAsia="Times New Roman" w:hAnsi="Times New Roman"/>
          <w:sz w:val="18"/>
          <w:szCs w:val="18"/>
          <w:color w:val="auto"/>
        </w:rPr>
        <w:t>Like all Company employees of your level, you will be required, as a condition of your employment with the Company, to sign the Company’s Nondisclosure, Confidentiality, Assignment and Noncompetition Agreement, a copy of which is attached hereto as Exhibit A (the “Non-Competition and Non-Disclosure Agreement”).</w:t>
      </w:r>
    </w:p>
    <w:p>
      <w:pPr>
        <w:spacing w:after="0" w:line="118" w:lineRule="exact"/>
        <w:rPr>
          <w:sz w:val="20"/>
          <w:szCs w:val="20"/>
          <w:color w:val="auto"/>
        </w:rPr>
      </w:pPr>
    </w:p>
    <w:p>
      <w:pPr>
        <w:ind w:left="100" w:right="139"/>
        <w:spacing w:after="0" w:line="220" w:lineRule="auto"/>
        <w:rPr>
          <w:sz w:val="20"/>
          <w:szCs w:val="20"/>
          <w:color w:val="auto"/>
        </w:rPr>
      </w:pPr>
      <w:r>
        <w:rPr>
          <w:rFonts w:ascii="Times New Roman" w:cs="Times New Roman" w:eastAsia="Times New Roman" w:hAnsi="Times New Roman"/>
          <w:sz w:val="18"/>
          <w:szCs w:val="18"/>
          <w:color w:val="auto"/>
        </w:rPr>
        <w:t>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119"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To indicate your acceptance of our offer, please sign and date the attached Acceptance and Acknowledgement. This letter, along with the Company’s Non-Competition and Non-Disclosure Agreement, set forth the terms of your employment with the Company and supersede any prior representations or agreements, whether written or oral. This letter may not be modified or amended except by a written agreement, signed by an Officer of the Company and by you.</w:t>
      </w:r>
    </w:p>
    <w:p>
      <w:pPr>
        <w:spacing w:after="0" w:line="119" w:lineRule="exact"/>
        <w:rPr>
          <w:sz w:val="20"/>
          <w:szCs w:val="20"/>
          <w:color w:val="auto"/>
        </w:rPr>
      </w:pPr>
    </w:p>
    <w:p>
      <w:pPr>
        <w:ind w:left="100" w:right="239"/>
        <w:spacing w:after="0" w:line="237" w:lineRule="auto"/>
        <w:rPr>
          <w:sz w:val="20"/>
          <w:szCs w:val="20"/>
          <w:color w:val="auto"/>
        </w:rPr>
      </w:pPr>
      <w:r>
        <w:rPr>
          <w:rFonts w:ascii="Times New Roman" w:cs="Times New Roman" w:eastAsia="Times New Roman" w:hAnsi="Times New Roman"/>
          <w:sz w:val="18"/>
          <w:szCs w:val="18"/>
          <w:color w:val="auto"/>
        </w:rPr>
        <w:t>Lynda, I am looking forward to your arrival and expect your direct contributions to have a significant positive impact on the organization.</w:t>
      </w:r>
    </w:p>
    <w:p>
      <w:pPr>
        <w:spacing w:after="0" w:line="1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Kindest personal regards,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Chris Homeister</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Chris Homeister, Chief Executive Officer</w:t>
      </w:r>
    </w:p>
    <w:p>
      <w:pPr>
        <w:ind w:left="10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112395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14000 Carlson Parkway</w:t>
      </w:r>
    </w:p>
    <w:p>
      <w:pPr>
        <w:jc w:val="center"/>
        <w:spacing w:after="0"/>
        <w:rPr>
          <w:sz w:val="20"/>
          <w:szCs w:val="20"/>
          <w:color w:val="auto"/>
        </w:rPr>
      </w:pPr>
      <w:r>
        <w:rPr>
          <w:rFonts w:ascii="Times New Roman" w:cs="Times New Roman" w:eastAsia="Times New Roman" w:hAnsi="Times New Roman"/>
          <w:sz w:val="18"/>
          <w:szCs w:val="18"/>
          <w:b w:val="1"/>
          <w:bCs w:val="1"/>
          <w:color w:val="auto"/>
        </w:rPr>
        <w:t>Plymouth, Minnesota 55441</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ACCEPTANCE AND ACKNOWLEDGMENT</w:t>
      </w:r>
    </w:p>
    <w:p>
      <w:pPr>
        <w:spacing w:after="0" w:line="148" w:lineRule="exact"/>
        <w:rPr>
          <w:sz w:val="20"/>
          <w:szCs w:val="20"/>
          <w:color w:val="auto"/>
        </w:rPr>
      </w:pPr>
    </w:p>
    <w:p>
      <w:pPr>
        <w:jc w:val="both"/>
        <w:ind w:left="100" w:right="99"/>
        <w:spacing w:after="0" w:line="214" w:lineRule="auto"/>
        <w:rPr>
          <w:sz w:val="20"/>
          <w:szCs w:val="20"/>
          <w:color w:val="auto"/>
        </w:rPr>
      </w:pPr>
      <w:r>
        <w:rPr>
          <w:rFonts w:ascii="Times New Roman" w:cs="Times New Roman" w:eastAsia="Times New Roman" w:hAnsi="Times New Roman"/>
          <w:sz w:val="18"/>
          <w:szCs w:val="18"/>
          <w:color w:val="auto"/>
        </w:rPr>
        <w:t>I accept the offer of employment from the Company as set forth in the offer letter dated January 28, 2016. I understand and acknowledge that my employment with the Company is for no particular duration and is at-will, meaning that I, or the Company, may terminate the employment relationship at any time, with or without cause and with or without prior notice. Additionally, I acknowledge that the Company reserves the right to conduct background investigations and/or reference checks on all of its potential employees, and that my job offer, therefore, is contingent upon a clearance of such a background investigation and/or reference check, if any.</w:t>
      </w:r>
    </w:p>
    <w:p>
      <w:pPr>
        <w:spacing w:after="0" w:line="122" w:lineRule="exact"/>
        <w:rPr>
          <w:sz w:val="20"/>
          <w:szCs w:val="20"/>
          <w:color w:val="auto"/>
        </w:rPr>
      </w:pPr>
    </w:p>
    <w:p>
      <w:pPr>
        <w:jc w:val="both"/>
        <w:ind w:left="100" w:right="99"/>
        <w:spacing w:after="0" w:line="212" w:lineRule="auto"/>
        <w:rPr>
          <w:sz w:val="20"/>
          <w:szCs w:val="20"/>
          <w:color w:val="auto"/>
        </w:rPr>
      </w:pPr>
      <w:r>
        <w:rPr>
          <w:rFonts w:ascii="Times New Roman" w:cs="Times New Roman" w:eastAsia="Times New Roman" w:hAnsi="Times New Roman"/>
          <w:sz w:val="18"/>
          <w:szCs w:val="18"/>
          <w:color w:val="auto"/>
        </w:rPr>
        <w:t>I understand and agree that the terms and conditions set forth in the offer letter represent the entire agreement between the Company and me superseding all prior negotiations and agreements, whether written or oral. I understand that the terms and conditions described in the offer letter, along with the Company’s Non-Competition and Non-Disclosure Agreement are the terms and conditions of my employment. No one other than an Officer of the Company is authorized to sign any employment or other agreement which modifies the terms of the offer letter and the Company’s Non-Competition and Non-Disclosure Agreement, and any such modification must be in writing and signed by such individual. I understand that the Company may modify salary and benefits as well as other plans and programs from time to time as its Board of Directors or the Compensation Committee thereof deems necessary or appropriate.</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Signature: /s/ Lynda W. Stout</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7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Lynda Stout</w:t>
            </w:r>
          </w:p>
        </w:tc>
      </w:tr>
      <w:tr>
        <w:trPr>
          <w:trHeight w:val="35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28, 2016</w:t>
            </w:r>
          </w:p>
        </w:tc>
      </w:tr>
      <w:tr>
        <w:trPr>
          <w:trHeight w:val="189"/>
        </w:trPr>
        <w:tc>
          <w:tcPr>
            <w:tcW w:w="1100" w:type="dxa"/>
            <w:vAlign w:val="bottom"/>
            <w:tcBorders>
              <w:bottom w:val="single" w:sz="8" w:color="9A9A9A"/>
            </w:tcBorders>
          </w:tcPr>
          <w:p>
            <w:pPr>
              <w:spacing w:after="0"/>
              <w:rPr>
                <w:sz w:val="16"/>
                <w:szCs w:val="16"/>
                <w:color w:val="auto"/>
              </w:rPr>
            </w:pPr>
          </w:p>
        </w:tc>
        <w:tc>
          <w:tcPr>
            <w:tcW w:w="7760" w:type="dxa"/>
            <w:vAlign w:val="bottom"/>
            <w:tcBorders>
              <w:bottom w:val="single" w:sz="8" w:color="9A9A9A"/>
            </w:tcBorders>
          </w:tcPr>
          <w:p>
            <w:pPr>
              <w:spacing w:after="0"/>
              <w:rPr>
                <w:sz w:val="16"/>
                <w:szCs w:val="16"/>
                <w:color w:val="auto"/>
              </w:rPr>
            </w:pPr>
          </w:p>
        </w:tc>
      </w:tr>
      <w:tr>
        <w:trPr>
          <w:trHeight w:val="20"/>
        </w:trPr>
        <w:tc>
          <w:tcPr>
            <w:tcW w:w="1100" w:type="dxa"/>
            <w:vAlign w:val="bottom"/>
            <w:tcBorders>
              <w:bottom w:val="single" w:sz="8" w:color="EEEEEE"/>
            </w:tcBorders>
          </w:tcPr>
          <w:p>
            <w:pPr>
              <w:spacing w:after="0" w:line="20" w:lineRule="exact"/>
              <w:rPr>
                <w:sz w:val="1"/>
                <w:szCs w:val="1"/>
                <w:color w:val="auto"/>
              </w:rPr>
            </w:pPr>
          </w:p>
        </w:tc>
        <w:tc>
          <w:tcPr>
            <w:tcW w:w="7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28" w:name="page29"/>
    <w:bookmarkEnd w:id="28"/>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3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NONDISCLOSURE, CONFIDENTIALITY, ASSIGNMENT AND NONCOMPETITION AGREEMENT</w:t>
      </w:r>
    </w:p>
    <w:p>
      <w:pPr>
        <w:spacing w:after="0" w:line="124" w:lineRule="exact"/>
        <w:rPr>
          <w:sz w:val="20"/>
          <w:szCs w:val="20"/>
          <w:color w:val="auto"/>
        </w:rPr>
      </w:pPr>
    </w:p>
    <w:p>
      <w:pPr>
        <w:jc w:val="both"/>
        <w:ind w:left="100" w:right="99" w:firstLine="648"/>
        <w:spacing w:after="0" w:line="220" w:lineRule="auto"/>
        <w:rPr>
          <w:sz w:val="20"/>
          <w:szCs w:val="20"/>
          <w:color w:val="auto"/>
        </w:rPr>
      </w:pPr>
      <w:r>
        <w:rPr>
          <w:rFonts w:ascii="Times New Roman" w:cs="Times New Roman" w:eastAsia="Times New Roman" w:hAnsi="Times New Roman"/>
          <w:sz w:val="18"/>
          <w:szCs w:val="18"/>
          <w:color w:val="auto"/>
        </w:rPr>
        <w:t>THIS NONDISCLOSURE, CONFIDENTIALITY, ASSIGNMENT AND NONCOMPETITION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this the 21st day of January 2016, by and between Tile Shop Holdings, Inc., a Delaware corporation and its subsidiaries (collectively with any predecessors, successors, and assignees,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Lynda Stout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me</w:t>
      </w:r>
      <w:r>
        <w:rPr>
          <w:rFonts w:ascii="Times New Roman" w:cs="Times New Roman" w:eastAsia="Times New Roman" w:hAnsi="Times New Roman"/>
          <w:sz w:val="18"/>
          <w:szCs w:val="18"/>
          <w:color w:val="auto"/>
        </w:rPr>
        <w:t>”), to be effective on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100" w:right="99" w:firstLine="648"/>
        <w:spacing w:after="0" w:line="226" w:lineRule="auto"/>
        <w:rPr>
          <w:sz w:val="20"/>
          <w:szCs w:val="20"/>
          <w:color w:val="auto"/>
        </w:rPr>
      </w:pPr>
      <w:r>
        <w:rPr>
          <w:rFonts w:ascii="Times New Roman" w:cs="Times New Roman" w:eastAsia="Times New Roman" w:hAnsi="Times New Roman"/>
          <w:sz w:val="18"/>
          <w:szCs w:val="18"/>
          <w:color w:val="auto"/>
        </w:rPr>
        <w:t>In consideration of my engagement or continued engagement as an officer, employee, director, advisor, partner, independent contractor or consultant of the Company (an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and for other valuable consideration, the receipt and sufficiency of which is hereby acknowledged, I hereby agree as follows:</w:t>
      </w:r>
    </w:p>
    <w:p>
      <w:pPr>
        <w:spacing w:after="0" w:line="114" w:lineRule="exact"/>
        <w:rPr>
          <w:sz w:val="20"/>
          <w:szCs w:val="20"/>
          <w:color w:val="auto"/>
        </w:rPr>
      </w:pPr>
    </w:p>
    <w:p>
      <w:pPr>
        <w:ind w:left="1120" w:hanging="367"/>
        <w:spacing w:after="0"/>
        <w:tabs>
          <w:tab w:leader="none" w:pos="11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400"/>
        <w:spacing w:after="0"/>
        <w:tabs>
          <w:tab w:leader="none" w:pos="18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direct or indirect subsidiary of the Company.</w:t>
      </w:r>
    </w:p>
    <w:p>
      <w:pPr>
        <w:spacing w:after="0" w:line="144" w:lineRule="exact"/>
        <w:rPr>
          <w:sz w:val="20"/>
          <w:szCs w:val="20"/>
          <w:color w:val="auto"/>
        </w:rPr>
      </w:pPr>
    </w:p>
    <w:p>
      <w:pPr>
        <w:jc w:val="both"/>
        <w:ind w:left="100" w:right="99" w:firstLine="1296"/>
        <w:spacing w:after="0" w:line="210"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and all confidential and/or proprietary knowledge, data or information concerning the business, business relationships and financial affairs of the Company or its Affiliates whether or not in writing and whether or not labeled or identified as confidential or proprietary. By way of illustration, but not limitation, Confidential Information includes: (a) Inventions and (b) research and development activities of the Company or its Affiliates, services and marketing plans, business plans, budgets and unpublished financial statements, licenses, prices and costs, customer and supplier information and information disclosed to the Company or its Affiliates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or its Affiliates.</w:t>
      </w:r>
    </w:p>
    <w:p>
      <w:pPr>
        <w:spacing w:after="0" w:line="115" w:lineRule="exact"/>
        <w:rPr>
          <w:sz w:val="20"/>
          <w:szCs w:val="20"/>
          <w:color w:val="auto"/>
        </w:rPr>
      </w:pPr>
    </w:p>
    <w:p>
      <w:pPr>
        <w:jc w:val="both"/>
        <w:ind w:left="100" w:right="99" w:firstLine="1296"/>
        <w:spacing w:after="0" w:line="210"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all ideas, concepts, discoveries, inventions, developments, improvements, formulations, products, processes, know-how, designs, formulas, methods, developmental or experimental work, clinical data, original works of authorship, software programs, software and systems documentation, trade secrets, technical data, or licenses to use (whether or not patentable or registrable under copyright or similar statutes), that are or were made, conceived, devised, invented, developed or reduced to practice or tangible medium by me, either alone or jointly with others (a) during any period that I am an Associate of the Company, whether or not during normal working hours or on the premises of the Company, which relate, directly or indirectly, to the business of the Company or its Affiliates, (b) at the request of or for the benefit of the Company during any period prior to my engagement as an Associate of the Company which relate, directly or indirectly, to the business of the Company or its Affiliates, or (c) which arise out of, or are incidental to, my engagement as an Associate of the Company.</w:t>
      </w:r>
    </w:p>
    <w:p>
      <w:pPr>
        <w:spacing w:after="0" w:line="120" w:lineRule="exact"/>
        <w:rPr>
          <w:sz w:val="20"/>
          <w:szCs w:val="20"/>
          <w:color w:val="auto"/>
        </w:rPr>
      </w:pPr>
    </w:p>
    <w:p>
      <w:pPr>
        <w:jc w:val="both"/>
        <w:ind w:left="100" w:right="99" w:firstLine="1296"/>
        <w:spacing w:after="0" w:line="227"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Prior Inventions</w:t>
      </w:r>
      <w:r>
        <w:rPr>
          <w:rFonts w:ascii="Times New Roman" w:cs="Times New Roman" w:eastAsia="Times New Roman" w:hAnsi="Times New Roman"/>
          <w:sz w:val="18"/>
          <w:szCs w:val="18"/>
          <w:color w:val="auto"/>
        </w:rPr>
        <w:t>” means any inventions made, conceived, devised, invented, developed or first reduced to practice by me, under my direction or jointly with others prior to the date of this Agreement and which do not constitute Inventions within the meaning of Section 1.3 above.</w:t>
      </w:r>
    </w:p>
    <w:p>
      <w:pPr>
        <w:spacing w:after="0" w:line="115" w:lineRule="exact"/>
        <w:rPr>
          <w:sz w:val="20"/>
          <w:szCs w:val="20"/>
          <w:color w:val="auto"/>
        </w:rPr>
      </w:pPr>
    </w:p>
    <w:p>
      <w:pPr>
        <w:jc w:val="both"/>
        <w:ind w:left="100" w:right="99" w:firstLine="1296"/>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Third Party Information</w:t>
      </w:r>
      <w:r>
        <w:rPr>
          <w:rFonts w:ascii="Times New Roman" w:cs="Times New Roman" w:eastAsia="Times New Roman" w:hAnsi="Times New Roman"/>
          <w:sz w:val="18"/>
          <w:szCs w:val="18"/>
          <w:color w:val="auto"/>
        </w:rPr>
        <w:t>” means any confidential or proprietary information received by the Company or its Affiliates from third parties.</w:t>
      </w:r>
    </w:p>
    <w:p>
      <w:pPr>
        <w:spacing w:after="0" w:line="113" w:lineRule="exact"/>
        <w:rPr>
          <w:sz w:val="20"/>
          <w:szCs w:val="20"/>
          <w:color w:val="auto"/>
        </w:rPr>
      </w:pPr>
    </w:p>
    <w:p>
      <w:pPr>
        <w:ind w:left="1120" w:hanging="367"/>
        <w:spacing w:after="0"/>
        <w:tabs>
          <w:tab w:leader="none" w:pos="11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100" w:right="99" w:firstLine="1296"/>
        <w:spacing w:after="0" w:line="21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Recognition of the Company’s Rights</w:t>
      </w:r>
      <w:r>
        <w:rPr>
          <w:rFonts w:ascii="Times New Roman" w:cs="Times New Roman" w:eastAsia="Times New Roman" w:hAnsi="Times New Roman"/>
          <w:sz w:val="18"/>
          <w:szCs w:val="18"/>
          <w:color w:val="auto"/>
        </w:rPr>
        <w:t>. I understand that the Company continually obtains and develops valuable Confidential Information which may or has become known to me in connection with my engagement as an Associate of the Company. I acknowledge that all Confidential Information is and shall remain the exclusive property of the Company or the third party providing such Confidential Information to myself, the Company, or the Company’s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107950</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jc w:val="both"/>
        <w:ind w:left="100" w:right="99" w:firstLine="1296"/>
        <w:spacing w:after="0" w:line="21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I agree that during the term of my engagement as an Associate of the Company and thereafter, I will hold in strictest confidence and will not disclose, use, lecture upon, publish or otherwise make available to any third party (other than personnel of the Company or its Affiliates who need to know such information in connection with their work for the Company), any Confidential Information of the Company, except as such disclosure, use or publication may be required in connection with my work for the Company, or as expressly authorized in writing by an executive officer of the Company. I agree that I shall use such Confidential Information only in the performance of my duties for the Company and in accordance with any Company policies with respect to the protection of Confidential Information. I agree not to use such Confidential Information for my own benefit or for the benefit of any other person or business entity.</w:t>
      </w:r>
    </w:p>
    <w:p>
      <w:pPr>
        <w:spacing w:after="0" w:line="118" w:lineRule="exact"/>
        <w:rPr>
          <w:sz w:val="20"/>
          <w:szCs w:val="20"/>
          <w:color w:val="auto"/>
        </w:rPr>
      </w:pPr>
    </w:p>
    <w:p>
      <w:pPr>
        <w:jc w:val="both"/>
        <w:ind w:left="100" w:right="99" w:firstLine="1296"/>
        <w:spacing w:after="0" w:line="21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In addition, I understand that the Company has received and in the future will receive Third Party Information subject to a duty on the Company's part to maintain the confidentiality of such information and to use it only for certain limited purposes. During the term of my engagement as an Associate of the Company and thereafter, I will hold Third Party Information in the strictest confidence and will not disclose to anyone (other than personnel of the Company or its Affiliates who need to know such information in connection with the performance of their duties for the Company) or use any Third Party Information, except as such disclosure or use may be required in connection with the performance of my duties for the Company, or as expressly authorized in writing by an executive officer of the Company.</w:t>
      </w:r>
    </w:p>
    <w:p>
      <w:pPr>
        <w:spacing w:after="0" w:line="117" w:lineRule="exact"/>
        <w:rPr>
          <w:sz w:val="20"/>
          <w:szCs w:val="20"/>
          <w:color w:val="auto"/>
        </w:rPr>
      </w:pPr>
    </w:p>
    <w:p>
      <w:pPr>
        <w:jc w:val="both"/>
        <w:ind w:left="100" w:right="99" w:firstLine="1296"/>
        <w:spacing w:after="0" w:line="20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My obligations under Sections 2.2 and 2.3 hereof shall not apply to the extent that certain Confidential Information: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or the Company’s Affiliates and who imposes no obligation of confidence to me, the Company, or the Company’s Affiliates; or</w:t>
      </w:r>
    </w:p>
    <w:p>
      <w:pPr>
        <w:spacing w:after="0" w:line="1" w:lineRule="exact"/>
        <w:rPr>
          <w:sz w:val="20"/>
          <w:szCs w:val="20"/>
          <w:color w:val="auto"/>
        </w:rPr>
      </w:pPr>
    </w:p>
    <w:p>
      <w:pPr>
        <w:jc w:val="both"/>
        <w:ind w:left="100" w:right="99" w:firstLine="5"/>
        <w:spacing w:after="0" w:line="218" w:lineRule="auto"/>
        <w:tabs>
          <w:tab w:leader="none" w:pos="3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118" w:lineRule="exact"/>
        <w:rPr>
          <w:sz w:val="20"/>
          <w:szCs w:val="20"/>
          <w:color w:val="auto"/>
        </w:rPr>
      </w:pPr>
    </w:p>
    <w:p>
      <w:pPr>
        <w:jc w:val="both"/>
        <w:ind w:left="100" w:right="99" w:firstLine="1296"/>
        <w:spacing w:after="0" w:line="21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Protection and Return of Confidential Information</w:t>
      </w:r>
      <w:r>
        <w:rPr>
          <w:rFonts w:ascii="Times New Roman" w:cs="Times New Roman" w:eastAsia="Times New Roman" w:hAnsi="Times New Roman"/>
          <w:sz w:val="18"/>
          <w:szCs w:val="18"/>
          <w:color w:val="auto"/>
        </w:rPr>
        <w:t>. I agree to exercise all reasonable precautions to protect the integrity and confidentiality of Confidential Information in my possession and not to remove any materials containing Confidential Information from the premises of the Company, except to the extent necessary in the performance of my duties for the Company or unless expressly authorized in writing by an executive officer of the Company. Upon the termination of my engagement as an Associate of the Company, or at any time upon the Company’s request, I shall return immediately to the Company any and all notes, memoranda, specifications, devices, formulas and documents, together with copies thereof, and any other material containing or disclosing any Confidential Information of the Company or Third Party Information then in my possession or under my control.</w:t>
      </w:r>
    </w:p>
    <w:p>
      <w:pPr>
        <w:spacing w:after="0" w:line="113" w:lineRule="exact"/>
        <w:rPr>
          <w:sz w:val="20"/>
          <w:szCs w:val="20"/>
          <w:color w:val="auto"/>
        </w:rPr>
      </w:pPr>
    </w:p>
    <w:p>
      <w:pPr>
        <w:ind w:left="1100" w:hanging="347"/>
        <w:spacing w:after="0"/>
        <w:tabs>
          <w:tab w:leader="none" w:pos="11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INVENTIONS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100" w:right="99" w:firstLine="1296"/>
        <w:spacing w:after="0" w:line="22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Ownership of Inventions</w:t>
      </w:r>
      <w:r>
        <w:rPr>
          <w:rFonts w:ascii="Times New Roman" w:cs="Times New Roman" w:eastAsia="Times New Roman" w:hAnsi="Times New Roman"/>
          <w:sz w:val="18"/>
          <w:szCs w:val="18"/>
          <w:color w:val="auto"/>
        </w:rPr>
        <w:t>. I acknowledge that all Inventions already existing at the date of this Agreement or which arise after the date of this Agreement, belong to and are the absolute property of the Company and will not be used by me for any purpose other than carrying out my duties as an Associate of the Company.</w:t>
      </w:r>
    </w:p>
    <w:p>
      <w:pPr>
        <w:spacing w:after="0" w:line="118" w:lineRule="exact"/>
        <w:rPr>
          <w:sz w:val="20"/>
          <w:szCs w:val="20"/>
          <w:color w:val="auto"/>
        </w:rPr>
      </w:pPr>
    </w:p>
    <w:p>
      <w:pPr>
        <w:jc w:val="both"/>
        <w:ind w:left="100" w:right="99" w:firstLine="1296"/>
        <w:spacing w:after="0" w:line="20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Assignment of Inventions; Enforcement of Rights</w:t>
      </w:r>
      <w:r>
        <w:rPr>
          <w:rFonts w:ascii="Times New Roman" w:cs="Times New Roman" w:eastAsia="Times New Roman" w:hAnsi="Times New Roman"/>
          <w:sz w:val="18"/>
          <w:szCs w:val="18"/>
          <w:color w:val="auto"/>
        </w:rPr>
        <w:t>. Subject to Section 3.6, I hereby assign and agree to assign in the future to the Company all of my right, title and interest to any and all Inventions and any and all related patent rights, copyrights and applications and registrations therefore. I also agree to assign all my right, title and interest in and to any particular Inventions to a third party as directed by the Company. During and after my engagement as an Associate of the Company, I shall cooperate with the Company, at the Company’s expense, in obtaining proprietary protection for the Inventions and I shall execute all documents which the Company shall reasonably request in order to perfect the Company’s rights in the Inventions. I hereby appoint the Company my attorney to execute and deliver any such documents on my behalf in the event I should fail or refuse to do so within a reasonable period following the Company’s request. I understand that, to the extent this Agreement shall be construed in accordance with the laws of any country or state which limits the assignability to the Company of certain inventions, this Agreement shall be interpreted not to apply to any such invention which a court rules or the Company agrees is subject to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111760</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0" w:name="page31"/>
    <w:bookmarkEnd w:id="30"/>
    <w:p>
      <w:pPr>
        <w:jc w:val="both"/>
        <w:ind w:left="100" w:right="99" w:firstLine="1296"/>
        <w:spacing w:after="0" w:line="21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Works for Hire</w:t>
      </w:r>
      <w:r>
        <w:rPr>
          <w:rFonts w:ascii="Times New Roman" w:cs="Times New Roman" w:eastAsia="Times New Roman" w:hAnsi="Times New Roman"/>
          <w:sz w:val="18"/>
          <w:szCs w:val="18"/>
          <w:color w:val="auto"/>
        </w:rPr>
        <w:t>. I acknowledge that all original works of authorship made by me (solely or jointly with others) within the scope of my engagement as an Associate of the Company or any prior engagement by the Company, which are protectable by copyright are intended to be “works made for hire”, as that term is defined in Section 101 of the United States Copyright Act of 1976 (the “Act”), and shall be the property of the Company and the Company shall be the sole author within the meaning of the Act. If the copyright to any such copyrightable work shall not be the property of the Company by operation of law, I will, without further consideration, assign to the Company all of my right, title and interest in such copyrightable work and will cooperate with the Company and its designees, at the Company’s expense, to secure, maintain and defend for the Company’s benefit copyrights and any extensions and renewals thereof on any and all such work. I hereby waive all claims to moral rights in any Inventions.</w:t>
      </w:r>
    </w:p>
    <w:p>
      <w:pPr>
        <w:spacing w:after="0" w:line="118" w:lineRule="exact"/>
        <w:rPr>
          <w:sz w:val="20"/>
          <w:szCs w:val="20"/>
          <w:color w:val="auto"/>
        </w:rPr>
      </w:pPr>
    </w:p>
    <w:p>
      <w:pPr>
        <w:jc w:val="both"/>
        <w:ind w:left="100" w:right="99" w:firstLine="1296"/>
        <w:spacing w:after="0" w:line="220"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I agree to keep and maintain adequate and current records (in the form of notes, sketches, drawings and in any other form that may be required by the Company) of all Inventions made by me during the period of my engagement as an Associate of the Company or any prior engagement by the Company, which records shall be available to and remain the sole property of the Company at all times.</w:t>
      </w:r>
    </w:p>
    <w:p>
      <w:pPr>
        <w:spacing w:after="0" w:line="119" w:lineRule="exact"/>
        <w:rPr>
          <w:sz w:val="20"/>
          <w:szCs w:val="20"/>
          <w:color w:val="auto"/>
        </w:rPr>
      </w:pPr>
    </w:p>
    <w:p>
      <w:pPr>
        <w:jc w:val="both"/>
        <w:ind w:left="100" w:right="99" w:firstLine="1296"/>
        <w:spacing w:after="0" w:line="217"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Obligation to Keep Company Informed</w:t>
      </w:r>
      <w:r>
        <w:rPr>
          <w:rFonts w:ascii="Times New Roman" w:cs="Times New Roman" w:eastAsia="Times New Roman" w:hAnsi="Times New Roman"/>
          <w:sz w:val="18"/>
          <w:szCs w:val="18"/>
          <w:color w:val="auto"/>
        </w:rPr>
        <w:t>. During the period of my engagement as an Associate of the Company, and for six (6) months after termination of my engagement as an Associate of the Company, I agree to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my engagement as an Associate of the Company.</w:t>
      </w:r>
    </w:p>
    <w:p>
      <w:pPr>
        <w:spacing w:after="0" w:line="118" w:lineRule="exact"/>
        <w:rPr>
          <w:sz w:val="20"/>
          <w:szCs w:val="20"/>
          <w:color w:val="auto"/>
        </w:rPr>
      </w:pPr>
    </w:p>
    <w:p>
      <w:pPr>
        <w:jc w:val="both"/>
        <w:ind w:left="100" w:right="99" w:firstLine="1296"/>
        <w:spacing w:after="0" w:line="210"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I further represent that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contains a complete list of all Prior Inventions. Such Prior Inventions are considered to be my property or the property of third parties and are not assigned to the Company hereunder. If there is no such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I represent that there are no such Prior Inventions. If I am claiming any Prior Inventions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 agree that, if in the course of my engagement as an Associate of the Company or any prior engagement by the Company, I incorporate any Prior Invention into a Company product, process or machine, the Company shall automatically be granted and shall have a non-exclusive, royalty-free, irrevocable, transferable, perpetual, world-wide license (with rights to sublicense) to make, have made, modify, use and sell such Prior Invention as part of, or in connection with, such product, process or machine. Notwithstanding the foregoing, I agree that I will not incorporate, or permit to be incorporated, Prior Inventions in any Company Inventions without the Company’s prior written consent.</w:t>
      </w:r>
    </w:p>
    <w:p>
      <w:pPr>
        <w:spacing w:after="0" w:line="116" w:lineRule="exact"/>
        <w:rPr>
          <w:sz w:val="20"/>
          <w:szCs w:val="20"/>
          <w:color w:val="auto"/>
        </w:rPr>
      </w:pPr>
    </w:p>
    <w:p>
      <w:pPr>
        <w:ind w:left="1120" w:hanging="367"/>
        <w:spacing w:after="0"/>
        <w:tabs>
          <w:tab w:leader="none" w:pos="11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100" w:right="99" w:firstLine="1296"/>
        <w:spacing w:after="0" w:line="21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No Conflicting Obligations</w:t>
      </w:r>
      <w:r>
        <w:rPr>
          <w:rFonts w:ascii="Times New Roman" w:cs="Times New Roman" w:eastAsia="Times New Roman" w:hAnsi="Times New Roman"/>
          <w:sz w:val="18"/>
          <w:szCs w:val="18"/>
          <w:color w:val="auto"/>
        </w:rPr>
        <w:t xml:space="preserve">. I hereby represent to the Company that, except as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I am not bound by any agreement or any other previous or existing business relationship which conflicts with or prevents the full performance of my duties and obligations to the Company (including my duties and obligations under this or any other agreement with the Company) during my engagement as an Associate of the Company. I agree I will not enter into, any agreement either written or oral that conflicts with this Agreement.</w:t>
      </w:r>
    </w:p>
    <w:p>
      <w:pPr>
        <w:spacing w:after="0" w:line="118" w:lineRule="exact"/>
        <w:rPr>
          <w:sz w:val="20"/>
          <w:szCs w:val="20"/>
          <w:color w:val="auto"/>
        </w:rPr>
      </w:pPr>
    </w:p>
    <w:p>
      <w:pPr>
        <w:jc w:val="both"/>
        <w:ind w:left="100" w:right="99" w:firstLine="1296"/>
        <w:spacing w:after="0" w:line="21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Improper Use of Information of Prior Employers or Others</w:t>
      </w:r>
      <w:r>
        <w:rPr>
          <w:rFonts w:ascii="Times New Roman" w:cs="Times New Roman" w:eastAsia="Times New Roman" w:hAnsi="Times New Roman"/>
          <w:sz w:val="18"/>
          <w:szCs w:val="18"/>
          <w:color w:val="auto"/>
        </w:rPr>
        <w:t xml:space="preserve">. I understand that the Company does not desire to acquire from me any trade secrets, know-how or confidential business information I may have acquired from others. Therefore, I agree during my engagement as an Associate of the Company, I will not improperly use or disclose any proprietary information or trade secrets of any former or concurrent employer, or any other person or entity with whom I have an agreement or to whom I owe a duty to keep such information in confidence. Those persons or entities with whom I have such agreements or to whom I owe such a duty are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100" w:right="99" w:firstLine="653"/>
        <w:spacing w:after="0" w:line="212" w:lineRule="auto"/>
        <w:tabs>
          <w:tab w:leader="none" w:pos="11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w:t>
      </w:r>
      <w:r>
        <w:rPr>
          <w:rFonts w:ascii="Times New Roman" w:cs="Times New Roman" w:eastAsia="Times New Roman" w:hAnsi="Times New Roman"/>
          <w:sz w:val="18"/>
          <w:szCs w:val="18"/>
          <w:color w:val="auto"/>
        </w:rPr>
        <w:t>. I agree that while I am engaged as an Associate of the Company and for a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one (1) year after termination or cessation of such engagement for any reason, I shall not, without the Company’s prior written consent, directly or indirectly, as a principal, employee, consultant, partner, or stockholder of, or in any other capacity with, any business enterprise (other than in my capacity as a holder of not more than 1% of the combined voting power of the outstanding stock of a publicly held company) (a) engage in direct or indirect competition with the Company or its Affiliates, (b) conduct a business of the type or character engaged in by the Company or its Affiliates at the time of termination or cessation of my engagement as an Associate of the Company, or (c) develop products or services competitive with those of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110490</wp:posOffset>
            </wp:positionV>
            <wp:extent cx="564261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1" w:name="page32"/>
    <w:bookmarkEnd w:id="31"/>
    <w:p>
      <w:pPr>
        <w:jc w:val="both"/>
        <w:ind w:left="100" w:right="99" w:firstLine="653"/>
        <w:spacing w:after="0" w:line="218" w:lineRule="auto"/>
        <w:tabs>
          <w:tab w:leader="none" w:pos="111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NON-SOLICITATION</w:t>
      </w:r>
      <w:r>
        <w:rPr>
          <w:rFonts w:ascii="Times New Roman" w:cs="Times New Roman" w:eastAsia="Times New Roman" w:hAnsi="Times New Roman"/>
          <w:sz w:val="18"/>
          <w:szCs w:val="18"/>
          <w:color w:val="auto"/>
        </w:rPr>
        <w:t>. I agree that while I am engaged as an Associate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one (1) year after termination or cessation of such engagement for any reason, I shall not solicit, divert or take away, or attempt to divert or take away, the business or patronage of any of the clients, customers or accounts, or prospective clients, customers or accounts, of the Company or its Affiliates which were contacted, solicited or served by me while I was engaged as an Associate of the Company or any Affiliate.</w:t>
      </w:r>
    </w:p>
    <w:p>
      <w:pPr>
        <w:spacing w:after="0" w:line="113" w:lineRule="exact"/>
        <w:rPr>
          <w:rFonts w:ascii="Times New Roman" w:cs="Times New Roman" w:eastAsia="Times New Roman" w:hAnsi="Times New Roman"/>
          <w:sz w:val="18"/>
          <w:szCs w:val="18"/>
          <w:b w:val="1"/>
          <w:bCs w:val="1"/>
          <w:color w:val="auto"/>
        </w:rPr>
      </w:pPr>
    </w:p>
    <w:p>
      <w:pPr>
        <w:jc w:val="both"/>
        <w:ind w:left="100" w:right="99" w:firstLine="653"/>
        <w:spacing w:after="0" w:line="218" w:lineRule="auto"/>
        <w:tabs>
          <w:tab w:leader="none" w:pos="116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 OF EMPLOYEES AND CONSULTANTS</w:t>
      </w:r>
      <w:r>
        <w:rPr>
          <w:rFonts w:ascii="Times New Roman" w:cs="Times New Roman" w:eastAsia="Times New Roman" w:hAnsi="Times New Roman"/>
          <w:sz w:val="18"/>
          <w:szCs w:val="18"/>
          <w:color w:val="auto"/>
        </w:rPr>
        <w:t>. I agree that while I am engaged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Associate of the Company and for a period of one (1) year after termination or cessation of such engagement for any reason, I shall not directly or indirectly hire, recruit, or solicit any employee, independent contractor or consultant of the Company or its Affiliates, or induce or attempt to induce any employee independent contractor or consultant of the Company or its Affiliates to discontinue his or her relationship with the Company or its Affiliates.</w:t>
      </w:r>
    </w:p>
    <w:p>
      <w:pPr>
        <w:spacing w:after="0" w:line="113" w:lineRule="exact"/>
        <w:rPr>
          <w:rFonts w:ascii="Times New Roman" w:cs="Times New Roman" w:eastAsia="Times New Roman" w:hAnsi="Times New Roman"/>
          <w:sz w:val="18"/>
          <w:szCs w:val="18"/>
          <w:b w:val="1"/>
          <w:bCs w:val="1"/>
          <w:color w:val="auto"/>
        </w:rPr>
      </w:pPr>
    </w:p>
    <w:p>
      <w:pPr>
        <w:jc w:val="both"/>
        <w:ind w:left="100" w:right="99" w:firstLine="653"/>
        <w:spacing w:after="0" w:line="221" w:lineRule="auto"/>
        <w:tabs>
          <w:tab w:leader="none" w:pos="118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SUBSEQUENT EMPLOYMENT OR ENGAGEMENT</w:t>
      </w:r>
      <w:r>
        <w:rPr>
          <w:rFonts w:ascii="Times New Roman" w:cs="Times New Roman" w:eastAsia="Times New Roman" w:hAnsi="Times New Roman"/>
          <w:sz w:val="18"/>
          <w:szCs w:val="18"/>
          <w:color w:val="auto"/>
        </w:rPr>
        <w:t>. I shall, for a period of one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after the termination or cessation of my engagement as an Associate of the Company, notify the Company of any change of address, and of any subsequent employment or engagement (stating the name and address of the employer and the nature of the position) or any other business activity.</w:t>
      </w:r>
    </w:p>
    <w:p>
      <w:pPr>
        <w:spacing w:after="0" w:line="115" w:lineRule="exact"/>
        <w:rPr>
          <w:rFonts w:ascii="Times New Roman" w:cs="Times New Roman" w:eastAsia="Times New Roman" w:hAnsi="Times New Roman"/>
          <w:sz w:val="18"/>
          <w:szCs w:val="18"/>
          <w:b w:val="1"/>
          <w:bCs w:val="1"/>
          <w:color w:val="auto"/>
        </w:rPr>
      </w:pPr>
    </w:p>
    <w:p>
      <w:pPr>
        <w:ind w:left="1120" w:hanging="367"/>
        <w:spacing w:after="0"/>
        <w:tabs>
          <w:tab w:leader="none" w:pos="11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100" w:right="99" w:firstLine="1296"/>
        <w:spacing w:after="0" w:line="217"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This Agreement may not be assigned by either party except that the Company may assign this Agreement to any Affiliate or in connection with the merger, consolidation or sale of all or substantially all of its business or assets. This Agreement shall be binding upon and shall inure to the benefit of the parties hereto and their respective successors and other legal representatives and, to the extent that any assignment hereof is permitted hereunder, their assignees.</w:t>
      </w:r>
    </w:p>
    <w:p>
      <w:pPr>
        <w:spacing w:after="0" w:line="118" w:lineRule="exact"/>
        <w:rPr>
          <w:sz w:val="20"/>
          <w:szCs w:val="20"/>
          <w:color w:val="auto"/>
        </w:rPr>
      </w:pPr>
    </w:p>
    <w:p>
      <w:pPr>
        <w:jc w:val="both"/>
        <w:ind w:left="100" w:right="99" w:firstLine="1296"/>
        <w:spacing w:after="0" w:line="217"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obligations pursuant to Sections 2 and 3 of this Agreement shall apply to any time during which I was previously engaged as an Associate of the Company, or am in the future engaged as an Associate of the Company or any Affiliate if no other agreement governs nondisclosure and assignment of inventions during such period. This Agreement supersedes all prior agreements, written or oral, with respect to the subject matter of this Agreement.</w:t>
      </w:r>
    </w:p>
    <w:p>
      <w:pPr>
        <w:spacing w:after="0" w:line="118" w:lineRule="exact"/>
        <w:rPr>
          <w:sz w:val="20"/>
          <w:szCs w:val="20"/>
          <w:color w:val="auto"/>
        </w:rPr>
      </w:pPr>
    </w:p>
    <w:p>
      <w:pPr>
        <w:jc w:val="both"/>
        <w:ind w:left="100" w:right="99" w:firstLine="1296"/>
        <w:spacing w:after="0" w:line="21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herein shall, for any reason, be held to be invalid, illegal, or unenforceable in any respect, such invalidity, illegality, or unenforceability shall not affect any other provisions of this Agreement, and all other provisions shall remain in full force and effect. If any of the provisions of this Agreement is held to be excessively broad, it shall be reformed and construed by limiting and reducing it so as to be enforceable to the maximum extent permitted by law. I agree that should I violate any obligation imposed on me in this Agreement, I shall continue to be bound by the obligation until a period equal to the term of such obligation without violation of such obligation.</w:t>
      </w:r>
    </w:p>
    <w:p>
      <w:pPr>
        <w:spacing w:after="0" w:line="119" w:lineRule="exact"/>
        <w:rPr>
          <w:sz w:val="20"/>
          <w:szCs w:val="20"/>
          <w:color w:val="auto"/>
        </w:rPr>
      </w:pPr>
    </w:p>
    <w:p>
      <w:pPr>
        <w:jc w:val="both"/>
        <w:ind w:left="100" w:right="99" w:firstLine="1296"/>
        <w:spacing w:after="0" w:line="217"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modification of or amendment to this Agreement, nor any waiver of any rights under this Agreement, will be effective unless in writing and signed by the party to be charged. 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118" w:lineRule="exact"/>
        <w:rPr>
          <w:sz w:val="20"/>
          <w:szCs w:val="20"/>
          <w:color w:val="auto"/>
        </w:rPr>
      </w:pPr>
    </w:p>
    <w:p>
      <w:pPr>
        <w:jc w:val="both"/>
        <w:ind w:left="100" w:right="99" w:firstLine="1296"/>
        <w:spacing w:after="0" w:line="217"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I understand that this Agreement does not constitute a contract of employment or create an obligation on the part of the Company to continue my employment (if any) with the Company. I understand that my employment (if any) is “at will” and that my obligations under this Agreement shall not be affected by any change in my position, title or function with, or compensation, by the Company. Any subsequent change or changes in my duties, salary or compensation will not affect the validity or scope of this Agreement.</w:t>
      </w:r>
    </w:p>
    <w:p>
      <w:pPr>
        <w:spacing w:after="0" w:line="118" w:lineRule="exact"/>
        <w:rPr>
          <w:sz w:val="20"/>
          <w:szCs w:val="20"/>
          <w:color w:val="auto"/>
        </w:rPr>
      </w:pPr>
    </w:p>
    <w:p>
      <w:pPr>
        <w:jc w:val="both"/>
        <w:ind w:left="100" w:right="99" w:firstLine="1296"/>
        <w:spacing w:after="0" w:line="220"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Legal and Equitable Remedies</w:t>
      </w:r>
      <w:r>
        <w:rPr>
          <w:rFonts w:ascii="Times New Roman" w:cs="Times New Roman" w:eastAsia="Times New Roman" w:hAnsi="Times New Roman"/>
          <w:sz w:val="18"/>
          <w:szCs w:val="18"/>
          <w:color w:val="auto"/>
        </w:rPr>
        <w:t>. I acknowledge that (a) the business of the Company and its Affiliates is global in scope and its services may be marketed and sold throughout the world; (b) the Company and its Affiliates compete with other businesses that are or could be located in any part of the world; (c) the Company has required that I make the covenants contained in this Agreement as a condition to my engagement as an Associate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108585</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32" w:name="page33"/>
    <w:bookmarkEnd w:id="32"/>
    <w:p>
      <w:pPr>
        <w:jc w:val="both"/>
        <w:ind w:left="100" w:right="99"/>
        <w:spacing w:after="0" w:line="212" w:lineRule="auto"/>
        <w:rPr>
          <w:sz w:val="20"/>
          <w:szCs w:val="20"/>
          <w:color w:val="auto"/>
        </w:rPr>
      </w:pPr>
      <w:r>
        <w:rPr>
          <w:rFonts w:ascii="Times New Roman" w:cs="Times New Roman" w:eastAsia="Times New Roman" w:hAnsi="Times New Roman"/>
          <w:sz w:val="18"/>
          <w:szCs w:val="18"/>
          <w:color w:val="auto"/>
        </w:rPr>
        <w:t>the Company; and (d) the restrictions contained in this Agreement are necessary for the protection of the business and goodwill of the Company and its Affiliates and are reasonable for such purpose. I agree that any breach of this Agreement by me will cause irreparable damage to the Company and its Affiliates and that in the event of such breach, the Company shall be entitled, in addition to monetary damages and to any other remedies available to the Company under this Agreement and at law, to equitable relief, including injunctive relief, and to payment by myself of all costs incurred by the Company in enforcing of the provisions of this Agreement, including reasonable attorneys’ fees. I agree that should I violate any obligation imposed on me in this Agreement, I shall continue to be bound by the obligation until a period equal to the term of such obligation has expired without violation of such obligation.</w:t>
      </w:r>
    </w:p>
    <w:p>
      <w:pPr>
        <w:spacing w:after="0" w:line="118" w:lineRule="exact"/>
        <w:rPr>
          <w:sz w:val="20"/>
          <w:szCs w:val="20"/>
          <w:color w:val="auto"/>
        </w:rPr>
      </w:pPr>
    </w:p>
    <w:p>
      <w:pPr>
        <w:jc w:val="both"/>
        <w:ind w:left="100" w:right="99" w:firstLine="1296"/>
        <w:spacing w:after="0" w:line="21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as a sealed instrument and shall in all events and for all purposes be governed by, and construed in accordance with, the laws of the State of Delaware without regard to any choice of law principle that would dictate the application of the laws of another jurisdiction. Any action, suit or other legal proceeding which I may commence to resolve any matter arising under or relating to any provision of this Agreement shall be commenced only in a court of the State of Delaware (or, if appropriate, a federal court located within the State of Delaware), and I hereby consent to the jurisdiction of such court with respect to any action, suit or proceeding commenced in such court by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[Next Page is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793750</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ind w:left="100" w:right="99" w:firstLine="648"/>
        <w:spacing w:after="0" w:line="237" w:lineRule="auto"/>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 as an instrument under seal.</w:t>
      </w:r>
    </w:p>
    <w:p>
      <w:pPr>
        <w:spacing w:after="0" w:line="1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3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 Lynda W. Stout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0</wp:posOffset>
            </wp:positionV>
            <wp:extent cx="2229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18"/>
          <w:szCs w:val="18"/>
          <w:color w:val="auto"/>
        </w:rPr>
        <w:t>Lynda Stout</w:t>
      </w:r>
    </w:p>
    <w:p>
      <w:pPr>
        <w:spacing w:after="0" w:line="29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312" w:lineRule="exact"/>
        <w:rPr>
          <w:sz w:val="20"/>
          <w:szCs w:val="20"/>
          <w:color w:val="auto"/>
        </w:rPr>
      </w:pPr>
    </w:p>
    <w:p>
      <w:pPr>
        <w:ind w:left="4380"/>
        <w:spacing w:after="0"/>
        <w:tabs>
          <w:tab w:leader="none" w:pos="4840" w:val="left"/>
        </w:tabs>
        <w:rPr>
          <w:sz w:val="20"/>
          <w:szCs w:val="20"/>
          <w:color w:val="auto"/>
        </w:rPr>
      </w:pPr>
      <w:r>
        <w:rPr>
          <w:rFonts w:ascii="Times New Roman" w:cs="Times New Roman" w:eastAsia="Times New Roman" w:hAnsi="Times New Roman"/>
          <w:sz w:val="18"/>
          <w:szCs w:val="18"/>
          <w:color w:val="auto"/>
        </w:rPr>
        <w:t>By:</w:t>
        <w:tab/>
        <w:t>/s/ Chris Homeister</w:t>
      </w:r>
    </w:p>
    <w:p>
      <w:pPr>
        <w:ind w:left="4380"/>
        <w:spacing w:after="0" w:line="219" w:lineRule="auto"/>
        <w:rPr>
          <w:sz w:val="20"/>
          <w:szCs w:val="20"/>
          <w:color w:val="auto"/>
        </w:rPr>
      </w:pPr>
      <w:r>
        <w:rPr>
          <w:rFonts w:ascii="Times New Roman" w:cs="Times New Roman" w:eastAsia="Times New Roman" w:hAnsi="Times New Roman"/>
          <w:sz w:val="18"/>
          <w:szCs w:val="18"/>
          <w:color w:val="auto"/>
        </w:rPr>
        <w:t>Name: Chris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-111760</wp:posOffset>
            </wp:positionV>
            <wp:extent cx="1920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4380"/>
        <w:spacing w:after="0"/>
        <w:tabs>
          <w:tab w:leader="none" w:pos="49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List all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134620</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any and all Conflicted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684530</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1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Subsidiaries of the Company (all of which are 100% owned, either directly or indirectly)</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Tile Shop, LLC, a Delaware limited liability company</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Tile Shop of Michigan, LLC, a Michigan limited liability company</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Tile Shop of Oklahoma, LLC, a Delaware limited liability company</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Tile Shop Lending, Inc., a Delaware corporation</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Tile Shop (Beijing) Trading Company Ltd., a Chinese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253365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Chris R. Homeister, certify that:</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I have reviewed this quarterly report on Form 10-Q of Tile Shop Holdings, Inc.;</w:t>
      </w:r>
    </w:p>
    <w:p>
      <w:pPr>
        <w:spacing w:after="0" w:line="144" w:lineRule="exact"/>
        <w:rPr>
          <w:sz w:val="20"/>
          <w:szCs w:val="20"/>
          <w:color w:val="auto"/>
        </w:rPr>
      </w:pPr>
    </w:p>
    <w:p>
      <w:pPr>
        <w:jc w:val="both"/>
        <w:ind w:left="240" w:right="239" w:hanging="134"/>
        <w:spacing w:after="0" w:line="22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sz w:val="20"/>
          <w:szCs w:val="20"/>
          <w:color w:val="auto"/>
        </w:rPr>
      </w:pPr>
    </w:p>
    <w:p>
      <w:pPr>
        <w:ind w:left="240" w:right="199" w:hanging="134"/>
        <w:spacing w:after="0" w:line="22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sz w:val="20"/>
          <w:szCs w:val="20"/>
          <w:color w:val="auto"/>
        </w:rPr>
      </w:pPr>
    </w:p>
    <w:p>
      <w:pPr>
        <w:ind w:left="240" w:right="139" w:hanging="134"/>
        <w:spacing w:after="0" w:line="22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8" w:lineRule="exact"/>
        <w:rPr>
          <w:sz w:val="20"/>
          <w:szCs w:val="20"/>
          <w:color w:val="auto"/>
        </w:rPr>
      </w:pPr>
    </w:p>
    <w:p>
      <w:pPr>
        <w:ind w:left="580" w:right="479" w:hanging="148"/>
        <w:spacing w:after="0" w:line="22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sz w:val="20"/>
          <w:szCs w:val="20"/>
          <w:color w:val="auto"/>
        </w:rPr>
      </w:pPr>
    </w:p>
    <w:p>
      <w:pPr>
        <w:jc w:val="both"/>
        <w:ind w:left="600" w:right="179" w:hanging="161"/>
        <w:spacing w:after="0" w:line="22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sz w:val="20"/>
          <w:szCs w:val="20"/>
          <w:color w:val="auto"/>
        </w:rPr>
      </w:pPr>
    </w:p>
    <w:p>
      <w:pPr>
        <w:jc w:val="both"/>
        <w:ind w:left="580" w:right="319" w:hanging="148"/>
        <w:spacing w:after="0" w:line="22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sz w:val="20"/>
          <w:szCs w:val="20"/>
          <w:color w:val="auto"/>
        </w:rPr>
      </w:pPr>
    </w:p>
    <w:p>
      <w:pPr>
        <w:ind w:left="600" w:right="199" w:hanging="161"/>
        <w:spacing w:after="0" w:line="220"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jc w:val="both"/>
        <w:ind w:left="240" w:right="439" w:hanging="134"/>
        <w:spacing w:after="0" w:line="22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sz w:val="20"/>
          <w:szCs w:val="20"/>
          <w:color w:val="auto"/>
        </w:rPr>
      </w:pPr>
    </w:p>
    <w:p>
      <w:pPr>
        <w:ind w:left="580" w:right="259" w:hanging="148"/>
        <w:spacing w:after="0" w:line="22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sz w:val="20"/>
          <w:szCs w:val="20"/>
          <w:color w:val="auto"/>
        </w:rPr>
      </w:pPr>
    </w:p>
    <w:p>
      <w:pPr>
        <w:ind w:left="600" w:right="339" w:hanging="161"/>
        <w:spacing w:after="0" w:line="237"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April 28, 2016</w:t>
      </w:r>
    </w:p>
    <w:p>
      <w:pPr>
        <w:ind w:left="4800"/>
        <w:spacing w:after="0" w:line="219" w:lineRule="auto"/>
        <w:rPr>
          <w:sz w:val="20"/>
          <w:szCs w:val="20"/>
          <w:color w:val="auto"/>
        </w:rPr>
      </w:pPr>
      <w:r>
        <w:rPr>
          <w:rFonts w:ascii="Times New Roman" w:cs="Times New Roman" w:eastAsia="Times New Roman" w:hAnsi="Times New Roman"/>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Times New Roman" w:cs="Times New Roman" w:eastAsia="Times New Roman" w:hAnsi="Times New Roman"/>
          <w:sz w:val="18"/>
          <w:szCs w:val="18"/>
          <w:color w:val="auto"/>
        </w:rPr>
        <w:t>Chris R. Homeister</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Kirk L. Geadelmann, certify that:</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I have reviewed this quarterly report on Form 10-Q of Tile Shop Holdings, Inc.;</w:t>
      </w:r>
    </w:p>
    <w:p>
      <w:pPr>
        <w:spacing w:after="0" w:line="144" w:lineRule="exact"/>
        <w:rPr>
          <w:sz w:val="20"/>
          <w:szCs w:val="20"/>
          <w:color w:val="auto"/>
        </w:rPr>
      </w:pPr>
    </w:p>
    <w:p>
      <w:pPr>
        <w:jc w:val="both"/>
        <w:ind w:left="240" w:right="239" w:hanging="134"/>
        <w:spacing w:after="0" w:line="22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sz w:val="20"/>
          <w:szCs w:val="20"/>
          <w:color w:val="auto"/>
        </w:rPr>
      </w:pPr>
    </w:p>
    <w:p>
      <w:pPr>
        <w:ind w:left="240" w:right="199" w:hanging="134"/>
        <w:spacing w:after="0" w:line="22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sz w:val="20"/>
          <w:szCs w:val="20"/>
          <w:color w:val="auto"/>
        </w:rPr>
      </w:pPr>
    </w:p>
    <w:p>
      <w:pPr>
        <w:ind w:left="240" w:right="139" w:hanging="134"/>
        <w:spacing w:after="0" w:line="22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8" w:lineRule="exact"/>
        <w:rPr>
          <w:sz w:val="20"/>
          <w:szCs w:val="20"/>
          <w:color w:val="auto"/>
        </w:rPr>
      </w:pPr>
    </w:p>
    <w:p>
      <w:pPr>
        <w:ind w:left="580" w:right="479" w:hanging="148"/>
        <w:spacing w:after="0" w:line="22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sz w:val="20"/>
          <w:szCs w:val="20"/>
          <w:color w:val="auto"/>
        </w:rPr>
      </w:pPr>
    </w:p>
    <w:p>
      <w:pPr>
        <w:jc w:val="both"/>
        <w:ind w:left="600" w:right="179" w:hanging="161"/>
        <w:spacing w:after="0" w:line="22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sz w:val="20"/>
          <w:szCs w:val="20"/>
          <w:color w:val="auto"/>
        </w:rPr>
      </w:pPr>
    </w:p>
    <w:p>
      <w:pPr>
        <w:jc w:val="both"/>
        <w:ind w:left="580" w:right="319" w:hanging="148"/>
        <w:spacing w:after="0" w:line="22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sz w:val="20"/>
          <w:szCs w:val="20"/>
          <w:color w:val="auto"/>
        </w:rPr>
      </w:pPr>
    </w:p>
    <w:p>
      <w:pPr>
        <w:ind w:left="600" w:right="199" w:hanging="161"/>
        <w:spacing w:after="0" w:line="220"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jc w:val="both"/>
        <w:ind w:left="240" w:right="439" w:hanging="134"/>
        <w:spacing w:after="0" w:line="22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sz w:val="20"/>
          <w:szCs w:val="20"/>
          <w:color w:val="auto"/>
        </w:rPr>
      </w:pPr>
    </w:p>
    <w:p>
      <w:pPr>
        <w:ind w:left="580" w:right="259" w:hanging="148"/>
        <w:spacing w:after="0" w:line="22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sz w:val="20"/>
          <w:szCs w:val="20"/>
          <w:color w:val="auto"/>
        </w:rPr>
      </w:pPr>
    </w:p>
    <w:p>
      <w:pPr>
        <w:ind w:left="600" w:right="339" w:hanging="161"/>
        <w:spacing w:after="0" w:line="237"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April 28, 2016</w:t>
      </w:r>
    </w:p>
    <w:p>
      <w:pPr>
        <w:ind w:left="4800"/>
        <w:spacing w:after="0" w:line="219" w:lineRule="auto"/>
        <w:rPr>
          <w:sz w:val="20"/>
          <w:szCs w:val="20"/>
          <w:color w:val="auto"/>
        </w:rPr>
      </w:pPr>
      <w:r>
        <w:rPr>
          <w:rFonts w:ascii="Times New Roman" w:cs="Times New Roman" w:eastAsia="Times New Roman" w:hAnsi="Times New Roman"/>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Times New Roman" w:cs="Times New Roman" w:eastAsia="Times New Roman" w:hAnsi="Times New Roman"/>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9" w:name="page40"/>
    <w:bookmarkEnd w:id="39"/>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8" w:lineRule="exact"/>
        <w:rPr>
          <w:sz w:val="20"/>
          <w:szCs w:val="20"/>
          <w:color w:val="auto"/>
        </w:rPr>
      </w:pPr>
    </w:p>
    <w:p>
      <w:pPr>
        <w:jc w:val="center"/>
        <w:ind w:left="100" w:right="99"/>
        <w:spacing w:after="0" w:line="22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8"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Tile Shop Holdings, Inc. (the “Company”) on Form 10-Q for the period ending March 31, 2016 as filed with the Securities and Exchange Commission on the date hereof (the “Report”), I, Chris R. Homeister, Chief Executive Officer of the Company, certify, pursuant to 18 U.S.C. Section 1350, as adopted pursuant to Section 906 of the Sarbanes-Oxley Act of 2002, that:</w:t>
      </w:r>
    </w:p>
    <w:p>
      <w:pPr>
        <w:spacing w:after="0" w:line="294" w:lineRule="exact"/>
        <w:rPr>
          <w:sz w:val="20"/>
          <w:szCs w:val="20"/>
          <w:color w:val="auto"/>
        </w:rPr>
      </w:pPr>
    </w:p>
    <w:p>
      <w:pPr>
        <w:ind w:left="760" w:right="459" w:hanging="331"/>
        <w:spacing w:after="0" w:line="237"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right="559" w:hanging="331"/>
        <w:spacing w:after="0" w:line="237"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19640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5" w:lineRule="auto"/>
        <w:rPr>
          <w:sz w:val="20"/>
          <w:szCs w:val="20"/>
          <w:color w:val="auto"/>
        </w:rPr>
      </w:pPr>
      <w:r>
        <w:rPr>
          <w:rFonts w:ascii="Times New Roman" w:cs="Times New Roman" w:eastAsia="Times New Roman" w:hAnsi="Times New Roman"/>
          <w:sz w:val="18"/>
          <w:szCs w:val="18"/>
          <w:color w:val="auto"/>
        </w:rPr>
        <w:t>Chris R. Homeister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April 28, 2016</w:t>
      </w:r>
    </w:p>
    <w:p>
      <w:pPr>
        <w:spacing w:after="0" w:line="320" w:lineRule="exact"/>
        <w:rPr>
          <w:sz w:val="20"/>
          <w:szCs w:val="20"/>
          <w:color w:val="auto"/>
        </w:rPr>
      </w:pPr>
    </w:p>
    <w:p>
      <w:pPr>
        <w:ind w:left="100" w:right="719"/>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219710</wp:posOffset>
            </wp:positionV>
            <wp:extent cx="564261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8" w:lineRule="exact"/>
        <w:rPr>
          <w:sz w:val="20"/>
          <w:szCs w:val="20"/>
          <w:color w:val="auto"/>
        </w:rPr>
      </w:pPr>
    </w:p>
    <w:p>
      <w:pPr>
        <w:jc w:val="center"/>
        <w:ind w:left="100" w:right="99"/>
        <w:spacing w:after="0" w:line="22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8"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Tile Shop Holdings, Inc. (the “Company”) on Form 10-Q for the period ending March 31, 2016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19" w:lineRule="exact"/>
        <w:rPr>
          <w:sz w:val="20"/>
          <w:szCs w:val="20"/>
          <w:color w:val="auto"/>
        </w:rPr>
      </w:pPr>
    </w:p>
    <w:p>
      <w:pPr>
        <w:ind w:left="760" w:right="459" w:hanging="331"/>
        <w:spacing w:after="0" w:line="23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right="559" w:hanging="331"/>
        <w:spacing w:after="0" w:line="23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19640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5" w:lineRule="auto"/>
        <w:rPr>
          <w:sz w:val="20"/>
          <w:szCs w:val="20"/>
          <w:color w:val="auto"/>
        </w:rPr>
      </w:pPr>
      <w:r>
        <w:rPr>
          <w:rFonts w:ascii="Times New Roman" w:cs="Times New Roman" w:eastAsia="Times New Roman" w:hAnsi="Times New Roman"/>
          <w:sz w:val="18"/>
          <w:szCs w:val="18"/>
          <w:color w:val="auto"/>
        </w:rPr>
        <w:t>Kirk L. Geadelmann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April 28, 2016</w:t>
      </w:r>
    </w:p>
    <w:p>
      <w:pPr>
        <w:spacing w:after="0" w:line="320" w:lineRule="exact"/>
        <w:rPr>
          <w:sz w:val="20"/>
          <w:szCs w:val="20"/>
          <w:color w:val="auto"/>
        </w:rPr>
      </w:pPr>
    </w:p>
    <w:p>
      <w:pPr>
        <w:ind w:left="100" w:right="719"/>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330835</wp:posOffset>
            </wp:positionV>
            <wp:extent cx="564261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4"/>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decimal"/>
      <w:start w:val="6"/>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2019-12-29T13:09:37Z</dcterms:created>
  <dcterms:modified xsi:type="dcterms:W3CDTF">2019-12-29T13:09:37Z</dcterms:modified>
</cp:coreProperties>
</file>