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27"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6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left="4" w:right="26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15" w:lineRule="exact"/>
        <w:rPr>
          <w:sz w:val="24"/>
          <w:szCs w:val="24"/>
          <w:color w:val="auto"/>
        </w:rPr>
      </w:pPr>
    </w:p>
    <w:p>
      <w:pPr>
        <w:ind w:left="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5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30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1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left="4" w:right="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0" w:lineRule="exact"/>
        <w:rPr>
          <w:sz w:val="24"/>
          <w:szCs w:val="24"/>
          <w:color w:val="auto"/>
        </w:rPr>
      </w:pPr>
    </w:p>
    <w:p>
      <w:pPr>
        <w:ind w:left="4" w:right="80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July 30, 2018, there were 52,705,343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905510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702" w:right="8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rPr>
              <w:t>TILE SHOP HOLDINGS, INC.</w:t>
            </w:r>
          </w:p>
        </w:tc>
        <w:tc>
          <w:tcPr>
            <w:tcW w:w="26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2"/>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Commitments and Contingencies (see Note 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52,508,090 and 52,156,850 shares,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148,790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6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27,602</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27,116</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57,870</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(1,151)</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18"/>
                <w:szCs w:val="18"/>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51,887,094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51,633,150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51,884,402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51,578,691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52,019,881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52,223,183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51,996,263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52,111,134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9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0"/>
                <w:szCs w:val="20"/>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0"/>
                <w:szCs w:val="20"/>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38"/>
        </w:trPr>
        <w:tc>
          <w:tcPr>
            <w:tcW w:w="134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420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Consolidated Statements of Comprehensive Income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00" w:type="dxa"/>
            <w:vAlign w:val="bottom"/>
            <w:gridSpan w:val="2"/>
          </w:tcPr>
          <w:p>
            <w:pPr>
              <w:jc w:val="center"/>
              <w:ind w:left="1130"/>
              <w:spacing w:after="0"/>
              <w:rPr>
                <w:sz w:val="20"/>
                <w:szCs w:val="20"/>
                <w:color w:val="auto"/>
              </w:rPr>
            </w:pPr>
            <w:r>
              <w:rPr>
                <w:rFonts w:ascii="Arial" w:cs="Arial" w:eastAsia="Arial" w:hAnsi="Arial"/>
                <w:sz w:val="18"/>
                <w:szCs w:val="18"/>
                <w:color w:val="auto"/>
                <w:w w:val="90"/>
              </w:rPr>
              <w:t>(dollars 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00" w:type="dxa"/>
            <w:vAlign w:val="bottom"/>
            <w:gridSpan w:val="2"/>
          </w:tcPr>
          <w:p>
            <w:pPr>
              <w:jc w:val="center"/>
              <w:ind w:left="1110"/>
              <w:spacing w:after="0"/>
              <w:rPr>
                <w:sz w:val="20"/>
                <w:szCs w:val="20"/>
                <w:color w:val="auto"/>
              </w:rPr>
            </w:pPr>
            <w:r>
              <w:rPr>
                <w:rFonts w:ascii="Arial" w:cs="Arial" w:eastAsia="Arial" w:hAnsi="Arial"/>
                <w:sz w:val="18"/>
                <w:szCs w:val="18"/>
                <w:color w:val="auto"/>
                <w:w w:val="90"/>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ind w:left="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1860" w:type="dxa"/>
            <w:vAlign w:val="bottom"/>
            <w:gridSpan w:val="5"/>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30"/>
        </w:trPr>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color w:val="auto"/>
                <w:w w:val="89"/>
              </w:rPr>
              <w:t>June 30,</w:t>
            </w:r>
          </w:p>
        </w:tc>
        <w:tc>
          <w:tcPr>
            <w:tcW w:w="70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2017</w:t>
            </w: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r>
      <w:tr>
        <w:trPr>
          <w:trHeight w:val="230"/>
        </w:trPr>
        <w:tc>
          <w:tcPr>
            <w:tcW w:w="2800" w:type="dxa"/>
            <w:vAlign w:val="bottom"/>
            <w:gridSpan w:val="2"/>
          </w:tcPr>
          <w:p>
            <w:pPr>
              <w:ind w:left="100"/>
              <w:spacing w:after="0"/>
              <w:rPr>
                <w:sz w:val="20"/>
                <w:szCs w:val="20"/>
                <w:color w:val="auto"/>
              </w:rPr>
            </w:pPr>
            <w:r>
              <w:rPr>
                <w:rFonts w:ascii="Arial" w:cs="Arial" w:eastAsia="Arial" w:hAnsi="Arial"/>
                <w:sz w:val="18"/>
                <w:szCs w:val="18"/>
                <w:color w:val="auto"/>
              </w:rPr>
              <w:t>Currency translation adjustment</w:t>
            </w: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0"/>
              </w:rPr>
              <w:t>(7)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15,740</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earnings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income (loss)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51,607,143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185,998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324,184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3"/>
              </w:rPr>
              <w:t>settlements of stock based compensation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awards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52,156,850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Adoption of revenue recognition standard</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(see Note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395,282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June 30, 2018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52,508,090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8,969</w:t>
            </w:r>
          </w:p>
        </w:tc>
        <w:tc>
          <w:tcPr>
            <w:tcW w:w="8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(15,167)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 /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(13,149)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of long-term debt and capital lease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(32,638)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Advances on line of credit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9,907</w:t>
            </w:r>
          </w:p>
        </w:tc>
        <w:tc>
          <w:tcPr>
            <w:tcW w:w="8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restricted cash</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Cash paid (received) for income taxes, net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2018, the Company had 140 stores in 31 states and the District of Columbia, with an average size of approximately 20,200 square feet. The Company also sells products on its website. The Company has distribution centers located in Michigan, New Jersey, Oklahoma, Virginia and Wisconsin. The Company has a sourcing operation located in China.</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2018 are not necessarily indicative of the results that may be expected for the fiscal year ending December 31, 2018.</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statements should be read in conjunction with the Consolidated Financial Statements and footnotes included in our Annual Report on Form 10-K for the fiscal year ended December 31, 2017. The accounting policies used in preparing these Consolidated Financial Statements are the same as those described in Note 1 to the Consolidated Financial Statements in such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In May 2014, the Financial Accounting Standards Board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The Company adopted this standard as of January 1, 2018 using the modified retrospective transition method. See Note 2 for further details.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The Company adopted the new standard as of March 31, 2018 using the retrospective transition method. The Company’s restricted cash balance was $0.8 million as of June 30, 2018. Upon adopting the new standard, the Company no longer presents the release of restricted cash as a financing cash inflow. Instead, restricted cash and long-term restricted cash balances are included in the beginning and ending cash, cash equivalents and restricted cash balances in the Consolidated Statement of Cash Flows. In connection with the adoption of this standard, $6.0 million received from restricted cash accounts during the six months ended June 30, 2017 that was previously presented as a financing cash inflow was reclassified to the beginning cash, cash equivalents and restricted cash balances in the Consolidated Statement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fiscal year 2019, with early adoption permitted. The Company expects the primary impact upon adoption will be the recognition, on a discounted basis, of minimum commitments under non-cancelable operating leases on the consolidated balance sheets resulting in the recording of right of use assets and lease obligations. The Company’s minimum commitments under non-cancelable operating leases are disclosed in Note 5 to the Consolidated Financial Statements included in the Company’s Annual Report on Form 10-K for the fiscal year ended December 31, 2017. The Company has identified its lease management system and is in the process of identifying and evaluating the applicable leases. The Company is currently assessing the effect the new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2018, the Company adopted Accounting Standards Update No. 2014-09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the Company’s historic accounting under Topic 605. The adoption of Topic 606 had a cumulative impact adjustment to opening retained earnings of $0.1 million as of January 1, 2018 and did not have an impact on revenues recognized for the three and six months ended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received in exchange for those goods or services. Sales taxes are excluded from 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w w:val="95"/>
              </w:rPr>
              <w:t>The following table presents revenues disaggregated by product category:</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9"/>
        </w:trPr>
        <w:tc>
          <w:tcPr>
            <w:tcW w:w="5660" w:type="dxa"/>
            <w:vAlign w:val="bottom"/>
          </w:tcPr>
          <w:p>
            <w:pPr>
              <w:spacing w:after="0"/>
              <w:rPr>
                <w:sz w:val="24"/>
                <w:szCs w:val="24"/>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212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566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6"/>
              </w:rPr>
              <w:t>June 30,</w:t>
            </w:r>
          </w:p>
        </w:tc>
        <w:tc>
          <w:tcPr>
            <w:tcW w:w="720" w:type="dxa"/>
            <w:vAlign w:val="bottom"/>
            <w:tcBorders>
              <w:bottom w:val="single" w:sz="8" w:color="auto"/>
            </w:tcBorders>
          </w:tcPr>
          <w:p>
            <w:pPr>
              <w:spacing w:after="0"/>
              <w:rPr>
                <w:sz w:val="20"/>
                <w:szCs w:val="20"/>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2017</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2017</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Natural stone tiles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Accessories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website. The timing of revenue recognition coincides with the transfer of control of goods and services ordered by the customer, which falls into one of three categories described below:</w:t>
      </w:r>
    </w:p>
    <w:p>
      <w:pPr>
        <w:spacing w:after="0" w:line="181" w:lineRule="exact"/>
        <w:rPr>
          <w:sz w:val="20"/>
          <w:szCs w:val="20"/>
          <w:color w:val="auto"/>
        </w:rPr>
      </w:pPr>
    </w:p>
    <w:p>
      <w:pPr>
        <w:ind w:left="640" w:right="20" w:hanging="320"/>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6" w:lineRule="exact"/>
        <w:rPr>
          <w:rFonts w:ascii="Arial" w:cs="Arial" w:eastAsia="Arial" w:hAnsi="Arial"/>
          <w:sz w:val="17"/>
          <w:szCs w:val="17"/>
          <w:color w:val="auto"/>
        </w:rPr>
      </w:pPr>
    </w:p>
    <w:p>
      <w:pPr>
        <w:jc w:val="both"/>
        <w:ind w:left="640" w:hanging="320"/>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86" w:lineRule="exact"/>
        <w:rPr>
          <w:rFonts w:ascii="Arial" w:cs="Arial" w:eastAsia="Arial" w:hAnsi="Arial"/>
          <w:sz w:val="18"/>
          <w:szCs w:val="18"/>
          <w:color w:val="auto"/>
        </w:rPr>
      </w:pPr>
    </w:p>
    <w:p>
      <w:pPr>
        <w:jc w:val="both"/>
        <w:ind w:left="640" w:right="20" w:hanging="320"/>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or online and requests delivery of their order, the Company prepares the contents of their order, initiates the delivery service, and recognizes revenue once the contents of the customer’s order are delivered.</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$8.1 million as of each of June 30, 2018 and December 31, 2017. Revenues recognized during the six months ended June 30, 2018 included in the customer deposit balance as of the beginning of the period were $7.7 million.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Company extends financing to qualified professional customers who apply for credit. The accounts receivable balance was $3.2 million and $2.4 million as of June 30, 2018 and December 31, 2017,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88" w:lineRule="exact"/>
        <w:rPr>
          <w:sz w:val="20"/>
          <w:szCs w:val="20"/>
          <w:color w:val="auto"/>
        </w:rPr>
      </w:pPr>
    </w:p>
    <w:p>
      <w:pPr>
        <w:jc w:val="both"/>
        <w:ind w:left="4"/>
        <w:spacing w:after="0" w:line="297"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Upon adoption of Topic 606,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June 30, 2018 and December 31, 2017 are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4"/>
          </w:tcPr>
          <w:p>
            <w:pPr>
              <w:ind w:left="58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5,792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3"/>
              </w:rPr>
              <w:t>1,651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3"/>
              </w:rPr>
              <w:t>4,141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r>
    </w:tbl>
    <w:p>
      <w:pPr>
        <w:ind w:left="4" w:right="20" w:hanging="4"/>
        <w:spacing w:after="0" w:line="261" w:lineRule="auto"/>
        <w:tabs>
          <w:tab w:leader="none" w:pos="156" w:val="left"/>
        </w:tabs>
        <w:numPr>
          <w:ilvl w:val="0"/>
          <w:numId w:val="4"/>
        </w:numPr>
        <w:rPr>
          <w:rFonts w:ascii="Arial" w:cs="Arial" w:eastAsia="Arial" w:hAnsi="Arial"/>
          <w:sz w:val="9"/>
          <w:szCs w:val="9"/>
          <w:color w:val="auto"/>
        </w:rPr>
      </w:pPr>
      <w:r>
        <w:rPr>
          <w:rFonts w:ascii="Arial" w:cs="Arial" w:eastAsia="Arial" w:hAnsi="Arial"/>
          <w:sz w:val="18"/>
          <w:szCs w:val="18"/>
          <w:color w:val="auto"/>
        </w:rPr>
        <w:t>As of December 31, 2017, the sales returns reserve of $3.1 million was presented net of the expected value of inventory to be returned of $0.9 million.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Inventories</w:t>
      </w:r>
    </w:p>
    <w:p>
      <w:pPr>
        <w:spacing w:after="0" w:line="229" w:lineRule="exact"/>
        <w:rPr>
          <w:sz w:val="20"/>
          <w:szCs w:val="20"/>
          <w:color w:val="auto"/>
        </w:rPr>
      </w:pPr>
    </w:p>
    <w:p>
      <w:pPr>
        <w:ind w:left="4" w:right="360"/>
        <w:spacing w:after="0" w:line="342" w:lineRule="auto"/>
        <w:rPr>
          <w:sz w:val="20"/>
          <w:szCs w:val="20"/>
          <w:color w:val="auto"/>
        </w:rPr>
      </w:pPr>
      <w:r>
        <w:rPr>
          <w:rFonts w:ascii="Arial" w:cs="Arial" w:eastAsia="Arial" w:hAnsi="Arial"/>
          <w:sz w:val="16"/>
          <w:szCs w:val="16"/>
          <w:color w:val="auto"/>
        </w:rPr>
        <w:t>Inventories are stated at the lower of cost (determined on the weighted-average cost method) or net realizable value. Inventories consist primarily of merchandise held for sale. Inventories were comprised of the following as of June 30, 2018 and December 31, 2017:</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65,843</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85,259</w:t>
            </w:r>
          </w:p>
        </w:tc>
      </w:tr>
    </w:tbl>
    <w:p>
      <w:pPr>
        <w:spacing w:after="0" w:line="202" w:lineRule="exact"/>
        <w:rPr>
          <w:sz w:val="20"/>
          <w:szCs w:val="20"/>
          <w:color w:val="auto"/>
        </w:rPr>
      </w:pPr>
    </w:p>
    <w:p>
      <w:pPr>
        <w:ind w:left="4" w:right="80"/>
        <w:spacing w:after="0" w:line="312" w:lineRule="auto"/>
        <w:rPr>
          <w:sz w:val="20"/>
          <w:szCs w:val="20"/>
          <w:color w:val="auto"/>
        </w:rPr>
      </w:pPr>
      <w:r>
        <w:rPr>
          <w:rFonts w:ascii="Arial" w:cs="Arial" w:eastAsia="Arial" w:hAnsi="Arial"/>
          <w:sz w:val="16"/>
          <w:szCs w:val="16"/>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$0.5 million and $0.2 million as of June 30, 2018 and December 31, 2017, respectively.</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ind w:left="4" w:right="120"/>
        <w:spacing w:after="0" w:line="287" w:lineRule="auto"/>
        <w:rPr>
          <w:sz w:val="20"/>
          <w:szCs w:val="20"/>
          <w:color w:val="auto"/>
        </w:rPr>
      </w:pPr>
      <w:r>
        <w:rPr>
          <w:rFonts w:ascii="Arial" w:cs="Arial" w:eastAsia="Arial" w:hAnsi="Arial"/>
          <w:sz w:val="16"/>
          <w:szCs w:val="16"/>
          <w:color w:val="auto"/>
        </w:rPr>
        <w:t xml:space="preserve">On December 22, 2017, the Tax Cuts and Jobs Act of 2017 (the “Tax Act”) was enacted into law and the new legislation contains several key tax provisions that affected the Company, including, but not limited to, a reduction of the corporate income tax rate to 21% effective January 1, 2018, and a one-time mandatory transition tax on accumulated foreign earnings, a tax on global intangible low taxed income (“GILTI”), and the repeal of the domestic manufacturing deduction for 2018. The Company recognized the effect of the tax law changes in the period of enactment, including determining the transition tax, re-measuring the Company’s U.S. deferred tax assets and liabilities and reassessing the net realizability of the Company’s deferred tax assets and liabilities. </w:t>
      </w:r>
      <w:r>
        <w:rPr>
          <w:rFonts w:ascii="Arial" w:cs="Arial" w:eastAsia="Arial" w:hAnsi="Arial"/>
          <w:sz w:val="16"/>
          <w:szCs w:val="16"/>
          <w:i w:val="1"/>
          <w:iCs w:val="1"/>
          <w:color w:val="auto"/>
        </w:rPr>
        <w:t>Staff Accounting Bulletin No. 118,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Implications of the Tax Cuts and Jobs Act, </w:t>
      </w:r>
      <w:r>
        <w:rPr>
          <w:rFonts w:ascii="Arial" w:cs="Arial" w:eastAsia="Arial" w:hAnsi="Arial"/>
          <w:sz w:val="16"/>
          <w:szCs w:val="16"/>
          <w:color w:val="auto"/>
        </w:rPr>
        <w:t>(“SAB 118”) allows the Company to record provisional amounts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period not to extend beyond one year of the enactment date. Since the Tax Act was passed late in the fourth quarter of 2017, and ongoing guidance and accounting interpretation is expected throughout 2018, the Company considers the accounting of the transition tax, deferred tax re-measurements and other items to be provisional due to the forthcoming guidance and the Company’s ongoing analysis of final year-end data and tax positions. The Company expects to complete its analysis</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within the measurement period in accordance with SAB 118. While the Company does not expect to incur a current tax on GILTI relative to 2018 operations, the Company has not yet elected an accounting policy related to GILTI.</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 on net income before income taxes for the three months ended June 30, 2018 and 2017 was 28.0%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31.1%, respectively. The Company’s effective tax rate on net income before taxes for the six months ended June 30, 2018 and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28.1% and 35.3%, respectively. The difference between the Company’s effective rate of 28.0% and the expected federal statutory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21.0% for the three and six months ended June 30, 2018 is primarily due to state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2018 and 2017, the Company recorded a provision for income taxes of $1.9 million and $3.5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six months ended June 30, 2018 and 2017, the Company recorded a provision for income taxes of $3.5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 million, respectively. The decrease in the provision for income taxes for both the three and six months ended June 30, 2018 and 2017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lower pretax earnings as well as the decrease in the corporate tax rate.</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June 30, 2018 and 2017, the Company has not recognized any liabilities for uncertain tax positions, nor have interest and penalties related to uncertain tax positions been accrued.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14"/>
          </w:tcPr>
          <w:p>
            <w:pPr>
              <w:jc w:val="right"/>
              <w:ind w:right="250"/>
              <w:spacing w:after="0"/>
              <w:rPr>
                <w:sz w:val="20"/>
                <w:szCs w:val="20"/>
                <w:color w:val="auto"/>
              </w:rPr>
            </w:pPr>
            <w:r>
              <w:rPr>
                <w:rFonts w:ascii="Arial" w:cs="Arial" w:eastAsia="Arial" w:hAnsi="Arial"/>
                <w:sz w:val="18"/>
                <w:szCs w:val="18"/>
                <w:color w:val="auto"/>
                <w:w w:val="89"/>
              </w:rPr>
              <w:t>(all amounts in thousands except share and per share data)</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tcPr>
          <w:p>
            <w:pPr>
              <w:ind w:left="40"/>
              <w:spacing w:after="0"/>
              <w:rPr>
                <w:sz w:val="20"/>
                <w:szCs w:val="20"/>
                <w:color w:val="auto"/>
              </w:rPr>
            </w:pPr>
            <w:r>
              <w:rPr>
                <w:rFonts w:ascii="Arial" w:cs="Arial" w:eastAsia="Arial" w:hAnsi="Arial"/>
                <w:sz w:val="18"/>
                <w:szCs w:val="18"/>
                <w:color w:val="auto"/>
              </w:rPr>
              <w:t>For the three months ended</w:t>
            </w:r>
          </w:p>
        </w:tc>
        <w:tc>
          <w:tcPr>
            <w:tcW w:w="100" w:type="dxa"/>
            <w:vAlign w:val="bottom"/>
          </w:tcPr>
          <w:p>
            <w:pPr>
              <w:spacing w:after="0"/>
              <w:rPr>
                <w:sz w:val="18"/>
                <w:szCs w:val="18"/>
                <w:color w:val="auto"/>
              </w:rPr>
            </w:pPr>
          </w:p>
        </w:tc>
        <w:tc>
          <w:tcPr>
            <w:tcW w:w="2220" w:type="dxa"/>
            <w:vAlign w:val="bottom"/>
            <w:gridSpan w:val="7"/>
          </w:tcPr>
          <w:p>
            <w:pPr>
              <w:jc w:val="right"/>
              <w:ind w:right="170"/>
              <w:spacing w:after="0"/>
              <w:rPr>
                <w:sz w:val="20"/>
                <w:szCs w:val="20"/>
                <w:color w:val="auto"/>
              </w:rPr>
            </w:pPr>
            <w:r>
              <w:rPr>
                <w:rFonts w:ascii="Arial" w:cs="Arial" w:eastAsia="Arial" w:hAnsi="Arial"/>
                <w:sz w:val="18"/>
                <w:szCs w:val="18"/>
                <w:color w:val="auto"/>
                <w:w w:val="95"/>
              </w:rPr>
              <w:t>For the six months ended</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51,887,094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51,633,150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51,884,402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51,578,691</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Effect of dilutive securities attributable to stock based awards</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590,033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111,861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532,443</w:t>
            </w: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52,019,881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52,223,183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51,996,263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52,111,134</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8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1"/>
              </w:rPr>
              <w:t>Anti-dilutive securities excluded from earnings per share calculation</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2,298,350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209,570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2,107,629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254,511</w:t>
            </w:r>
          </w:p>
        </w:tc>
        <w:tc>
          <w:tcPr>
            <w:tcW w:w="20" w:type="dxa"/>
            <w:vAlign w:val="bottom"/>
          </w:tcPr>
          <w:p>
            <w:pPr>
              <w:spacing w:after="0"/>
              <w:rPr>
                <w:sz w:val="20"/>
                <w:szCs w:val="20"/>
                <w:color w:val="auto"/>
              </w:rPr>
            </w:pPr>
          </w:p>
        </w:tc>
      </w:tr>
      <w:tr>
        <w:trPr>
          <w:trHeight w:val="634"/>
        </w:trPr>
        <w:tc>
          <w:tcPr>
            <w:tcW w:w="49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4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jc w:val="right"/>
              <w:ind w:right="71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r>
      <w:tr>
        <w:trPr>
          <w:trHeight w:val="230"/>
        </w:trPr>
        <w:tc>
          <w:tcPr>
            <w:tcW w:w="4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June 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9"/>
                <w:szCs w:val="19"/>
                <w:color w:val="auto"/>
              </w:rPr>
            </w:pPr>
          </w:p>
        </w:tc>
      </w:tr>
      <w:tr>
        <w:trPr>
          <w:trHeight w:val="230"/>
        </w:trPr>
        <w:tc>
          <w:tcPr>
            <w:tcW w:w="49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2017</w:t>
            </w:r>
          </w:p>
        </w:tc>
        <w:tc>
          <w:tcPr>
            <w:tcW w:w="20" w:type="dxa"/>
            <w:vAlign w:val="bottom"/>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Accrued wages and salaries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2,853</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 returns reserve</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2,491</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9"/>
                <w:szCs w:val="19"/>
                <w:color w:val="auto"/>
              </w:rPr>
            </w:pPr>
          </w:p>
        </w:tc>
      </w:tr>
      <w:tr>
        <w:trPr>
          <w:trHeight w:val="217"/>
        </w:trPr>
        <w:tc>
          <w:tcPr>
            <w:tcW w:w="494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27,137</w:t>
            </w: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20" w:type="dxa"/>
            <w:vAlign w:val="bottom"/>
          </w:tcPr>
          <w:p>
            <w:pPr>
              <w:spacing w:after="0"/>
              <w:rPr>
                <w:sz w:val="18"/>
                <w:szCs w:val="18"/>
                <w:color w:val="auto"/>
              </w:rPr>
            </w:pPr>
          </w:p>
        </w:tc>
      </w:tr>
      <w:tr>
        <w:trPr>
          <w:trHeight w:val="864"/>
        </w:trPr>
        <w:tc>
          <w:tcPr>
            <w:tcW w:w="494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9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 2015, Holdings and its operating subsidiary, The Tile Shop, LLC, entered into a credit agreement with Fifth Third Bank, Bank of America, N.A., and Huntington National Bank (as amended, the “Credit Agreement”). The Credit Agreement was most recently amended on April 5, 2018 to adjust the consolidated fixed charge coverage ratio covenant to a minimum of 1.35:1.00 and revise the consolidated total rent adjusted leverage ratio covenant to a maximum of 4.00:1.00.</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Credit Agreement provides the Company with a $125.0 million senior secured credit facility, comprised of a five-year $50.0 million term loan and a $75.0 million revolving line of credit. Borrowings outstanding consisted of $7.0 million on the term loan and $22.5 million on the revolving line of credit as of June 30, 2018. There was $52.5 million available for borrowing on the revolving line of credit as of June 30, 2018, which may be used to support the Company’s growth and for working capital purposes.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June 30, 2018 the base interest rate was 5.75% and the LIBOR-based interest rate was 3.84%.</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term loan requires quarterly principal payments of $2.5 million for quarters ended September 30, 2018 through March 31, 2020. The Company can elect to prepay the term loan without incurring a penalty.</w:t>
      </w:r>
    </w:p>
    <w:p>
      <w:pPr>
        <w:spacing w:after="0" w:line="18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The Company was in compliance with the covenants as of June 30, 2018.</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standby letters of credit outstanding related to its workers compensation and medical insurance policies. As of June 30, 2018 and 2017, the standby letters of credit totaled $1.1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2018 and December 31, 2017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June 30, 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6"/>
          </w:tcPr>
          <w:p>
            <w:pPr>
              <w:ind w:left="80"/>
              <w:spacing w:after="0"/>
              <w:rPr>
                <w:sz w:val="20"/>
                <w:szCs w:val="20"/>
                <w:color w:val="auto"/>
              </w:rPr>
            </w:pPr>
            <w:r>
              <w:rPr>
                <w:rFonts w:ascii="Arial" w:cs="Arial" w:eastAsia="Arial" w:hAnsi="Arial"/>
                <w:sz w:val="18"/>
                <w:szCs w:val="18"/>
                <w:color w:val="auto"/>
              </w:rPr>
              <w:t>December 31, 2017</w:t>
            </w:r>
          </w:p>
        </w:tc>
      </w:tr>
      <w:tr>
        <w:trPr>
          <w:trHeight w:val="195"/>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6"/>
                <w:szCs w:val="16"/>
                <w:color w:val="auto"/>
              </w:rPr>
            </w:pPr>
          </w:p>
        </w:tc>
      </w:tr>
      <w:tr>
        <w:trPr>
          <w:trHeight w:val="216"/>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Debt Issuance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Debt Issuance</w:t>
            </w:r>
          </w:p>
        </w:tc>
      </w:tr>
      <w:tr>
        <w:trPr>
          <w:trHeight w:val="230"/>
        </w:trPr>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Principal</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86"/>
              </w:rPr>
              <w:t>Costs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Costs</w:t>
            </w:r>
          </w:p>
        </w:tc>
      </w:tr>
      <w:tr>
        <w:trPr>
          <w:trHeight w:val="182"/>
        </w:trPr>
        <w:tc>
          <w:tcPr>
            <w:tcW w:w="5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Term note payable - interest at 3.84% and 3.06% at June 30, 2018 and December</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31, 2017, 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22,500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rate bonds (1.69% at December 31, 2017)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29,471</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18,196</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June 30, 2018 and December 31, 2017 according to the valuation techniques the Company uses to determine their fair values. There have been no transfers of assets among the fair value hierarchies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320" w:type="dxa"/>
            <w:vAlign w:val="bottom"/>
          </w:tcPr>
          <w:p>
            <w:pPr>
              <w:spacing w:after="0"/>
              <w:rPr>
                <w:sz w:val="19"/>
                <w:szCs w:val="19"/>
                <w:color w:val="auto"/>
              </w:rPr>
            </w:pPr>
          </w:p>
        </w:tc>
        <w:tc>
          <w:tcPr>
            <w:tcW w:w="2160" w:type="dxa"/>
            <w:vAlign w:val="bottom"/>
            <w:gridSpan w:val="2"/>
          </w:tcPr>
          <w:p>
            <w:pPr>
              <w:jc w:val="right"/>
              <w:ind w:right="230"/>
              <w:spacing w:after="0"/>
              <w:rPr>
                <w:sz w:val="20"/>
                <w:szCs w:val="20"/>
                <w:color w:val="auto"/>
              </w:rPr>
            </w:pPr>
            <w:r>
              <w:rPr>
                <w:rFonts w:ascii="Arial" w:cs="Arial" w:eastAsia="Arial" w:hAnsi="Arial"/>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June 30, 2018</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9,907</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100" w:hanging="315"/>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70" w:lineRule="exact"/>
        <w:rPr>
          <w:rFonts w:ascii="Arial" w:cs="Arial" w:eastAsia="Arial" w:hAnsi="Arial"/>
          <w:sz w:val="18"/>
          <w:szCs w:val="18"/>
          <w:color w:val="auto"/>
        </w:rPr>
      </w:pPr>
    </w:p>
    <w:p>
      <w:pPr>
        <w:jc w:val="both"/>
        <w:ind w:left="960" w:right="340" w:hanging="315"/>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use for current operations. The value was measured using quoted market prices in active markets. The carrying amount approximates fair value.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measured the fair value of these assets based on projected cash flows and an estimated risk-adjusted rate of return. Projected cash flows are considered level 3 inputs. During the three and six months ended June 30, 2018, the Company identified property, plant and equipment that would be disposed of prior to the end of their useful lives, which resulted in the recognition of a $0.3 million charge to write-down these assets to their estimated fair value. No impairment charges were recorded during the three and six months ended June 30, 2017.</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Company measures and recognizes compensation expense for all stock based awards at fair value. The financial statements for the three and six months ended June 30, 2018 and 2017 include compensation cost for the portion of outstanding awards that vested during those periods. The Company recognizes stock based compensation costs on a straight-line basis over the requisite service period of the award, which is generally the option vesting term. Total stock based compensation expense related to stock options was $0.2 million and $0.6 million for the three months ended June 30, 2018 and 2017, respectively. Total stock based compensation expense related to stock options was $0.5 million and $1.2 million for the six months ended June 30, 2018 and 2017, respectively. Stock based compensation expense pertaining to stock options is included in selling, general and administrative expenses in the accompanying Consolidated Statements of Income.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June 30, 2018, the Company had outstanding stock options to purchase 1,672,804 shares of common stock at a weighted average exercise price of $14.44.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other than continued service.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$0.4 million and $0.3 million for the three months ended June 30, 2018 and 2017, respectively. Total stock based compensation expense related to restricted stock was $0.7 million and $0.6 million for the six months ended June 30, 2018 and 2017, respectively. Stock based compensation expense pertaining to restricted stock is included in selling, general and administrative expenses in the accompanying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Company had 618,091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New Market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7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June 30, 2018, the balance of the contribution liability was $2.5 million, of which $0.4 million is classified as other accrued liabilities on the Consolidated Balance Sheet and $2.1 million is classified as other long-term liabilities on the Consolidated Balance Sheet.</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 fiscal year ended December 31, 2017, the Company received reimbursements totaling $6.0 million from the Investment Fund. As of June 30, 2018, the balance in the Investment Fund available for reimbursement to the Company was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June 30, 2018, the balance of the contribution liability was $1.4 million, of which $0.7 million is classified as other accrued liabilities on the Consolidated Balance Sheet and $0.7 million is classified as other long-term liabilities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a nominal defendant in three actions brought derivatively on behalf of the Company by three shareholders in 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 claims for insider trading and/or unjust enrichment. The Company moved to dismiss the actions, or in the alternative, to stay the actions. Before the motions were decided, the parties entered into settlement discussions. As of April 11, 2018, the parties entered into a Stipulation of Settlement to resolve all claims in the three actions, which is subject to the approval of the Delaware Court of Chancery. Under the terms of settlement, the Board of Directors will adopt, and the Company will implement, certain changes to its policies and practices that address related person transactions, insider trading, compliance, and ethics. The Stipulation of Settlement also provides that the Company will be liable to pay to plaintiffs and their counsel such amount of attorneys’ fees, expenses, and incentive awards as the Court might award to them. The plaintiffs have formally requested that the Court award them attorneys’ fees and expenses in the amount of $1.7 million and an incentive award of $5,000 for each of</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21" w:right="10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two plaintiffs. The Company intends to oppose the requested amount of attorneys’ fees and expenses as being excessive. The Court is scheduled to hold a hearing on final approval of the settlement on August 23, 2018.</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 The settlement of the three derivative actions described in the preceding paragraph, if approved by the Delaware Court of Chancery, will resolve this shareholder demand.</w:t>
      </w:r>
    </w:p>
    <w:p>
      <w:pPr>
        <w:spacing w:after="0" w:line="16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Based on the terms of the Settlement and range of potential award of attorneys’ fees and expenses, the Company does not believe the amount of losses resulting from the derivative actions and demands will have a material impact on its financial statements.</w:t>
      </w:r>
    </w:p>
    <w:p>
      <w:pPr>
        <w:spacing w:after="0" w:line="12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9, 2018 Fumitake Nishi, the brother-in-law of our interim CEO Robert Rucker and a former Company employee, informed us he had reacquired a majority of the equity of one of our key vendors, Nanyang Helin Stone Co. Ltd (“Nanyang”). Nanyang supplies us with natural stone products including hand-crafted mosaics, listellos and other accessories. During 2016, 2017 and the first six months of 2018, we purchased approximately $8.4 million, $12.8 million and $5.7 million, respectively, of products from Nanyang. Mr. Nishi’s employment in our Company was terminated on January 1, 2014 as a result of several violations of our code of business conduct and ethics policy. Certain of those violations involved his undisclosed ownership of Nanyang at that time.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Committee will review future purchases from Nanyang and compare the pricing for products purchased from Nanyang to the pricing of same or similar products purchased from unrelated vendors.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July 19, 2018, the Company declared a $0.05 dividend to stockholders of record as of the close of business on July 30, 2018. The dividend will be paid on August 10,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21" w:right="9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right="130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2017 and our consolidated financial statements and related notes appearing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“depend,”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maintaining or renovating existing stores, changes to our promotional strategy changes to economic or market conditions and customer preferences, disruptions in our supply chain, or inventory management, changes to our product assortment,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2017,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June 30, 2018, we operated 140 stores in 31 states and the District of Columbia, with an average size of 20,200 square feet. We also sell our products on our website.</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the highly-fragmented United States retail tile market provides us with a significant opportunity to expand our store base. We opened 2 new stores in the first six months of 2018, and opened 15 new stores during 2017. Between July 1, 2017 and June 30, 2018, we opened 10 new store locations. We do not plan to open any additional stores in 2018.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three months ended June 30, 2018 and 2017, we reported net sales of $92.9 million and $89.5 million, respectively. The increase in sales for the three months ended June 30, 2018 compared to the three months ended June 30, 2017 was primarily due to net sales of $5.0 million from stores not included in the comparable store base, partially offset by a decline in comparable stores sales of 1.8%, or $1.6 million. For the six months ended June 30, 2018 and 2017, we reported net sales of $184.0 million and $181.6 million, respectively. The increase in sales for the six months ended June 30, 2018 compared to the six months ended June 30, 2017 was primarily due to net sales of $10.4 million from stores not included in the comparable store base, partially offset by a decline in comparable store sales of 4.4%, or $7.9 million.</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decrease in sales at comparable stores for the three and six months ended June 30, 2018 was primarily the result of weaker store traffic due in part to our shift in promotional strategy.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sets forth information about our comparable store sales (decline) and growth for the three and six months ended June 30,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1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196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6020" w:type="dxa"/>
            <w:vAlign w:val="bottom"/>
          </w:tcPr>
          <w:p>
            <w:pPr>
              <w:spacing w:after="0"/>
              <w:rPr>
                <w:sz w:val="20"/>
                <w:szCs w:val="20"/>
                <w:color w:val="auto"/>
              </w:rPr>
            </w:pPr>
          </w:p>
        </w:tc>
        <w:tc>
          <w:tcPr>
            <w:tcW w:w="13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0"/>
                <w:szCs w:val="20"/>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2017</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(decline) growth</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June 30, 2018 and 2017, we reported gross profit of $65.3 million and $62.3 million, respectively. The gross margin rate for the three months ended June 30, 2018 and 2017 was 70.3% and 69.7%, respectively. For the six months ended June 30, 2018 and 2017, we reported gross profit of $129.4 million and $127.1 million, respectively. The gross margin rate for the six months ended June 30, 2018 and 2017 was 70.3% and 70.0%, respectively. The improvement in gross profit dollars for the three and six months ended June 30, 2018 is attributable to an increase in sales combined with an increase in the gross margin rate. The increase in the gross margin rate is primarily due to decreased promotional activity.</w:t>
      </w:r>
    </w:p>
    <w:p>
      <w:pPr>
        <w:spacing w:after="0" w:line="19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three months ended June 30, 2018 and 2017, we reported income from operations of $7.4 million and $11.6 million, respectively. For the six months ended June 30, 2018 and 2017, we reported income from operations of $13.6 million and $25.1 million, respectively. The decrease in income from operations was primarily driven by investments made in store compensation, regional leadership, website design and customer relationship management capabilities combined with an increase in occupancy costs from new stores that have opened since July 1, 2017.</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Inventory increased by $12.1 million from $88.3 million on March 31, 2018 to $100.4 million on June 30, 2018. The increase was attributable to new products added to our assortment during the quarter.</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Long term debt increased $4.3 million from $25.2 million on March 31, 2018 to $29.5 million on June 30, 2018. The increase was attributable to the expansion of our product assortment resulting in an increase in inventory and capital investments associated with store remodels and merchandising.</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provided by operating activities was $19.3 million and $34.8 million for the six months ended June 30, 2018 and 2017, respectively, which was used to fund operations, inventory purchases, store remodel and merchandising investments, and dividends. We expect to continue to fund our capital expenditures and daily operations from our operating cash flows. As of June 30, 2018, we had cash of $9.9 million and working capital of $55.9 million compared with cash of $6.6 million and working capital of $43.5 million at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represents total charges to customers, net of returns, and includes freight charged to customers. We recognize sales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Comparable store sales growth is a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5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consists primarily of material costs, freight, customs and duties fees, and storage and delivery of product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as well as physical inventory losses and costs associated with manufacturing of setting and maintenance materials.</w:t>
      </w:r>
    </w:p>
    <w:p>
      <w:pPr>
        <w:spacing w:after="0" w:line="12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costs, shipping and transportation expenses to move inventory from our distribution centers to our stores, depreciation and amortization.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are subject to income tax in the United States as well as other tax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8" w:name="page19"/>
    <w:bookmarkEnd w:id="18"/>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Non-GAAP Measure</w:t>
      </w:r>
    </w:p>
    <w:p>
      <w:pPr>
        <w:spacing w:after="0" w:line="229" w:lineRule="exact"/>
        <w:rPr>
          <w:sz w:val="20"/>
          <w:szCs w:val="20"/>
          <w:color w:val="auto"/>
        </w:rPr>
      </w:pPr>
    </w:p>
    <w:p>
      <w:pPr>
        <w:ind w:left="4" w:right="100"/>
        <w:spacing w:after="0" w:line="264"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w:t>
      </w:r>
    </w:p>
    <w:p>
      <w:pPr>
        <w:spacing w:after="0" w:line="181"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We believe that this non-GAAP measure of financial results provides useful information to management and investors regarding certain financial and business trends relating to our financial condition and results of operations. Our management uses this non-GAAP measure to compare our performance to that of prior periods for trend analyses, for purposes of determining management incentive compensation, and for budgeting and planning purposes. This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performance with other specialty retailers, many of which present a similar non-GAAP financial measure to investors.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2018 and 2017 is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center"/>
              <w:ind w:right="60"/>
              <w:spacing w:after="0"/>
              <w:rPr>
                <w:sz w:val="20"/>
                <w:szCs w:val="20"/>
                <w:color w:val="auto"/>
              </w:rPr>
            </w:pPr>
            <w:r>
              <w:rPr>
                <w:rFonts w:ascii="Arial" w:cs="Arial" w:eastAsia="Arial" w:hAnsi="Arial"/>
                <w:sz w:val="18"/>
                <w:szCs w:val="18"/>
                <w:color w:val="auto"/>
                <w:w w:val="89"/>
              </w:rPr>
              <w:t>(in thousands)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center"/>
              <w:ind w:right="40"/>
              <w:spacing w:after="0"/>
              <w:rPr>
                <w:sz w:val="20"/>
                <w:szCs w:val="20"/>
                <w:color w:val="auto"/>
              </w:rPr>
            </w:pPr>
            <w:r>
              <w:rPr>
                <w:rFonts w:ascii="Arial" w:cs="Arial" w:eastAsia="Arial" w:hAnsi="Arial"/>
                <w:sz w:val="18"/>
                <w:szCs w:val="18"/>
                <w:color w:val="auto"/>
                <w:w w:val="90"/>
              </w:rPr>
              <w:t>Three Months Ended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 of 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0"/>
        </w:trPr>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sales</w:t>
            </w:r>
            <w:r>
              <w:rPr>
                <w:rFonts w:ascii="Arial" w:cs="Arial" w:eastAsia="Arial" w:hAnsi="Arial"/>
                <w:sz w:val="8"/>
                <w:szCs w:val="8"/>
                <w:color w:val="auto"/>
                <w:w w:val="88"/>
              </w:rPr>
              <w:t>(2)</w:t>
            </w:r>
          </w:p>
        </w:tc>
        <w:tc>
          <w:tcPr>
            <w:tcW w:w="1360" w:type="dxa"/>
            <w:vAlign w:val="bottom"/>
            <w:gridSpan w:val="4"/>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0"/>
              </w:rPr>
              <w:t>% of net sales</w:t>
            </w:r>
            <w:r>
              <w:rPr>
                <w:rFonts w:ascii="Arial" w:cs="Arial" w:eastAsia="Arial" w:hAnsi="Arial"/>
                <w:sz w:val="8"/>
                <w:szCs w:val="8"/>
                <w:color w:val="auto"/>
                <w:w w:val="90"/>
              </w:rPr>
              <w:t>(1)(2)</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0.5 %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6,978</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6,256</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7.0 %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18,846</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864"/>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7"/>
          </w:tcPr>
          <w:p>
            <w:pPr>
              <w:jc w:val="center"/>
              <w:ind w:right="60"/>
              <w:spacing w:after="0"/>
              <w:rPr>
                <w:sz w:val="20"/>
                <w:szCs w:val="20"/>
                <w:color w:val="auto"/>
              </w:rPr>
            </w:pPr>
            <w:r>
              <w:rPr>
                <w:rFonts w:ascii="Arial" w:cs="Arial" w:eastAsia="Arial" w:hAnsi="Arial"/>
                <w:sz w:val="18"/>
                <w:szCs w:val="18"/>
                <w:color w:val="auto"/>
                <w:w w:val="89"/>
              </w:rPr>
              <w:t>(in thousands)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center"/>
              <w:ind w:right="60"/>
              <w:spacing w:after="0"/>
              <w:rPr>
                <w:sz w:val="20"/>
                <w:szCs w:val="20"/>
                <w:color w:val="auto"/>
              </w:rPr>
            </w:pPr>
            <w:r>
              <w:rPr>
                <w:rFonts w:ascii="Arial" w:cs="Arial" w:eastAsia="Arial" w:hAnsi="Arial"/>
                <w:sz w:val="18"/>
                <w:szCs w:val="18"/>
                <w:color w:val="auto"/>
                <w:w w:val="91"/>
              </w:rPr>
              <w:t>Six Months Ended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 of 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50"/>
              <w:spacing w:after="0" w:line="195" w:lineRule="exact"/>
              <w:rPr>
                <w:sz w:val="20"/>
                <w:szCs w:val="20"/>
                <w:color w:val="auto"/>
              </w:rPr>
            </w:pPr>
            <w:r>
              <w:rPr>
                <w:rFonts w:ascii="Arial" w:cs="Arial" w:eastAsia="Arial" w:hAnsi="Arial"/>
                <w:sz w:val="18"/>
                <w:szCs w:val="18"/>
                <w:color w:val="auto"/>
              </w:rPr>
              <w:t>% of net</w:t>
            </w:r>
          </w:p>
        </w:tc>
      </w:tr>
      <w:tr>
        <w:trPr>
          <w:trHeight w:val="230"/>
        </w:trPr>
        <w:tc>
          <w:tcPr>
            <w:tcW w:w="5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0"/>
              </w:rPr>
              <w:t>sales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2017</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sales</w:t>
            </w:r>
            <w:r>
              <w:rPr>
                <w:rFonts w:ascii="Arial" w:cs="Arial" w:eastAsia="Arial" w:hAnsi="Arial"/>
                <w:sz w:val="8"/>
                <w:szCs w:val="8"/>
                <w:color w:val="auto"/>
              </w:rPr>
              <w:t>(1)</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0.5 %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13,978</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12,592</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6.9 %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28,818</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gridSpan w:val="2"/>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39,593</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jc w:val="both"/>
        <w:ind w:left="324" w:right="380" w:hanging="324"/>
        <w:spacing w:after="0" w:line="291" w:lineRule="auto"/>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prior periods, the Company also adjusted for special charges, including shareholder and other litigation costs. The Company has recast the Adjusted EBITDA presentation for the three and six months ended June 30, 2017 to conform to the current presentation.</w:t>
      </w:r>
    </w:p>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may not foot due to rounding.</w:t>
      </w:r>
    </w:p>
    <w:p>
      <w:pPr>
        <w:spacing w:after="0" w:line="224" w:lineRule="exact"/>
        <w:rPr>
          <w:sz w:val="20"/>
          <w:szCs w:val="20"/>
          <w:color w:val="auto"/>
        </w:rPr>
      </w:pPr>
    </w:p>
    <w:p>
      <w:pPr>
        <w:ind w:left="4" w:right="280"/>
        <w:spacing w:after="0" w:line="272" w:lineRule="auto"/>
        <w:rPr>
          <w:sz w:val="20"/>
          <w:szCs w:val="20"/>
          <w:color w:val="auto"/>
        </w:rPr>
      </w:pPr>
      <w:r>
        <w:rPr>
          <w:rFonts w:ascii="Arial" w:cs="Arial" w:eastAsia="Arial" w:hAnsi="Arial"/>
          <w:sz w:val="17"/>
          <w:szCs w:val="17"/>
          <w:color w:val="auto"/>
        </w:rPr>
        <w:t>Our management does not consider this non-GAAP measure in isolation or as an alternative to financial measures determined in accordance with GAAP. The principal limitation of this non-GAAP financial measure is that it excludes significant expenses and income that are required by GAAP to be recognized in our consolidated financial statements. In addition, it is subject to inherent limitations as they reflect the exercise of judgments by management about which expenses and income are excluded or included in determining this non-GAAP financial measure. In order to compensate for these limitations, management presents its non-GAAP financial measure in connection with GAAP results. We urge investors to review the reconciliation of our non-GAAP financial measure to the comparable GAAP financial measure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June 30, 2018 to the three months ended June 30,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760" w:type="dxa"/>
            <w:vAlign w:val="bottom"/>
            <w:gridSpan w:val="3"/>
          </w:tcPr>
          <w:p>
            <w:pPr>
              <w:jc w:val="right"/>
              <w:ind w:right="725"/>
              <w:spacing w:after="0"/>
              <w:rPr>
                <w:sz w:val="20"/>
                <w:szCs w:val="20"/>
                <w:color w:val="auto"/>
              </w:rPr>
            </w:pPr>
            <w:r>
              <w:rPr>
                <w:rFonts w:ascii="Arial" w:cs="Arial" w:eastAsia="Arial" w:hAnsi="Arial"/>
                <w:sz w:val="18"/>
                <w:szCs w:val="18"/>
                <w:color w:val="auto"/>
              </w:rPr>
              <w:t>% of sales</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27,602</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27,116</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(597)</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11,214</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8.6 %</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second quarter of 2018 increased $3.4 million, or 3.9%, compared with the second quarter of 2017,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$5.0 million increase in net sales from stores not included in the comparable store base, partially offset by a $1.6 million decrease in net sales generated by comparable stores. The decrease in sales at comparable stores for the three months ended June 30, 2018 was due to weaker store traffic due in part to our shift in promotional strategy.</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second quarter of 2018 increased $3.0 million, or 4.8%, compared with the second quarter of 2017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in net sales and the gross margin rate. The gross margin rate was 70.3% and 69.7% for the second quarter of 2018 and 2017, respectively. The improvement in the gross margin rate was primarily due to decreased promotional activity.</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second quarter of 2018 increased $7.1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14.0%, compared with the second quarter of 2017. The $7.1 million increase in selling, general, and administrative expenses was driven primarily by costs associated with opening and operating 10 new stores during the period from July 1, 2017 through June 30, 2018, investments in store and warehouse staff compensation, and the addition of regional sales leader positions. Included in the selling, general, and administrative expenses increase during the second quarter of 2018 was $2.0 million of planned strategic investments in store compensation, regional sales leadership, website design, and customer relationship management capabilities.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the three months ended June 30, 2018 and 2017, we incurred pre-opening costs of $0.0 million and $0.5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$0.6 million and $0.4 million for the second quarter of 2018 and 2017, respectively.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higher interest rates during the second quarter of 2018.</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Income tax provision decreased $1.6 million for the second quarter of 2018 compared with the second 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2017 due to a decrease in income before income taxes, along with a decrease in our effective tax rate due to the Tax Act. Our effective tax rate for the three months ended June 30, 2018 and 2017 was 28.0% and 31.1%,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3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320" w:type="dxa"/>
            <w:vAlign w:val="bottom"/>
            <w:gridSpan w:val="11"/>
          </w:tcPr>
          <w:p>
            <w:pPr>
              <w:jc w:val="right"/>
              <w:ind w:right="480"/>
              <w:spacing w:after="0"/>
              <w:rPr>
                <w:sz w:val="20"/>
                <w:szCs w:val="20"/>
                <w:color w:val="auto"/>
              </w:rPr>
            </w:pPr>
            <w:r>
              <w:rPr>
                <w:rFonts w:ascii="Arial" w:cs="Arial" w:eastAsia="Arial" w:hAnsi="Arial"/>
                <w:sz w:val="18"/>
                <w:szCs w:val="18"/>
                <w:b w:val="1"/>
                <w:bCs w:val="1"/>
                <w:color w:val="auto"/>
                <w:w w:val="88"/>
              </w:rPr>
              <w:t>Comparison of the six months ended June 30, 2018 to the six months ended June 30, 2017</w:t>
            </w:r>
          </w:p>
        </w:tc>
        <w:tc>
          <w:tcPr>
            <w:tcW w:w="1160" w:type="dxa"/>
            <w:vAlign w:val="bottom"/>
          </w:tcPr>
          <w:p>
            <w:pPr>
              <w:spacing w:after="0"/>
              <w:rPr>
                <w:sz w:val="24"/>
                <w:szCs w:val="24"/>
                <w:color w:val="auto"/>
              </w:rPr>
            </w:pPr>
          </w:p>
        </w:tc>
      </w:tr>
      <w:tr>
        <w:trPr>
          <w:trHeight w:val="317"/>
        </w:trPr>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760" w:type="dxa"/>
            <w:vAlign w:val="bottom"/>
            <w:gridSpan w:val="3"/>
          </w:tcPr>
          <w:p>
            <w:pPr>
              <w:jc w:val="right"/>
              <w:ind w:right="725"/>
              <w:spacing w:after="0"/>
              <w:rPr>
                <w:sz w:val="20"/>
                <w:szCs w:val="20"/>
                <w:color w:val="auto"/>
              </w:rPr>
            </w:pPr>
            <w:r>
              <w:rPr>
                <w:rFonts w:ascii="Arial" w:cs="Arial" w:eastAsia="Arial" w:hAnsi="Arial"/>
                <w:sz w:val="18"/>
                <w:szCs w:val="18"/>
                <w:color w:val="auto"/>
              </w:rPr>
              <w:t>% of sales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184,048</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181,599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54,506</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30.0 %</w:t>
            </w:r>
          </w:p>
        </w:tc>
      </w:tr>
      <w:tr>
        <w:trPr>
          <w:trHeight w:val="21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127,093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r>
      <w:tr>
        <w:trPr>
          <w:trHeight w:val="230"/>
        </w:trPr>
        <w:tc>
          <w:tcPr>
            <w:tcW w:w="4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115,797</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101,960</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56.1 %</w:t>
            </w:r>
          </w:p>
        </w:tc>
      </w:tr>
      <w:tr>
        <w:trPr>
          <w:trHeight w:val="21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13.8 %</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(1,151)</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(933)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12,474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24,298</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13.4 %</w:t>
            </w:r>
          </w:p>
        </w:tc>
      </w:tr>
      <w:tr>
        <w:trPr>
          <w:trHeight w:val="23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(3,505)</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(8,566)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17"/>
        </w:trPr>
        <w:tc>
          <w:tcPr>
            <w:tcW w:w="40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15,732</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8.7 %</w:t>
            </w:r>
          </w:p>
        </w:tc>
      </w:tr>
    </w:tbl>
    <w:p>
      <w:pPr>
        <w:spacing w:after="0" w:line="20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six months ended June 30, 2018 increased $2.4 million, or 1.3%, compared with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primarily due to a $7.9 million decrease in net sales generated by comparable stores. The decrease in sales at comparable stores for the six months ended June 30, 2018 was due to weaker store traffic due in part to our shift in promotional strategy.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2018 increased $2.3 million, or 1.8%, compared with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primarily due to an increase in net sales and an increase in the gross margin rate. The gross margin rate was 70.3% and 70.0% for the six months ended June 30, 2018 and 2017, respectively. The improvement in the gross margin rate was primarily due to decreased promotional activity.</w:t>
      </w:r>
    </w:p>
    <w:p>
      <w:pPr>
        <w:spacing w:after="0" w:line="18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six months ended June 30,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$13.8 million, or 13.6%, compared with the six months ended June 30, 2017. The $13.8 million increase in selling, general, and administrative expenses was driven primarily by costs associated with opening and operating 10 new stores during the period from July 1, 2017 through June 30, 2018, investments in store and warehouse staff compensation, and the addition of regional sales leader positions. Included in the selling, general, and administrative expenses increase during the six months ended June 30, 2018 was approximately $4.0 million of planned strategic investments in store compensation, regional sales leadership, website design, and customer relationship management capabilities.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the six months ended June 30, 2018 and 2017, we incurred pre-opening costs of $0.1 million and $0.8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was $1.2 million and $0.9 million for the six months ended June 30, 2018 and 2017, respectively.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was due to higher interest rates and a higher debt balance during the six months ended June 30, 2018.</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Income tax provision decreased $5.1 million for the six months ended June 30, 2018 compared with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2017 due to a decrease in income before income taxes, along with a decrease in our effective tax rate due to the Tax Act. Our effective tax rate for the six months ended June 30, 2018 and 2017 was 28.1% and 35.3%,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principal uses of liquidity have been investments in working capital and capital expenditures. Our principal sources of liquidity are $9.9 million of cash and cash equivalents at June 30, 2018, our cash flow from operations, and borrowings available under our credit facility. We expect to use this liquidity for opening new stores, purchasing additional merchandise inventory, maintaining our existing stores, reducing outstanding debt, paying dividends to our shareholders and general corporate purposes.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 2015, we and our operating subsidiary, The Tile Shop, LLC, entered into a credit agreement with Fifth Third Bank, Bank of America, N.A., and Huntington National Bank (as amended, the “Credit Agreement”). The Credit Agreement was most recently amended on April 5, 2018 to adjust the consolidated fixed charge coverage ratio covenant to a minimum of 1.35:1.00 and revise the consolidated total rent adjusted leverage ratio covenant to a maximum of 4.00:1.00.</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Credit Agreement provides us with a $125.0 million senior secured credit facility, comprised of a five-year $50.0 million term loan and a $75.0 million revolving line of credit. Borrowings outstanding consisted of $7.0 million on the term loan and $22.5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the revolving line of credit as of June 30, 2018. There was $52.5 million available for borrowing on the revolving line of credit as of June 30, 2018, which may be used to support our growth and for working capital purposes.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June 30, 2018 the base interest rate was 5.75% and the LIBOR-based interest rate was 3.84%.</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 loan requires quarterly principal payments of $2.5 million for the quarters ended September 30, 2018 through March 31, 2020. We can elect to prepay the term loan without incurring a penalty.</w:t>
      </w:r>
    </w:p>
    <w:p>
      <w:pPr>
        <w:spacing w:after="0" w:line="18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June 30, 2018. We intend to make principal payments due in future periods using cash from operations.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standby letters of credit outstanding related to our workers compensation and medical insurance policies. As of June 30, 2018 and 2017, the standby letters of credit totaled $1.1 million.</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Capital expenditures were $13.1 million and $20.0 million for the six months ended June 30, 2018 and 2017, respectively. The decrease in capital expenditures is primarily due to the decelerated pace of new store openings. We opened 2 and 7 new stores during the six months ended June 30, 2018 and 2017, respectively. During the six months ended June 30, 2018, capital expenditures primarily consisted of remodels for existing store investments and information technology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six months ended June 30, 2018 and 2017.</w:t>
      </w:r>
    </w:p>
    <w:p>
      <w:pPr>
        <w:spacing w:after="0" w:line="29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34,828</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(13,134)</w:t>
            </w:r>
          </w:p>
        </w:tc>
        <w:tc>
          <w:tcPr>
            <w:tcW w:w="28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w w:val="92"/>
              </w:rPr>
              <w:t>(20,000)</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(14,923)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Net cash provided by operating activities during the six months ended June 30, 2018 was $19.3 million compared with $34.8 million during the six months ended June 30, 2017. The decrease is attributable to a decrease in net income, along with an increase in inventory.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used in investing activities totaled $13.1 million for the six months ended June 30, 2018 compared with $20.0 million for the six months ended June 30, 2017.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 new enterprise resource planning system, and general corporate information technology assets.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was $2.9 million for the six months ended June 30, 2018 compared with $14.9 million for the six months ended June 30, 2017. Net cash used in financing activities during the six months ended June 30, 2018 included $32.6 million in payments of long-term debt and capital lease obligations and $5.2 million in dividends paid to stockholders, offset by advances on the line of credit of $35.0 million.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and cash equivalents totaled $9.9 million at June 30, 2018 compared with $6.6 million at December 31, 2017. Working capital was $55.9 million at June 30, 2018 compared with $43.5 million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June 30, 2018 and December 31, 2017,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there were no material changes to our contractual obligations outside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May 2014, the Financial Accounting Standards Board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We adopted this standard as of January 1, 2018 using the modified retrospective transition method. See Note 2 in Item 1, Notes to Consolidated Financial Statements in this Form 10-Q for further details.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We adopted the new standard as of March 31, 2018 using the retrospective transition method. Our restricted cash balance was $0.8 million as of June 30, 2018. Upon adopting the new standard, we no longer present the release of restricted cash as a financing cash inflow. Instead, restricted cash and long-term restricted cash balances will be included in the beginning and ending cash, cash equivalents and restricted cash balances in the statement of cash flows. In connection with the adoption of this standard, $6.0 million received from restricted cash accounts during six months ended June 30, 2017 that was previously presented as a financing cash inflow was reclassified to cash, cash equivalents and restricted cash in the statement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for fiscal year 2019, with early adoption permitted. We expect the primary impact on our consolidated balance sheets upon adoption will be the recognition, on a discounted basis, of our minimum commitments under non-cancelable operating leases resulting in the recording of right of use assets and lease obligations. Our minimum commitments under non-cancelable operating leases are disclosed in Note 5 to the Consolidated Financial Statements included in our Annual Report on Form 10-K for the fiscal year ended December 31, 2017. We have identified our lease management system and are in the process of identifying and evaluating the applicable leases. We are currently assessing the effect the new standard will have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Form 10-K for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June 30, 2018 and have concluded that such disclosure controls and procedures were effective as of the end of the period covered by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changes to our internal control over financial reporting occurred during the quarter ended June 30, 2018 that have materially affected, or are reasonably likely to materially affect, our internal control over financial reporting (as defined in Rules 13a-15(f) and 15d-15(f)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Company is a nominal defendant in three actions brought derivatively on behalf of the Company by three shareholders in 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 claims for insider trading and/or unjust enrichment. The Company moved to dismiss the actions, or in the alternative, to stay the actions. Before the motions were decided, the parties entered into settlement discussions. As of April 11, 2018, the parties entered into a Stipulation of Settlement to resolve all claims in the three actions, which is subject to the approval of the Delaware Court of Chancery. Under the terms of settlement, the Board of Directors will adopt, and the Company will implement, certain changes to its policies and practices that address related person transactions, insider trading, compliance, and ethics. The Stipulation of Settlement also provides that the Company will be liable to pay to plaintiffs and their counsel such amount of attorneys’ fees, expenses, and incentive awards as the Court might award to them. The plaintiffs have formally requested that the Court award them attorneys’ fees and expenses in the amount of $1.7 million and an incentive award of $5,000 for each of the two plaintiffs. The Company intends to oppose the requested amount of attorneys’ fees and expenses as being excessive. The Court is scheduled to hold a hearing on final approval of the settlement on August 23, 2018.</w:t>
      </w:r>
    </w:p>
    <w:p>
      <w:pPr>
        <w:spacing w:after="0" w:line="18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 The settlement of the three derivative actions described in the preceding paragraph, if approved by the Delaware Court of Chancery, will resolve this shareholder demand.</w:t>
      </w:r>
    </w:p>
    <w:p>
      <w:pPr>
        <w:spacing w:after="0" w:line="16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Based on the terms of the Settlement and range of potential award of attorneys’ fees and expenses, the Company does not believe the amount of losses resulting from the derivative actions and demands will have a material impact on its financial statements.</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4" w:name="page25"/>
    <w:bookmarkEnd w:id="24"/>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r>
      <w:tr>
        <w:trPr>
          <w:trHeight w:val="216"/>
        </w:trPr>
        <w:tc>
          <w:tcPr>
            <w:tcW w:w="4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as Part of Publicly</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that May Yet be</w:t>
            </w:r>
          </w:p>
        </w:tc>
      </w:tr>
      <w:tr>
        <w:trPr>
          <w:trHeight w:val="216"/>
        </w:trPr>
        <w:tc>
          <w:tcPr>
            <w:tcW w:w="4360" w:type="dxa"/>
            <w:vAlign w:val="bottom"/>
          </w:tcPr>
          <w:p>
            <w:pPr>
              <w:spacing w:after="0"/>
              <w:rPr>
                <w:sz w:val="18"/>
                <w:szCs w:val="18"/>
                <w:color w:val="auto"/>
              </w:rPr>
            </w:pPr>
          </w:p>
        </w:tc>
        <w:tc>
          <w:tcPr>
            <w:tcW w:w="1520" w:type="dxa"/>
            <w:vAlign w:val="bottom"/>
            <w:gridSpan w:val="2"/>
          </w:tcPr>
          <w:p>
            <w:pPr>
              <w:jc w:val="right"/>
              <w:ind w:right="195"/>
              <w:spacing w:after="0"/>
              <w:rPr>
                <w:sz w:val="20"/>
                <w:szCs w:val="20"/>
                <w:color w:val="auto"/>
              </w:rPr>
            </w:pPr>
            <w:r>
              <w:rPr>
                <w:rFonts w:ascii="Arial" w:cs="Arial" w:eastAsia="Arial" w:hAnsi="Arial"/>
                <w:sz w:val="18"/>
                <w:szCs w:val="18"/>
                <w:color w:val="auto"/>
                <w:w w:val="97"/>
              </w:rPr>
              <w:t>Total Number of</w:t>
            </w:r>
          </w:p>
        </w:tc>
        <w:tc>
          <w:tcPr>
            <w:tcW w:w="80" w:type="dxa"/>
            <w:vAlign w:val="bottom"/>
          </w:tcPr>
          <w:p>
            <w:pPr>
              <w:spacing w:after="0"/>
              <w:rPr>
                <w:sz w:val="18"/>
                <w:szCs w:val="18"/>
                <w:color w:val="auto"/>
              </w:rPr>
            </w:pPr>
          </w:p>
        </w:tc>
        <w:tc>
          <w:tcPr>
            <w:tcW w:w="1340" w:type="dxa"/>
            <w:vAlign w:val="bottom"/>
            <w:gridSpan w:val="3"/>
          </w:tcPr>
          <w:p>
            <w:pPr>
              <w:jc w:val="right"/>
              <w:ind w:right="235"/>
              <w:spacing w:after="0"/>
              <w:rPr>
                <w:sz w:val="20"/>
                <w:szCs w:val="20"/>
                <w:color w:val="auto"/>
              </w:rPr>
            </w:pPr>
            <w:r>
              <w:rPr>
                <w:rFonts w:ascii="Arial" w:cs="Arial" w:eastAsia="Arial" w:hAnsi="Arial"/>
                <w:sz w:val="18"/>
                <w:szCs w:val="18"/>
                <w:color w:val="auto"/>
                <w:w w:val="91"/>
              </w:rPr>
              <w:t>Average Price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Announced Plans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Purchased Under</w:t>
            </w:r>
          </w:p>
        </w:tc>
      </w:tr>
      <w:tr>
        <w:trPr>
          <w:trHeight w:val="230"/>
        </w:trPr>
        <w:tc>
          <w:tcPr>
            <w:tcW w:w="4360" w:type="dxa"/>
            <w:vAlign w:val="bottom"/>
          </w:tcPr>
          <w:p>
            <w:pPr>
              <w:spacing w:after="0"/>
              <w:rPr>
                <w:sz w:val="20"/>
                <w:szCs w:val="20"/>
                <w:color w:val="auto"/>
              </w:rPr>
            </w:pPr>
          </w:p>
        </w:tc>
        <w:tc>
          <w:tcPr>
            <w:tcW w:w="1520" w:type="dxa"/>
            <w:vAlign w:val="bottom"/>
            <w:gridSpan w:val="2"/>
          </w:tcPr>
          <w:p>
            <w:pPr>
              <w:jc w:val="right"/>
              <w:ind w:right="175"/>
              <w:spacing w:after="0"/>
              <w:rPr>
                <w:sz w:val="20"/>
                <w:szCs w:val="20"/>
                <w:color w:val="auto"/>
              </w:rPr>
            </w:pPr>
            <w:r>
              <w:rPr>
                <w:rFonts w:ascii="Arial" w:cs="Arial" w:eastAsia="Arial" w:hAnsi="Arial"/>
                <w:sz w:val="18"/>
                <w:szCs w:val="18"/>
                <w:color w:val="auto"/>
                <w:w w:val="86"/>
              </w:rPr>
              <w:t>Shares Purchased</w:t>
            </w:r>
          </w:p>
        </w:tc>
        <w:tc>
          <w:tcPr>
            <w:tcW w:w="80" w:type="dxa"/>
            <w:vAlign w:val="bottom"/>
          </w:tcPr>
          <w:p>
            <w:pPr>
              <w:spacing w:after="0"/>
              <w:rPr>
                <w:sz w:val="20"/>
                <w:szCs w:val="20"/>
                <w:color w:val="auto"/>
              </w:rPr>
            </w:pPr>
          </w:p>
        </w:tc>
        <w:tc>
          <w:tcPr>
            <w:tcW w:w="1340" w:type="dxa"/>
            <w:vAlign w:val="bottom"/>
            <w:gridSpan w:val="3"/>
          </w:tcPr>
          <w:p>
            <w:pPr>
              <w:jc w:val="right"/>
              <w:ind w:right="215"/>
              <w:spacing w:after="0"/>
              <w:rPr>
                <w:sz w:val="20"/>
                <w:szCs w:val="20"/>
                <w:color w:val="auto"/>
              </w:rPr>
            </w:pPr>
            <w:r>
              <w:rPr>
                <w:rFonts w:ascii="Arial" w:cs="Arial" w:eastAsia="Arial" w:hAnsi="Arial"/>
                <w:sz w:val="18"/>
                <w:szCs w:val="18"/>
                <w:color w:val="auto"/>
                <w:w w:val="88"/>
              </w:rPr>
              <w:t>Paid per Share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or Program</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Plans or Programs</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2018 - April 30, 2018</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8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90"/>
              </w:rPr>
              <w:t>(1)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6"/>
              </w:rPr>
              <w:t>0.60</w:t>
            </w:r>
          </w:p>
        </w:tc>
        <w:tc>
          <w:tcPr>
            <w:tcW w:w="220" w:type="dxa"/>
            <w:vAlign w:val="bottom"/>
            <w:tcBorders>
              <w:top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w w:val="72"/>
              </w:rPr>
              <w:t>(1)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May 1, 2018 - May 31, 2018</w:t>
            </w:r>
          </w:p>
        </w:tc>
        <w:tc>
          <w:tcPr>
            <w:tcW w:w="1520" w:type="dxa"/>
            <w:vAlign w:val="bottom"/>
            <w:gridSpan w:val="2"/>
          </w:tcPr>
          <w:p>
            <w:pPr>
              <w:jc w:val="right"/>
              <w:ind w:right="15"/>
              <w:spacing w:after="0"/>
              <w:rPr>
                <w:sz w:val="20"/>
                <w:szCs w:val="20"/>
                <w:color w:val="auto"/>
              </w:rPr>
            </w:pPr>
            <w:r>
              <w:rPr>
                <w:rFonts w:ascii="Arial" w:cs="Arial" w:eastAsia="Arial" w:hAnsi="Arial"/>
                <w:sz w:val="18"/>
                <w:szCs w:val="18"/>
                <w:color w:val="auto"/>
              </w:rPr>
              <w:t xml:space="preserve">3,658 </w:t>
            </w:r>
            <w:r>
              <w:rPr>
                <w:rFonts w:ascii="Arial" w:cs="Arial" w:eastAsia="Arial" w:hAnsi="Arial"/>
                <w:sz w:val="8"/>
                <w:szCs w:val="8"/>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 xml:space="preserve">6.74 </w:t>
            </w:r>
            <w:r>
              <w:rPr>
                <w:rFonts w:ascii="Arial" w:cs="Arial" w:eastAsia="Arial" w:hAnsi="Arial"/>
                <w:sz w:val="8"/>
                <w:szCs w:val="8"/>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June 1, 2018 - June 30, 2018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3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6"/>
              </w:rPr>
              <w:t>2.32</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ind w:left="644" w:right="20" w:hanging="320"/>
        <w:spacing w:after="0" w:line="253" w:lineRule="auto"/>
        <w:tabs>
          <w:tab w:leader="none" w:pos="644" w:val="left"/>
        </w:tabs>
        <w:numPr>
          <w:ilvl w:val="1"/>
          <w:numId w:val="9"/>
        </w:numPr>
        <w:rPr>
          <w:rFonts w:ascii="Arial" w:cs="Arial" w:eastAsia="Arial" w:hAnsi="Arial"/>
          <w:sz w:val="18"/>
          <w:szCs w:val="18"/>
          <w:color w:val="auto"/>
        </w:rPr>
      </w:pPr>
      <w:r>
        <w:rPr>
          <w:rFonts w:ascii="Arial" w:cs="Arial" w:eastAsia="Arial" w:hAnsi="Arial"/>
          <w:sz w:val="18"/>
          <w:szCs w:val="18"/>
          <w:color w:val="auto"/>
        </w:rPr>
        <w:t>A total of 931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 The remaining 8,427 shares were repurchased by the Company pursuant to the terms of the underlying restricted stock agreements, as allowed by the 2012 Omnibus Incentive Plan. The Company paid $0.0001 per share, the par value, to repurchase these shares. These repurchases were not part of a publicly announced plan or program.</w:t>
      </w:r>
    </w:p>
    <w:p>
      <w:pPr>
        <w:spacing w:after="0" w:line="1" w:lineRule="exact"/>
        <w:rPr>
          <w:rFonts w:ascii="Arial" w:cs="Arial" w:eastAsia="Arial" w:hAnsi="Arial"/>
          <w:sz w:val="18"/>
          <w:szCs w:val="18"/>
          <w:color w:val="auto"/>
        </w:rPr>
      </w:pPr>
    </w:p>
    <w:p>
      <w:pPr>
        <w:jc w:val="both"/>
        <w:ind w:left="324" w:right="240" w:hanging="324"/>
        <w:spacing w:after="0" w:line="255"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 w:right="80"/>
        <w:spacing w:after="0" w:line="273" w:lineRule="auto"/>
        <w:rPr>
          <w:sz w:val="20"/>
          <w:szCs w:val="20"/>
          <w:color w:val="auto"/>
        </w:rPr>
      </w:pPr>
      <w:r>
        <w:rPr>
          <w:rFonts w:ascii="Arial" w:cs="Arial" w:eastAsia="Arial" w:hAnsi="Arial"/>
          <w:sz w:val="17"/>
          <w:szCs w:val="17"/>
          <w:color w:val="auto"/>
        </w:rPr>
        <w:t>On July 9, 2018 Fumitake Nishi, the brother-in-law of our interim CEO Robert Rucker and a former Company employee, informed us he had reacquired a majority of the equity of one of our key vendors, Nanyang Helin Stone Co. Ltd (“Nanyang”). Nanyang supplies us with natural stone products including hand-crafted mosaics, listellos and other accessories. During 2016, 2017 and the first six months of 2018, we purchased approximately $8.4 million, $12.8 million and $5.7 million, respectively, of products from Nanyang. Mr. Nishi’s employment in our Company was terminated on January 1, 2014 as a result of several violations of our code of business conduct and ethics policy. Certain of those violations involved his undisclosed ownership of Nanyang at that time.</w:t>
      </w:r>
    </w:p>
    <w:p>
      <w:pPr>
        <w:spacing w:after="0" w:line="178" w:lineRule="exact"/>
        <w:rPr>
          <w:sz w:val="20"/>
          <w:szCs w:val="20"/>
          <w:color w:val="auto"/>
        </w:rPr>
      </w:pPr>
    </w:p>
    <w:p>
      <w:pPr>
        <w:ind w:left="4" w:right="140"/>
        <w:spacing w:after="0" w:line="276" w:lineRule="auto"/>
        <w:rPr>
          <w:sz w:val="20"/>
          <w:szCs w:val="20"/>
          <w:color w:val="auto"/>
        </w:rPr>
      </w:pPr>
      <w:r>
        <w:rPr>
          <w:rFonts w:ascii="Arial" w:cs="Arial" w:eastAsia="Arial" w:hAnsi="Arial"/>
          <w:sz w:val="17"/>
          <w:szCs w:val="17"/>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Committee will review future purchases from Nanyang and compare the pricing for products purchased from Nanyang to the pricing of same or similar products purchased from unrelated vendors.</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25" w:name="page26"/>
    <w:bookmarkEnd w:id="25"/>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00" w:type="dxa"/>
            <w:vAlign w:val="bottom"/>
            <w:gridSpan w:val="2"/>
            <w:shd w:val="clear" w:color="auto" w:fill="CCEEFF"/>
          </w:tcPr>
          <w:p>
            <w:pPr>
              <w:spacing w:after="0" w:line="199" w:lineRule="exact"/>
              <w:rPr>
                <w:rFonts w:ascii="Arial" w:cs="Arial" w:eastAsia="Arial" w:hAnsi="Arial"/>
                <w:sz w:val="18"/>
                <w:szCs w:val="18"/>
                <w:color w:val="0000EE"/>
              </w:rPr>
            </w:pPr>
            <w:hyperlink r:id="rId3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2"/>
            <w:shd w:val="clear" w:color="auto" w:fill="CCEEFF"/>
          </w:tcPr>
          <w:p>
            <w:pPr>
              <w:spacing w:after="0" w:line="199"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w w:val="98"/>
              </w:rPr>
            </w:pPr>
            <w:hyperlink r:id="rId38">
              <w:r>
                <w:rPr>
                  <w:rFonts w:ascii="Arial" w:cs="Arial" w:eastAsia="Arial" w:hAnsi="Arial"/>
                  <w:sz w:val="18"/>
                  <w:szCs w:val="18"/>
                  <w:color w:val="0000EE"/>
                  <w:w w:val="98"/>
                </w:rPr>
                <w:t>Statement on Form S-4 (Reg. No. 333-182482) filed with the Securities and Exchange Commission on July 2, 2012).</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2"/>
          </w:tcPr>
          <w:p>
            <w:pPr>
              <w:spacing w:after="0" w:line="17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Form S-4 (Reg. No. 333-182482) filed with the Securities and Exchange Commission on July 2, 2012).</w:t>
              </w:r>
            </w:hyperlink>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w w:val="79"/>
              </w:rPr>
            </w:pPr>
            <w:hyperlink r:id="rId4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12"/>
            <w:shd w:val="clear" w:color="auto" w:fill="CCEEFF"/>
          </w:tcPr>
          <w:p>
            <w:pPr>
              <w:spacing w:after="0" w:line="17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Fourth Amendment to Credit Agreement, dated April 5, 2018, among The Tile Shop, LLC, Tile Shop Holdings, Inc., Fifth Third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9180" w:type="dxa"/>
            <w:vAlign w:val="bottom"/>
            <w:tcBorders>
              <w:top w:val="single" w:sz="8" w:color="0000EE"/>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Bank, and the other parties named therein (incorporated by reference to Exhibit 10.1 to the Company’s Current Report on Form</w:t>
              </w:r>
            </w:hyperlink>
          </w:p>
        </w:tc>
        <w:tc>
          <w:tcPr>
            <w:tcW w:w="6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2"/>
            <w:shd w:val="clear" w:color="auto" w:fill="CCEEFF"/>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8-K filed with the Securities and Exchange Commission on April 6, 2018).</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40" w:type="dxa"/>
            <w:vAlign w:val="bottom"/>
          </w:tcPr>
          <w:p>
            <w:pPr>
              <w:spacing w:after="0"/>
              <w:rPr>
                <w:sz w:val="15"/>
                <w:szCs w:val="15"/>
                <w:color w:val="auto"/>
              </w:rPr>
            </w:pPr>
          </w:p>
        </w:tc>
        <w:tc>
          <w:tcPr>
            <w:tcW w:w="9280" w:type="dxa"/>
            <w:vAlign w:val="bottom"/>
            <w:gridSpan w:val="1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Certification of Chief Executive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5"/>
                <w:szCs w:val="15"/>
                <w:color w:val="auto"/>
              </w:rPr>
            </w:pPr>
          </w:p>
        </w:tc>
        <w:tc>
          <w:tcPr>
            <w:tcW w:w="9280" w:type="dxa"/>
            <w:vAlign w:val="bottom"/>
            <w:gridSpan w:val="1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280" w:type="dxa"/>
            <w:vAlign w:val="bottom"/>
            <w:gridSpan w:val="1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280" w:type="dxa"/>
            <w:vAlign w:val="bottom"/>
            <w:gridSpan w:val="1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Certifications of Chief Financial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160"/>
        <w:spacing w:after="0"/>
        <w:tabs>
          <w:tab w:leader="none" w:pos="9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101.LAB* XBRL Taxonomy Extension Label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ind w:left="16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21" w:right="8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Dated: August 1, 2018</w:t>
            </w:r>
          </w:p>
        </w:tc>
        <w:tc>
          <w:tcPr>
            <w:tcW w:w="5560" w:type="dxa"/>
            <w:vAlign w:val="bottom"/>
            <w:gridSpan w:val="2"/>
          </w:tcPr>
          <w:p>
            <w:pPr>
              <w:ind w:left="1720"/>
              <w:spacing w:after="0"/>
              <w:rPr>
                <w:sz w:val="20"/>
                <w:szCs w:val="20"/>
                <w:color w:val="auto"/>
              </w:rPr>
            </w:pPr>
            <w:r>
              <w:rPr>
                <w:rFonts w:ascii="Arial" w:cs="Arial" w:eastAsia="Arial" w:hAnsi="Arial"/>
                <w:sz w:val="18"/>
                <w:szCs w:val="18"/>
                <w:color w:val="auto"/>
              </w:rPr>
              <w:t>By: /s/ ROBERT A. RUCKER</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Robert A. Rucker</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Dated: August 1, 2018</w:t>
            </w:r>
          </w:p>
        </w:tc>
        <w:tc>
          <w:tcPr>
            <w:tcW w:w="5560" w:type="dxa"/>
            <w:vAlign w:val="bottom"/>
            <w:gridSpan w:val="2"/>
          </w:tcPr>
          <w:p>
            <w:pPr>
              <w:ind w:left="1720"/>
              <w:spacing w:after="0"/>
              <w:rPr>
                <w:sz w:val="20"/>
                <w:szCs w:val="20"/>
                <w:color w:val="auto"/>
              </w:rPr>
            </w:pPr>
            <w:r>
              <w:rPr>
                <w:rFonts w:ascii="Arial" w:cs="Arial" w:eastAsia="Arial" w:hAnsi="Arial"/>
                <w:sz w:val="18"/>
                <w:szCs w:val="18"/>
                <w:color w:val="auto"/>
              </w:rPr>
              <w:t>By: /s/ KIRK L. GEADELMANN</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27" w:name="page28"/>
    <w:bookmarkEnd w:id="27"/>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Robert A. Rucker, certify that:</w:t>
      </w:r>
    </w:p>
    <w:p>
      <w:pPr>
        <w:spacing w:after="0" w:line="144" w:lineRule="exact"/>
        <w:rPr>
          <w:sz w:val="20"/>
          <w:szCs w:val="20"/>
          <w:color w:val="auto"/>
        </w:rPr>
      </w:pPr>
    </w:p>
    <w:p>
      <w:pPr>
        <w:ind w:left="420" w:hanging="315"/>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1, 2018</w:t>
      </w:r>
    </w:p>
    <w:p>
      <w:pPr>
        <w:ind w:left="4800"/>
        <w:spacing w:after="0" w:line="219" w:lineRule="auto"/>
        <w:rPr>
          <w:sz w:val="20"/>
          <w:szCs w:val="20"/>
          <w:color w:val="auto"/>
        </w:rPr>
      </w:pPr>
      <w:r>
        <w:rPr>
          <w:rFonts w:ascii="Arial" w:cs="Arial" w:eastAsia="Arial" w:hAnsi="Arial"/>
          <w:sz w:val="18"/>
          <w:szCs w:val="18"/>
          <w:color w:val="auto"/>
        </w:rPr>
        <w:t>/s/ ROBERT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Robert A. Rucker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1, 2018</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2018 as filed with the Securities and Exchange Commission on the date hereof (the “Report”), I, Robert A. Rucker, Interim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ROBERT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Robert A. Rucker</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1, 2018</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2018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1, 2018</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endash "/>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lvl w:ilvl="1">
      <w:lvlJc w:val="left"/>
      <w:lvlText w:val="(%2)"/>
      <w:numFmt w:val="decimal"/>
      <w:start w:val="1"/>
    </w:lvl>
  </w:abstractNum>
  <w:abstractNum w:abstractNumId="9">
    <w:nsid w:val="66EF438D"/>
    <w:multiLevelType w:val="hybridMultilevel"/>
    <w:lvl w:ilvl="0">
      <w:lvlJc w:val="left"/>
      <w:lvlText w:val="(%1)"/>
      <w:numFmt w:val="decimal"/>
      <w:start w:val="2"/>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38" Type="http://schemas.openxmlformats.org/officeDocument/2006/relationships/hyperlink" Target="http://www.sec.gov/Archives/edgar/data/1552800/000114420412037509/v316486_ex3-1.htm" TargetMode="External"/><Relationship Id="rId39" Type="http://schemas.openxmlformats.org/officeDocument/2006/relationships/hyperlink" Target="http://www.sec.gov/Archives/edgar/data/1552800/000114420412037509/v316486_ex3-2.htm" TargetMode="External"/><Relationship Id="rId40" Type="http://schemas.openxmlformats.org/officeDocument/2006/relationships/hyperlink" Target="http://www.sec.gov/Archives/edgar/data/1552800/000155280018000007/tts-20180405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2019-12-28T20:22:20Z</dcterms:created>
  <dcterms:modified xsi:type="dcterms:W3CDTF">2019-12-28T20:22:20Z</dcterms:modified>
</cp:coreProperties>
</file>