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17, 2017</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TILE SHOP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019"/>
          </w:cols>
          <w:pgMar w:left="1440" w:top="220" w:right="1440" w:bottom="1440" w:gutter="0" w:footer="0" w:header="0"/>
        </w:sectPr>
      </w:pPr>
    </w:p>
    <w:p>
      <w:pPr>
        <w:spacing w:after="0" w:line="219"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2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001-35629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45-5538095</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2740" w:space="720"/>
            <w:col w:w="1980" w:space="720"/>
            <w:col w:w="2859"/>
          </w:cols>
          <w:pgMar w:left="1440" w:top="220" w:right="1440"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9019"/>
          </w:cols>
          <w:pgMar w:left="1440" w:top="220" w:right="1440" w:bottom="1440"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14000 Carlson Parkway, Plymouth, Minnesota 55441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(763) 852-2950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100" w:right="31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60" w:hanging="35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60" w:hanging="355"/>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60" w:hanging="3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0" w:lineRule="exact"/>
        <w:rPr>
          <w:rFonts w:ascii="MS PGothic" w:cs="MS PGothic" w:eastAsia="MS PGothic" w:hAnsi="MS PGothic"/>
          <w:sz w:val="17"/>
          <w:szCs w:val="17"/>
          <w:color w:val="auto"/>
        </w:rPr>
      </w:pPr>
    </w:p>
    <w:p>
      <w:pPr>
        <w:spacing w:after="0" w:line="252" w:lineRule="exact"/>
        <w:rPr>
          <w:rFonts w:ascii="MS PGothic" w:cs="MS PGothic" w:eastAsia="MS PGothic" w:hAnsi="MS PGothic"/>
          <w:sz w:val="17"/>
          <w:szCs w:val="17"/>
          <w:color w:val="auto"/>
        </w:rPr>
      </w:pPr>
    </w:p>
    <w:p>
      <w:pPr>
        <w:ind w:left="460" w:hanging="3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28" w:lineRule="exact"/>
        <w:rPr>
          <w:rFonts w:ascii="MS PGothic" w:cs="MS PGothic" w:eastAsia="MS PGothic" w:hAnsi="MS PGothic"/>
          <w:sz w:val="17"/>
          <w:szCs w:val="17"/>
          <w:color w:val="auto"/>
        </w:rPr>
      </w:pPr>
    </w:p>
    <w:p>
      <w:pPr>
        <w:jc w:val="both"/>
        <w:ind w:left="460" w:right="99"/>
        <w:spacing w:after="0" w:line="256" w:lineRule="auto"/>
        <w:rPr>
          <w:rFonts w:ascii="MS PGothic" w:cs="MS PGothic" w:eastAsia="MS PGothic" w:hAnsi="MS PGothic"/>
          <w:sz w:val="17"/>
          <w:szCs w:val="17"/>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460"/>
        <w:spacing w:after="0" w:line="207" w:lineRule="exact"/>
        <w:rPr>
          <w:rFonts w:ascii="MS PGothic" w:cs="MS PGothic" w:eastAsia="MS PGothic" w:hAnsi="MS PGothic"/>
          <w:sz w:val="17"/>
          <w:szCs w:val="17"/>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7" w:lineRule="exact"/>
        <w:rPr>
          <w:rFonts w:ascii="MS PGothic" w:cs="MS PGothic" w:eastAsia="MS PGothic" w:hAnsi="MS PGothic"/>
          <w:sz w:val="17"/>
          <w:szCs w:val="17"/>
          <w:color w:val="auto"/>
        </w:rPr>
      </w:pPr>
    </w:p>
    <w:p>
      <w:pPr>
        <w:ind w:left="460"/>
        <w:spacing w:after="0"/>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 mark if the registrant has elected not to use the extended</w:t>
      </w:r>
    </w:p>
    <w:p>
      <w:pPr>
        <w:spacing w:after="0" w:line="35" w:lineRule="exact"/>
        <w:rPr>
          <w:sz w:val="24"/>
          <w:szCs w:val="24"/>
          <w:color w:val="auto"/>
        </w:rPr>
      </w:pPr>
    </w:p>
    <w:p>
      <w:pPr>
        <w:ind w:left="460" w:right="159"/>
        <w:spacing w:after="0" w:line="226" w:lineRule="exact"/>
        <w:rPr>
          <w:sz w:val="20"/>
          <w:szCs w:val="20"/>
          <w:color w:val="auto"/>
        </w:rPr>
      </w:pPr>
      <w:r>
        <w:rPr>
          <w:rFonts w:ascii="Arial" w:cs="Arial" w:eastAsia="Arial" w:hAnsi="Arial"/>
          <w:sz w:val="18"/>
          <w:szCs w:val="18"/>
          <w:color w:val="auto"/>
        </w:rPr>
        <w:t xml:space="preserve">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53975</wp:posOffset>
            </wp:positionH>
            <wp:positionV relativeFrom="paragraph">
              <wp:posOffset>111760</wp:posOffset>
            </wp:positionV>
            <wp:extent cx="564261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type w:val="continuous"/>
        </w:sectPr>
      </w:pPr>
    </w:p>
    <w:bookmarkStart w:id="1" w:name="page2"/>
    <w:bookmarkEnd w:id="1"/>
    <w:p>
      <w:pPr>
        <w:ind w:left="100"/>
        <w:spacing w:after="0"/>
        <w:tabs>
          <w:tab w:leader="none" w:pos="10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left="100" w:right="99"/>
        <w:spacing w:after="0" w:line="255" w:lineRule="auto"/>
        <w:rPr>
          <w:sz w:val="20"/>
          <w:szCs w:val="20"/>
          <w:color w:val="auto"/>
        </w:rPr>
      </w:pPr>
      <w:r>
        <w:rPr>
          <w:rFonts w:ascii="Arial" w:cs="Arial" w:eastAsia="Arial" w:hAnsi="Arial"/>
          <w:sz w:val="18"/>
          <w:szCs w:val="18"/>
          <w:color w:val="auto"/>
        </w:rPr>
        <w:t>On July 17, 2017, Tile Shop Holdings, Inc. (the “Company”), its operating subsidiary, The Tile Shop, LLC, and certain other subsidiaries of the Company entered into a Third Amendment to Credit Agreement (the “Third Amendment”) with Fifth Third Bank, Bank of America, N.A., and The Huntington National Bank. The Third Amendment amends the Credit Agreement, dated June 2, 2015, among the Company, Fifth Third Bank, Bank of America, N.A., and The Huntington National Bank and certain other parties thereto (the “Credit Agreement”) to amend the consolidated fixed charge coverage ratio from 2.00:1.00 to 1.50:1.00 to provide the Company with greater flexibility in declaring and making dividend payments or other distributions to its stockholders.</w:t>
      </w:r>
    </w:p>
    <w:p>
      <w:pPr>
        <w:spacing w:after="0" w:line="189" w:lineRule="exact"/>
        <w:rPr>
          <w:sz w:val="20"/>
          <w:szCs w:val="20"/>
          <w:color w:val="auto"/>
        </w:rPr>
      </w:pPr>
    </w:p>
    <w:p>
      <w:pPr>
        <w:jc w:val="both"/>
        <w:ind w:left="100" w:right="99"/>
        <w:spacing w:after="0" w:line="259" w:lineRule="auto"/>
        <w:rPr>
          <w:sz w:val="20"/>
          <w:szCs w:val="20"/>
          <w:color w:val="auto"/>
        </w:rPr>
      </w:pPr>
      <w:r>
        <w:rPr>
          <w:rFonts w:ascii="Arial" w:cs="Arial" w:eastAsia="Arial" w:hAnsi="Arial"/>
          <w:sz w:val="18"/>
          <w:szCs w:val="18"/>
          <w:color w:val="auto"/>
        </w:rPr>
        <w:t>Except as specifically amended by the Third Amendment, all of the terms and conditions set forth in the Credit Agreement remain unchanged and in full force and effect. The foregoing description of the Third Amendment is not complete and is qualified in its entirety by reference to the agreement, which is attached hereto as Exhibit 10.1 and is incorporated herein by reference.</w:t>
      </w:r>
    </w:p>
    <w:p>
      <w:pPr>
        <w:spacing w:after="0" w:line="183"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 Exhibits.</w:t>
      </w:r>
    </w:p>
    <w:p>
      <w:pPr>
        <w:spacing w:after="0" w:line="243" w:lineRule="exact"/>
        <w:rPr>
          <w:sz w:val="20"/>
          <w:szCs w:val="20"/>
          <w:color w:val="auto"/>
        </w:rPr>
      </w:pPr>
    </w:p>
    <w:p>
      <w:pPr>
        <w:ind w:left="1140"/>
        <w:spacing w:after="0"/>
        <w:tabs>
          <w:tab w:leader="none" w:pos="20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Third Amendment to Credit Agreement, dated July 17, 2017, among The Tile Shop, LLC,</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Tile Shop Holdings, Inc., Fifth Third Bank, and the other parties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421640</wp:posOffset>
            </wp:positionV>
            <wp:extent cx="564261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00" w:right="2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TILE SHOP HOLDINGS, INC.</w:t>
      </w:r>
    </w:p>
    <w:p>
      <w:pPr>
        <w:spacing w:after="0" w:line="27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/s/ Kirk Geadelmann</w:t>
      </w:r>
    </w:p>
    <w:p>
      <w:pPr>
        <w:spacing w:after="0" w:line="23" w:lineRule="exact"/>
        <w:rPr>
          <w:sz w:val="20"/>
          <w:szCs w:val="20"/>
          <w:color w:val="auto"/>
        </w:rPr>
      </w:pPr>
    </w:p>
    <w:p>
      <w:pPr>
        <w:ind w:left="100"/>
        <w:spacing w:after="0"/>
        <w:tabs>
          <w:tab w:leader="none" w:pos="4320" w:val="left"/>
        </w:tabs>
        <w:rPr>
          <w:sz w:val="20"/>
          <w:szCs w:val="20"/>
          <w:color w:val="auto"/>
        </w:rPr>
      </w:pPr>
      <w:r>
        <w:rPr>
          <w:rFonts w:ascii="Arial" w:cs="Arial" w:eastAsia="Arial" w:hAnsi="Arial"/>
          <w:sz w:val="18"/>
          <w:szCs w:val="18"/>
          <w:color w:val="auto"/>
        </w:rPr>
        <w:t>Date: July 17, 2017</w:t>
      </w:r>
      <w:r>
        <w:rPr>
          <w:sz w:val="20"/>
          <w:szCs w:val="20"/>
          <w:color w:val="auto"/>
        </w:rPr>
        <w:tab/>
      </w:r>
      <w:r>
        <w:rPr>
          <w:rFonts w:ascii="Arial" w:cs="Arial" w:eastAsia="Arial" w:hAnsi="Arial"/>
          <w:sz w:val="16"/>
          <w:szCs w:val="16"/>
          <w:color w:val="auto"/>
        </w:rPr>
        <w:t>Name: Kirk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-130810</wp:posOffset>
            </wp:positionV>
            <wp:extent cx="2075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996315</wp:posOffset>
            </wp:positionV>
            <wp:extent cx="564261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99"/>
        <w:spacing w:after="0"/>
        <w:rPr>
          <w:sz w:val="20"/>
          <w:szCs w:val="20"/>
          <w:color w:val="auto"/>
        </w:rPr>
      </w:pPr>
      <w:r>
        <w:rPr>
          <w:rFonts w:ascii="Arial" w:cs="Arial" w:eastAsia="Arial" w:hAnsi="Arial"/>
          <w:sz w:val="22"/>
          <w:szCs w:val="22"/>
          <w:color w:val="auto"/>
        </w:rPr>
        <w:t>Execution Version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Credit Agreement</w:t>
      </w:r>
    </w:p>
    <w:p>
      <w:pPr>
        <w:spacing w:after="0" w:line="253" w:lineRule="exact"/>
        <w:rPr>
          <w:sz w:val="20"/>
          <w:szCs w:val="20"/>
          <w:color w:val="auto"/>
        </w:rPr>
      </w:pPr>
    </w:p>
    <w:p>
      <w:pPr>
        <w:jc w:val="both"/>
        <w:ind w:left="100" w:right="99" w:firstLine="648"/>
        <w:spacing w:after="0" w:line="248" w:lineRule="auto"/>
        <w:rPr>
          <w:sz w:val="20"/>
          <w:szCs w:val="20"/>
          <w:color w:val="auto"/>
        </w:rPr>
      </w:pPr>
      <w:r>
        <w:rPr>
          <w:rFonts w:ascii="Arial" w:cs="Arial" w:eastAsia="Arial" w:hAnsi="Arial"/>
          <w:sz w:val="21"/>
          <w:szCs w:val="21"/>
          <w:color w:val="auto"/>
        </w:rPr>
        <w:t xml:space="preserve">This Third Amendment to Credit Agreement (herein, this </w:t>
      </w:r>
      <w:r>
        <w:rPr>
          <w:rFonts w:ascii="Arial" w:cs="Arial" w:eastAsia="Arial" w:hAnsi="Arial"/>
          <w:sz w:val="21"/>
          <w:szCs w:val="21"/>
          <w:i w:val="1"/>
          <w:iCs w:val="1"/>
          <w:color w:val="auto"/>
        </w:rPr>
        <w:t>“Amendment”</w:t>
      </w:r>
      <w:r>
        <w:rPr>
          <w:rFonts w:ascii="Arial" w:cs="Arial" w:eastAsia="Arial" w:hAnsi="Arial"/>
          <w:sz w:val="21"/>
          <w:szCs w:val="21"/>
          <w:color w:val="auto"/>
        </w:rPr>
        <w:t xml:space="preserve">) is entered into as of July 17, 2017 (the </w:t>
      </w:r>
      <w:r>
        <w:rPr>
          <w:rFonts w:ascii="Arial" w:cs="Arial" w:eastAsia="Arial" w:hAnsi="Arial"/>
          <w:sz w:val="21"/>
          <w:szCs w:val="21"/>
          <w:i w:val="1"/>
          <w:iCs w:val="1"/>
          <w:color w:val="auto"/>
        </w:rPr>
        <w:t>“Third Amendment Effective Date</w:t>
      </w:r>
      <w:r>
        <w:rPr>
          <w:rFonts w:ascii="Arial" w:cs="Arial" w:eastAsia="Arial" w:hAnsi="Arial"/>
          <w:sz w:val="21"/>
          <w:szCs w:val="21"/>
          <w:color w:val="auto"/>
        </w:rPr>
        <w:t xml:space="preserve">”), by and among The Tile Shop, LLC, a Delaware limited liability company (the </w:t>
      </w:r>
      <w:r>
        <w:rPr>
          <w:rFonts w:ascii="Arial" w:cs="Arial" w:eastAsia="Arial" w:hAnsi="Arial"/>
          <w:sz w:val="21"/>
          <w:szCs w:val="21"/>
          <w:i w:val="1"/>
          <w:iCs w:val="1"/>
          <w:color w:val="auto"/>
        </w:rPr>
        <w:t>“Company”</w:t>
      </w:r>
      <w:r>
        <w:rPr>
          <w:rFonts w:ascii="Arial" w:cs="Arial" w:eastAsia="Arial" w:hAnsi="Arial"/>
          <w:sz w:val="21"/>
          <w:szCs w:val="21"/>
          <w:color w:val="auto"/>
        </w:rPr>
        <w:t>), Tile Shop Lending, Inc., a Delaware corporation (</w:t>
      </w:r>
      <w:r>
        <w:rPr>
          <w:rFonts w:ascii="Arial" w:cs="Arial" w:eastAsia="Arial" w:hAnsi="Arial"/>
          <w:sz w:val="21"/>
          <w:szCs w:val="21"/>
          <w:i w:val="1"/>
          <w:iCs w:val="1"/>
          <w:color w:val="auto"/>
        </w:rPr>
        <w:t>“Tile Shop Lending”</w:t>
      </w:r>
      <w:r>
        <w:rPr>
          <w:rFonts w:ascii="Arial" w:cs="Arial" w:eastAsia="Arial" w:hAnsi="Arial"/>
          <w:sz w:val="21"/>
          <w:szCs w:val="21"/>
          <w:color w:val="auto"/>
        </w:rPr>
        <w:t xml:space="preserve"> and together with the Company, the </w:t>
      </w:r>
      <w:r>
        <w:rPr>
          <w:rFonts w:ascii="Arial" w:cs="Arial" w:eastAsia="Arial" w:hAnsi="Arial"/>
          <w:sz w:val="21"/>
          <w:szCs w:val="21"/>
          <w:i w:val="1"/>
          <w:iCs w:val="1"/>
          <w:color w:val="auto"/>
        </w:rPr>
        <w:t>“Borrowers”</w:t>
      </w:r>
      <w:r>
        <w:rPr>
          <w:rFonts w:ascii="Arial" w:cs="Arial" w:eastAsia="Arial" w:hAnsi="Arial"/>
          <w:sz w:val="21"/>
          <w:szCs w:val="21"/>
          <w:color w:val="auto"/>
        </w:rPr>
        <w:t>), Tile Shop Holdings, Inc., a Delaware corporation (</w:t>
      </w:r>
      <w:r>
        <w:rPr>
          <w:rFonts w:ascii="Arial" w:cs="Arial" w:eastAsia="Arial" w:hAnsi="Arial"/>
          <w:sz w:val="21"/>
          <w:szCs w:val="21"/>
          <w:i w:val="1"/>
          <w:iCs w:val="1"/>
          <w:color w:val="auto"/>
        </w:rPr>
        <w:t>“Holdings”</w:t>
      </w:r>
      <w:r>
        <w:rPr>
          <w:rFonts w:ascii="Arial" w:cs="Arial" w:eastAsia="Arial" w:hAnsi="Arial"/>
          <w:sz w:val="21"/>
          <w:szCs w:val="21"/>
          <w:color w:val="auto"/>
        </w:rPr>
        <w:t>), the other Guarantors party hereto, the Lenders party hereto, and Fifth Third Bank, as Administrative Agent and L/C Issuer.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left="100" w:right="99" w:firstLine="635"/>
        <w:spacing w:after="0" w:line="238" w:lineRule="auto"/>
        <w:rPr>
          <w:sz w:val="20"/>
          <w:szCs w:val="20"/>
          <w:color w:val="auto"/>
        </w:rPr>
      </w:pPr>
      <w:r>
        <w:rPr>
          <w:rFonts w:ascii="Arial" w:cs="Arial" w:eastAsia="Arial" w:hAnsi="Arial"/>
          <w:sz w:val="22"/>
          <w:szCs w:val="22"/>
          <w:color w:val="auto"/>
        </w:rPr>
        <w:t xml:space="preserve">A. The Borrowers, Holdings, the other Guarantors party thereto, the Lenders party thereto, and Fifth Third Bank, as Administrative Agent and L/C Issuer, are party to a Credit Agreement dated as of June 2, 2015 (as amended, modified, restated, or supplemented from time to time, the </w:t>
      </w:r>
      <w:r>
        <w:rPr>
          <w:rFonts w:ascii="Arial" w:cs="Arial" w:eastAsia="Arial" w:hAnsi="Arial"/>
          <w:sz w:val="22"/>
          <w:szCs w:val="22"/>
          <w:i w:val="1"/>
          <w:iCs w:val="1"/>
          <w:color w:val="auto"/>
        </w:rPr>
        <w:t>“Credit</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w:t>
      </w:r>
    </w:p>
    <w:p>
      <w:pPr>
        <w:spacing w:after="0" w:line="226" w:lineRule="exact"/>
        <w:rPr>
          <w:sz w:val="20"/>
          <w:szCs w:val="20"/>
          <w:color w:val="auto"/>
        </w:rPr>
      </w:pPr>
    </w:p>
    <w:p>
      <w:pPr>
        <w:jc w:val="both"/>
        <w:ind w:left="100" w:right="99" w:firstLine="635"/>
        <w:spacing w:after="0" w:line="236" w:lineRule="auto"/>
        <w:rPr>
          <w:sz w:val="20"/>
          <w:szCs w:val="20"/>
          <w:color w:val="auto"/>
        </w:rPr>
      </w:pPr>
      <w:r>
        <w:rPr>
          <w:rFonts w:ascii="Arial" w:cs="Arial" w:eastAsia="Arial" w:hAnsi="Arial"/>
          <w:sz w:val="22"/>
          <w:szCs w:val="22"/>
          <w:color w:val="auto"/>
        </w:rPr>
        <w:t>B. The Borrowers have requested that the Administrative Agent and the Required Lenders amend the minimum Consolidated Fixed Charge Coverage Ratio set forth in Section 7.11(a) of the Credit Agreement and make certain other amendments to the Credit Agreement, and the Administrative Agent and the Required Lenders have agreed to do so on the terms and conditions set forth in this Amendment.</w:t>
      </w:r>
    </w:p>
    <w:p>
      <w:pPr>
        <w:spacing w:after="0" w:line="228"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Now, Therefore, for good and valuable consideration, the receipt and sufficiency of which is hereby acknowledged, the parties hereto agree as follows:</w:t>
      </w:r>
    </w:p>
    <w:p>
      <w:pPr>
        <w:spacing w:after="0" w:line="200" w:lineRule="exact"/>
        <w:rPr>
          <w:sz w:val="20"/>
          <w:szCs w:val="20"/>
          <w:color w:val="auto"/>
        </w:rPr>
      </w:pPr>
    </w:p>
    <w:p>
      <w:pPr>
        <w:jc w:val="both"/>
        <w:ind w:left="100" w:right="99" w:firstLine="716"/>
        <w:spacing w:after="0" w:line="249" w:lineRule="auto"/>
        <w:rPr>
          <w:sz w:val="20"/>
          <w:szCs w:val="20"/>
          <w:color w:val="auto"/>
        </w:rPr>
      </w:pPr>
      <w:r>
        <w:rPr>
          <w:rFonts w:ascii="Arial" w:cs="Arial" w:eastAsia="Arial" w:hAnsi="Arial"/>
          <w:sz w:val="21"/>
          <w:szCs w:val="21"/>
          <w:i w:val="1"/>
          <w:iCs w:val="1"/>
          <w:color w:val="auto"/>
        </w:rPr>
        <w:t>Section 1. Incorporation of Recitals; Defined Terms</w:t>
      </w:r>
      <w:r>
        <w:rPr>
          <w:rFonts w:ascii="Arial" w:cs="Arial" w:eastAsia="Arial" w:hAnsi="Arial"/>
          <w:sz w:val="21"/>
          <w:szCs w:val="21"/>
          <w:color w:val="auto"/>
        </w:rPr>
        <w:t>. The Borrowers acknowledge</w:t>
      </w:r>
      <w:r>
        <w:rPr>
          <w:rFonts w:ascii="Arial" w:cs="Arial" w:eastAsia="Arial" w:hAnsi="Arial"/>
          <w:sz w:val="21"/>
          <w:szCs w:val="21"/>
          <w:i w:val="1"/>
          <w:iCs w:val="1"/>
          <w:color w:val="auto"/>
        </w:rPr>
        <w:t xml:space="preserve"> </w:t>
      </w:r>
      <w:r>
        <w:rPr>
          <w:rFonts w:ascii="Arial" w:cs="Arial" w:eastAsia="Arial" w:hAnsi="Arial"/>
          <w:sz w:val="21"/>
          <w:szCs w:val="21"/>
          <w:color w:val="auto"/>
        </w:rPr>
        <w:t>that the Recitals set forth above are true and correct. This Amendment shall constitute a Loan Document, and the Recitals shall be construed as part of this Amendment. Each capitalized term used but not otherwise defined herein, including capitalized terms used in the introductory paragraph hereof and the Recitals, has the meaning assigned to it in the Credit Agreement.</w:t>
      </w:r>
    </w:p>
    <w:p>
      <w:pPr>
        <w:spacing w:after="0" w:line="219" w:lineRule="exact"/>
        <w:rPr>
          <w:sz w:val="20"/>
          <w:szCs w:val="20"/>
          <w:color w:val="auto"/>
        </w:rPr>
      </w:pPr>
    </w:p>
    <w:p>
      <w:pPr>
        <w:ind w:left="180"/>
        <w:spacing w:after="0"/>
        <w:tabs>
          <w:tab w:leader="none" w:pos="1720" w:val="left"/>
        </w:tabs>
        <w:rPr>
          <w:sz w:val="20"/>
          <w:szCs w:val="20"/>
          <w:color w:val="auto"/>
        </w:rPr>
      </w:pPr>
      <w:r>
        <w:rPr>
          <w:rFonts w:ascii="Arial" w:cs="Arial" w:eastAsia="Arial" w:hAnsi="Arial"/>
          <w:sz w:val="22"/>
          <w:szCs w:val="22"/>
          <w:i w:val="1"/>
          <w:iCs w:val="1"/>
          <w:color w:val="auto"/>
        </w:rPr>
        <w:t>Section 2.</w:t>
      </w:r>
      <w:r>
        <w:rPr>
          <w:sz w:val="20"/>
          <w:szCs w:val="20"/>
          <w:color w:val="auto"/>
        </w:rPr>
        <w:tab/>
      </w:r>
      <w:r>
        <w:rPr>
          <w:rFonts w:ascii="Arial" w:cs="Arial" w:eastAsia="Arial" w:hAnsi="Arial"/>
          <w:sz w:val="19"/>
          <w:szCs w:val="19"/>
          <w:i w:val="1"/>
          <w:iCs w:val="1"/>
          <w:color w:val="auto"/>
        </w:rPr>
        <w:t>Amendments to Credit Agreement</w:t>
      </w:r>
      <w:r>
        <w:rPr>
          <w:rFonts w:ascii="Arial" w:cs="Arial" w:eastAsia="Arial" w:hAnsi="Arial"/>
          <w:sz w:val="19"/>
          <w:szCs w:val="19"/>
          <w:color w:val="auto"/>
        </w:rPr>
        <w:t>.</w:t>
      </w:r>
    </w:p>
    <w:p>
      <w:pPr>
        <w:spacing w:after="0" w:line="247" w:lineRule="exact"/>
        <w:rPr>
          <w:sz w:val="20"/>
          <w:szCs w:val="20"/>
          <w:color w:val="auto"/>
        </w:rPr>
      </w:pPr>
    </w:p>
    <w:p>
      <w:pPr>
        <w:jc w:val="both"/>
        <w:ind w:left="100" w:right="99" w:firstLine="648"/>
        <w:spacing w:after="0" w:line="251" w:lineRule="auto"/>
        <w:rPr>
          <w:sz w:val="20"/>
          <w:szCs w:val="20"/>
          <w:color w:val="auto"/>
        </w:rPr>
      </w:pPr>
      <w:r>
        <w:rPr>
          <w:rFonts w:ascii="Arial" w:cs="Arial" w:eastAsia="Arial" w:hAnsi="Arial"/>
          <w:sz w:val="22"/>
          <w:szCs w:val="22"/>
          <w:color w:val="auto"/>
        </w:rPr>
        <w:t>Upon satisfaction of the conditions precedent set forth in Section 3 hereof, the Credit Agreement shall be and hereby is amended as follows:</w:t>
      </w:r>
    </w:p>
    <w:p>
      <w:pPr>
        <w:spacing w:after="0" w:line="200" w:lineRule="exact"/>
        <w:rPr>
          <w:sz w:val="20"/>
          <w:szCs w:val="20"/>
          <w:color w:val="auto"/>
        </w:rPr>
      </w:pPr>
    </w:p>
    <w:p>
      <w:pPr>
        <w:ind w:left="760" w:right="99" w:firstLine="662"/>
        <w:spacing w:after="0" w:line="251" w:lineRule="auto"/>
        <w:rPr>
          <w:sz w:val="20"/>
          <w:szCs w:val="20"/>
          <w:color w:val="auto"/>
        </w:rPr>
      </w:pPr>
      <w:r>
        <w:rPr>
          <w:rFonts w:ascii="Arial" w:cs="Arial" w:eastAsia="Arial" w:hAnsi="Arial"/>
          <w:sz w:val="22"/>
          <w:szCs w:val="22"/>
          <w:color w:val="auto"/>
        </w:rPr>
        <w:t xml:space="preserve">2.1.Clause (a) of Section 7.11 of the Credit Agreement is amended by replacing the ratio </w:t>
      </w:r>
      <w:r>
        <w:rPr>
          <w:rFonts w:ascii="Arial" w:cs="Arial" w:eastAsia="Arial" w:hAnsi="Arial"/>
          <w:sz w:val="22"/>
          <w:szCs w:val="22"/>
          <w:i w:val="1"/>
          <w:iCs w:val="1"/>
          <w:color w:val="auto"/>
        </w:rPr>
        <w:t>“2.00 to 1.00”</w:t>
      </w:r>
      <w:r>
        <w:rPr>
          <w:rFonts w:ascii="Arial" w:cs="Arial" w:eastAsia="Arial" w:hAnsi="Arial"/>
          <w:sz w:val="22"/>
          <w:szCs w:val="22"/>
          <w:color w:val="auto"/>
        </w:rPr>
        <w:t xml:space="preserve"> appearing therein with the ratio </w:t>
      </w:r>
      <w:r>
        <w:rPr>
          <w:rFonts w:ascii="Arial" w:cs="Arial" w:eastAsia="Arial" w:hAnsi="Arial"/>
          <w:sz w:val="22"/>
          <w:szCs w:val="22"/>
          <w:i w:val="1"/>
          <w:iCs w:val="1"/>
          <w:color w:val="auto"/>
        </w:rPr>
        <w:t>“1.50 to 1.00”</w:t>
      </w:r>
      <w:r>
        <w:rPr>
          <w:rFonts w:ascii="Arial" w:cs="Arial" w:eastAsia="Arial" w:hAnsi="Arial"/>
          <w:sz w:val="22"/>
          <w:szCs w:val="22"/>
          <w:color w:val="auto"/>
        </w:rPr>
        <w:t>.</w:t>
      </w:r>
    </w:p>
    <w:p>
      <w:pPr>
        <w:spacing w:after="0" w:line="214" w:lineRule="exact"/>
        <w:rPr>
          <w:sz w:val="20"/>
          <w:szCs w:val="20"/>
          <w:color w:val="auto"/>
        </w:rPr>
      </w:pPr>
    </w:p>
    <w:p>
      <w:pPr>
        <w:ind w:left="760" w:right="99" w:firstLine="662"/>
        <w:spacing w:after="0" w:line="251" w:lineRule="auto"/>
        <w:rPr>
          <w:sz w:val="20"/>
          <w:szCs w:val="20"/>
          <w:color w:val="auto"/>
        </w:rPr>
      </w:pPr>
      <w:r>
        <w:rPr>
          <w:rFonts w:ascii="Arial" w:cs="Arial" w:eastAsia="Arial" w:hAnsi="Arial"/>
          <w:sz w:val="22"/>
          <w:szCs w:val="22"/>
          <w:color w:val="auto"/>
        </w:rPr>
        <w:t xml:space="preserve">2.2.The proviso in the last paragraph of Section 10.01 of the Credit Agreement is amended by deleting the word </w:t>
      </w:r>
      <w:r>
        <w:rPr>
          <w:rFonts w:ascii="Arial" w:cs="Arial" w:eastAsia="Arial" w:hAnsi="Arial"/>
          <w:sz w:val="22"/>
          <w:szCs w:val="22"/>
          <w:i w:val="1"/>
          <w:iCs w:val="1"/>
          <w:color w:val="auto"/>
        </w:rPr>
        <w:t>“applicable”</w:t>
      </w:r>
      <w:r>
        <w:rPr>
          <w:rFonts w:ascii="Arial" w:cs="Arial" w:eastAsia="Arial" w:hAnsi="Arial"/>
          <w:sz w:val="22"/>
          <w:szCs w:val="22"/>
          <w:color w:val="auto"/>
        </w:rPr>
        <w:t xml:space="preserve"> appearing therein.</w:t>
      </w:r>
    </w:p>
    <w:p>
      <w:pPr>
        <w:spacing w:after="0" w:line="214" w:lineRule="exact"/>
        <w:rPr>
          <w:sz w:val="20"/>
          <w:szCs w:val="20"/>
          <w:color w:val="auto"/>
        </w:rPr>
      </w:pPr>
    </w:p>
    <w:p>
      <w:pPr>
        <w:ind w:left="820"/>
        <w:spacing w:after="0"/>
        <w:tabs>
          <w:tab w:leader="none" w:pos="1620" w:val="left"/>
          <w:tab w:leader="none" w:pos="2480" w:val="left"/>
          <w:tab w:leader="none" w:pos="3620" w:val="left"/>
          <w:tab w:leader="none" w:pos="4660" w:val="left"/>
          <w:tab w:leader="none" w:pos="5000" w:val="left"/>
          <w:tab w:leader="none" w:pos="6420" w:val="left"/>
          <w:tab w:leader="none" w:pos="6940" w:val="left"/>
          <w:tab w:leader="none" w:pos="8240" w:val="left"/>
          <w:tab w:leader="none" w:pos="8580" w:val="left"/>
        </w:tabs>
        <w:rPr>
          <w:sz w:val="20"/>
          <w:szCs w:val="20"/>
          <w:color w:val="auto"/>
        </w:rPr>
      </w:pPr>
      <w:r>
        <w:rPr>
          <w:rFonts w:ascii="Arial" w:cs="Arial" w:eastAsia="Arial" w:hAnsi="Arial"/>
          <w:sz w:val="22"/>
          <w:szCs w:val="22"/>
          <w:i w:val="1"/>
          <w:iCs w:val="1"/>
          <w:color w:val="auto"/>
        </w:rPr>
        <w:t>Section</w:t>
        <w:tab/>
        <w:t>3.</w:t>
      </w:r>
      <w:r>
        <w:rPr>
          <w:sz w:val="20"/>
          <w:szCs w:val="20"/>
          <w:color w:val="auto"/>
        </w:rPr>
        <w:tab/>
      </w:r>
      <w:r>
        <w:rPr>
          <w:rFonts w:ascii="Arial" w:cs="Arial" w:eastAsia="Arial" w:hAnsi="Arial"/>
          <w:sz w:val="22"/>
          <w:szCs w:val="22"/>
          <w:i w:val="1"/>
          <w:iCs w:val="1"/>
          <w:color w:val="auto"/>
        </w:rPr>
        <w:t>Conditions</w:t>
        <w:tab/>
        <w:t>Precedent</w:t>
        <w:tab/>
        <w:t>to</w:t>
        <w:tab/>
        <w:t>Amendment</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The</w:t>
        <w:tab/>
        <w:t>effectiveness</w:t>
        <w:tab/>
        <w:t>of</w:t>
      </w:r>
      <w:r>
        <w:rPr>
          <w:sz w:val="20"/>
          <w:szCs w:val="20"/>
          <w:color w:val="auto"/>
        </w:rPr>
        <w:tab/>
      </w:r>
      <w:r>
        <w:rPr>
          <w:rFonts w:ascii="Arial" w:cs="Arial" w:eastAsia="Arial" w:hAnsi="Arial"/>
          <w:sz w:val="19"/>
          <w:szCs w:val="19"/>
          <w:color w:val="auto"/>
        </w:rPr>
        <w:t>this</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Amendment is subject to the satisfaction of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343535</wp:posOffset>
            </wp:positionV>
            <wp:extent cx="564261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 w:name="page5"/>
    <w:bookmarkEnd w:id="4"/>
    <w:p>
      <w:pPr>
        <w:jc w:val="both"/>
        <w:ind w:left="760" w:right="99" w:firstLine="824"/>
        <w:spacing w:after="0" w:line="251" w:lineRule="auto"/>
        <w:rPr>
          <w:sz w:val="20"/>
          <w:szCs w:val="20"/>
          <w:color w:val="auto"/>
        </w:rPr>
      </w:pPr>
      <w:r>
        <w:rPr>
          <w:rFonts w:ascii="Arial" w:cs="Arial" w:eastAsia="Arial" w:hAnsi="Arial"/>
          <w:sz w:val="22"/>
          <w:szCs w:val="22"/>
          <w:color w:val="auto"/>
        </w:rPr>
        <w:t>3.1. The Borrowers, the Guarantors, the Required Lenders, and the Administrative Agent shall have executed and delivered this Amendment.</w:t>
      </w:r>
    </w:p>
    <w:p>
      <w:pPr>
        <w:spacing w:after="0" w:line="200" w:lineRule="exact"/>
        <w:rPr>
          <w:sz w:val="20"/>
          <w:szCs w:val="20"/>
          <w:color w:val="auto"/>
        </w:rPr>
      </w:pPr>
    </w:p>
    <w:p>
      <w:pPr>
        <w:jc w:val="both"/>
        <w:ind w:left="760" w:right="99" w:firstLine="824"/>
        <w:spacing w:after="0" w:line="236" w:lineRule="auto"/>
        <w:rPr>
          <w:sz w:val="20"/>
          <w:szCs w:val="20"/>
          <w:color w:val="auto"/>
        </w:rPr>
      </w:pPr>
      <w:r>
        <w:rPr>
          <w:rFonts w:ascii="Arial" w:cs="Arial" w:eastAsia="Arial" w:hAnsi="Arial"/>
          <w:sz w:val="22"/>
          <w:szCs w:val="22"/>
          <w:color w:val="auto"/>
        </w:rPr>
        <w:t xml:space="preserve">3.2. The Administrative Agent shall have received, for the account of each Lender that has executed and delivered this Amendment on or prior to the Third Amendment Effective Date (each, a </w:t>
      </w:r>
      <w:r>
        <w:rPr>
          <w:rFonts w:ascii="Arial" w:cs="Arial" w:eastAsia="Arial" w:hAnsi="Arial"/>
          <w:sz w:val="22"/>
          <w:szCs w:val="22"/>
          <w:i w:val="1"/>
          <w:iCs w:val="1"/>
          <w:color w:val="auto"/>
        </w:rPr>
        <w:t>“Consenting Lender”</w:t>
      </w:r>
      <w:r>
        <w:rPr>
          <w:rFonts w:ascii="Arial" w:cs="Arial" w:eastAsia="Arial" w:hAnsi="Arial"/>
          <w:sz w:val="22"/>
          <w:szCs w:val="22"/>
          <w:color w:val="auto"/>
        </w:rPr>
        <w:t>), an amendment fee in the amount of $5,000 for each Consenting Lender, which amendment fee shall be fully-earned when due and non-refundable when paid.</w:t>
      </w:r>
    </w:p>
    <w:p>
      <w:pPr>
        <w:spacing w:after="0" w:line="228" w:lineRule="exact"/>
        <w:rPr>
          <w:sz w:val="20"/>
          <w:szCs w:val="20"/>
          <w:color w:val="auto"/>
        </w:rPr>
      </w:pPr>
    </w:p>
    <w:p>
      <w:pPr>
        <w:jc w:val="both"/>
        <w:ind w:left="760" w:right="99" w:firstLine="662"/>
        <w:spacing w:after="0" w:line="251" w:lineRule="auto"/>
        <w:rPr>
          <w:sz w:val="20"/>
          <w:szCs w:val="20"/>
          <w:color w:val="auto"/>
        </w:rPr>
      </w:pPr>
      <w:r>
        <w:rPr>
          <w:rFonts w:ascii="Arial" w:cs="Arial" w:eastAsia="Arial" w:hAnsi="Arial"/>
          <w:sz w:val="22"/>
          <w:szCs w:val="22"/>
          <w:color w:val="auto"/>
        </w:rPr>
        <w:t>3.3.Legal matters incident to the execution and delivery of this Amendment shall be satisfactory to the Administrative Agent and its counsel.</w:t>
      </w:r>
    </w:p>
    <w:p>
      <w:pPr>
        <w:spacing w:after="0" w:line="214" w:lineRule="exact"/>
        <w:rPr>
          <w:sz w:val="20"/>
          <w:szCs w:val="20"/>
          <w:color w:val="auto"/>
        </w:rPr>
      </w:pPr>
    </w:p>
    <w:p>
      <w:pPr>
        <w:jc w:val="both"/>
        <w:ind w:left="100" w:right="99" w:firstLine="716"/>
        <w:spacing w:after="0" w:line="273" w:lineRule="auto"/>
        <w:rPr>
          <w:sz w:val="20"/>
          <w:szCs w:val="20"/>
          <w:color w:val="auto"/>
        </w:rPr>
      </w:pPr>
      <w:r>
        <w:rPr>
          <w:rFonts w:ascii="Arial" w:cs="Arial" w:eastAsia="Arial" w:hAnsi="Arial"/>
          <w:sz w:val="19"/>
          <w:szCs w:val="19"/>
          <w:i w:val="1"/>
          <w:iCs w:val="1"/>
          <w:color w:val="auto"/>
        </w:rPr>
        <w:t>Section 4. Affirmation of Guarantors</w:t>
      </w:r>
      <w:r>
        <w:rPr>
          <w:rFonts w:ascii="Arial" w:cs="Arial" w:eastAsia="Arial" w:hAnsi="Arial"/>
          <w:sz w:val="19"/>
          <w:szCs w:val="19"/>
          <w:color w:val="auto"/>
        </w:rPr>
        <w:t>. Each Guarantor hereby confirms that, after</w:t>
      </w:r>
      <w:r>
        <w:rPr>
          <w:rFonts w:ascii="Arial" w:cs="Arial" w:eastAsia="Arial" w:hAnsi="Arial"/>
          <w:sz w:val="19"/>
          <w:szCs w:val="19"/>
          <w:i w:val="1"/>
          <w:iCs w:val="1"/>
          <w:color w:val="auto"/>
        </w:rPr>
        <w:t xml:space="preserve"> </w:t>
      </w:r>
      <w:r>
        <w:rPr>
          <w:rFonts w:ascii="Arial" w:cs="Arial" w:eastAsia="Arial" w:hAnsi="Arial"/>
          <w:sz w:val="19"/>
          <w:szCs w:val="19"/>
          <w:color w:val="auto"/>
        </w:rPr>
        <w:t>giving effect to this Amendment, each Loan Document to which such Guarantor is a party continues in full force and effect and is the legal, valid and binding obligation of such Guarantor, enforceable against such Guarantor in accordance with its terms except as enforceability may be limited by applicable bankruptcy, insolvency, or similar laws affecting the enforcement of creditors’ rights generally or by equitable principles relating to enforceability. Each Borrower and each Guarantor acknowledge and agree that (a) nothing in the Credit Agreement, this Amendment, or any other Loan Document shall be deemed to require the consent of such Guarantor to any future amendments to the Credit Agreement, and (b) the Lenders are relying on the assurances provided in this Section in entering into this Amendment and maintaining credit outstanding to the Borrowers.</w:t>
      </w:r>
    </w:p>
    <w:p>
      <w:pPr>
        <w:spacing w:after="0" w:line="189" w:lineRule="exact"/>
        <w:rPr>
          <w:sz w:val="20"/>
          <w:szCs w:val="20"/>
          <w:color w:val="auto"/>
        </w:rPr>
      </w:pPr>
    </w:p>
    <w:p>
      <w:pPr>
        <w:jc w:val="both"/>
        <w:ind w:left="100" w:right="99" w:firstLine="716"/>
        <w:spacing w:after="0" w:line="246" w:lineRule="exact"/>
        <w:rPr>
          <w:sz w:val="20"/>
          <w:szCs w:val="20"/>
          <w:color w:val="auto"/>
        </w:rPr>
      </w:pPr>
      <w:r>
        <w:rPr>
          <w:rFonts w:ascii="Arial" w:cs="Arial" w:eastAsia="Arial" w:hAnsi="Arial"/>
          <w:sz w:val="22"/>
          <w:szCs w:val="22"/>
          <w:i w:val="1"/>
          <w:iCs w:val="1"/>
          <w:color w:val="auto"/>
        </w:rPr>
        <w:t>Section 5. Acknowledgement of Liens</w:t>
      </w:r>
      <w:r>
        <w:rPr>
          <w:rFonts w:ascii="Arial" w:cs="Arial" w:eastAsia="Arial" w:hAnsi="Arial"/>
          <w:sz w:val="22"/>
          <w:szCs w:val="22"/>
          <w:color w:val="auto"/>
        </w:rPr>
        <w:t>. The Borrowers and the Guarantors hereby</w:t>
      </w:r>
      <w:r>
        <w:rPr>
          <w:rFonts w:ascii="Arial" w:cs="Arial" w:eastAsia="Arial" w:hAnsi="Arial"/>
          <w:sz w:val="22"/>
          <w:szCs w:val="22"/>
          <w:i w:val="1"/>
          <w:iCs w:val="1"/>
          <w:color w:val="auto"/>
        </w:rPr>
        <w:t xml:space="preserve"> </w:t>
      </w:r>
      <w:r>
        <w:rPr>
          <w:rFonts w:ascii="Arial" w:cs="Arial" w:eastAsia="Arial" w:hAnsi="Arial"/>
          <w:sz w:val="22"/>
          <w:szCs w:val="22"/>
          <w:color w:val="auto"/>
        </w:rPr>
        <w:t>acknowledge, confirm and agree that the Administrative Agent has a valid, enforceable (except as enforceability may be limited by applicable bankruptcy, insolvency, or similar laws affecting the enforcement of creditors’ rights generally or by equitable principles relating to enforceability) and perfected first</w:t>
      </w:r>
      <w:r>
        <w:rPr>
          <w:rFonts w:ascii="MS PGothic" w:cs="MS PGothic" w:eastAsia="MS PGothic" w:hAnsi="MS PGothic"/>
          <w:sz w:val="22"/>
          <w:szCs w:val="22"/>
          <w:color w:val="auto"/>
        </w:rPr>
        <w:t>‑</w:t>
      </w:r>
      <w:r>
        <w:rPr>
          <w:rFonts w:ascii="Arial" w:cs="Arial" w:eastAsia="Arial" w:hAnsi="Arial"/>
          <w:sz w:val="22"/>
          <w:szCs w:val="22"/>
          <w:color w:val="auto"/>
        </w:rPr>
        <w:t>priority lien upon and security interest in the Collateral granted to the Administrative Agent pursuant to the Loan Documents (subject only to Permitted Liens), and nothing herein contained shall in any manner affect or impair the priority of the Liens created and provided for thereby as to the Secured Obligations which would be secured thereby prior to giving effect to this Amendment.</w:t>
      </w:r>
    </w:p>
    <w:p>
      <w:pPr>
        <w:spacing w:after="0" w:line="234" w:lineRule="exact"/>
        <w:rPr>
          <w:sz w:val="20"/>
          <w:szCs w:val="20"/>
          <w:color w:val="auto"/>
        </w:rPr>
      </w:pPr>
    </w:p>
    <w:p>
      <w:pPr>
        <w:jc w:val="both"/>
        <w:ind w:left="100" w:right="99" w:firstLine="716"/>
        <w:spacing w:after="0" w:line="273" w:lineRule="auto"/>
        <w:rPr>
          <w:sz w:val="20"/>
          <w:szCs w:val="20"/>
          <w:color w:val="auto"/>
        </w:rPr>
      </w:pPr>
      <w:r>
        <w:rPr>
          <w:rFonts w:ascii="Arial" w:cs="Arial" w:eastAsia="Arial" w:hAnsi="Arial"/>
          <w:sz w:val="19"/>
          <w:szCs w:val="19"/>
          <w:i w:val="1"/>
          <w:iCs w:val="1"/>
          <w:color w:val="auto"/>
        </w:rPr>
        <w:t>Section 6. Representations and Warranties of Borrowers and Guarantors</w:t>
      </w:r>
      <w:r>
        <w:rPr>
          <w:rFonts w:ascii="Arial" w:cs="Arial" w:eastAsia="Arial" w:hAnsi="Arial"/>
          <w:sz w:val="19"/>
          <w:szCs w:val="19"/>
          <w:color w:val="auto"/>
        </w:rPr>
        <w:t>. To induce</w:t>
      </w:r>
      <w:r>
        <w:rPr>
          <w:rFonts w:ascii="Arial" w:cs="Arial" w:eastAsia="Arial" w:hAnsi="Arial"/>
          <w:sz w:val="19"/>
          <w:szCs w:val="19"/>
          <w:i w:val="1"/>
          <w:iCs w:val="1"/>
          <w:color w:val="auto"/>
        </w:rPr>
        <w:t xml:space="preserve"> </w:t>
      </w:r>
      <w:r>
        <w:rPr>
          <w:rFonts w:ascii="Arial" w:cs="Arial" w:eastAsia="Arial" w:hAnsi="Arial"/>
          <w:sz w:val="19"/>
          <w:szCs w:val="19"/>
          <w:color w:val="auto"/>
        </w:rPr>
        <w:t>the Administrative Agent, the Lenders, and the L/C Issuer to enter into this Amendment, each Borrower and each Guarantor hereby represents and warrants to the Administrative Agent, the Lenders and the L/C Issuer that, as of the date hereof: (a) each of the representations and warranties set forth in the Credit Agreement and in the other Loan Documents is and remains true and correct on and as of the date hereof, except to the extent the same specifically refers to an earlier date, in which case it shall be true and correct as of such earlier date, (b) no Default or Event of Default exists, or would result herefrom, and (c) each Borrower and each Guarantor has the power and authority to execute, deliver, and perform this Amendment and has taken all necessary action to authorize their execution, delivery, and performance of this Amendment.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5" w:name="page6"/>
    <w:bookmarkEnd w:id="5"/>
    <w:p>
      <w:pPr>
        <w:ind w:left="820"/>
        <w:spacing w:after="0"/>
        <w:tabs>
          <w:tab w:leader="none" w:pos="2360" w:val="left"/>
        </w:tabs>
        <w:rPr>
          <w:sz w:val="20"/>
          <w:szCs w:val="20"/>
          <w:color w:val="auto"/>
        </w:rPr>
      </w:pPr>
      <w:r>
        <w:rPr>
          <w:rFonts w:ascii="Arial" w:cs="Arial" w:eastAsia="Arial" w:hAnsi="Arial"/>
          <w:sz w:val="22"/>
          <w:szCs w:val="22"/>
          <w:i w:val="1"/>
          <w:iCs w:val="1"/>
          <w:color w:val="auto"/>
        </w:rPr>
        <w:t>Section 7.</w:t>
      </w:r>
      <w:r>
        <w:rPr>
          <w:sz w:val="20"/>
          <w:szCs w:val="20"/>
          <w:color w:val="auto"/>
        </w:rPr>
        <w:tab/>
      </w:r>
      <w:r>
        <w:rPr>
          <w:rFonts w:ascii="Arial" w:cs="Arial" w:eastAsia="Arial" w:hAnsi="Arial"/>
          <w:sz w:val="19"/>
          <w:szCs w:val="19"/>
          <w:i w:val="1"/>
          <w:iCs w:val="1"/>
          <w:color w:val="auto"/>
        </w:rPr>
        <w:t>Miscellaneous</w:t>
      </w:r>
      <w:r>
        <w:rPr>
          <w:rFonts w:ascii="Arial" w:cs="Arial" w:eastAsia="Arial" w:hAnsi="Arial"/>
          <w:sz w:val="19"/>
          <w:szCs w:val="19"/>
          <w:color w:val="auto"/>
        </w:rPr>
        <w:t>.</w:t>
      </w:r>
    </w:p>
    <w:p>
      <w:pPr>
        <w:spacing w:after="0" w:line="233" w:lineRule="exact"/>
        <w:rPr>
          <w:sz w:val="20"/>
          <w:szCs w:val="20"/>
          <w:color w:val="auto"/>
        </w:rPr>
      </w:pPr>
    </w:p>
    <w:p>
      <w:pPr>
        <w:jc w:val="both"/>
        <w:ind w:left="100" w:right="99" w:firstLine="612"/>
        <w:spacing w:after="0" w:line="247" w:lineRule="auto"/>
        <w:tabs>
          <w:tab w:leader="none" w:pos="974"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Successors and Assigns</w:t>
      </w:r>
      <w:r>
        <w:rPr>
          <w:rFonts w:ascii="Arial" w:cs="Arial" w:eastAsia="Arial" w:hAnsi="Arial"/>
          <w:sz w:val="21"/>
          <w:szCs w:val="21"/>
          <w:color w:val="auto"/>
        </w:rPr>
        <w:t>. This Amendment shall be binding on and shall inure to the</w:t>
      </w:r>
      <w:r>
        <w:rPr>
          <w:rFonts w:ascii="Arial" w:cs="Arial" w:eastAsia="Arial" w:hAnsi="Arial"/>
          <w:sz w:val="21"/>
          <w:szCs w:val="21"/>
          <w:i w:val="1"/>
          <w:iCs w:val="1"/>
          <w:color w:val="auto"/>
        </w:rPr>
        <w:t xml:space="preserve"> </w:t>
      </w:r>
      <w:r>
        <w:rPr>
          <w:rFonts w:ascii="Arial" w:cs="Arial" w:eastAsia="Arial" w:hAnsi="Arial"/>
          <w:sz w:val="21"/>
          <w:szCs w:val="21"/>
          <w:color w:val="auto"/>
        </w:rPr>
        <w:t>benefit of each Borrower, the Administrative Agent, the Lenders, the Swing Line Lender and the L/C Issuer, and their respective permitted successors and assigns. The terms and provisions of this Amendment are for the purpose of defining the relative rights and obligations of each Borrower, the Administrative Agent, the Lenders, the Swing Line Lender and the L/C Issuer with respect to the transactions contemplated hereby, and there shall be no third party beneficiaries of any of the terms and provisions of this Amendment.</w:t>
      </w:r>
    </w:p>
    <w:p>
      <w:pPr>
        <w:spacing w:after="0" w:line="218" w:lineRule="exact"/>
        <w:rPr>
          <w:rFonts w:ascii="Arial" w:cs="Arial" w:eastAsia="Arial" w:hAnsi="Arial"/>
          <w:sz w:val="21"/>
          <w:szCs w:val="21"/>
          <w:color w:val="auto"/>
        </w:rPr>
      </w:pPr>
    </w:p>
    <w:p>
      <w:pPr>
        <w:jc w:val="both"/>
        <w:ind w:left="100" w:right="99" w:firstLine="612"/>
        <w:spacing w:after="0" w:line="236" w:lineRule="auto"/>
        <w:tabs>
          <w:tab w:leader="none" w:pos="987"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Amendment constitutes the entire agreement of the parties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the subject matter hereof and supersedes all other understandings, oral or written, with respect to the subject matter hereof. Except as specifically waived and amended hereby, all of the terms and conditions set forth in the Credit Agreement shall stand and remain unchanged and in full force and effect.</w:t>
      </w:r>
    </w:p>
    <w:p>
      <w:pPr>
        <w:spacing w:after="0" w:line="228" w:lineRule="exact"/>
        <w:rPr>
          <w:rFonts w:ascii="Arial" w:cs="Arial" w:eastAsia="Arial" w:hAnsi="Arial"/>
          <w:sz w:val="22"/>
          <w:szCs w:val="22"/>
          <w:color w:val="auto"/>
        </w:rPr>
      </w:pPr>
    </w:p>
    <w:p>
      <w:pPr>
        <w:jc w:val="both"/>
        <w:ind w:left="100" w:right="99" w:firstLine="612"/>
        <w:spacing w:after="0"/>
        <w:tabs>
          <w:tab w:leader="none" w:pos="974"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Headings</w:t>
      </w:r>
      <w:r>
        <w:rPr>
          <w:rFonts w:ascii="Arial" w:cs="Arial" w:eastAsia="Arial" w:hAnsi="Arial"/>
          <w:sz w:val="22"/>
          <w:szCs w:val="22"/>
          <w:color w:val="auto"/>
        </w:rPr>
        <w:t>. Section and sub-section headings in this Amendment are included herein for</w:t>
      </w:r>
      <w:r>
        <w:rPr>
          <w:rFonts w:ascii="Arial" w:cs="Arial" w:eastAsia="Arial" w:hAnsi="Arial"/>
          <w:sz w:val="22"/>
          <w:szCs w:val="22"/>
          <w:i w:val="1"/>
          <w:iCs w:val="1"/>
          <w:color w:val="auto"/>
        </w:rPr>
        <w:t xml:space="preserve"> </w:t>
      </w:r>
      <w:r>
        <w:rPr>
          <w:rFonts w:ascii="Arial" w:cs="Arial" w:eastAsia="Arial" w:hAnsi="Arial"/>
          <w:sz w:val="22"/>
          <w:szCs w:val="22"/>
          <w:color w:val="auto"/>
        </w:rPr>
        <w:t>convenience of reference only and shall not constitute a part of this Amendment for any other purpose.</w:t>
      </w:r>
    </w:p>
    <w:p>
      <w:pPr>
        <w:spacing w:after="0" w:line="213" w:lineRule="exact"/>
        <w:rPr>
          <w:rFonts w:ascii="Arial" w:cs="Arial" w:eastAsia="Arial" w:hAnsi="Arial"/>
          <w:sz w:val="22"/>
          <w:szCs w:val="22"/>
          <w:color w:val="auto"/>
        </w:rPr>
      </w:pPr>
    </w:p>
    <w:p>
      <w:pPr>
        <w:jc w:val="both"/>
        <w:ind w:left="100" w:right="99" w:firstLine="612"/>
        <w:spacing w:after="0" w:line="249" w:lineRule="auto"/>
        <w:tabs>
          <w:tab w:leader="none" w:pos="987"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Severability</w:t>
      </w:r>
      <w:r>
        <w:rPr>
          <w:rFonts w:ascii="Arial" w:cs="Arial" w:eastAsia="Arial" w:hAnsi="Arial"/>
          <w:sz w:val="21"/>
          <w:szCs w:val="21"/>
          <w:color w:val="auto"/>
        </w:rPr>
        <w:t>. Wherever possible, each provision of this Amendment shall be interpreted in</w:t>
      </w:r>
      <w:r>
        <w:rPr>
          <w:rFonts w:ascii="Arial" w:cs="Arial" w:eastAsia="Arial" w:hAnsi="Arial"/>
          <w:sz w:val="21"/>
          <w:szCs w:val="21"/>
          <w:i w:val="1"/>
          <w:iCs w:val="1"/>
          <w:color w:val="auto"/>
        </w:rPr>
        <w:t xml:space="preserve"> </w:t>
      </w:r>
      <w:r>
        <w:rPr>
          <w:rFonts w:ascii="Arial" w:cs="Arial" w:eastAsia="Arial" w:hAnsi="Arial"/>
          <w:sz w:val="21"/>
          <w:szCs w:val="21"/>
          <w:color w:val="auto"/>
        </w:rPr>
        <w:t>such a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w:t>
      </w:r>
    </w:p>
    <w:p>
      <w:pPr>
        <w:spacing w:after="0" w:line="219" w:lineRule="exact"/>
        <w:rPr>
          <w:rFonts w:ascii="Arial" w:cs="Arial" w:eastAsia="Arial" w:hAnsi="Arial"/>
          <w:sz w:val="21"/>
          <w:szCs w:val="21"/>
          <w:color w:val="auto"/>
        </w:rPr>
      </w:pPr>
    </w:p>
    <w:p>
      <w:pPr>
        <w:jc w:val="both"/>
        <w:ind w:left="100" w:right="99" w:firstLine="612"/>
        <w:spacing w:after="0" w:line="258" w:lineRule="auto"/>
        <w:tabs>
          <w:tab w:leader="none" w:pos="974"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Conflict of Terms</w:t>
      </w:r>
      <w:r>
        <w:rPr>
          <w:rFonts w:ascii="Arial" w:cs="Arial" w:eastAsia="Arial" w:hAnsi="Arial"/>
          <w:sz w:val="21"/>
          <w:szCs w:val="21"/>
          <w:color w:val="auto"/>
        </w:rPr>
        <w:t>. Except as otherwise provided in this Amendment, if any provision</w:t>
      </w:r>
      <w:r>
        <w:rPr>
          <w:rFonts w:ascii="Arial" w:cs="Arial" w:eastAsia="Arial" w:hAnsi="Arial"/>
          <w:sz w:val="21"/>
          <w:szCs w:val="21"/>
          <w:i w:val="1"/>
          <w:iCs w:val="1"/>
          <w:color w:val="auto"/>
        </w:rPr>
        <w:t xml:space="preserve"> </w:t>
      </w:r>
      <w:r>
        <w:rPr>
          <w:rFonts w:ascii="Arial" w:cs="Arial" w:eastAsia="Arial" w:hAnsi="Arial"/>
          <w:sz w:val="21"/>
          <w:szCs w:val="21"/>
          <w:color w:val="auto"/>
        </w:rPr>
        <w:t>contained in this Amendment is in conflict with, or inconsistent with, any provision in any of the Loan Documents, the provision contained in this Amendment shall govern and control.</w:t>
      </w:r>
    </w:p>
    <w:p>
      <w:pPr>
        <w:spacing w:after="0" w:line="207" w:lineRule="exact"/>
        <w:rPr>
          <w:rFonts w:ascii="Arial" w:cs="Arial" w:eastAsia="Arial" w:hAnsi="Arial"/>
          <w:sz w:val="21"/>
          <w:szCs w:val="21"/>
          <w:color w:val="auto"/>
        </w:rPr>
      </w:pPr>
    </w:p>
    <w:p>
      <w:pPr>
        <w:jc w:val="both"/>
        <w:ind w:left="100" w:right="99" w:firstLine="639"/>
        <w:spacing w:after="0" w:line="282" w:lineRule="auto"/>
        <w:tabs>
          <w:tab w:leader="none" w:pos="1018" w:val="left"/>
        </w:tabs>
        <w:numPr>
          <w:ilvl w:val="1"/>
          <w:numId w:val="2"/>
        </w:numPr>
        <w:rPr>
          <w:rFonts w:ascii="Arial" w:cs="Arial" w:eastAsia="Arial" w:hAnsi="Arial"/>
          <w:sz w:val="19"/>
          <w:szCs w:val="19"/>
          <w:color w:val="auto"/>
        </w:rPr>
      </w:pPr>
      <w:r>
        <w:rPr>
          <w:rFonts w:ascii="Arial" w:cs="Arial" w:eastAsia="Arial" w:hAnsi="Arial"/>
          <w:sz w:val="19"/>
          <w:szCs w:val="19"/>
          <w:i w:val="1"/>
          <w:iCs w:val="1"/>
          <w:color w:val="auto"/>
        </w:rPr>
        <w:t>Counterparts</w:t>
      </w:r>
      <w:r>
        <w:rPr>
          <w:rFonts w:ascii="Arial" w:cs="Arial" w:eastAsia="Arial" w:hAnsi="Arial"/>
          <w:sz w:val="19"/>
          <w:szCs w:val="19"/>
          <w:color w:val="auto"/>
        </w:rPr>
        <w:t>. This Amendment may be executed in counterparts (and by different parties</w:t>
      </w:r>
      <w:r>
        <w:rPr>
          <w:rFonts w:ascii="Arial" w:cs="Arial" w:eastAsia="Arial" w:hAnsi="Arial"/>
          <w:sz w:val="19"/>
          <w:szCs w:val="19"/>
          <w:i w:val="1"/>
          <w:iCs w:val="1"/>
          <w:color w:val="auto"/>
        </w:rPr>
        <w:t xml:space="preserve"> </w:t>
      </w:r>
      <w:r>
        <w:rPr>
          <w:rFonts w:ascii="Arial" w:cs="Arial" w:eastAsia="Arial" w:hAnsi="Arial"/>
          <w:sz w:val="19"/>
          <w:szCs w:val="19"/>
          <w:color w:val="auto"/>
        </w:rPr>
        <w:t>hereto in different counterparts), each of which shall constitute an original, but all of which when taken together shall constitute a single contract. Delivery of an executed counterpart of a signature page of this Amendment by facsimile or in electronic (</w:t>
      </w:r>
      <w:r>
        <w:rPr>
          <w:rFonts w:ascii="Arial" w:cs="Arial" w:eastAsia="Arial" w:hAnsi="Arial"/>
          <w:sz w:val="19"/>
          <w:szCs w:val="19"/>
          <w:i w:val="1"/>
          <w:iCs w:val="1"/>
          <w:color w:val="auto"/>
        </w:rPr>
        <w:t>e.g.</w:t>
      </w:r>
      <w:r>
        <w:rPr>
          <w:rFonts w:ascii="Arial" w:cs="Arial" w:eastAsia="Arial" w:hAnsi="Arial"/>
          <w:sz w:val="19"/>
          <w:szCs w:val="19"/>
          <w:color w:val="auto"/>
        </w:rPr>
        <w:t xml:space="preserve"> “pdf” or “tif”) format shall be effective as delivery of a manually executed counterpart of this Amendment.</w:t>
      </w:r>
    </w:p>
    <w:p>
      <w:pPr>
        <w:spacing w:after="0" w:line="174" w:lineRule="exact"/>
        <w:rPr>
          <w:rFonts w:ascii="Arial" w:cs="Arial" w:eastAsia="Arial" w:hAnsi="Arial"/>
          <w:sz w:val="19"/>
          <w:szCs w:val="19"/>
          <w:color w:val="auto"/>
        </w:rPr>
      </w:pPr>
    </w:p>
    <w:p>
      <w:pPr>
        <w:jc w:val="both"/>
        <w:ind w:left="100" w:right="99" w:firstLine="612"/>
        <w:spacing w:after="0" w:line="252" w:lineRule="auto"/>
        <w:tabs>
          <w:tab w:leader="none" w:pos="987" w:val="left"/>
        </w:tabs>
        <w:numPr>
          <w:ilvl w:val="1"/>
          <w:numId w:val="2"/>
        </w:numPr>
        <w:rPr>
          <w:rFonts w:ascii="Arial" w:cs="Arial" w:eastAsia="Arial" w:hAnsi="Arial"/>
          <w:sz w:val="21"/>
          <w:szCs w:val="21"/>
          <w:color w:val="auto"/>
        </w:rPr>
      </w:pPr>
      <w:r>
        <w:rPr>
          <w:rFonts w:ascii="Arial" w:cs="Arial" w:eastAsia="Arial" w:hAnsi="Arial"/>
          <w:sz w:val="21"/>
          <w:szCs w:val="21"/>
          <w:i w:val="1"/>
          <w:iCs w:val="1"/>
          <w:color w:val="auto"/>
        </w:rPr>
        <w:t>Incorporation of Credit Agreement</w:t>
      </w:r>
      <w:r>
        <w:rPr>
          <w:rFonts w:ascii="Arial" w:cs="Arial" w:eastAsia="Arial" w:hAnsi="Arial"/>
          <w:sz w:val="21"/>
          <w:szCs w:val="21"/>
          <w:color w:val="auto"/>
        </w:rPr>
        <w:t>. The provisions contained in Sections 10.14</w:t>
      </w:r>
      <w:r>
        <w:rPr>
          <w:rFonts w:ascii="Arial" w:cs="Arial" w:eastAsia="Arial" w:hAnsi="Arial"/>
          <w:sz w:val="21"/>
          <w:szCs w:val="21"/>
          <w:i w:val="1"/>
          <w:iCs w:val="1"/>
          <w:color w:val="auto"/>
        </w:rPr>
        <w:t xml:space="preserve"> </w:t>
      </w:r>
      <w:r>
        <w:rPr>
          <w:rFonts w:ascii="Arial" w:cs="Arial" w:eastAsia="Arial" w:hAnsi="Arial"/>
          <w:sz w:val="21"/>
          <w:szCs w:val="21"/>
          <w:color w:val="auto"/>
        </w:rPr>
        <w:t>(Governing Law, Jurisdiction, Etc.) and 10.15 (Waiver of Jury Trial) of the Credit Agreement are incorporated herein by reference to the same extent as if reproduced herein in their entirety, except with reference to this Amendment rather than the Credit Agreement.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to Follow]</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63500</wp:posOffset>
            </wp:positionV>
            <wp:extent cx="56426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6" w:name="page7"/>
    <w:bookmarkEnd w:id="6"/>
    <w:p>
      <w:pPr>
        <w:ind w:left="100" w:right="99" w:firstLine="648"/>
        <w:spacing w:after="0" w:line="251" w:lineRule="auto"/>
        <w:rPr>
          <w:sz w:val="20"/>
          <w:szCs w:val="20"/>
          <w:color w:val="auto"/>
        </w:rPr>
      </w:pPr>
      <w:r>
        <w:rPr>
          <w:rFonts w:ascii="Arial" w:cs="Arial" w:eastAsia="Arial" w:hAnsi="Arial"/>
          <w:sz w:val="22"/>
          <w:szCs w:val="22"/>
          <w:color w:val="auto"/>
        </w:rPr>
        <w:t>In Witness Whereof, the parties hereto have caused their duly authorized officers to execute and deliver this Amendment as of the date first set forth above.</w:t>
      </w:r>
    </w:p>
    <w:p>
      <w:pPr>
        <w:spacing w:after="0" w:line="200" w:lineRule="exact"/>
        <w:rPr>
          <w:sz w:val="20"/>
          <w:szCs w:val="20"/>
          <w:color w:val="auto"/>
        </w:rPr>
      </w:pPr>
    </w:p>
    <w:p>
      <w:pPr>
        <w:spacing w:after="0" w:line="277" w:lineRule="exact"/>
        <w:rPr>
          <w:sz w:val="20"/>
          <w:szCs w:val="20"/>
          <w:color w:val="auto"/>
        </w:rPr>
      </w:pPr>
    </w:p>
    <w:p>
      <w:pPr>
        <w:ind w:left="4440"/>
        <w:spacing w:after="0"/>
        <w:rPr>
          <w:sz w:val="20"/>
          <w:szCs w:val="20"/>
          <w:color w:val="auto"/>
        </w:rPr>
      </w:pPr>
      <w:r>
        <w:rPr>
          <w:rFonts w:ascii="Arial" w:cs="Arial" w:eastAsia="Arial" w:hAnsi="Arial"/>
          <w:sz w:val="18"/>
          <w:szCs w:val="18"/>
          <w:i w:val="1"/>
          <w:iCs w:val="1"/>
          <w:color w:val="auto"/>
        </w:rPr>
        <w:t>“BORROWERS”</w:t>
      </w:r>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TILE SHOP, LLC</w:t>
      </w:r>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Kirk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23495</wp:posOffset>
            </wp:positionV>
            <wp:extent cx="2109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Kirk Geadelmann</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Chief Financial Officer</w:t>
      </w:r>
    </w:p>
    <w:p>
      <w:pPr>
        <w:spacing w:after="0" w:line="32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TILE SHOP LENDING, INC.</w:t>
      </w:r>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Kirk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23495</wp:posOffset>
            </wp:positionV>
            <wp:extent cx="2109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Kirk Geadelmann</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President</w:t>
      </w:r>
    </w:p>
    <w:p>
      <w:pPr>
        <w:spacing w:after="0" w:line="279" w:lineRule="exact"/>
        <w:rPr>
          <w:sz w:val="20"/>
          <w:szCs w:val="20"/>
          <w:color w:val="auto"/>
        </w:rPr>
      </w:pPr>
    </w:p>
    <w:p>
      <w:pPr>
        <w:ind w:left="4400"/>
        <w:spacing w:after="0"/>
        <w:rPr>
          <w:sz w:val="20"/>
          <w:szCs w:val="20"/>
          <w:color w:val="auto"/>
        </w:rPr>
      </w:pPr>
      <w:r>
        <w:rPr>
          <w:rFonts w:ascii="Arial" w:cs="Arial" w:eastAsia="Arial" w:hAnsi="Arial"/>
          <w:sz w:val="18"/>
          <w:szCs w:val="18"/>
          <w:i w:val="1"/>
          <w:iCs w:val="1"/>
          <w:color w:val="auto"/>
        </w:rPr>
        <w:t>“GUARANTORS”</w:t>
      </w:r>
    </w:p>
    <w:p>
      <w:pPr>
        <w:spacing w:after="0" w:line="6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TILE SHOP HOLDINGS, INC.</w:t>
      </w:r>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Kirk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23495</wp:posOffset>
            </wp:positionV>
            <wp:extent cx="2109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Kirk Geadelmann</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Chief Financial Officer</w:t>
      </w:r>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TILE SHOP OF MICHIGAN, LLC</w:t>
      </w:r>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Kirk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23495</wp:posOffset>
            </wp:positionV>
            <wp:extent cx="2109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Kirk Geadelmann</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[Signature Page to Third Amendment To Credit Agreement (Tile 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160655</wp:posOffset>
            </wp:positionV>
            <wp:extent cx="564261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18" w:right="1440" w:bottom="1440" w:gutter="0" w:footer="0" w:header="0"/>
        </w:sectPr>
      </w:pPr>
    </w:p>
    <w:bookmarkStart w:id="7" w:name="page8"/>
    <w:bookmarkEnd w:id="7"/>
    <w:p>
      <w:pPr>
        <w:jc w:val="right"/>
        <w:ind w:right="1219"/>
        <w:spacing w:after="0"/>
        <w:rPr>
          <w:sz w:val="20"/>
          <w:szCs w:val="20"/>
          <w:color w:val="auto"/>
        </w:rPr>
      </w:pPr>
      <w:r>
        <w:rPr>
          <w:rFonts w:ascii="Arial" w:cs="Arial" w:eastAsia="Arial" w:hAnsi="Arial"/>
          <w:sz w:val="18"/>
          <w:szCs w:val="18"/>
          <w:color w:val="auto"/>
        </w:rPr>
        <w:t>FIFTH THIRD BANK, as Administrative Agent</w:t>
      </w:r>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Nicholas D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23495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Nicholas D Haas</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Credit Agreement (Tile 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218440</wp:posOffset>
            </wp:positionV>
            <wp:extent cx="564261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22" w:right="1440" w:bottom="1440" w:gutter="0" w:footer="0" w:header="0"/>
        </w:sectPr>
      </w:pPr>
    </w:p>
    <w:bookmarkStart w:id="8" w:name="page9"/>
    <w:bookmarkEnd w:id="8"/>
    <w:p>
      <w:pPr>
        <w:ind w:left="4300"/>
        <w:spacing w:after="0"/>
        <w:rPr>
          <w:sz w:val="20"/>
          <w:szCs w:val="20"/>
          <w:color w:val="auto"/>
        </w:rPr>
      </w:pPr>
      <w:r>
        <w:rPr>
          <w:rFonts w:ascii="Arial" w:cs="Arial" w:eastAsia="Arial" w:hAnsi="Arial"/>
          <w:sz w:val="16"/>
          <w:szCs w:val="16"/>
          <w:color w:val="auto"/>
        </w:rPr>
        <w:t>FIFTH THIRD BANK, as a Lender, as L/C Issuer, and as</w:t>
      </w:r>
    </w:p>
    <w:p>
      <w:pPr>
        <w:spacing w:after="0" w:line="5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Swing Line Lender</w:t>
      </w:r>
    </w:p>
    <w:p>
      <w:pPr>
        <w:spacing w:after="0" w:line="27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Nicholas D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23495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Nicholas D Haas</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Credit Agreement (Tile 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218440</wp:posOffset>
            </wp:positionV>
            <wp:extent cx="564261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9" w:name="page10"/>
    <w:bookmarkEnd w:id="9"/>
    <w:p>
      <w:pPr>
        <w:ind w:left="4300"/>
        <w:spacing w:after="0"/>
        <w:rPr>
          <w:sz w:val="20"/>
          <w:szCs w:val="20"/>
          <w:color w:val="auto"/>
        </w:rPr>
      </w:pPr>
      <w:r>
        <w:rPr>
          <w:rFonts w:ascii="Arial" w:cs="Arial" w:eastAsia="Arial" w:hAnsi="Arial"/>
          <w:sz w:val="17"/>
          <w:szCs w:val="17"/>
          <w:color w:val="auto"/>
        </w:rPr>
        <w:t>BANK OF AMERICA, N.A., as a Lender</w:t>
      </w:r>
    </w:p>
    <w:p>
      <w:pPr>
        <w:spacing w:after="0" w:line="31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Casey Klepsch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23495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Casey Klepsch</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Credit Agreement (Tile 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218440</wp:posOffset>
            </wp:positionV>
            <wp:extent cx="564261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22" w:right="1440" w:bottom="1440" w:gutter="0" w:footer="0" w:header="0"/>
        </w:sectPr>
      </w:pPr>
    </w:p>
    <w:bookmarkStart w:id="10" w:name="page11"/>
    <w:bookmarkEnd w:id="10"/>
    <w:p>
      <w:pPr>
        <w:jc w:val="right"/>
        <w:ind w:right="699"/>
        <w:spacing w:after="0"/>
        <w:rPr>
          <w:sz w:val="20"/>
          <w:szCs w:val="20"/>
          <w:color w:val="auto"/>
        </w:rPr>
      </w:pPr>
      <w:r>
        <w:rPr>
          <w:rFonts w:ascii="Arial" w:cs="Arial" w:eastAsia="Arial" w:hAnsi="Arial"/>
          <w:sz w:val="18"/>
          <w:szCs w:val="18"/>
          <w:color w:val="auto"/>
        </w:rPr>
        <w:t>THE HUNTINGTON NATIONAL BANK, as a Lender</w:t>
      </w:r>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Chase E Steyns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23495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Chase E Steyns</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AVP – Portfolio Manager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Credit Agreement (Tile 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218440</wp:posOffset>
            </wp:positionV>
            <wp:extent cx="564261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4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Letter"/>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2019-12-07T18:32:42Z</dcterms:created>
  <dcterms:modified xsi:type="dcterms:W3CDTF">2019-12-07T18:32:42Z</dcterms:modified>
</cp:coreProperties>
</file>