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left="4" w:right="26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5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30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1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right="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0" w:lineRule="exact"/>
        <w:rPr>
          <w:sz w:val="24"/>
          <w:szCs w:val="24"/>
          <w:color w:val="auto"/>
        </w:rPr>
      </w:pPr>
    </w:p>
    <w:p>
      <w:pPr>
        <w:ind w:left="4" w:right="80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April 23, 2018, there were 52,504,143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905510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702" w:right="8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rPr>
              <w:t>TILE SHOP HOLDINGS, INC.</w:t>
            </w:r>
          </w:p>
        </w:tc>
        <w:tc>
          <w:tcPr>
            <w:tcW w:w="2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40" w:type="dxa"/>
            <w:vAlign w:val="bottom"/>
          </w:tcPr>
          <w:p>
            <w:pPr>
              <w:jc w:val="center"/>
              <w:ind w:left="1290"/>
              <w:spacing w:after="0"/>
              <w:rPr>
                <w:sz w:val="20"/>
                <w:szCs w:val="20"/>
                <w:color w:val="auto"/>
              </w:rPr>
            </w:pPr>
            <w:r>
              <w:rPr>
                <w:rFonts w:ascii="Arial" w:cs="Arial" w:eastAsia="Arial" w:hAnsi="Arial"/>
                <w:sz w:val="18"/>
                <w:szCs w:val="18"/>
                <w:color w:val="auto"/>
                <w:w w:val="88"/>
              </w:rPr>
              <w:t>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tcPr>
          <w:p>
            <w:pPr>
              <w:jc w:val="center"/>
              <w:ind w:left="1290"/>
              <w:spacing w:after="0"/>
              <w:rPr>
                <w:sz w:val="20"/>
                <w:szCs w:val="20"/>
                <w:color w:val="auto"/>
              </w:rPr>
            </w:pPr>
            <w:r>
              <w:rPr>
                <w:rFonts w:ascii="Arial" w:cs="Arial" w:eastAsia="Arial" w:hAnsi="Arial"/>
                <w:sz w:val="18"/>
                <w:szCs w:val="18"/>
                <w:color w:val="auto"/>
                <w:w w:val="88"/>
              </w:rPr>
              <w:t>(dollars in thousands, except share and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150,156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273,695</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 net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41,958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52,429,157 and 52,156,850 shares,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60" w:type="dxa"/>
            <w:vAlign w:val="bottom"/>
            <w:gridSpan w:val="2"/>
          </w:tcPr>
          <w:p>
            <w:pPr>
              <w:ind w:left="80"/>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(32,288)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273,695</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380" w:type="dxa"/>
            <w:vAlign w:val="bottom"/>
            <w:gridSpan w:val="2"/>
          </w:tcPr>
          <w:p>
            <w:pPr>
              <w:jc w:val="center"/>
              <w:ind w:right="885"/>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65"/>
              <w:spacing w:after="0"/>
              <w:rPr>
                <w:sz w:val="20"/>
                <w:szCs w:val="20"/>
                <w:color w:val="auto"/>
              </w:rPr>
            </w:pPr>
            <w:r>
              <w:rPr>
                <w:rFonts w:ascii="Arial" w:cs="Arial" w:eastAsia="Arial" w:hAnsi="Arial"/>
                <w:sz w:val="18"/>
                <w:szCs w:val="18"/>
                <w:color w:val="auto"/>
                <w:w w:val="89"/>
              </w:rPr>
              <w:t>Consolidated Statements of Income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65"/>
              <w:spacing w:after="0"/>
              <w:rPr>
                <w:sz w:val="20"/>
                <w:szCs w:val="20"/>
                <w:color w:val="auto"/>
              </w:rPr>
            </w:pPr>
            <w:r>
              <w:rPr>
                <w:rFonts w:ascii="Arial" w:cs="Arial" w:eastAsia="Arial" w:hAnsi="Arial"/>
                <w:sz w:val="18"/>
                <w:szCs w:val="18"/>
                <w:color w:val="auto"/>
                <w:w w:val="88"/>
              </w:rPr>
              <w:t>(dollars in thousands, except per share data)</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80" w:type="dxa"/>
            <w:vAlign w:val="bottom"/>
            <w:gridSpan w:val="2"/>
          </w:tcPr>
          <w:p>
            <w:pPr>
              <w:jc w:val="center"/>
              <w:ind w:right="885"/>
              <w:spacing w:after="0"/>
              <w:rPr>
                <w:sz w:val="20"/>
                <w:szCs w:val="20"/>
                <w:color w:val="auto"/>
              </w:rPr>
            </w:pPr>
            <w:r>
              <w:rPr>
                <w:rFonts w:ascii="Arial" w:cs="Arial" w:eastAsia="Arial" w:hAnsi="Arial"/>
                <w:sz w:val="18"/>
                <w:szCs w:val="18"/>
                <w:color w:val="auto"/>
                <w:w w:val="90"/>
              </w:rPr>
              <w:t>(unaudited)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41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51,881,681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51,523,627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51,899,210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52,140,945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4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8"/>
        </w:trPr>
        <w:tc>
          <w:tcPr>
            <w:tcW w:w="134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4960" w:type="dxa"/>
            <w:vAlign w:val="bottom"/>
            <w:gridSpan w:val="2"/>
          </w:tcPr>
          <w:p>
            <w:pPr>
              <w:jc w:val="center"/>
              <w:ind w:right="385"/>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960" w:type="dxa"/>
            <w:vAlign w:val="bottom"/>
            <w:gridSpan w:val="2"/>
          </w:tcPr>
          <w:p>
            <w:pPr>
              <w:jc w:val="center"/>
              <w:ind w:right="385"/>
              <w:spacing w:after="0"/>
              <w:rPr>
                <w:sz w:val="20"/>
                <w:szCs w:val="20"/>
                <w:color w:val="auto"/>
              </w:rPr>
            </w:pPr>
            <w:r>
              <w:rPr>
                <w:rFonts w:ascii="Arial" w:cs="Arial" w:eastAsia="Arial" w:hAnsi="Arial"/>
                <w:sz w:val="18"/>
                <w:szCs w:val="18"/>
                <w:color w:val="auto"/>
                <w:w w:val="89"/>
              </w:rPr>
              <w:t>Consolidated Statements of Comprehensive Income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960" w:type="dxa"/>
            <w:vAlign w:val="bottom"/>
            <w:gridSpan w:val="2"/>
          </w:tcPr>
          <w:p>
            <w:pPr>
              <w:jc w:val="center"/>
              <w:ind w:right="365"/>
              <w:spacing w:after="0"/>
              <w:rPr>
                <w:sz w:val="20"/>
                <w:szCs w:val="20"/>
                <w:color w:val="auto"/>
              </w:rPr>
            </w:pPr>
            <w:r>
              <w:rPr>
                <w:rFonts w:ascii="Arial" w:cs="Arial" w:eastAsia="Arial" w:hAnsi="Arial"/>
                <w:sz w:val="18"/>
                <w:szCs w:val="18"/>
                <w:color w:val="auto"/>
                <w:w w:val="90"/>
              </w:rPr>
              <w:t>(dollars in thousands)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960" w:type="dxa"/>
            <w:vAlign w:val="bottom"/>
            <w:gridSpan w:val="2"/>
          </w:tcPr>
          <w:p>
            <w:pPr>
              <w:jc w:val="center"/>
              <w:ind w:right="385"/>
              <w:spacing w:after="0"/>
              <w:rPr>
                <w:sz w:val="20"/>
                <w:szCs w:val="20"/>
                <w:color w:val="auto"/>
              </w:rPr>
            </w:pPr>
            <w:r>
              <w:rPr>
                <w:rFonts w:ascii="Arial" w:cs="Arial" w:eastAsia="Arial" w:hAnsi="Arial"/>
                <w:sz w:val="18"/>
                <w:szCs w:val="18"/>
                <w:color w:val="auto"/>
                <w:w w:val="90"/>
              </w:rPr>
              <w:t>(unaudited)</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r>
      <w:tr>
        <w:trPr>
          <w:trHeight w:val="230"/>
        </w:trPr>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r>
      <w:tr>
        <w:trPr>
          <w:trHeight w:val="230"/>
        </w:trPr>
        <w:tc>
          <w:tcPr>
            <w:tcW w:w="2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Currency translation adjustment</w:t>
            </w:r>
          </w:p>
        </w:tc>
        <w:tc>
          <w:tcPr>
            <w:tcW w:w="4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47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8,014</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51,607,143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185,998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324,184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3"/>
              </w:rPr>
              <w:t>settlements of stock based compensation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52,156,850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Adoption of revenue recognition standard</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(see Note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281,945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March 31, 2018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52,429,157</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color w:val="auto"/>
                <w:w w:val="89"/>
              </w:rPr>
              <w:t>Consolidated Statements of Cash Flows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40" w:type="dxa"/>
            <w:vAlign w:val="bottom"/>
          </w:tcPr>
          <w:p>
            <w:pPr>
              <w:ind w:left="296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4,011</w:t>
            </w:r>
          </w:p>
        </w:tc>
        <w:tc>
          <w:tcPr>
            <w:tcW w:w="8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(3,058)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(6,085)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receivable / payable</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(4,846)</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(16,904)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7"/>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(received) for income taxes, net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2018, the Company had 140 stores in 31 states and the District of Columbia, with an average size of approximately 20,200 square feet. The Company also sells products on its website. The Company has distribution centers located in Michigan, New Jersey, Oklahoma, Virginia and Wisconsin. The Company has a sourcing operation located in China.</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2018 are not necessarily indicative of the results that may be expected for the fiscal year ending December 31, 2018.</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statements should be read in conjunction with the Consolidated Financial Statements and footnotes included in our Annual Report on Form 10-K for the fiscal year ended December 31, 2017. The accounting policies used in preparing these Consolidated Financial Statements are the same as those described in Note 1 to the Consolidated Financial Statements in such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 May 2014, the Financial Accounting Standards Board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The Company adopted this standard as of January 1, 2018 using the modified retrospective transition method. See Note 2 for further details.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The Company adopted the new standard as of March 31, 2018 using the retrospective transition method. The Company’s restricted cash balance was $0.8 million as of March 31, 2018. Upon adopting the new standard, the Company no longer presents the release of restricted cash as a financing cash inflow. Instead, restricted cash and long-term restricted cash balances are included in the beginning and ending cash, cash equivalents and restricted cash balances in the Consolidated Statement of Cash Flows. In connection with the adoption of this standard, $1.3 million received from restricted cash accounts during the three months ended March 31, 2017 that was previously presented as a financing cash inflow was reclassified to the beginning cash, cash equivalents and restricted cash balances in the Consolidated Statement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fiscal year 2019, with early adoption permitted. The Company expects the primary impact upon adoption will be the recognition, on a discounted basis, of minimum commitments under non-cancelable operating leases on the consolidated balance sheets resulting in the recording of right of use assets and lease obligations. The Company’s minimum commitments under non-cancelable operating leases are disclosed in Note 5 to the Consolidated Financial Statements included in the Company’s Annual Report on Form 10-K for the fiscal year ended December 31, 2017. The Company has identified its lease management system and is in the process of identifying and evaluating the applicable leases. The Company is currently assessing the effect the new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2018, the Company adopted Accounting Standards Update No. 2014-09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quarter ended March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received in exchange for those goods or services. Sales taxes are excluded from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9"/>
        </w:trPr>
        <w:tc>
          <w:tcPr>
            <w:tcW w:w="7360" w:type="dxa"/>
            <w:vAlign w:val="bottom"/>
          </w:tcPr>
          <w:p>
            <w:pPr>
              <w:spacing w:after="0"/>
              <w:rPr>
                <w:sz w:val="24"/>
                <w:szCs w:val="24"/>
                <w:color w:val="auto"/>
              </w:rPr>
            </w:pPr>
          </w:p>
        </w:tc>
        <w:tc>
          <w:tcPr>
            <w:tcW w:w="2760" w:type="dxa"/>
            <w:vAlign w:val="bottom"/>
            <w:gridSpan w:val="4"/>
          </w:tcPr>
          <w:p>
            <w:pPr>
              <w:jc w:val="center"/>
              <w:spacing w:after="0"/>
              <w:rPr>
                <w:sz w:val="20"/>
                <w:szCs w:val="20"/>
                <w:color w:val="auto"/>
              </w:rPr>
            </w:pPr>
            <w:r>
              <w:rPr>
                <w:rFonts w:ascii="Arial" w:cs="Arial" w:eastAsia="Arial" w:hAnsi="Arial"/>
                <w:sz w:val="18"/>
                <w:szCs w:val="18"/>
                <w:color w:val="auto"/>
                <w:w w:val="89"/>
              </w:rPr>
              <w:t>For the three months ended</w:t>
            </w:r>
          </w:p>
        </w:tc>
      </w:tr>
      <w:tr>
        <w:trPr>
          <w:trHeight w:val="230"/>
        </w:trPr>
        <w:tc>
          <w:tcPr>
            <w:tcW w:w="736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41 %</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Natural stone tiles</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35</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Accessories</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11</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r>
      <w:tr>
        <w:trPr>
          <w:trHeight w:val="217"/>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website. The timing of revenue recognition coincides with the transfer of control of goods and services ordered by the customer which falls into one of three categories described below:</w:t>
      </w:r>
    </w:p>
    <w:p>
      <w:pPr>
        <w:spacing w:after="0" w:line="181"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jc w:val="both"/>
        <w:ind w:left="640" w:hanging="320"/>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 up the items that were ordered. The Company recognizes revenue on this transaction when the customer picks up their order.</w:t>
      </w:r>
    </w:p>
    <w:p>
      <w:pPr>
        <w:spacing w:after="0" w:line="186" w:lineRule="exact"/>
        <w:rPr>
          <w:rFonts w:ascii="Arial" w:cs="Arial" w:eastAsia="Arial" w:hAnsi="Arial"/>
          <w:sz w:val="18"/>
          <w:szCs w:val="18"/>
          <w:color w:val="auto"/>
        </w:rPr>
      </w:pPr>
    </w:p>
    <w:p>
      <w:pPr>
        <w:jc w:val="both"/>
        <w:ind w:left="640" w:right="20" w:hanging="320"/>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or online and requests delivery of their order, the Company prepares the contents of their order, initiates the delivery service, and recognizes revenue once the contents of the customer’s order are delivered.</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$9.8 million and $8.1 million as of March 31, 2018 and December 31, 2017, respectively. Revenues recognized during the three-month period ended March 31, 2018 that were included in the customer deposit balance as of the beginning of the period were $7.4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The Company extends financing to qualified professional customers who apply for credit. The accounts receivable balance was $2.9 million and $2.4 million as of March 31, 2018 and December 31, 2017,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88" w:lineRule="exact"/>
        <w:rPr>
          <w:sz w:val="20"/>
          <w:szCs w:val="20"/>
          <w:color w:val="auto"/>
        </w:rPr>
      </w:pPr>
    </w:p>
    <w:p>
      <w:pPr>
        <w:jc w:val="both"/>
        <w:ind w:left="4"/>
        <w:spacing w:after="0" w:line="297"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Upon adoption of Topic 606,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March 31, 2018 and December 31, 2017 are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4"/>
          </w:tcPr>
          <w:p>
            <w:pPr>
              <w:ind w:left="62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5,947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3"/>
              </w:rPr>
              <w:t>1,690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3"/>
              </w:rPr>
              <w:t>4,257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r>
    </w:tbl>
    <w:p>
      <w:pPr>
        <w:ind w:left="4" w:right="20" w:hanging="4"/>
        <w:spacing w:after="0" w:line="261" w:lineRule="auto"/>
        <w:tabs>
          <w:tab w:leader="none" w:pos="159" w:val="left"/>
        </w:tabs>
        <w:numPr>
          <w:ilvl w:val="0"/>
          <w:numId w:val="4"/>
        </w:numPr>
        <w:rPr>
          <w:rFonts w:ascii="Arial" w:cs="Arial" w:eastAsia="Arial" w:hAnsi="Arial"/>
          <w:sz w:val="9"/>
          <w:szCs w:val="9"/>
          <w:color w:val="auto"/>
        </w:rPr>
      </w:pPr>
      <w:r>
        <w:rPr>
          <w:rFonts w:ascii="Arial" w:cs="Arial" w:eastAsia="Arial" w:hAnsi="Arial"/>
          <w:sz w:val="18"/>
          <w:szCs w:val="18"/>
          <w:color w:val="auto"/>
        </w:rPr>
        <w:t>As of December 31, 2017, the returns reserve of $3.1 million was presented net of the expected value of inventory to be returned of $0.9 million.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Inventories</w:t>
      </w:r>
    </w:p>
    <w:p>
      <w:pPr>
        <w:spacing w:after="0" w:line="229" w:lineRule="exact"/>
        <w:rPr>
          <w:sz w:val="20"/>
          <w:szCs w:val="20"/>
          <w:color w:val="auto"/>
        </w:rPr>
      </w:pPr>
    </w:p>
    <w:p>
      <w:pPr>
        <w:ind w:left="4" w:right="360"/>
        <w:spacing w:after="0" w:line="342" w:lineRule="auto"/>
        <w:rPr>
          <w:sz w:val="20"/>
          <w:szCs w:val="20"/>
          <w:color w:val="auto"/>
        </w:rPr>
      </w:pPr>
      <w:r>
        <w:rPr>
          <w:rFonts w:ascii="Arial" w:cs="Arial" w:eastAsia="Arial" w:hAnsi="Arial"/>
          <w:sz w:val="16"/>
          <w:szCs w:val="16"/>
          <w:color w:val="auto"/>
        </w:rPr>
        <w:t>Inventories are stated at the lower of cost (determined on the weighted-average cost method) or net realizable value. Inventories consist primarily of merchandise held for sale. Inventories were comprised of the following as of March 31, 2018 and December 31, 2017:</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65,843</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r>
    </w:tbl>
    <w:p>
      <w:pPr>
        <w:spacing w:after="0" w:line="202" w:lineRule="exact"/>
        <w:rPr>
          <w:sz w:val="20"/>
          <w:szCs w:val="20"/>
          <w:color w:val="auto"/>
        </w:rPr>
      </w:pPr>
    </w:p>
    <w:p>
      <w:pPr>
        <w:ind w:left="4" w:right="80"/>
        <w:spacing w:after="0" w:line="312" w:lineRule="auto"/>
        <w:rPr>
          <w:sz w:val="20"/>
          <w:szCs w:val="20"/>
          <w:color w:val="auto"/>
        </w:rPr>
      </w:pPr>
      <w:r>
        <w:rPr>
          <w:rFonts w:ascii="Arial" w:cs="Arial" w:eastAsia="Arial" w:hAnsi="Arial"/>
          <w:sz w:val="16"/>
          <w:szCs w:val="16"/>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$0.4 million and $0.2 million as of March 31, 2018 and December 31, 2017, respectively.</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 xml:space="preserve">On December 22, 2017, the Tax Cuts and Jobs Act of 2017 (the “Tax Act”) was enacted into law and the new legislation contains several key tax provisions that affected the Company, including, but not limited to, a reduction of the corporate income tax rate to 21% effective January 1, 2018, and a one-time mandatory transition tax on accumulated foreign earnings, a tax on global intangible low taxed income (“GILTI”), and the repeal of the domestic manufacturing deduction for 2018. The Company recognized the effect of the tax law changes in the period of enactment, including determining the transition tax, re-measuring the Company’s U.S. deferred tax assets and liabilities and reassessing the net realizability of the Company’s deferred tax assets and liabilities. </w:t>
      </w:r>
      <w:r>
        <w:rPr>
          <w:rFonts w:ascii="Arial" w:cs="Arial" w:eastAsia="Arial" w:hAnsi="Arial"/>
          <w:sz w:val="16"/>
          <w:szCs w:val="16"/>
          <w:i w:val="1"/>
          <w:iCs w:val="1"/>
          <w:color w:val="auto"/>
        </w:rPr>
        <w:t>Staff Accounting Bulletin No. 118,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Implications of the Tax Cuts and Jobs Act, </w:t>
      </w:r>
      <w:r>
        <w:rPr>
          <w:rFonts w:ascii="Arial" w:cs="Arial" w:eastAsia="Arial" w:hAnsi="Arial"/>
          <w:sz w:val="16"/>
          <w:szCs w:val="16"/>
          <w:color w:val="auto"/>
        </w:rPr>
        <w:t>(“SAB 118”) allows the Company to record provisional amounts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not to extend beyond one year of the enactment date. Since the Tax Act was passed late in the fourth quarter of 2017, and ongoing guidance and accounting interpretation is expected throughout 2018, the Company considers the accounting of the transition tax, deferred tax re-measurements and other items to be provisional due to the forthcoming guidance and the Company’s ongoing analysis of final year-end data and tax positions. The Company expects to complete its analysis</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within the measurement period in accordance with SAB 118. While the Company does not expect to incur a current tax on GILTI relative to 2018 operations, the Company has not yet elected an accounting policy related to GILTI.</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Company's effective tax rate on net income before income taxes for the three months ended March 31, 2018 and 2017 was 28.3% and 38.8%, respectively. The difference between the Company’s effective rate of 28.3% and the expected federal statutory rate of 21.0% for the three months ended March 31, 2018 is primarily due to state income taxes. For the three months ended March 31, 2018 and 2017, the Company recorded a provision for income taxes of $1.6 million and $5.1 million, respectively. The decrease in the provision for income taxes is due to lower pretax earnings as well as the decrease in the corporate tax rate.</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March 31, 2018 and 2017,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6"/>
              </w:rPr>
              <w:t>Basic and diluted earnings per share were calculated as follows:</w:t>
            </w: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5"/>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20" w:type="dxa"/>
            <w:vAlign w:val="bottom"/>
            <w:gridSpan w:val="5"/>
          </w:tcPr>
          <w:p>
            <w:pPr>
              <w:jc w:val="right"/>
              <w:ind w:right="130"/>
              <w:spacing w:after="0"/>
              <w:rPr>
                <w:sz w:val="20"/>
                <w:szCs w:val="20"/>
                <w:color w:val="auto"/>
              </w:rPr>
            </w:pPr>
            <w:r>
              <w:rPr>
                <w:rFonts w:ascii="Arial" w:cs="Arial" w:eastAsia="Arial" w:hAnsi="Arial"/>
                <w:sz w:val="18"/>
                <w:szCs w:val="18"/>
                <w:color w:val="auto"/>
                <w:w w:val="90"/>
              </w:rPr>
              <w:t>(all amounts in thousands except</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4"/>
          </w:tcPr>
          <w:p>
            <w:pPr>
              <w:jc w:val="right"/>
              <w:ind w:right="410"/>
              <w:spacing w:after="0"/>
              <w:rPr>
                <w:sz w:val="20"/>
                <w:szCs w:val="20"/>
                <w:color w:val="auto"/>
              </w:rPr>
            </w:pPr>
            <w:r>
              <w:rPr>
                <w:rFonts w:ascii="Arial" w:cs="Arial" w:eastAsia="Arial" w:hAnsi="Arial"/>
                <w:sz w:val="18"/>
                <w:szCs w:val="18"/>
                <w:color w:val="auto"/>
                <w:w w:val="93"/>
              </w:rPr>
              <w:t>share and per share data)</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4"/>
          </w:tcPr>
          <w:p>
            <w:pPr>
              <w:jc w:val="center"/>
              <w:ind w:right="90"/>
              <w:spacing w:after="0"/>
              <w:rPr>
                <w:sz w:val="20"/>
                <w:szCs w:val="20"/>
                <w:color w:val="auto"/>
              </w:rPr>
            </w:pPr>
            <w:r>
              <w:rPr>
                <w:rFonts w:ascii="Arial" w:cs="Arial" w:eastAsia="Arial" w:hAnsi="Arial"/>
                <w:sz w:val="18"/>
                <w:szCs w:val="18"/>
                <w:color w:val="auto"/>
                <w:w w:val="88"/>
              </w:rPr>
              <w:t>For the three months ended</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51,881,681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51,523,627</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Effect of dilutive securities attributable to stock based awards</w:t>
            </w:r>
          </w:p>
        </w:tc>
        <w:tc>
          <w:tcPr>
            <w:tcW w:w="2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617,318</w:t>
            </w:r>
          </w:p>
        </w:tc>
        <w:tc>
          <w:tcPr>
            <w:tcW w:w="20" w:type="dxa"/>
            <w:vAlign w:val="bottom"/>
          </w:tcPr>
          <w:p>
            <w:pPr>
              <w:spacing w:after="0"/>
              <w:rPr>
                <w:sz w:val="19"/>
                <w:szCs w:val="19"/>
                <w:color w:val="auto"/>
              </w:rPr>
            </w:pPr>
          </w:p>
        </w:tc>
      </w:tr>
      <w:tr>
        <w:trPr>
          <w:trHeight w:val="210"/>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2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51,899,210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52,140,945</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Basic</w:t>
            </w:r>
          </w:p>
        </w:tc>
        <w:tc>
          <w:tcPr>
            <w:tcW w:w="27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2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1"/>
              </w:rPr>
              <w:t>Anti-dilutive securities excluded from earnings per share calculation</w:t>
            </w: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1,971,066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272,336</w:t>
            </w:r>
          </w:p>
        </w:tc>
        <w:tc>
          <w:tcPr>
            <w:tcW w:w="20" w:type="dxa"/>
            <w:vAlign w:val="bottom"/>
          </w:tcPr>
          <w:p>
            <w:pPr>
              <w:spacing w:after="0"/>
              <w:rPr>
                <w:sz w:val="20"/>
                <w:szCs w:val="20"/>
                <w:color w:val="auto"/>
              </w:rPr>
            </w:pPr>
          </w:p>
        </w:tc>
      </w:tr>
      <w:tr>
        <w:trPr>
          <w:trHeight w:val="647"/>
        </w:trPr>
        <w:tc>
          <w:tcPr>
            <w:tcW w:w="49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9"/>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4"/>
          </w:tcPr>
          <w:p>
            <w:pPr>
              <w:jc w:val="center"/>
              <w:ind w:right="90"/>
              <w:spacing w:after="0"/>
              <w:rPr>
                <w:sz w:val="20"/>
                <w:szCs w:val="20"/>
                <w:color w:val="auto"/>
              </w:rPr>
            </w:pPr>
            <w:r>
              <w:rPr>
                <w:rFonts w:ascii="Arial" w:cs="Arial" w:eastAsia="Arial" w:hAnsi="Arial"/>
                <w:sz w:val="18"/>
                <w:szCs w:val="18"/>
                <w:color w:val="auto"/>
                <w:w w:val="91"/>
              </w:rPr>
              <w:t>(in thousands)</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9"/>
              </w:rPr>
              <w:t>March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9"/>
                <w:szCs w:val="19"/>
                <w:color w:val="auto"/>
              </w:rPr>
            </w:pPr>
          </w:p>
        </w:tc>
      </w:tr>
      <w:tr>
        <w:trPr>
          <w:trHeight w:val="230"/>
        </w:trPr>
        <w:tc>
          <w:tcPr>
            <w:tcW w:w="494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2,853</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 returns reserve</w:t>
            </w:r>
          </w:p>
        </w:tc>
        <w:tc>
          <w:tcPr>
            <w:tcW w:w="2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2,491</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9"/>
                <w:szCs w:val="19"/>
                <w:color w:val="auto"/>
              </w:rPr>
            </w:pPr>
          </w:p>
        </w:tc>
      </w:tr>
      <w:tr>
        <w:trPr>
          <w:trHeight w:val="217"/>
        </w:trPr>
        <w:tc>
          <w:tcPr>
            <w:tcW w:w="494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256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20" w:type="dxa"/>
            <w:vAlign w:val="bottom"/>
          </w:tcPr>
          <w:p>
            <w:pPr>
              <w:spacing w:after="0"/>
              <w:rPr>
                <w:sz w:val="18"/>
                <w:szCs w:val="18"/>
                <w:color w:val="auto"/>
              </w:rPr>
            </w:pPr>
          </w:p>
        </w:tc>
      </w:tr>
      <w:tr>
        <w:trPr>
          <w:trHeight w:val="864"/>
        </w:trPr>
        <w:tc>
          <w:tcPr>
            <w:tcW w:w="4940" w:type="dxa"/>
            <w:vAlign w:val="bottom"/>
          </w:tcPr>
          <w:p>
            <w:pPr>
              <w:spacing w:after="0"/>
              <w:rPr>
                <w:sz w:val="24"/>
                <w:szCs w:val="24"/>
                <w:color w:val="auto"/>
              </w:rPr>
            </w:pPr>
          </w:p>
        </w:tc>
        <w:tc>
          <w:tcPr>
            <w:tcW w:w="2560" w:type="dxa"/>
            <w:vAlign w:val="bottom"/>
          </w:tcPr>
          <w:p>
            <w:pPr>
              <w:jc w:val="right"/>
              <w:ind w:right="2270"/>
              <w:spacing w:after="0"/>
              <w:rPr>
                <w:sz w:val="20"/>
                <w:szCs w:val="20"/>
                <w:color w:val="auto"/>
              </w:rPr>
            </w:pPr>
            <w:r>
              <w:rPr>
                <w:rFonts w:ascii="Arial" w:cs="Arial" w:eastAsia="Arial" w:hAnsi="Arial"/>
                <w:sz w:val="18"/>
                <w:szCs w:val="18"/>
                <w:color w:val="auto"/>
                <w:w w:val="89"/>
              </w:rPr>
              <w:t>11</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 2015, the Company and its operating subsidiary, The Tile Shop, LLC, entered into a credit agreement with Fifth Third Bank, Bank of America, N.A., and Huntington National Bank (as amended, the “Credit Agreement”). The Credit Agreement was most recently amended on April 5, 2018 to adjust the consolidated fixed charge coverage ratio covenant to a minimum of 1.35:1.00 and revise the consolidated total rent adjusted leverage ratio covenant to a maximum of 4.00:1.00.</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Credit Agreement provides the Company with a $125.0 million senior secured credit facility, comprised of a five-year $50.0 million term loan and a $75.0 million revolving line of credit. Borrowings outstanding consisted of $9.5 million on the term loan and $15.0 million on the revolving line of credit as of March 31, 2018. There was $60.0 million available for borrowing on the revolving line of credit as of March 31, 2018, which may be used to support the Company’s growth and for working capital purposes.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March 31, 2018 the base interest rate was 5.50% and the LIBOR-based interest rate was 3.63%.</w:t>
      </w:r>
    </w:p>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term loan requires quarterly principal payments of $1.9 million for the quarter ended June 30, 2018 and $2.5 million for quarters ended September 30, 2018 through March 31, 2020. The Company can elect to prepay the term loan without incurring a penalty.</w:t>
      </w:r>
    </w:p>
    <w:p>
      <w:pPr>
        <w:spacing w:after="0" w:line="16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The Company was in compliance with the covenants as of March 31, 2018.</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standby letters of credit outstanding related to its workers compensation and medical insurance policies. As of March 31, 2018 and 2017, the standby letters of credit totaled $1.1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2018 and December 31, 2017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left="110"/>
              <w:spacing w:after="0"/>
              <w:rPr>
                <w:sz w:val="20"/>
                <w:szCs w:val="20"/>
                <w:color w:val="auto"/>
              </w:rPr>
            </w:pPr>
            <w:r>
              <w:rPr>
                <w:rFonts w:ascii="Arial" w:cs="Arial" w:eastAsia="Arial" w:hAnsi="Arial"/>
                <w:sz w:val="18"/>
                <w:szCs w:val="18"/>
                <w:color w:val="auto"/>
                <w:w w:val="92"/>
              </w:rPr>
              <w:t>March 31, 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6"/>
          </w:tcPr>
          <w:p>
            <w:pPr>
              <w:ind w:left="80"/>
              <w:spacing w:after="0"/>
              <w:rPr>
                <w:sz w:val="20"/>
                <w:szCs w:val="20"/>
                <w:color w:val="auto"/>
              </w:rPr>
            </w:pPr>
            <w:r>
              <w:rPr>
                <w:rFonts w:ascii="Arial" w:cs="Arial" w:eastAsia="Arial" w:hAnsi="Arial"/>
                <w:sz w:val="18"/>
                <w:szCs w:val="18"/>
                <w:color w:val="auto"/>
              </w:rPr>
              <w:t>December 31, 2017</w:t>
            </w:r>
          </w:p>
        </w:tc>
      </w:tr>
      <w:tr>
        <w:trPr>
          <w:trHeight w:val="195"/>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Debt Issuance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Debt Issuance</w:t>
            </w:r>
          </w:p>
        </w:tc>
      </w:tr>
      <w:tr>
        <w:trPr>
          <w:trHeight w:val="230"/>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Principal</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86"/>
              </w:rPr>
              <w:t>Costs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Costs</w:t>
            </w: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Term note payable - interest at 3.63% and 3.06% at March 31, 2018 and</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Variable interest rate bonds (2.02% and 1.69% at March 31, 2018 and December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4"/>
              </w:rPr>
              <w:t>31, 2017, respectively), which mature April 1, 2023, collateralized by buildings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and equipment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25,176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March 31, 2018 and December 31, 2017 according to the valuation techniques the Company uses to determine their fair values. There have been no transfers of assets among the fair value hierarchies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280" w:type="dxa"/>
            <w:vAlign w:val="bottom"/>
          </w:tcPr>
          <w:p>
            <w:pPr>
              <w:spacing w:after="0"/>
              <w:rPr>
                <w:sz w:val="19"/>
                <w:szCs w:val="19"/>
                <w:color w:val="auto"/>
              </w:rPr>
            </w:pPr>
          </w:p>
        </w:tc>
        <w:tc>
          <w:tcPr>
            <w:tcW w:w="2200" w:type="dxa"/>
            <w:vAlign w:val="bottom"/>
            <w:gridSpan w:val="2"/>
          </w:tcPr>
          <w:p>
            <w:pPr>
              <w:jc w:val="right"/>
              <w:ind w:right="230"/>
              <w:spacing w:after="0"/>
              <w:rPr>
                <w:sz w:val="20"/>
                <w:szCs w:val="20"/>
                <w:color w:val="auto"/>
              </w:rPr>
            </w:pPr>
            <w:r>
              <w:rPr>
                <w:rFonts w:ascii="Arial" w:cs="Arial" w:eastAsia="Arial" w:hAnsi="Arial"/>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March 31, 2018</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7,152</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340" w:hanging="315"/>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did not recognize any significant impairment losses during the three months ended March 31, 2018 and 2017.</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measures and recognizes compensation expense for all stock based awards at fair value. The financial statements for the three months ended March 31, 2018 and 2017 include compensation cost for the portion of outstanding awards that vested during those periods. The Company recognizes stock based compensation costs on a straight-line basis over the requisite service period of the award, which is generally the option vesting term. Total stock based compensation expense related to stock options was $0.3 million and $0.5 million for the three months ended March 31, 2018 and 2017, respectively. Stock based compensation expense pertaining to stock options is included in selling, general and administrative expenses in the accompanying Consolidated Statements of Income.</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2018, the Company had outstanding stock options to purchase 1,727,630 shares of common stock at a weighted average exercise price of $14.44.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other than continued service.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 million for the three months ended March 31, 2018 and 2017. Stock based compensation expense pertaining to restricted stock awards is included in selling, general and administrative expenses in the accompanying Consolidated Statements of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had 547,475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March 31, 2018, the balance of the contribution liability was $2.6 million, of which $0.4 million is classified as other accrued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liabilities on the Consolidated Balance Sheet and $2.2 million is classified as other long-term liabilities on the Consolidated Balance Sheet.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fiscal year ended December 31, 2017, the Company received reimbursements totaling $6.0 million from the investment fund. As of March 31, 2018, the balance in the Investment Fund available for reimbursement to the Company was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March 31, 2018, the balance of the contribution liability was $1.6 million, of which $0.7 million is classified as other accrued liabilities on the Consolidated Balance Sheet and $0.9 million is classified as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nominal defendant in three actions brought derivatively on behalf of the Company by three shareholders in 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Before the motions were decided, the parties entered into settlement discussions. As of April 11, 2018, the parties entered into a Stipulation of Settlement to resolve all claims in the three actions, which is subject to the approval of the Delaware Court of Chancery. Under the terms of settlement, the Board of Directors will adopt, and the Company will implement, certain changes to its policies and practices that address related person transactions, insider trading, compliance, and ethics. The Stipulation of Settlement also provides that the Company will be liable to pay to plaintiffs and their counsel such amount of attorneys’ fees, expenses, and incentive awards as the Court might award to them.</w:t>
      </w:r>
    </w:p>
    <w:p>
      <w:pPr>
        <w:spacing w:after="0" w:line="18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with respect to the matters raised in the demand letter. The settlement of the three derivative actions described in the preceding paragraph, if approved by the Delaware Court of Chancery, will resolve this shareholder demand.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Company’s assessment of the derivative actions and demand, the range of resulting loss is not expected to have a material impact on the Company’s financial statements.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April 19, 2018, the Company declared a $0.05 dividend to stockholders of record as of the close of business on April 30, 2018. The dividend will be paid on May 11, 2018.</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5, 2018, the Company, its operating subsidiary, The Tile Shop, LLC, and certain other subsidiaries of the Company entered into a Fourth Amendment to the Credit Agreement (the “Fourth Amendment”) with Fifth Third Bank, Bank of America, N.A., and The Huntington National Bank. The Fourth Amendment amends the Credit Agreement to adjust the consolidated fixed charge coverage ratio covenant from a minimum of 1.50:1.00 to a minimum of 1.35:1.00. The consolidated total rent adjusted leverage ratio covenant was also amended to be a maximum of 4.00:1.00.</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60"/>
          </w:cols>
          <w:pgMar w:left="900" w:top="121" w:right="11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2017 and our consolidated financial statements and related notes appearing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“depend,”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or renovating existing stores, changes to economic or market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2017,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2018, we operated 140 stores in 31 states and the District of Columbia, with an average size of 20,200 square feet. We also sell our products on our website.</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believe that the highly-fragmented United States retail tile market provides us with a significant opportunity to expand our store base. We opened 2 new stores in the first three months of 2018, and opened 15 new stores during 2017. Between April 1, 2017 and March 31, 2018, we opened 14 new store locations. We plan to open one additional store in 2018.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5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 the three months ended March 31, 2018 and 2017, we reported net sales of $91.1 million and $92.1 million, respectively. The decrease in sales for the three months ended March 31, 2018 compared to the three months ended March 31, 2017 was primarily due to a decline in comparable stores sales of 6.8%, or $6.3 million, offset by net sales of $5.3 million from stores not included in the comparable store base.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sales at comparable stores for the three months ended March 31, 2018 was primarily the result of weaker store traffic due in part to our shift in promotional strategy.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about our comparable store sales growth for the three months ended March 31, 2018 and 2017.</w:t>
      </w:r>
    </w:p>
    <w:p>
      <w:pPr>
        <w:spacing w:after="0" w:line="304"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(decline) growth</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4.9 %</w:t>
            </w: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March 31, 2018 and 2017, we reported gross profit of $64.0 million and $64.7 million, respectively. The gross margin rate for both the three months ended March 31, 2018 and 2017 was 70.3%. The gross margin rate improved sequentially from 66.8% in the fourth quarter of 2017 primarily due to decreased promotional activity.</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For the three months ended March 31, 2018 and 2017, we reported income from operations of $6.1 million and $13.5 million, respectively. The decrease in income from operations was primarily driven by a decrease in overall sales and an increase in occupancy costs from new stores that have opened since April 1, 2017.</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provided by operating activities was $9.9 million and $20.1 million for the three months ended March 31, 2018 and 2017, respectively, which was used to fund operations, new store construction activities, store remodels, dividends and debt repayments. We expect to continue to fund our capital expenditures and daily operations from our operating cash flows. As of March 31, 2018, we had cash of $7.2 million and working capital of $45.2 million compared with cash of $6.6 million and working capital of $43.5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consists primarily of material costs, freight, customs and duties fees, and storage and delivery of product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as well as physical inventory losses and costs associated with manufacturing of setting and maintenance materials.</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depreciation and amortization.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are subject to income tax in the United States as well as other tax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this non-GAAP measure of financial results provides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and for budgeting and planning purposes.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retailers, many of which present a similar non-GAAP financial measure to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months ended March 31, 2018 and 2017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ind w:left="600"/>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jc w:val="center"/>
              <w:spacing w:after="0"/>
              <w:rPr>
                <w:sz w:val="20"/>
                <w:szCs w:val="20"/>
                <w:color w:val="auto"/>
              </w:rPr>
            </w:pPr>
            <w:r>
              <w:rPr>
                <w:rFonts w:ascii="Arial" w:cs="Arial" w:eastAsia="Arial" w:hAnsi="Arial"/>
                <w:sz w:val="18"/>
                <w:szCs w:val="18"/>
                <w:color w:val="auto"/>
                <w:w w:val="90"/>
              </w:rPr>
              <w:t>Three Months Ended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8"/>
                <w:szCs w:val="18"/>
                <w:color w:val="auto"/>
                <w:w w:val="92"/>
              </w:rPr>
              <w:t>March 31,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64"/>
        </w:trPr>
        <w:tc>
          <w:tcPr>
            <w:tcW w:w="5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2"/>
                <w:szCs w:val="22"/>
                <w:color w:val="auto"/>
              </w:rPr>
            </w:pPr>
          </w:p>
        </w:tc>
        <w:tc>
          <w:tcPr>
            <w:tcW w:w="1280" w:type="dxa"/>
            <w:vAlign w:val="bottom"/>
            <w:gridSpan w:val="4"/>
          </w:tcPr>
          <w:p>
            <w:pPr>
              <w:ind w:left="12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2"/>
                <w:szCs w:val="22"/>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8.7 %</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0.5 %</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5.5 %</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7.7 %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6,336</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6.9 %</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0.9 %</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13,763</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20,747</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Our management does not consider this non-GAAP measure in isolation or as an alternative to financial measures determined in accordance with GAAP. The principal limitation of this non-GAAP financial measure is that it excludes significant expenses and income that are required by GAAP to be recognized in our consolidated financial statements. In addition, it is subject to inherent limitations as they reflect the exercise of judgments by management about which expenses and income are excluded or included in determining this non-GAAP financial measure. In order to compensate for these limitations, management presents its non-GAAP financial measure in connection with GAAP results. We urge investors to review the reconciliation of our non-GAAP financial measure to the comparable GAAP financial measure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March 31, 2018 to the three months ended March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760" w:type="dxa"/>
            <w:vAlign w:val="bottom"/>
            <w:gridSpan w:val="3"/>
          </w:tcPr>
          <w:p>
            <w:pPr>
              <w:jc w:val="right"/>
              <w:ind w:right="725"/>
              <w:spacing w:after="0"/>
              <w:rPr>
                <w:sz w:val="20"/>
                <w:szCs w:val="20"/>
                <w:color w:val="auto"/>
              </w:rPr>
            </w:pPr>
            <w:r>
              <w:rPr>
                <w:rFonts w:ascii="Arial" w:cs="Arial" w:eastAsia="Arial" w:hAnsi="Arial"/>
                <w:sz w:val="18"/>
                <w:szCs w:val="18"/>
                <w:color w:val="auto"/>
              </w:rPr>
              <w:t>% of sales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92,135</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57,927</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51,212</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13,084</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8.7 %</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first quarter of 2018 decreased $1.0 million, or 1.1%, compared with the first quarter of 2017, primarily due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$6.3 million decrease in net sales generated by comparable stores. The decrease in sales at comparable stores for the three months ended March 31, 2018 was due to weaker store traffic due in part to our shift in promotional strategy. The decrease in sales at comparable stores was partially offset by a $5.3 million increase in net sales generated by new stores open less than twelve months.</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first quarter of 2018 decreased $0.7 million, or 1.1%, compared with the first quarter of 2017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decrease in net sales. The gross margin rate was 70.3% for the first quarter of both 2017 and 2018.</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first quarter of 2018 increased $6.7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13.1%, compared with the first quarter of 2017. The increase in selling, general, and administrative expenses included $4.7 million in costs associated with opening and operating 14 new stores during the period from April 1, 2017 through March 31, 2018. The increase in selling, general, and administrative expenses during the first quarter of 2018 also included $2.0 million of planned strategic investments in store compensation, store leadership, website design, and customer relationship management capabilities.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During the first quarter of 2018 and 2017, we incurred pre-opening costs of $0.1 million and $0.3 million, respectively.</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$0.6 million and $0.5 million for the first quarter of 2018 and 2017, respectively.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higher interest rates during the first quarter of 2018.</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$3.5 million for the first quarter of 2018 compared with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due to a decrease in income before income taxes, along with a decrease in our effective tax rate due to the Tax Act. Our effective tax rate for the three months ended March 31, 2018 and 2017 was 28.3% and 38.8%,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principal uses of liquidity have been investments in working capital and capital expenditures. Our principal sources of liquidity are $7.2 million of cash and cash equivalents at March 31, 2018, our cash flow from operations, and borrowings available under our credit facility. We expect to use this liquidity for opening new stores, purchasing additional merchandise inventory, maintaining our existing stores, reducing outstanding debt, paying dividends to our shareholders and general corporate purposes.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 2015, we and our operating subsidiary, The Tile Shop, LLC, entered into a credit agreement with Fifth Third Bank, Bank of America, N.A., and Huntington National Bank (as amended, the “Credit Agreement”). The Credit Agreement was most recently amended on April 5, 2018 to adjust the consolidated fixed charge coverage ratio covenant to a minimum of 1.35:1.00 and revise the consolidated total rent adjusted leverage ratio covenant to a maximum of 4.00:1.00.</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Credit Agreement provides us with a $125.0 million senior secured credit facility, comprised of a five-year $50.0 million term loan and a $75.0 million revolving line of credit. Borrowings outstanding consisted of $9.5 million on the term loan and $15.0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the revolving line of credit as of March 31, 2018. There was $60.0 million available for borrowing on the revolving line of credit as of March 31, 2018, which may be used to support our growth and for working capital purposes.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March 31, 2018 the base interest rate was 5.50% and the LIBOR-based interest rate was 3.63%.</w:t>
      </w:r>
    </w:p>
    <w:p>
      <w:pPr>
        <w:spacing w:after="0" w:line="15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term loan requires quarterly principal payments of $1.9 million for the quarter ended June 30, 2018 and $2.5 million for the quarters ended September 30, 2018 through March 31, 2020. We can elect to prepay the term loan without incurring a penalty.</w:t>
      </w:r>
    </w:p>
    <w:p>
      <w:pPr>
        <w:spacing w:after="0" w:line="16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March 31, 2018. We intend to make principal payments due in future periods using cash from operations.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standby letters of credit outstanding related to our workers compensation and medical insurance policies. As of March 31, 2018 and 2017, the standby letters of credit totaled $1.1 million.</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Capital expenditures were $4.8 million and $10.0 million for the three months ended March 31, 2018 and 2017, respectively. The decrease in capital expenditures is primarily due to the decelerated pace of new store openings. We opened 2 and 3 new stores during the three months ended March 31, 2018 and 2017, respectively. During the first three months of 2018, capital expenditures primarily consisted of new store build-out and remodels for existing store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March 31, 2018 and 2017.</w:t>
      </w:r>
    </w:p>
    <w:p>
      <w:pPr>
        <w:spacing w:after="0" w:line="29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9,858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20,054</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(4,846)</w:t>
            </w:r>
          </w:p>
        </w:tc>
        <w:tc>
          <w:tcPr>
            <w:tcW w:w="28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w w:val="91"/>
              </w:rPr>
              <w:t>(9,963)</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(4,504)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(3,843)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provided by operating activities during the three months ended March 31, 2018 was $9.9 million compared with $20.1 million during the three months ended March 31, 2017. The decrease is attributable to a decrease in net income, along with an increase in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investing activities totaled $4.8 million for the three months ended March 31, 2018 compared with $10.0 million for the three months ended March 31, 2017.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financing activities was $4.5 million for the three months ended March 31, 2018 compared with $3.8 million for the three months ended March 31, 2017. Net cash used in financing activities during the three months ended March 31, 2018 was primarily $16.9 million for the payments of long-term debt and capital lease obligations and $2.6 million in dividends paid to stockholders, offset by advances on the line of credit of $15.0 million.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totaled $7.2 million at March 31, 2018 compared with $6.6 million at December 31, 2017. Working capital was $45.2 million at March 31, 2018 compared with $43.5 million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31, 2018 and December 31, 2017,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May 2014, the Financial Accounting Standards Board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We adopted this standard as of January 1, 2018 using the modified retrospective transition method. See Note 2 in Item 1, Notes to Consolidated Financial Statements in this Form 10-Q for further details.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We adopted the new standard as of March 31, 2018 using the retrospective transition method. Our restricted cash balance was $0.8 million as of March 31, 2018. Upon adopting the new standard, we no longer present the release of restricted cash as a financing cash inflow. Instead, restricted cash and long-term restricted cash balances will be included in the beginning and ending cash, cash equivalents and restricted cash balances in the statement of cash flows. In connection with the adoption of this standard, $1.3 million received from restricted cash accounts during the three months ended March 31, 2017 that was previously presented as a financing cash inflow was reclassified to cash, cash equivalents and restricted cash in the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for fiscal year 2019, with early adoption permitted. We expect the primary impact on our consolidated balance sheets upon adoption will be the recognition, on a discounted basis, of our minimum commitments under non-cancelable operating leases resulting in the recording of right of use assets and lease obligations. Our minimum commitments under non-cancelable operating leases are disclosed in Note 5 to the Consolidated Financial Statements included in our Annual Report on Form 10-K for the fiscal year ended December 31, 2017. We have identified our lease management system and are in the process of identifying and evaluating the applicable leases. We are currently assessing the effect the new standard will have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Form 10-K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2018 and have concluded that such disclosure controls and procedures were effective as of the end of the period covered by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March 31, 2018 that have materially affected, or are reasonably likely to materially affect, our internal control over financial reporting (as defined in Rules 13a-15(f) and 15d-15(f)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is a nominal defendant in three actions brought derivatively on behalf of the Company by three shareholders in 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Before the motions were decided, the parties entered into settlement discussions. As of April 11, 2018, the parties entered into a Stipulation of Settlement to resolve all claims in the three actions, which is subject to the approval of the Delaware Court of Chancery. Under the terms of settlement, the Board of Directors will adopt, and the Company will implement, certain changes to its policies and practices that address related person transactions, insider trading, compliance, and ethics. The Stipulation of Settlement also provides that the Company will be liable to pay to plaintiffs and their counsel such amount of attorneys’ fees, expenses, and incentive awards as the Court might award to them.</w:t>
      </w:r>
    </w:p>
    <w:p>
      <w:pPr>
        <w:spacing w:after="0" w:line="18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 The settlement of the three derivative actions described in the preceding paragraph, if approved by the Delaware Court of Chancery, will resolve this shareholder demand.</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the Company’s assessment of the derivative actions and demand, the range of resulting loss is not expected to have a material impact on the Company’s financial statements.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59"/>
          </w:cols>
          <w:pgMar w:left="900" w:top="121" w:right="1440" w:bottom="1440" w:gutter="0" w:footer="0" w:header="0"/>
        </w:sectPr>
      </w:pPr>
    </w:p>
    <w:bookmarkStart w:id="24" w:name="page25"/>
    <w:bookmarkEnd w:id="24"/>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0" w:type="dxa"/>
            <w:vAlign w:val="bottom"/>
            <w:gridSpan w:val="2"/>
            <w:shd w:val="clear" w:color="auto" w:fill="CCEEFF"/>
          </w:tcPr>
          <w:p>
            <w:pPr>
              <w:spacing w:after="0" w:line="199" w:lineRule="exact"/>
              <w:rPr>
                <w:rFonts w:ascii="Arial" w:cs="Arial" w:eastAsia="Arial" w:hAnsi="Arial"/>
                <w:sz w:val="18"/>
                <w:szCs w:val="18"/>
                <w:color w:val="0000EE"/>
              </w:rPr>
            </w:pPr>
            <w:hyperlink r:id="rId3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5"/>
            <w:shd w:val="clear" w:color="auto" w:fill="CCEEFF"/>
          </w:tcPr>
          <w:p>
            <w:pPr>
              <w:spacing w:after="0" w:line="199"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w w:val="98"/>
              </w:rPr>
            </w:pPr>
            <w:hyperlink r:id="rId37">
              <w:r>
                <w:rPr>
                  <w:rFonts w:ascii="Arial" w:cs="Arial" w:eastAsia="Arial" w:hAnsi="Arial"/>
                  <w:sz w:val="18"/>
                  <w:szCs w:val="18"/>
                  <w:color w:val="0000EE"/>
                  <w:w w:val="98"/>
                </w:rPr>
                <w:t>Statement on Form S-4 (Reg. No. 333-182482) filed with the Securities and Exchange Commission on July 2, 2012).</w:t>
              </w:r>
            </w:hyperlink>
          </w:p>
        </w:tc>
        <w:tc>
          <w:tcPr>
            <w:tcW w:w="8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0000EE"/>
            </w:tcBorders>
            <w:shd w:val="clear" w:color="auto" w:fill="CCEEFF"/>
          </w:tcPr>
          <w:p>
            <w:pPr>
              <w:spacing w:after="0"/>
              <w:rPr>
                <w:sz w:val="17"/>
                <w:szCs w:val="17"/>
                <w:color w:val="auto"/>
              </w:rPr>
            </w:pPr>
          </w:p>
        </w:tc>
        <w:tc>
          <w:tcPr>
            <w:tcW w:w="396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5"/>
          </w:tcPr>
          <w:p>
            <w:pPr>
              <w:spacing w:after="0" w:line="176" w:lineRule="exact"/>
              <w:rPr>
                <w:rFonts w:ascii="Arial" w:cs="Arial" w:eastAsia="Arial" w:hAnsi="Arial"/>
                <w:sz w:val="18"/>
                <w:szCs w:val="18"/>
                <w:color w:val="0000EE"/>
                <w:w w:val="95"/>
              </w:rPr>
            </w:pPr>
            <w:hyperlink r:id="rId38">
              <w:r>
                <w:rPr>
                  <w:rFonts w:ascii="Arial" w:cs="Arial" w:eastAsia="Arial" w:hAnsi="Arial"/>
                  <w:sz w:val="18"/>
                  <w:szCs w:val="18"/>
                  <w:color w:val="0000EE"/>
                  <w:w w:val="95"/>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Form S-4 (Reg. No. 333-182482) filed with the Securities and Exchange Commission on July 2, 2012).</w:t>
              </w:r>
            </w:hyperlink>
          </w:p>
        </w:tc>
        <w:tc>
          <w:tcPr>
            <w:tcW w:w="1440" w:type="dxa"/>
            <w:vAlign w:val="bottom"/>
            <w:tcBorders>
              <w:top w:val="single" w:sz="8" w:color="0000EE"/>
            </w:tcBorders>
            <w:gridSpan w:val="2"/>
          </w:tcPr>
          <w:p>
            <w:pPr>
              <w:spacing w:after="0"/>
              <w:rPr>
                <w:sz w:val="17"/>
                <w:szCs w:val="17"/>
                <w:color w:val="auto"/>
              </w:rPr>
            </w:pPr>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00" w:type="dxa"/>
            <w:vAlign w:val="bottom"/>
            <w:gridSpan w:val="4"/>
          </w:tcPr>
          <w:p>
            <w:pPr>
              <w:spacing w:after="0"/>
              <w:rPr>
                <w:rFonts w:ascii="Arial" w:cs="Arial" w:eastAsia="Arial" w:hAnsi="Arial"/>
                <w:sz w:val="18"/>
                <w:szCs w:val="18"/>
                <w:color w:val="0000EE"/>
              </w:rPr>
            </w:pPr>
            <w:hyperlink r:id="rId3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80" w:type="dxa"/>
            <w:vAlign w:val="bottom"/>
            <w:gridSpan w:val="15"/>
          </w:tcPr>
          <w:p>
            <w:pPr>
              <w:spacing w:after="0"/>
              <w:rPr>
                <w:rFonts w:ascii="Arial" w:cs="Arial" w:eastAsia="Arial" w:hAnsi="Arial"/>
                <w:sz w:val="18"/>
                <w:szCs w:val="18"/>
                <w:color w:val="0000EE"/>
                <w:w w:val="94"/>
              </w:rPr>
            </w:pPr>
            <w:hyperlink r:id="rId39">
              <w:r>
                <w:rPr>
                  <w:rFonts w:ascii="Arial" w:cs="Arial" w:eastAsia="Arial" w:hAnsi="Arial"/>
                  <w:sz w:val="18"/>
                  <w:szCs w:val="18"/>
                  <w:color w:val="0000EE"/>
                  <w:w w:val="94"/>
                </w:rPr>
                <w:t>Employment Agreement between Tile Shop Holdings, Inc. and Cabell Lolmaugh, dated February 19, 2018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reference to Exhibit 10.1 to the Company’s Current Report on Form 8-K filed with the Securities and Exchange Commission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gridSpan w:val="15"/>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February 21, 2018).</w:t>
              </w:r>
            </w:hyperlink>
          </w:p>
        </w:tc>
        <w:tc>
          <w:tcPr>
            <w:tcW w:w="0" w:type="dxa"/>
            <w:vAlign w:val="bottom"/>
          </w:tcPr>
          <w:p>
            <w:pPr>
              <w:spacing w:after="0"/>
              <w:rPr>
                <w:sz w:val="1"/>
                <w:szCs w:val="1"/>
                <w:color w:val="auto"/>
              </w:rPr>
            </w:pPr>
          </w:p>
        </w:tc>
      </w:tr>
      <w:tr>
        <w:trPr>
          <w:trHeight w:val="20"/>
        </w:trPr>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gridSpan w:val="4"/>
          </w:tcPr>
          <w:p>
            <w:pPr>
              <w:spacing w:after="0"/>
              <w:rPr>
                <w:rFonts w:ascii="Arial" w:cs="Arial" w:eastAsia="Arial" w:hAnsi="Arial"/>
                <w:sz w:val="18"/>
                <w:szCs w:val="18"/>
                <w:color w:val="0000EE"/>
              </w:rPr>
            </w:pPr>
            <w:hyperlink r:id="rId4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80" w:type="dxa"/>
            <w:vAlign w:val="bottom"/>
            <w:gridSpan w:val="15"/>
          </w:tcPr>
          <w:p>
            <w:pPr>
              <w:spacing w:after="0"/>
              <w:rPr>
                <w:rFonts w:ascii="Arial" w:cs="Arial" w:eastAsia="Arial" w:hAnsi="Arial"/>
                <w:sz w:val="18"/>
                <w:szCs w:val="18"/>
                <w:color w:val="0000EE"/>
                <w:w w:val="92"/>
              </w:rPr>
            </w:pPr>
            <w:hyperlink r:id="rId40">
              <w:r>
                <w:rPr>
                  <w:rFonts w:ascii="Arial" w:cs="Arial" w:eastAsia="Arial" w:hAnsi="Arial"/>
                  <w:sz w:val="18"/>
                  <w:szCs w:val="18"/>
                  <w:color w:val="0000EE"/>
                  <w:w w:val="92"/>
                </w:rPr>
                <w:t>Fourth Amendment to Credit Agreement, dated April 5, 2018, among The Tile Shop, LLC, Tile Shop Holdings, Inc., Fifth Third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Bank, and the other parties named therein (incorporated by reference to Exhibit 10.1 to the Company’s Current Report on Form</w:t>
              </w:r>
            </w:hyperlink>
          </w:p>
        </w:tc>
        <w:tc>
          <w:tcPr>
            <w:tcW w:w="6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gridSpan w:val="15"/>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8-K filed with the Securities and Exchange Commission on April 6,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928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0000EE"/>
            </w:tcBorders>
            <w:shd w:val="clear" w:color="auto" w:fill="CCEEFF"/>
          </w:tcPr>
          <w:p>
            <w:pPr>
              <w:spacing w:after="0"/>
              <w:rPr>
                <w:sz w:val="17"/>
                <w:szCs w:val="17"/>
                <w:color w:val="auto"/>
              </w:rPr>
            </w:pPr>
          </w:p>
        </w:tc>
        <w:tc>
          <w:tcPr>
            <w:tcW w:w="396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40" w:type="dxa"/>
            <w:vAlign w:val="bottom"/>
          </w:tcPr>
          <w:p>
            <w:pPr>
              <w:spacing w:after="0"/>
              <w:rPr>
                <w:sz w:val="15"/>
                <w:szCs w:val="15"/>
                <w:color w:val="auto"/>
              </w:rPr>
            </w:pPr>
          </w:p>
        </w:tc>
        <w:tc>
          <w:tcPr>
            <w:tcW w:w="9280" w:type="dxa"/>
            <w:vAlign w:val="bottom"/>
            <w:gridSpan w:val="1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1**</w:t>
              </w:r>
            </w:hyperlink>
          </w:p>
        </w:tc>
        <w:tc>
          <w:tcPr>
            <w:tcW w:w="340" w:type="dxa"/>
            <w:vAlign w:val="bottom"/>
            <w:shd w:val="clear" w:color="auto" w:fill="CCEEFF"/>
          </w:tcPr>
          <w:p>
            <w:pPr>
              <w:spacing w:after="0"/>
              <w:rPr>
                <w:sz w:val="15"/>
                <w:szCs w:val="15"/>
                <w:color w:val="auto"/>
              </w:rPr>
            </w:pPr>
          </w:p>
        </w:tc>
        <w:tc>
          <w:tcPr>
            <w:tcW w:w="9280" w:type="dxa"/>
            <w:vAlign w:val="bottom"/>
            <w:gridSpan w:val="15"/>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0000EE"/>
            </w:tcBorders>
            <w:shd w:val="clear" w:color="auto" w:fill="CCEEFF"/>
          </w:tcPr>
          <w:p>
            <w:pPr>
              <w:spacing w:after="0"/>
              <w:rPr>
                <w:sz w:val="17"/>
                <w:szCs w:val="17"/>
                <w:color w:val="auto"/>
              </w:rPr>
            </w:pPr>
          </w:p>
        </w:tc>
        <w:tc>
          <w:tcPr>
            <w:tcW w:w="396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480" w:type="dxa"/>
            <w:vAlign w:val="bottom"/>
            <w:tcBorders>
              <w:bottom w:val="single" w:sz="8" w:color="0000EE"/>
            </w:tcBorders>
            <w:gridSpan w:val="4"/>
          </w:tcPr>
          <w:p>
            <w:pPr>
              <w:spacing w:after="0" w:line="17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2**</w:t>
              </w:r>
            </w:hyperlink>
          </w:p>
        </w:tc>
        <w:tc>
          <w:tcPr>
            <w:tcW w:w="34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Certifications of Chief Financial Officer Pursuant to Section 906 of the Sarbanes Oxley Act of 2002.</w:t>
              </w:r>
            </w:hyperlink>
          </w:p>
        </w:tc>
        <w:tc>
          <w:tcPr>
            <w:tcW w:w="20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Dated: April 27, 2018</w:t>
            </w:r>
          </w:p>
        </w:tc>
        <w:tc>
          <w:tcPr>
            <w:tcW w:w="5580" w:type="dxa"/>
            <w:vAlign w:val="bottom"/>
            <w:gridSpan w:val="2"/>
          </w:tcPr>
          <w:p>
            <w:pPr>
              <w:ind w:left="1740"/>
              <w:spacing w:after="0"/>
              <w:rPr>
                <w:sz w:val="20"/>
                <w:szCs w:val="20"/>
                <w:color w:val="auto"/>
              </w:rPr>
            </w:pPr>
            <w:r>
              <w:rPr>
                <w:rFonts w:ascii="Arial" w:cs="Arial" w:eastAsia="Arial" w:hAnsi="Arial"/>
                <w:sz w:val="18"/>
                <w:szCs w:val="18"/>
                <w:color w:val="auto"/>
              </w:rPr>
              <w:t>By: /s/ ROBERT A. RUCKER</w:t>
            </w:r>
          </w:p>
        </w:tc>
      </w:tr>
      <w:tr>
        <w:trPr>
          <w:trHeight w:val="195"/>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Robert A. Rucker</w:t>
            </w:r>
          </w:p>
        </w:tc>
      </w:tr>
      <w:tr>
        <w:trPr>
          <w:trHeight w:val="230"/>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320" w:type="dxa"/>
            <w:vAlign w:val="bottom"/>
          </w:tcPr>
          <w:p>
            <w:pPr>
              <w:spacing w:after="0"/>
              <w:rPr>
                <w:sz w:val="20"/>
                <w:szCs w:val="20"/>
                <w:color w:val="auto"/>
              </w:rPr>
            </w:pPr>
            <w:r>
              <w:rPr>
                <w:rFonts w:ascii="Arial" w:cs="Arial" w:eastAsia="Arial" w:hAnsi="Arial"/>
                <w:sz w:val="18"/>
                <w:szCs w:val="18"/>
                <w:color w:val="auto"/>
              </w:rPr>
              <w:t>Dated: April 27, 2018</w:t>
            </w:r>
          </w:p>
        </w:tc>
        <w:tc>
          <w:tcPr>
            <w:tcW w:w="5580" w:type="dxa"/>
            <w:vAlign w:val="bottom"/>
            <w:gridSpan w:val="2"/>
          </w:tcPr>
          <w:p>
            <w:pPr>
              <w:ind w:left="1740"/>
              <w:spacing w:after="0"/>
              <w:rPr>
                <w:sz w:val="20"/>
                <w:szCs w:val="20"/>
                <w:color w:val="auto"/>
              </w:rPr>
            </w:pPr>
            <w:r>
              <w:rPr>
                <w:rFonts w:ascii="Arial" w:cs="Arial" w:eastAsia="Arial" w:hAnsi="Arial"/>
                <w:sz w:val="18"/>
                <w:szCs w:val="18"/>
                <w:color w:val="auto"/>
              </w:rPr>
              <w:t>By: /s/ KIRK L. GEADELMANN</w:t>
            </w:r>
          </w:p>
        </w:tc>
      </w:tr>
      <w:tr>
        <w:trPr>
          <w:trHeight w:val="195"/>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6" w:name="page27"/>
    <w:bookmarkEnd w:id="26"/>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Robert A. Rucker, certify that:</w:t>
      </w:r>
    </w:p>
    <w:p>
      <w:pPr>
        <w:spacing w:after="0" w:line="144" w:lineRule="exact"/>
        <w:rPr>
          <w:sz w:val="20"/>
          <w:szCs w:val="20"/>
          <w:color w:val="auto"/>
        </w:rPr>
      </w:pPr>
    </w:p>
    <w:p>
      <w:pPr>
        <w:ind w:left="420" w:hanging="315"/>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April 27, 2018</w:t>
      </w:r>
    </w:p>
    <w:p>
      <w:pPr>
        <w:ind w:left="4800"/>
        <w:spacing w:after="0" w:line="219" w:lineRule="auto"/>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Robert A. Rucker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April 27, 2018</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2018 as filed with the Securities and Exchange Commission on the date hereof (the “Report”), I, Robert A. Rucker, Interim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Robert A. Rucker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27,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2018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27,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endash "/>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37" Type="http://schemas.openxmlformats.org/officeDocument/2006/relationships/hyperlink" Target="http://www.sec.gov/Archives/edgar/data/1552800/000114420412037509/v316486_ex3-1.htm" TargetMode="External"/><Relationship Id="rId38" Type="http://schemas.openxmlformats.org/officeDocument/2006/relationships/hyperlink" Target="http://www.sec.gov/Archives/edgar/data/1552800/000114420412037509/v316486_ex3-2.htm" TargetMode="External"/><Relationship Id="rId39" Type="http://schemas.openxmlformats.org/officeDocument/2006/relationships/hyperlink" Target="http://www.sec.gov/Archives/edgar/data/1552800/000155280018000003/tts-20180219xex10_1.htm" TargetMode="External"/><Relationship Id="rId40" Type="http://schemas.openxmlformats.org/officeDocument/2006/relationships/hyperlink" Target="http://www.sec.gov/Archives/edgar/data/1552800/000155280018000007/tts-20180405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2019-12-28T22:44:54Z</dcterms:created>
  <dcterms:modified xsi:type="dcterms:W3CDTF">2019-12-28T22:44:54Z</dcterms:modified>
</cp:coreProperties>
</file>