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37"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0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jc w:val="center"/>
        <w:ind w:right="40"/>
        <w:spacing w:after="0" w:line="237" w:lineRule="auto"/>
        <w:rPr>
          <w:sz w:val="20"/>
          <w:szCs w:val="20"/>
          <w:color w:val="auto"/>
        </w:rPr>
      </w:pPr>
      <w:r>
        <w:rPr>
          <w:rFonts w:ascii="Arial" w:cs="Arial" w:eastAsia="Arial" w:hAnsi="Arial"/>
          <w:sz w:val="18"/>
          <w:szCs w:val="18"/>
          <w:b w:val="1"/>
          <w:bCs w:val="1"/>
          <w:color w:val="auto"/>
        </w:rPr>
        <w:t>For the fiscal year ended December 31, 2022</w:t>
      </w:r>
    </w:p>
    <w:p>
      <w:pPr>
        <w:jc w:val="center"/>
        <w:spacing w:after="0" w:line="211" w:lineRule="auto"/>
        <w:rPr>
          <w:sz w:val="20"/>
          <w:szCs w:val="20"/>
          <w:color w:val="auto"/>
        </w:rPr>
      </w:pPr>
      <w:r>
        <w:rPr>
          <w:rFonts w:ascii="Arial" w:cs="Arial" w:eastAsia="Arial" w:hAnsi="Arial"/>
          <w:sz w:val="18"/>
          <w:szCs w:val="18"/>
          <w:b w:val="1"/>
          <w:bCs w:val="1"/>
          <w:color w:val="auto"/>
        </w:rPr>
        <w:t>or</w:t>
      </w:r>
    </w:p>
    <w:p>
      <w:pPr>
        <w:ind w:left="4360" w:right="4240" w:hanging="4352"/>
        <w:spacing w:after="0" w:line="281" w:lineRule="auto"/>
        <w:tabs>
          <w:tab w:leader="none" w:pos="25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001-35629</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45-5538095</w:t>
      </w:r>
    </w:p>
    <w:p>
      <w:pPr>
        <w:ind w:left="660"/>
        <w:spacing w:after="0"/>
        <w:tabs>
          <w:tab w:leader="none" w:pos="71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1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14000 Carlson Parkway, Plymouth, Minnesota 55441</w:t>
      </w:r>
    </w:p>
    <w:p>
      <w:pPr>
        <w:ind w:left="3480"/>
        <w:spacing w:after="0" w:line="237" w:lineRule="auto"/>
        <w:rPr>
          <w:sz w:val="20"/>
          <w:szCs w:val="20"/>
          <w:color w:val="auto"/>
        </w:rPr>
      </w:pPr>
      <w:r>
        <w:rPr>
          <w:rFonts w:ascii="Arial" w:cs="Arial" w:eastAsia="Arial" w:hAnsi="Arial"/>
          <w:sz w:val="18"/>
          <w:szCs w:val="18"/>
          <w:color w:val="auto"/>
        </w:rPr>
        <w:t>(Address of principal executive offices, including zip code)</w:t>
      </w:r>
    </w:p>
    <w:p>
      <w:pPr>
        <w:ind w:left="5060"/>
        <w:spacing w:after="0" w:line="219" w:lineRule="auto"/>
        <w:rPr>
          <w:sz w:val="20"/>
          <w:szCs w:val="20"/>
          <w:color w:val="auto"/>
        </w:rPr>
      </w:pPr>
      <w:r>
        <w:rPr>
          <w:rFonts w:ascii="Arial" w:cs="Arial" w:eastAsia="Arial" w:hAnsi="Arial"/>
          <w:sz w:val="18"/>
          <w:szCs w:val="18"/>
          <w:b w:val="1"/>
          <w:bCs w:val="1"/>
          <w:color w:val="auto"/>
        </w:rPr>
        <w:t>(763) 852-2950</w:t>
      </w:r>
    </w:p>
    <w:p>
      <w:pPr>
        <w:ind w:left="3720"/>
        <w:spacing w:after="0" w:line="219" w:lineRule="auto"/>
        <w:rPr>
          <w:sz w:val="20"/>
          <w:szCs w:val="20"/>
          <w:color w:val="auto"/>
        </w:rPr>
      </w:pPr>
      <w:r>
        <w:rPr>
          <w:rFonts w:ascii="Arial" w:cs="Arial" w:eastAsia="Arial" w:hAnsi="Arial"/>
          <w:sz w:val="18"/>
          <w:szCs w:val="18"/>
          <w:color w:val="auto"/>
        </w:rPr>
        <w:t>(Registrant’s telephone number, including area code)</w:t>
      </w:r>
    </w:p>
    <w:p>
      <w:pPr>
        <w:ind w:left="35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220" w:right="339" w:bottom="1440" w:gutter="0" w:footer="0" w:header="0"/>
        </w:sectPr>
      </w:pPr>
    </w:p>
    <w:p>
      <w:pPr>
        <w:spacing w:after="0" w:line="4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Title of each class</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Trading symbol(s)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TTSH</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3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The Nasdaq Stock Market LLC</w:t>
      </w:r>
    </w:p>
    <w:p>
      <w:pPr>
        <w:spacing w:after="0" w:line="86" w:lineRule="exact"/>
        <w:rPr>
          <w:sz w:val="24"/>
          <w:szCs w:val="24"/>
          <w:color w:val="auto"/>
        </w:rPr>
      </w:pPr>
    </w:p>
    <w:p>
      <w:pPr>
        <w:sectPr>
          <w:pgSz w:w="11900" w:h="16838" w:orient="portrait"/>
          <w:cols w:equalWidth="0" w:num="3">
            <w:col w:w="4260" w:space="720"/>
            <w:col w:w="1820" w:space="720"/>
            <w:col w:w="3720"/>
          </w:cols>
          <w:pgMar w:left="320" w:top="220" w:right="33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Securities registered pursuant to Section 12(g) of the Act:</w:t>
      </w:r>
    </w:p>
    <w:p>
      <w:pPr>
        <w:jc w:val="center"/>
        <w:ind w:right="40"/>
        <w:spacing w:after="0" w:line="230" w:lineRule="auto"/>
        <w:rPr>
          <w:sz w:val="20"/>
          <w:szCs w:val="20"/>
          <w:color w:val="auto"/>
        </w:rPr>
      </w:pPr>
      <w:r>
        <w:rPr>
          <w:rFonts w:ascii="Arial" w:cs="Arial" w:eastAsia="Arial" w:hAnsi="Arial"/>
          <w:sz w:val="18"/>
          <w:szCs w:val="18"/>
          <w:b w:val="1"/>
          <w:bCs w:val="1"/>
          <w:color w:val="auto"/>
        </w:rPr>
        <w:t>None</w:t>
      </w:r>
    </w:p>
    <w:p>
      <w:pPr>
        <w:spacing w:after="0" w:line="1" w:lineRule="exact"/>
        <w:rPr>
          <w:sz w:val="24"/>
          <w:szCs w:val="24"/>
          <w:color w:val="auto"/>
        </w:rPr>
      </w:pPr>
    </w:p>
    <w:p>
      <w:pPr>
        <w:ind w:right="2600"/>
        <w:spacing w:after="0" w:line="25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24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1440" w:gutter="0" w:footer="0" w:header="0"/>
          <w:type w:val="continuous"/>
        </w:sectPr>
      </w:pP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52"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2">
            <w:col w:w="5440" w:space="720"/>
            <w:col w:w="5080"/>
          </w:cols>
          <w:pgMar w:left="320" w:top="220" w:right="339" w:bottom="1440" w:gutter="0" w:footer="0" w:header="0"/>
          <w:type w:val="continuous"/>
        </w:sect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2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3" w:lineRule="exact"/>
        <w:rPr>
          <w:sz w:val="24"/>
          <w:szCs w:val="24"/>
          <w:color w:val="auto"/>
        </w:rPr>
      </w:pPr>
    </w:p>
    <w:p>
      <w:pPr>
        <w:ind w:right="300"/>
        <w:spacing w:after="0" w:line="20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4" w:lineRule="exact"/>
        <w:rPr>
          <w:sz w:val="24"/>
          <w:szCs w:val="24"/>
          <w:color w:val="auto"/>
        </w:rPr>
      </w:pPr>
    </w:p>
    <w:p>
      <w:pPr>
        <w:ind w:right="320"/>
        <w:spacing w:after="0" w:line="19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was approximately: $111,232,323.</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27, 2023, the registrant had 44,363,205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Certain information required by Part III is incorporated by reference from the Company’s definitive Proxy Statement for the Annual Meeting of Stockholders, or an amendment to this Form 10-K, which the Company intends to file with the SEC within 120 days after the fiscal year end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11" w:right="9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0740" w:type="dxa"/>
            <w:vAlign w:val="bottom"/>
            <w:gridSpan w:val="28"/>
          </w:tcPr>
          <w:p>
            <w:pPr>
              <w:spacing w:after="0"/>
              <w:rPr>
                <w:sz w:val="20"/>
                <w:szCs w:val="20"/>
                <w:color w:val="auto"/>
              </w:rPr>
            </w:pPr>
            <w:r>
              <w:rPr>
                <w:rFonts w:ascii="Arial" w:cs="Arial" w:eastAsia="Arial" w:hAnsi="Arial"/>
                <w:sz w:val="18"/>
                <w:szCs w:val="18"/>
                <w:b w:val="1"/>
                <w:bCs w:val="1"/>
                <w:color w:val="auto"/>
              </w:rPr>
              <w:t>TILE SHOP HOLDINGS, INC. FORM 10-K</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2"/>
          </w:tcPr>
          <w:p>
            <w:pPr>
              <w:ind w:left="280"/>
              <w:spacing w:after="0"/>
              <w:rPr>
                <w:sz w:val="20"/>
                <w:szCs w:val="20"/>
                <w:color w:val="auto"/>
              </w:rPr>
            </w:pPr>
            <w:r>
              <w:rPr>
                <w:rFonts w:ascii="Arial" w:cs="Arial" w:eastAsia="Arial" w:hAnsi="Arial"/>
                <w:sz w:val="18"/>
                <w:szCs w:val="18"/>
                <w:color w:val="auto"/>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PART I</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1</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BUSINESS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1A</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RISK FACTORS</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1B</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UNRESOLVED STAFF COMMENTS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660" w:type="dxa"/>
            <w:vAlign w:val="bottom"/>
            <w:tcBorders>
              <w:top w:val="single" w:sz="8" w:color="0000FF"/>
            </w:tcBorders>
            <w:gridSpan w:val="2"/>
            <w:shd w:val="clear" w:color="auto" w:fill="CCEEFF"/>
          </w:tcPr>
          <w:p>
            <w:pPr>
              <w:spacing w:after="0" w:line="162" w:lineRule="exact"/>
              <w:rPr>
                <w:sz w:val="20"/>
                <w:szCs w:val="20"/>
                <w:color w:val="auto"/>
              </w:rPr>
            </w:pPr>
            <w:r>
              <w:rPr>
                <w:rFonts w:ascii="Arial" w:cs="Arial" w:eastAsia="Arial" w:hAnsi="Arial"/>
                <w:sz w:val="18"/>
                <w:szCs w:val="18"/>
                <w:color w:val="0000FF"/>
                <w:w w:val="98"/>
              </w:rPr>
              <w:t>ITEM 2</w:t>
            </w:r>
            <w:r>
              <w:rPr>
                <w:rFonts w:ascii="Arial" w:cs="Arial" w:eastAsia="Arial" w:hAnsi="Arial"/>
                <w:sz w:val="18"/>
                <w:szCs w:val="18"/>
                <w:color w:val="000000"/>
                <w:w w:val="98"/>
              </w:rPr>
              <w:t>.</w:t>
            </w:r>
          </w:p>
        </w:tc>
        <w:tc>
          <w:tcPr>
            <w:tcW w:w="420" w:type="dxa"/>
            <w:vAlign w:val="bottom"/>
            <w:tcBorders>
              <w:left w:val="single" w:sz="8" w:color="CCEEFF"/>
              <w:right w:val="single" w:sz="8" w:color="CCEEFF"/>
            </w:tcBorders>
            <w:gridSpan w:val="3"/>
            <w:shd w:val="clear" w:color="auto" w:fill="CCEEFF"/>
          </w:tcPr>
          <w:p>
            <w:pPr>
              <w:spacing w:after="0"/>
              <w:rPr>
                <w:sz w:val="14"/>
                <w:szCs w:val="14"/>
                <w:color w:val="auto"/>
              </w:rPr>
            </w:pPr>
          </w:p>
        </w:tc>
        <w:tc>
          <w:tcPr>
            <w:tcW w:w="2820" w:type="dxa"/>
            <w:vAlign w:val="bottom"/>
            <w:tcBorders>
              <w:top w:val="single" w:sz="8" w:color="0000FF"/>
            </w:tcBorders>
            <w:gridSpan w:val="9"/>
            <w:shd w:val="clear" w:color="auto" w:fill="CCEEFF"/>
          </w:tcPr>
          <w:p>
            <w:pPr>
              <w:spacing w:after="0" w:line="162" w:lineRule="exact"/>
              <w:rPr>
                <w:sz w:val="20"/>
                <w:szCs w:val="20"/>
                <w:color w:val="auto"/>
              </w:rPr>
            </w:pPr>
            <w:r>
              <w:rPr>
                <w:rFonts w:ascii="Arial" w:cs="Arial" w:eastAsia="Arial" w:hAnsi="Arial"/>
                <w:sz w:val="18"/>
                <w:szCs w:val="18"/>
                <w:color w:val="0000FF"/>
              </w:rPr>
              <w:t>PROPERTIES</w:t>
            </w:r>
          </w:p>
        </w:tc>
        <w:tc>
          <w:tcPr>
            <w:tcW w:w="6580" w:type="dxa"/>
            <w:vAlign w:val="bottom"/>
            <w:gridSpan w:val="13"/>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3</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LEGAL PROCEEDINGS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4</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MINE SAFETY DISCLOSURES</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PART II</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5</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MARKET FOR THE REGISTRANT’S COMMON EQUITY, RELATED STOCKHOLDER MATTERS AND ISSUER</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70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PURCHASES OF EQUITY SECURITIES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6</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SELECTED FINANCIAL DATA</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CCEE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7</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7A.</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QUANTITATIVE AND QUALITATIVE DISCLOSURES ABOUT MARKET RISK</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Borders>
              <w:top w:val="single" w:sz="8" w:color="CCEEFF"/>
            </w:tcBorders>
          </w:tcPr>
          <w:p>
            <w:pPr>
              <w:spacing w:after="0"/>
              <w:rPr>
                <w:sz w:val="14"/>
                <w:szCs w:val="14"/>
                <w:color w:val="auto"/>
              </w:rPr>
            </w:pPr>
          </w:p>
        </w:tc>
        <w:tc>
          <w:tcPr>
            <w:tcW w:w="740" w:type="dxa"/>
            <w:vAlign w:val="bottom"/>
            <w:tcBorders>
              <w:top w:val="single" w:sz="8" w:color="0000FF"/>
            </w:tcBorders>
            <w:gridSpan w:val="3"/>
          </w:tcPr>
          <w:p>
            <w:pPr>
              <w:spacing w:after="0" w:line="162" w:lineRule="exact"/>
              <w:rPr>
                <w:sz w:val="20"/>
                <w:szCs w:val="20"/>
                <w:color w:val="auto"/>
              </w:rPr>
            </w:pPr>
            <w:r>
              <w:rPr>
                <w:rFonts w:ascii="Arial" w:cs="Arial" w:eastAsia="Arial" w:hAnsi="Arial"/>
                <w:sz w:val="18"/>
                <w:szCs w:val="18"/>
                <w:color w:val="0000FF"/>
              </w:rPr>
              <w:t>ITEM 8</w:t>
            </w:r>
            <w:r>
              <w:rPr>
                <w:rFonts w:ascii="Arial" w:cs="Arial" w:eastAsia="Arial" w:hAnsi="Arial"/>
                <w:sz w:val="18"/>
                <w:szCs w:val="18"/>
                <w:color w:val="000000"/>
              </w:rPr>
              <w:t>.</w:t>
            </w:r>
          </w:p>
        </w:tc>
        <w:tc>
          <w:tcPr>
            <w:tcW w:w="340" w:type="dxa"/>
            <w:vAlign w:val="bottom"/>
            <w:tcBorders>
              <w:top w:val="single" w:sz="8" w:color="CCEEFF"/>
            </w:tcBorders>
            <w:gridSpan w:val="2"/>
          </w:tcPr>
          <w:p>
            <w:pPr>
              <w:spacing w:after="0"/>
              <w:rPr>
                <w:sz w:val="14"/>
                <w:szCs w:val="14"/>
                <w:color w:val="auto"/>
              </w:rPr>
            </w:pPr>
          </w:p>
        </w:tc>
        <w:tc>
          <w:tcPr>
            <w:tcW w:w="6140" w:type="dxa"/>
            <w:vAlign w:val="bottom"/>
            <w:tcBorders>
              <w:top w:val="single" w:sz="8" w:color="0000FF"/>
            </w:tcBorders>
            <w:gridSpan w:val="15"/>
          </w:tcPr>
          <w:p>
            <w:pPr>
              <w:spacing w:after="0" w:line="162" w:lineRule="exact"/>
              <w:rPr>
                <w:sz w:val="20"/>
                <w:szCs w:val="20"/>
                <w:color w:val="auto"/>
              </w:rPr>
            </w:pPr>
            <w:r>
              <w:rPr>
                <w:rFonts w:ascii="Arial" w:cs="Arial" w:eastAsia="Arial" w:hAnsi="Arial"/>
                <w:sz w:val="18"/>
                <w:szCs w:val="18"/>
                <w:color w:val="0000FF"/>
              </w:rPr>
              <w:t>FINANCIAL STATEMENTS AND SUPPLEMENTARY DATA</w:t>
            </w:r>
          </w:p>
        </w:tc>
        <w:tc>
          <w:tcPr>
            <w:tcW w:w="3260" w:type="dxa"/>
            <w:vAlign w:val="bottom"/>
            <w:tcBorders>
              <w:top w:val="single" w:sz="8" w:color="CCEEFF"/>
            </w:tcBorders>
            <w:gridSpan w:val="7"/>
          </w:tcPr>
          <w:p>
            <w:pPr>
              <w:spacing w:after="0"/>
              <w:rPr>
                <w:sz w:val="14"/>
                <w:szCs w:val="14"/>
                <w:color w:val="auto"/>
              </w:rPr>
            </w:pPr>
          </w:p>
        </w:tc>
        <w:tc>
          <w:tcPr>
            <w:tcW w:w="50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9</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9A</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CONTROLS AND PROCEDURES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9B</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OTHER INFORMATION</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9C.</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left w:val="single" w:sz="8" w:color="CCEEFF"/>
            </w:tcBorders>
            <w:shd w:val="clear" w:color="auto" w:fill="CCEEFF"/>
          </w:tcPr>
          <w:p>
            <w:pPr>
              <w:spacing w:after="0"/>
              <w:rPr>
                <w:sz w:val="16"/>
                <w:szCs w:val="16"/>
                <w:color w:val="auto"/>
              </w:rPr>
            </w:pPr>
          </w:p>
        </w:tc>
        <w:tc>
          <w:tcPr>
            <w:tcW w:w="260" w:type="dxa"/>
            <w:vAlign w:val="bottom"/>
            <w:tcBorders>
              <w:top w:val="single" w:sz="8" w:color="0000FF"/>
              <w:right w:val="single" w:sz="8" w:color="CCEE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860" w:type="dxa"/>
            <w:vAlign w:val="bottom"/>
            <w:tcBorders>
              <w:top w:val="single" w:sz="8" w:color="0000FF"/>
            </w:tcBorders>
            <w:shd w:val="clear" w:color="auto" w:fill="CCEEFF"/>
          </w:tcPr>
          <w:p>
            <w:pPr>
              <w:spacing w:after="0"/>
              <w:rPr>
                <w:sz w:val="16"/>
                <w:szCs w:val="16"/>
                <w:color w:val="auto"/>
              </w:rPr>
            </w:pPr>
          </w:p>
        </w:tc>
        <w:tc>
          <w:tcPr>
            <w:tcW w:w="48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14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820" w:type="dxa"/>
            <w:vAlign w:val="bottom"/>
            <w:tcBorders>
              <w:top w:val="single" w:sz="8" w:color="0000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gridSpan w:val="6"/>
          </w:tcPr>
          <w:p>
            <w:pPr>
              <w:spacing w:after="0" w:line="189" w:lineRule="exact"/>
              <w:rPr>
                <w:sz w:val="20"/>
                <w:szCs w:val="20"/>
                <w:color w:val="auto"/>
              </w:rPr>
            </w:pPr>
            <w:r>
              <w:rPr>
                <w:rFonts w:ascii="Arial" w:cs="Arial" w:eastAsia="Arial" w:hAnsi="Arial"/>
                <w:sz w:val="18"/>
                <w:szCs w:val="18"/>
                <w:color w:val="auto"/>
              </w:rPr>
              <w:t>PART III</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10</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DIRECTORS, EXECUTIVE OFFICERS AND CORPORATE GOVERNANCE</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660" w:type="dxa"/>
            <w:vAlign w:val="bottom"/>
            <w:gridSpan w:val="2"/>
          </w:tcPr>
          <w:p>
            <w:pPr>
              <w:spacing w:after="0" w:line="162" w:lineRule="exact"/>
              <w:rPr>
                <w:sz w:val="20"/>
                <w:szCs w:val="20"/>
                <w:color w:val="auto"/>
              </w:rPr>
            </w:pPr>
            <w:r>
              <w:rPr>
                <w:rFonts w:ascii="Arial" w:cs="Arial" w:eastAsia="Arial" w:hAnsi="Arial"/>
                <w:sz w:val="18"/>
                <w:szCs w:val="18"/>
                <w:color w:val="0000FF"/>
                <w:w w:val="84"/>
              </w:rPr>
              <w:t>ITEM 11.</w:t>
            </w:r>
          </w:p>
        </w:tc>
        <w:tc>
          <w:tcPr>
            <w:tcW w:w="420" w:type="dxa"/>
            <w:vAlign w:val="bottom"/>
            <w:gridSpan w:val="3"/>
          </w:tcPr>
          <w:p>
            <w:pPr>
              <w:spacing w:after="0"/>
              <w:rPr>
                <w:sz w:val="14"/>
                <w:szCs w:val="14"/>
                <w:color w:val="auto"/>
              </w:rPr>
            </w:pP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EXECUTIVE COMPENSATION</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12</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8060" w:type="dxa"/>
            <w:vAlign w:val="bottom"/>
            <w:tcBorders>
              <w:top w:val="single" w:sz="8" w:color="0000FF"/>
            </w:tcBorders>
            <w:gridSpan w:val="18"/>
            <w:shd w:val="clear" w:color="auto" w:fill="CCEEFF"/>
          </w:tcPr>
          <w:p>
            <w:pPr>
              <w:spacing w:after="0" w:line="169" w:lineRule="exact"/>
              <w:rPr>
                <w:sz w:val="20"/>
                <w:szCs w:val="20"/>
                <w:color w:val="auto"/>
              </w:rPr>
            </w:pPr>
            <w:r>
              <w:rPr>
                <w:rFonts w:ascii="Arial" w:cs="Arial" w:eastAsia="Arial" w:hAnsi="Arial"/>
                <w:sz w:val="18"/>
                <w:szCs w:val="18"/>
                <w:color w:val="0000FF"/>
              </w:rPr>
              <w:t>STOCKHOLDER MATTERS</w:t>
            </w:r>
          </w:p>
        </w:tc>
        <w:tc>
          <w:tcPr>
            <w:tcW w:w="1340" w:type="dxa"/>
            <w:vAlign w:val="bottom"/>
            <w:tcBorders>
              <w:top w:val="single" w:sz="8" w:color="CCEEFF"/>
            </w:tcBorders>
            <w:gridSpan w:val="4"/>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13</w:t>
            </w:r>
            <w:r>
              <w:rPr>
                <w:rFonts w:ascii="Arial" w:cs="Arial" w:eastAsia="Arial" w:hAnsi="Arial"/>
                <w:sz w:val="18"/>
                <w:szCs w:val="18"/>
                <w:color w:val="000000"/>
              </w:rPr>
              <w:t>.</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14</w:t>
            </w:r>
            <w:r>
              <w:rPr>
                <w:rFonts w:ascii="Arial" w:cs="Arial" w:eastAsia="Arial" w:hAnsi="Arial"/>
                <w:sz w:val="18"/>
                <w:szCs w:val="18"/>
                <w:color w:val="000000"/>
              </w:rPr>
              <w:t>.</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PRINCIPAL ACCOUNTANT FEES AND SERVICES</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Borders>
              <w:right w:val="single" w:sz="8" w:color="CCEEFF"/>
            </w:tcBorders>
            <w:gridSpan w:val="6"/>
            <w:shd w:val="clear" w:color="auto" w:fill="CCEEFF"/>
          </w:tcPr>
          <w:p>
            <w:pPr>
              <w:spacing w:after="0" w:line="189" w:lineRule="exact"/>
              <w:rPr>
                <w:sz w:val="20"/>
                <w:szCs w:val="20"/>
                <w:color w:val="auto"/>
              </w:rPr>
            </w:pPr>
            <w:r>
              <w:rPr>
                <w:rFonts w:ascii="Arial" w:cs="Arial" w:eastAsia="Arial" w:hAnsi="Arial"/>
                <w:sz w:val="18"/>
                <w:szCs w:val="18"/>
                <w:color w:val="auto"/>
              </w:rPr>
              <w:t>PART IV</w:t>
            </w: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080" w:type="dxa"/>
            <w:vAlign w:val="bottom"/>
            <w:gridSpan w:val="5"/>
          </w:tcPr>
          <w:p>
            <w:pPr>
              <w:spacing w:after="0" w:line="162" w:lineRule="exact"/>
              <w:rPr>
                <w:sz w:val="20"/>
                <w:szCs w:val="20"/>
                <w:color w:val="auto"/>
              </w:rPr>
            </w:pPr>
            <w:r>
              <w:rPr>
                <w:rFonts w:ascii="Arial" w:cs="Arial" w:eastAsia="Arial" w:hAnsi="Arial"/>
                <w:sz w:val="18"/>
                <w:szCs w:val="18"/>
                <w:color w:val="0000FF"/>
              </w:rPr>
              <w:t>ITEM 15.</w:t>
            </w:r>
          </w:p>
        </w:tc>
        <w:tc>
          <w:tcPr>
            <w:tcW w:w="9400" w:type="dxa"/>
            <w:vAlign w:val="bottom"/>
            <w:gridSpan w:val="22"/>
          </w:tcPr>
          <w:p>
            <w:pPr>
              <w:spacing w:after="0" w:line="162" w:lineRule="exact"/>
              <w:rPr>
                <w:sz w:val="20"/>
                <w:szCs w:val="20"/>
                <w:color w:val="auto"/>
              </w:rPr>
            </w:pPr>
            <w:r>
              <w:rPr>
                <w:rFonts w:ascii="Arial" w:cs="Arial" w:eastAsia="Arial" w:hAnsi="Arial"/>
                <w:sz w:val="18"/>
                <w:szCs w:val="18"/>
                <w:color w:val="0000FF"/>
              </w:rPr>
              <w:t>EXHIBITS AND FINANCIAL STATEMENT SCHEDULES</w:t>
            </w:r>
          </w:p>
        </w:tc>
        <w:tc>
          <w:tcPr>
            <w:tcW w:w="500" w:type="dxa"/>
            <w:vAlign w:val="bottom"/>
          </w:tcPr>
          <w:p>
            <w:pPr>
              <w:jc w:val="right"/>
              <w:spacing w:after="0" w:line="16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5"/>
            <w:shd w:val="clear" w:color="auto" w:fill="CCEEFF"/>
          </w:tcPr>
          <w:p>
            <w:pPr>
              <w:spacing w:after="0" w:line="162" w:lineRule="exact"/>
              <w:rPr>
                <w:sz w:val="20"/>
                <w:szCs w:val="20"/>
                <w:color w:val="auto"/>
              </w:rPr>
            </w:pPr>
            <w:r>
              <w:rPr>
                <w:rFonts w:ascii="Arial" w:cs="Arial" w:eastAsia="Arial" w:hAnsi="Arial"/>
                <w:sz w:val="18"/>
                <w:szCs w:val="18"/>
                <w:color w:val="0000FF"/>
              </w:rPr>
              <w:t>ITEM 16.</w:t>
            </w:r>
          </w:p>
        </w:tc>
        <w:tc>
          <w:tcPr>
            <w:tcW w:w="94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color w:val="0000FF"/>
              </w:rPr>
              <w:t>FORM 10-K SUMMARY</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40" w:type="dxa"/>
            <w:vAlign w:val="bottom"/>
            <w:tcBorders>
              <w:right w:val="single" w:sz="8" w:color="CCEEFF"/>
            </w:tcBorders>
            <w:gridSpan w:val="6"/>
            <w:shd w:val="clear" w:color="auto" w:fill="CCEEFF"/>
          </w:tcPr>
          <w:p>
            <w:pPr>
              <w:spacing w:after="0" w:line="162" w:lineRule="exact"/>
              <w:rPr>
                <w:sz w:val="20"/>
                <w:szCs w:val="20"/>
                <w:color w:val="auto"/>
              </w:rPr>
            </w:pPr>
            <w:r>
              <w:rPr>
                <w:rFonts w:ascii="Arial" w:cs="Arial" w:eastAsia="Arial" w:hAnsi="Arial"/>
                <w:sz w:val="18"/>
                <w:szCs w:val="18"/>
                <w:color w:val="0000FF"/>
              </w:rPr>
              <w:t>SIGNATURES</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740" w:type="dxa"/>
            <w:vAlign w:val="bottom"/>
            <w:gridSpan w:val="28"/>
            <w:shd w:val="clear" w:color="auto" w:fill="CCEEFF"/>
          </w:tcPr>
          <w:p>
            <w:pPr>
              <w:spacing w:after="0" w:line="162" w:lineRule="exact"/>
              <w:rPr>
                <w:sz w:val="20"/>
                <w:szCs w:val="20"/>
                <w:color w:val="auto"/>
              </w:rPr>
            </w:pPr>
            <w:r>
              <w:rPr>
                <w:rFonts w:ascii="Arial" w:cs="Arial" w:eastAsia="Arial" w:hAnsi="Arial"/>
                <w:sz w:val="18"/>
                <w:szCs w:val="18"/>
                <w:color w:val="0000FF"/>
              </w:rPr>
              <w:t>POWER OF ATTORNEY</w:t>
            </w: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4"/>
        </w:trPr>
        <w:tc>
          <w:tcPr>
            <w:tcW w:w="2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and man-made tiles, setting and maintenance materials, and related accessories in the United States. Our assortment includes over 6,000 products from around the world. Natural stone products include marble, travertine, granite, quartz, sandstone, slate, and onyx tiles. Man-made products include ceramic, porcelain, glass, cement, wood look, metal and luxury vinyl tile.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2022, we operated 142 stores in 31 states and the District of Columbia, with an average size of approximately 20,000 square feet.</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and man-made tiles, setting and maintenance materials, and related accessories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2022, we reported net sales and income from operations of $394.7 million and $22.6 million, respectively. Our 2021 and 2020 net sales were</w:t>
      </w:r>
    </w:p>
    <w:p>
      <w:pPr>
        <w:spacing w:after="0" w:line="10"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$370.7 million and $325.1 million, respectively, and our 2021 and 2020 income from operations was $20.6 million and $6.4 million, respectively. As of December 31, 2022 and 2021, we had total assets of $345.8 million and $340.8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85" w:lineRule="exact"/>
        <w:rPr>
          <w:sz w:val="20"/>
          <w:szCs w:val="20"/>
          <w:color w:val="auto"/>
        </w:rPr>
      </w:pPr>
    </w:p>
    <w:p>
      <w:pPr>
        <w:ind w:right="200"/>
        <w:spacing w:after="0"/>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over 6,000 natural stone and man-made tile products, setting and maintenance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and tools. We are able to maintain competitive prices by purchasing tile and accessories directly from producers and manufacturing our own setting and maintenance materials.</w:t>
      </w:r>
    </w:p>
    <w:p>
      <w:pPr>
        <w:spacing w:after="0" w:line="162" w:lineRule="exact"/>
        <w:rPr>
          <w:sz w:val="20"/>
          <w:szCs w:val="20"/>
          <w:color w:val="auto"/>
        </w:rPr>
      </w:pPr>
    </w:p>
    <w:p>
      <w:pPr>
        <w:ind w:right="160"/>
        <w:spacing w:after="0"/>
        <w:rPr>
          <w:sz w:val="20"/>
          <w:szCs w:val="20"/>
          <w:color w:val="auto"/>
        </w:rPr>
      </w:pPr>
      <w:r>
        <w:rPr>
          <w:rFonts w:ascii="Arial" w:cs="Arial" w:eastAsia="Arial" w:hAnsi="Arial"/>
          <w:sz w:val="18"/>
          <w:szCs w:val="18"/>
          <w:i w:val="1"/>
          <w:iCs w:val="1"/>
          <w:color w:val="auto"/>
        </w:rPr>
        <w:t xml:space="preserve">Customer Service and Satisfaction – </w:t>
      </w:r>
      <w:r>
        <w:rPr>
          <w:rFonts w:ascii="Arial" w:cs="Arial" w:eastAsia="Arial" w:hAnsi="Arial"/>
          <w:sz w:val="18"/>
          <w:szCs w:val="18"/>
          <w:color w:val="auto"/>
        </w:rPr>
        <w:t>Our sales personnel are highly-trained and knowledgeable about the technical and design aspects of our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provide one-on-one installation training as required to meet customer needs. We accept returns up to two months following the date of the sale, with no restocking fees.</w:t>
      </w:r>
    </w:p>
    <w:p>
      <w:pPr>
        <w:spacing w:after="0" w:line="149" w:lineRule="exact"/>
        <w:rPr>
          <w:sz w:val="20"/>
          <w:szCs w:val="20"/>
          <w:color w:val="auto"/>
        </w:rPr>
      </w:pPr>
    </w:p>
    <w:p>
      <w:pPr>
        <w:ind w:right="200"/>
        <w:spacing w:after="0"/>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 to 50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vignettes of bathrooms, kitchens, fireplaces, foyers, and other distinct spaces. Our stores are spacious, well-lit, and organized by product type to simplify our customers’ shopping experience.</w:t>
      </w:r>
    </w:p>
    <w:p>
      <w:pPr>
        <w:spacing w:after="0" w:line="16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i w:val="1"/>
          <w:iCs w:val="1"/>
          <w:color w:val="auto"/>
        </w:rPr>
        <w:t xml:space="preserve">Global Sourcing Capabilities – </w:t>
      </w:r>
      <w:r>
        <w:rPr>
          <w:rFonts w:ascii="Arial" w:cs="Arial" w:eastAsia="Arial" w:hAnsi="Arial"/>
          <w:sz w:val="18"/>
          <w:szCs w:val="18"/>
          <w:color w:val="auto"/>
        </w:rPr>
        <w:t>We have long-standing relationships with our tile suppliers throughout the world and work with them to design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us. We believe that these direct relationships differentiate us from our competitors.</w:t>
      </w:r>
    </w:p>
    <w:p>
      <w:pPr>
        <w:spacing w:after="0" w:line="156" w:lineRule="exact"/>
        <w:rPr>
          <w:sz w:val="20"/>
          <w:szCs w:val="20"/>
          <w:color w:val="auto"/>
        </w:rPr>
      </w:pPr>
    </w:p>
    <w:p>
      <w:pPr>
        <w:ind w:right="80"/>
        <w:spacing w:after="0"/>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helps us to differentiate our products from those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competitors. We offer products across a range of price points and quality levels, which allows us to target discrete market segments and to appeal to diverse groups of customers.</w:t>
      </w:r>
    </w:p>
    <w:p>
      <w:pPr>
        <w:spacing w:after="0" w:line="162"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i w:val="1"/>
          <w:iCs w:val="1"/>
          <w:color w:val="auto"/>
        </w:rPr>
        <w:t xml:space="preserve">Centralized Distribution System – </w:t>
      </w:r>
      <w:r>
        <w:rPr>
          <w:rFonts w:ascii="Arial" w:cs="Arial" w:eastAsia="Arial" w:hAnsi="Arial"/>
          <w:sz w:val="18"/>
          <w:szCs w:val="18"/>
          <w:color w:val="auto"/>
        </w:rPr>
        <w:t>We service our store locations from five distribution centers. Our distribution centers, located in Michigan, Oklahoma,</w:t>
      </w:r>
      <w:r>
        <w:rPr>
          <w:rFonts w:ascii="Arial" w:cs="Arial" w:eastAsia="Arial" w:hAnsi="Arial"/>
          <w:sz w:val="18"/>
          <w:szCs w:val="18"/>
          <w:i w:val="1"/>
          <w:iCs w:val="1"/>
          <w:color w:val="auto"/>
        </w:rPr>
        <w:t xml:space="preserve"> </w:t>
      </w:r>
      <w:r>
        <w:rPr>
          <w:rFonts w:ascii="Arial" w:cs="Arial" w:eastAsia="Arial" w:hAnsi="Arial"/>
          <w:sz w:val="18"/>
          <w:szCs w:val="18"/>
          <w:color w:val="auto"/>
        </w:rPr>
        <w:t>New Jersey, Virginia, and Wisconsin, are located to cost effectively service our existing stores.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are committed to carrying an outstanding assortment, offering unsurpassed customer service, and showcasing excellence within our industry. These principles have always been core to our strategy and will continue to be as we move into 2023.</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2023 strategy include:</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auto"/>
        </w:rPr>
        <w:t xml:space="preserve">People First – </w:t>
      </w:r>
      <w:r>
        <w:rPr>
          <w:rFonts w:ascii="Arial" w:cs="Arial" w:eastAsia="Arial" w:hAnsi="Arial"/>
          <w:sz w:val="18"/>
          <w:szCs w:val="18"/>
          <w:color w:val="auto"/>
        </w:rPr>
        <w:t>We pride ourselves on offering the best service in our industry, and our employees are the key to our success. We are committed to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training and development programs to further enhance the skill sets of all employees. We are also continuing to take steps to improve engagement, communication and collaboration across our teams.</w:t>
      </w:r>
    </w:p>
    <w:p>
      <w:pPr>
        <w:spacing w:after="0" w:line="16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i w:val="1"/>
          <w:iCs w:val="1"/>
          <w:color w:val="auto"/>
        </w:rPr>
        <w:t xml:space="preserve">Focused Retail Execution – </w:t>
      </w:r>
      <w:r>
        <w:rPr>
          <w:rFonts w:ascii="Arial" w:cs="Arial" w:eastAsia="Arial" w:hAnsi="Arial"/>
          <w:sz w:val="18"/>
          <w:szCs w:val="18"/>
          <w:color w:val="auto"/>
        </w:rPr>
        <w:t>We believe profitable growth is tied to our ability to leverage best practices and technology to improve productivity in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store locations. We have defined critical success measures, tactics to drive improvement in each area of focus, and reporting processes to monitor progress.</w:t>
      </w:r>
    </w:p>
    <w:p>
      <w:pPr>
        <w:spacing w:after="0" w:line="161" w:lineRule="exact"/>
        <w:rPr>
          <w:sz w:val="20"/>
          <w:szCs w:val="20"/>
          <w:color w:val="auto"/>
        </w:rPr>
      </w:pPr>
    </w:p>
    <w:p>
      <w:pPr>
        <w:ind w:right="340"/>
        <w:spacing w:after="0"/>
        <w:rPr>
          <w:sz w:val="20"/>
          <w:szCs w:val="20"/>
          <w:color w:val="auto"/>
        </w:rPr>
      </w:pPr>
      <w:r>
        <w:rPr>
          <w:rFonts w:ascii="Arial" w:cs="Arial" w:eastAsia="Arial" w:hAnsi="Arial"/>
          <w:sz w:val="18"/>
          <w:szCs w:val="18"/>
          <w:i w:val="1"/>
          <w:iCs w:val="1"/>
          <w:color w:val="auto"/>
        </w:rPr>
        <w:t xml:space="preserve">Supply Chain – </w:t>
      </w:r>
      <w:r>
        <w:rPr>
          <w:rFonts w:ascii="Arial" w:cs="Arial" w:eastAsia="Arial" w:hAnsi="Arial"/>
          <w:sz w:val="18"/>
          <w:szCs w:val="18"/>
          <w:color w:val="auto"/>
        </w:rPr>
        <w:t>We strive to increase efficiencies within our distribution channels and transparency of product availability throughout our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and store locations. This enhances our ability to provide the best service in our industry and deliver products our customers desire wherever they may need it.</w:t>
      </w:r>
    </w:p>
    <w:p>
      <w:pPr>
        <w:spacing w:after="0" w:line="16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i w:val="1"/>
          <w:iCs w:val="1"/>
          <w:color w:val="auto"/>
        </w:rPr>
        <w:t>Assortment Management –</w:t>
      </w:r>
      <w:r>
        <w:rPr>
          <w:rFonts w:ascii="Arial" w:cs="Arial" w:eastAsia="Arial" w:hAnsi="Arial"/>
          <w:sz w:val="18"/>
          <w:szCs w:val="18"/>
          <w:color w:val="auto"/>
        </w:rPr>
        <w:t>We curate an industry leading assortment, which is a foundational aspect of our strategy. Our assortment includes good, better,</w:t>
      </w:r>
      <w:r>
        <w:rPr>
          <w:rFonts w:ascii="Arial" w:cs="Arial" w:eastAsia="Arial" w:hAnsi="Arial"/>
          <w:sz w:val="18"/>
          <w:szCs w:val="18"/>
          <w:i w:val="1"/>
          <w:iCs w:val="1"/>
          <w:color w:val="auto"/>
        </w:rPr>
        <w:t xml:space="preserve"> </w:t>
      </w:r>
      <w:r>
        <w:rPr>
          <w:rFonts w:ascii="Arial" w:cs="Arial" w:eastAsia="Arial" w:hAnsi="Arial"/>
          <w:sz w:val="18"/>
          <w:szCs w:val="18"/>
          <w:color w:val="auto"/>
        </w:rPr>
        <w:t>and best options for our customers within each of the product categories we carry in our stores and online. We continue to focus on maintaining an assortment that differentiates our brand.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or online. Customers can choose to have their purchases delivered or picked up at one of our stores. We believe this strategy also positions us well with professional customers who are influenced by the preferences of individual homeowners.</w:t>
      </w:r>
    </w:p>
    <w:p>
      <w:pPr>
        <w:spacing w:after="0" w:line="16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5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Unlike many of our competitors, we devote a substantial portion of our store space to showrooms, including samples of our products and up to 50 different vignettes of bathrooms, kitchens, fireplaces, foyers,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16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A staffing model for a typical store consists of a manager, an assistant manager, sales associates, and a warehouse leader. Our store managers are responsible for store operations and for overseeing our customers’ shopping experience. We offer financing to customers through a branded credit card provided by a third-party consumer finance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75" w:lineRule="exact"/>
        <w:rPr>
          <w:sz w:val="20"/>
          <w:szCs w:val="20"/>
          <w:color w:val="auto"/>
        </w:rPr>
      </w:pPr>
    </w:p>
    <w:p>
      <w:pPr>
        <w:jc w:val="both"/>
        <w:ind w:right="800"/>
        <w:spacing w:after="0"/>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advertisements. We continually test and learn from new media and adjust our programs based on performance.</w:t>
      </w:r>
    </w:p>
    <w:p>
      <w:pPr>
        <w:spacing w:after="0" w:line="16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8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We offer an extensive and complete assortment of natural stone and man-made tile products, sourced directly from our suppliers. Natural stone products include marble, travertine, granite, quartz, sandstone, slate, and onyx tiles. Man-made products include ceramic, porcelain, glass, cement, wood look, metal and luxury vinyl tile. Our wide assortment of accessories, including trim pieces,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mosaics, pencils, listellos, and other unique products, encourages our customers to make a fashion statement with their tile project and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over 6,000 different tile products, setting and maintenance materials, and accessory products. The percentage of our net sales represented by each product category was as follows for the years ended December 31, 2022 and 2021: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680" w:type="dxa"/>
            <w:vAlign w:val="bottom"/>
            <w:gridSpan w:val="3"/>
          </w:tcPr>
          <w:p>
            <w:pPr>
              <w:jc w:val="right"/>
              <w:ind w:right="770"/>
              <w:spacing w:after="0"/>
              <w:rPr>
                <w:sz w:val="20"/>
                <w:szCs w:val="20"/>
                <w:color w:val="auto"/>
              </w:rPr>
            </w:pPr>
            <w:r>
              <w:rPr>
                <w:rFonts w:ascii="Arial" w:cs="Arial" w:eastAsia="Arial" w:hAnsi="Arial"/>
                <w:sz w:val="18"/>
                <w:szCs w:val="18"/>
                <w:color w:val="auto"/>
              </w:rPr>
              <w:t>Years Ended December 31,</w:t>
            </w:r>
          </w:p>
        </w:tc>
      </w:tr>
      <w:tr>
        <w:trPr>
          <w:trHeight w:val="217"/>
        </w:trPr>
        <w:tc>
          <w:tcPr>
            <w:tcW w:w="75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76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51 %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48 %</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28</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7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14</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8</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2</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have long-standing relationships with our suppliers throughout the world and work with them to design and manufacture products exclusively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direct relationships differentiate us from our competitors.</w:t>
      </w:r>
    </w:p>
    <w:p>
      <w:pPr>
        <w:spacing w:after="0" w:line="15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currently purchase tile products from approximately 197 different suppliers. Our top ten tile suppliers accounted for 48% of our tile purchases in 2022. Our largest supplier accounted for 9% of our total purchases in 2022. We believe that alternative and competitive suppliers are available for many of our products. The percentage of our total purchases from the following continents was as follows for the years ended December 31, 2022 and 2021:</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680" w:type="dxa"/>
            <w:vAlign w:val="bottom"/>
            <w:gridSpan w:val="3"/>
          </w:tcPr>
          <w:p>
            <w:pPr>
              <w:jc w:val="right"/>
              <w:ind w:right="770"/>
              <w:spacing w:after="0"/>
              <w:rPr>
                <w:sz w:val="20"/>
                <w:szCs w:val="20"/>
                <w:color w:val="auto"/>
              </w:rPr>
            </w:pPr>
            <w:r>
              <w:rPr>
                <w:rFonts w:ascii="Arial" w:cs="Arial" w:eastAsia="Arial" w:hAnsi="Arial"/>
                <w:sz w:val="18"/>
                <w:szCs w:val="18"/>
                <w:color w:val="auto"/>
              </w:rPr>
              <w:t>Years Ended December 31,</w:t>
            </w:r>
          </w:p>
        </w:tc>
      </w:tr>
      <w:tr>
        <w:trPr>
          <w:trHeight w:val="217"/>
        </w:trPr>
        <w:tc>
          <w:tcPr>
            <w:tcW w:w="75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North America</w:t>
            </w:r>
          </w:p>
        </w:tc>
        <w:tc>
          <w:tcPr>
            <w:tcW w:w="176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34 %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27 %</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Europe</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37</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Asia</w:t>
            </w:r>
          </w:p>
        </w:tc>
        <w:tc>
          <w:tcPr>
            <w:tcW w:w="17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30</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South America</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4</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Africa</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2</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8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take possession of our products in the country of origin and arrange for transportation to our five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4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fulfill customer orders primarily by shipping our products to our stores where customers can either pick them up or arrange for home delivery. We continue to evaluate logistics alternatives to best serve our store base and our customers.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spacing w:after="0" w:line="185" w:lineRule="exact"/>
        <w:rPr>
          <w:sz w:val="20"/>
          <w:szCs w:val="20"/>
          <w:color w:val="auto"/>
        </w:rPr>
      </w:pPr>
    </w:p>
    <w:p>
      <w:pPr>
        <w:ind w:left="660" w:right="9060"/>
        <w:spacing w:after="0" w:line="307" w:lineRule="auto"/>
        <w:rPr>
          <w:sz w:val="20"/>
          <w:szCs w:val="20"/>
          <w:color w:val="auto"/>
        </w:rPr>
      </w:pPr>
      <w:r>
        <w:rPr>
          <w:rFonts w:ascii="Arial" w:cs="Arial" w:eastAsia="Arial" w:hAnsi="Arial"/>
          <w:sz w:val="16"/>
          <w:szCs w:val="16"/>
          <w:color w:val="auto"/>
        </w:rPr>
        <w:t>product assortment; product presentation;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9320"/>
        <w:spacing w:after="0" w:line="256" w:lineRule="auto"/>
        <w:rPr>
          <w:sz w:val="20"/>
          <w:szCs w:val="20"/>
          <w:color w:val="auto"/>
        </w:rPr>
      </w:pPr>
      <w:r>
        <w:rPr>
          <w:rFonts w:ascii="Arial" w:cs="Arial" w:eastAsia="Arial" w:hAnsi="Arial"/>
          <w:sz w:val="16"/>
          <w:szCs w:val="16"/>
          <w:color w:val="auto"/>
        </w:rPr>
        <w:t>customer service; store location;</w:t>
      </w:r>
    </w:p>
    <w:p>
      <w:pPr>
        <w:spacing w:after="0" w:line="1" w:lineRule="exact"/>
        <w:rPr>
          <w:sz w:val="20"/>
          <w:szCs w:val="20"/>
          <w:color w:val="auto"/>
        </w:rPr>
      </w:pPr>
    </w:p>
    <w:p>
      <w:pPr>
        <w:ind w:left="660" w:right="8500"/>
        <w:spacing w:after="0" w:line="233" w:lineRule="auto"/>
        <w:rPr>
          <w:sz w:val="20"/>
          <w:szCs w:val="20"/>
          <w:color w:val="auto"/>
        </w:rPr>
      </w:pPr>
      <w:r>
        <w:rPr>
          <w:rFonts w:ascii="Arial" w:cs="Arial" w:eastAsia="Arial" w:hAnsi="Arial"/>
          <w:sz w:val="18"/>
          <w:szCs w:val="18"/>
          <w:color w:val="auto"/>
        </w:rPr>
        <w:t>availability of inventory; and price.</w:t>
      </w:r>
    </w:p>
    <w:p>
      <w:pPr>
        <w:spacing w:after="0" w:line="31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We believe that our employees are our strongest competitive advantage and the high-quality service that they provide sets us apart from others in our industry. As of December 31, 2022, we had 1,387 employees, 1,233 of whom were full-time and none who were represented by a union. This includes 1,004 employees who work in our stores, 123 who work in corporate, store support, infrastructure or similar functions, and 260 who work in our distribution and manufacturing facilities.</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Company’s Board of Directors (the “Board”), through its Compensation Committee, provides oversight of human capital matters including the Company’s diversity and inclusion initiatives that promote equity across the organization. The Compensation Committee and Board periodically review the composition of our workforce and promote practices to hire from a diverse pool of candidates. The Compensation Committee and Board also review the Company’s compensation and benefits programs as well as management development and succession planning practices and strategies.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Our principal human capital objectives are to attract, develop and retain people who are committed to our goal of providing the best service in our industry.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support these objectives, our human resources programs seek to:</w:t>
      </w:r>
    </w:p>
    <w:p>
      <w:pPr>
        <w:spacing w:after="0" w:line="169" w:lineRule="exact"/>
        <w:rPr>
          <w:sz w:val="20"/>
          <w:szCs w:val="20"/>
          <w:color w:val="auto"/>
        </w:rPr>
      </w:pPr>
    </w:p>
    <w:p>
      <w:pPr>
        <w:ind w:left="660"/>
        <w:spacing w:after="0" w:line="228" w:lineRule="auto"/>
        <w:rPr>
          <w:sz w:val="20"/>
          <w:szCs w:val="20"/>
          <w:color w:val="auto"/>
        </w:rPr>
      </w:pPr>
      <w:r>
        <w:rPr>
          <w:rFonts w:ascii="Arial" w:cs="Arial" w:eastAsia="Arial" w:hAnsi="Arial"/>
          <w:sz w:val="18"/>
          <w:szCs w:val="18"/>
          <w:color w:val="auto"/>
        </w:rPr>
        <w:t>Reward our employees through highly competitive total compensation and benefit programs designed to reward exceptional performance, promote teamwork and support our employees’ total wellbeing.</w:t>
      </w:r>
    </w:p>
    <w:p>
      <w:pPr>
        <w:ind w:left="660" w:right="700"/>
        <w:spacing w:after="0" w:line="219" w:lineRule="auto"/>
        <w:rPr>
          <w:sz w:val="20"/>
          <w:szCs w:val="20"/>
          <w:color w:val="auto"/>
        </w:rPr>
      </w:pPr>
      <w:r>
        <w:rPr>
          <w:rFonts w:ascii="Arial" w:cs="Arial" w:eastAsia="Arial" w:hAnsi="Arial"/>
          <w:sz w:val="18"/>
          <w:szCs w:val="18"/>
          <w:color w:val="auto"/>
        </w:rPr>
        <w:t>Provide development opportunities to enhance sales skills, product knowledge, exposure to the latest design trends, safety, teamwork and leadership.</w:t>
      </w:r>
    </w:p>
    <w:p>
      <w:pPr>
        <w:ind w:left="340"/>
        <w:spacing w:after="0"/>
        <w:rPr>
          <w:sz w:val="20"/>
          <w:szCs w:val="20"/>
          <w:color w:val="auto"/>
        </w:rPr>
      </w:pPr>
      <w:r>
        <w:rPr>
          <w:rFonts w:ascii="Arial" w:cs="Arial" w:eastAsia="Arial" w:hAnsi="Arial"/>
          <w:sz w:val="18"/>
          <w:szCs w:val="18"/>
          <w:color w:val="auto"/>
        </w:rPr>
        <w:t>Enhance our culture through efforts aimed at making our workplace more diverse, engaging, equitable and inclusive.</w:t>
      </w:r>
    </w:p>
    <w:p>
      <w:pPr>
        <w:spacing w:after="0" w:line="169"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We believe that building a strong and diverse workforce is a significant contributor to our success. Creating a culture that embraces diversity and inclusion is the key to a collaborative and winning team culture. To achieve this goal, we seek diverse talent internally and externally in an effort to achieve broader diverse representation throughout our organization. We also promote inclusion through our training and development programs.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189"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2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 regarding issuers that file electronically with the SEC. These materials may be obtained electronically by accessing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u w:val="single" w:color="auto"/>
          <w:color w:val="auto"/>
        </w:rPr>
        <w:t>www.tileshop.com</w:t>
      </w:r>
      <w:r>
        <w:rPr>
          <w:rFonts w:ascii="Arial" w:cs="Arial" w:eastAsia="Arial" w:hAnsi="Arial"/>
          <w:sz w:val="17"/>
          <w:szCs w:val="17"/>
          <w:color w:val="auto"/>
        </w:rPr>
        <w:t>, the contents of which are not part of or incorporated by reference into this Form 10-K or any other report or document we file with the SEC. Any reference to our website is intended to be an inactive textual reference only. We make our annual reports on Form 10-K, quarterly reports on Form 10-Q,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5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 xml:space="preserve">We intend to use the investor relations section of our website, </w:t>
      </w:r>
      <w:r>
        <w:rPr>
          <w:rFonts w:ascii="Arial" w:cs="Arial" w:eastAsia="Arial" w:hAnsi="Arial"/>
          <w:sz w:val="18"/>
          <w:szCs w:val="18"/>
          <w:u w:val="single" w:color="auto"/>
          <w:color w:val="auto"/>
        </w:rPr>
        <w:t>investors.tileshop.com,</w:t>
      </w:r>
      <w:r>
        <w:rPr>
          <w:rFonts w:ascii="Arial" w:cs="Arial" w:eastAsia="Arial" w:hAnsi="Arial"/>
          <w:sz w:val="18"/>
          <w:szCs w:val="18"/>
          <w:color w:val="auto"/>
        </w:rPr>
        <w:t xml:space="preserve"> as a means of disclosing material non-public information and for complying with our disclosure obligations under SEC Regulation FD.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following are material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Disclosures of risks should not be interpreted to imply that the risks have not already materialized, and there may be additional risks that are not presently material or known. You should carefully consider each of the following risks and all other information set forth in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grow and remain profitable may be limited by direct or indirect competition in the highly-competitive retail tile industry.</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 the retail industry in general is subject to rapid technological change, which may increase the amount of capital we spend in the future as we work to sustain and grow our technological infrastructure and digital commerce capabilities in order to remain competitive.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by us to successfully anticipate consumer trends may lead to loss of consumer acceptance of our products, resulting in reduced revenues.</w:t>
      </w:r>
    </w:p>
    <w:p>
      <w:pPr>
        <w:spacing w:after="0" w:line="21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or increases in our pricing as a result of general product shortages, supply chain disruptions and inflationary cost pressure, could cause customers to seek alternative sources of such products, as well as other products they may have purchased from us, which could also reduce our revenues.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online sales, our reputation and operating results may be harmed.</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Consumers are increasingly embracing shopping online and through mobile commerce applications. Any failure on our part to provide an attractive, reliable and user-friendly digital platform that offers a wide assortment of merchandise and meets the changing expectations of online shoppers could place us at a competitive disadvantage, result in the loss of e-commerce and other sales, harm our reputation with consumers, and have a material adverse impact on the growth of our e-commerce business and on our business and results of operations. We are vulnerable to certain risks and uncertainties associated with our e-commerce operations, including changes in required technology interfaces, website downtime and other technical failures, costs and technical issues for upgrades of our website software, computer viruses, changes in applicable federal and state regulations, security breaches and consumer privacy concerns. If not managed, these risks could adversely impact our operating results.</w:t>
      </w:r>
    </w:p>
    <w:p>
      <w:pPr>
        <w:spacing w:after="0" w:line="158"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4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13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future periods, we intend to continue opening stores in new and existing markets. Because our stores typically draw customers from their local areas, additional stores may draw customers away from nearby existing stores and may cause comparable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our comparable store sales and overall operating results may be reduced during the implementation of our expansion strategy.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expansion will be dependent upon, and limited by, the availability of adequate capital.</w:t>
      </w:r>
    </w:p>
    <w:p>
      <w:pPr>
        <w:spacing w:after="0" w:line="18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rent adjusted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believe that our growth was achieved in part through the effectiveness of our marketing strategy, which uses a variety of marketing channels, tactics and methods to reach a qualified audience. Our diversified strategy includes traditional media advertising in print and direct mail, digital media through online advertising, social media marketing, search engine optimization, email marketing, influencer marketing and content marketing, which involves creating and distributing brand content such as blogs and videos. In addition, our limited use of discount and promotional offers could fail to attract customers, resulting in a decrease in store traffic. Our diversified marketing strategy could further increase our expenses as a result of the increased number of channels needing funding. If our marketing strategies fail to draw customers in the future, or if the cost of advertising or other marketing materials increases significantly, we could experience declines in our net sales and operating results.</w:t>
      </w:r>
    </w:p>
    <w:p>
      <w:pPr>
        <w:spacing w:after="0" w:line="16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addition, there has been a substantial increase in the use of social media platforms by consumers. Negative commentary regarding us or the products we sell may be posted on social media platforms or other electronic means at any time and may be adverse to our reputation or business. Customers value readily available information and often act on such information without further investigation and without regard to its accuracy. Any harm to us or the products we sell may be immediate without allowing us an opportunity for redress or correction.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Financial Condition</w:t>
      </w:r>
    </w:p>
    <w:p>
      <w:pPr>
        <w:spacing w:after="0" w:line="1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Numerous economic factors, including inflation, our exposure to the U.S. housing industry, and the potential decrease in consumer spending, could adversely affect us.</w:t>
      </w:r>
    </w:p>
    <w:p>
      <w:pPr>
        <w:spacing w:after="0" w:line="15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Economic conditions, including inflation and weakness in the U.S. housing industry, could decrease consumer discretionary spending and could adversely affect our financial performance. Consumer prices have experienced their largest percentage increases since 1981, and the United States Federal Reserve has raised, and is expected to further increase, interest rates in response to concerns about inflation. This may have the effect of further increasing economic uncertainty and heightening the risks caused by volatility in financial markets, which may result in economic recession. We believe that our tile sales are affected by the strength of the U.S. housing industry. Downturns in the U.S. housing industry could have a material adverse effect on our financial results, business, and prospects. Similarly, a substantial portion of the products we offer are products that consumers may view as discretionary items rather than necessities. As a result, our results of operations are sensitive to changes in macroeconomic conditions that affect consumer spending, including discretionary spending. Difficult macroeconomic conditions also affect our customers’ ability to obtain consumer credit. Other factors, including consumer confidence, employment levels, interest rates, tax rates, consumer debt levels, and fuel and energy costs, could reduce consumer spending or change consumer purchasing habits. Accordingly, slowdowns in the U.S. or global economy, including the possibility of recession, or an uncertain economic outlook, could materially adversely affect consumer spending habits and could have a material adverse effect on our financial results, business, and prospects.</w:t>
      </w:r>
    </w:p>
    <w:p>
      <w:pPr>
        <w:spacing w:after="0" w:line="16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Our comparable store sales fluctuate due to a variety of economic, operating, industry and environmental factors and may not be a fair indicator of our overall performance.</w:t>
      </w:r>
    </w:p>
    <w:p>
      <w:pPr>
        <w:spacing w:after="0" w:line="15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comparable store sales have experienced fluctuations, which can be expected to continue. Numerous factors affect our comparable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which may be exacerbated by the effects of climate change, retail trends, the retail sales environment, economic and geopolitical conditions, inflation, the impact of competition, and our ability to execute our business strategy. As a result, comparable store sales or operating results may fluctuate and may cause the price of our securities to fluctuate significantly. Therefore, we believe that period-to-period comparisons of our comparable store sales may not be a reliable indicator of our future overall operating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customers are unable to obtain third-party financing at satisfactory rates, sales of our products could be materially adversely affected.</w:t>
      </w:r>
    </w:p>
    <w:p>
      <w:pPr>
        <w:spacing w:after="0" w:line="19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burden of incurring debt under our existing credit facility could adversely affect us and make us more vulnerable to adverse economic or industry conditions.</w:t>
      </w:r>
    </w:p>
    <w:p>
      <w:pPr>
        <w:spacing w:after="0" w:line="13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entered into a new credit facility with JPMorgan Chase Bank, N.A. on September 30, 2022. As of December 31, 2022, we had $45.4 million outstanding on our revolving line of credit, leaving $28.3 million available for future borrowings. The terms of our credit facility could have serious consequences for us, including limiting our ability to obtain additional financing to fund our working capital, capital expenditures, debt service requirements, expansion strategy, or other needs and increasing our vulnerability to, and reducing our flexibility in planning for, adverse changes in economic, industry, and competitive conditions. Our credit facility also contains negative covenants that limit our ability to engage in specified types of transactions, including, among other things, our ability to dispose of assets, engage in acquisitions or mergers, make distributions on or repurchases of capital stock, incur additional debt, incur liens or make investments. A breach of any of these covenants could result in an event of default under our credit facility, which would allow the lender to declare all amounts outstanding to be immediately due and payable and terminate all commitments to extend further credit or seek amendments to our debt agreements that would provide for terms more favorable to our lenders, which we may have to accept under the circumstances. If we are unable to repay any amounts due, our lenders under our credit facility could proceed against the collateral granted to it to secure that indebtedness. In addition, any future increase in the level of our indebtedness will likely increase our interest expense, which could negatively impact our profitability, and we are vulnerable to changes in variable interest rates.</w:t>
      </w:r>
    </w:p>
    <w:p>
      <w:pPr>
        <w:spacing w:after="0" w:line="149" w:lineRule="exact"/>
        <w:rPr>
          <w:sz w:val="20"/>
          <w:szCs w:val="20"/>
          <w:color w:val="auto"/>
        </w:rPr>
      </w:pPr>
    </w:p>
    <w:p>
      <w:pPr>
        <w:ind w:right="260"/>
        <w:spacing w:after="0"/>
        <w:rPr>
          <w:sz w:val="20"/>
          <w:szCs w:val="20"/>
          <w:color w:val="auto"/>
        </w:rPr>
      </w:pPr>
      <w:r>
        <w:rPr>
          <w:rFonts w:ascii="Arial" w:cs="Arial" w:eastAsia="Arial" w:hAnsi="Arial"/>
          <w:sz w:val="18"/>
          <w:szCs w:val="18"/>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results have been, and may continue to be, affected by the prices of the materials used in the manufacture of tile, setting and maintenance materials, and related accessories that we sell; for instance, during 2022, cost increases relating to sourcing our products were greater than the price increases we implemented, resulting in a decrease in gross margin from 2021. These prices may fluctuate based on a number of factors beyond our control, including: oil prices, changes in supply and demand, general economic conditions, supply chain disruptions, labor costs, including those resulting from labor shortages, competition, import duties, tariffs, currency exchange rates, inflation, geopolitical conditions such as the Russia-Ukraine conflict and the resulting sanctions imposed by the U.S. and other countries, and government regulation. For instance, many of our vendors implemented price increases in response to inflationary cost pressures, which, combined with escalated international shipping rates, resulted in an increase in the cost of our inventory and corresponding pressure on our gross margin rates. While we seek to manage price and availability risks related to supplies through procurement strategies, these efforts may not be successful, and we may experience adverse impacts due to rising prices of such products. In addition, energy costs have fluctuated dramatically in the past and may continue to do so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51"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While we have adjusted, and plan to continue to adjust, our pricing as a result of the current cost pressures described above, we may not be able to adjust the prices of our products, especially in the short-term, to recover any cost increases in materials and energy. A continual rise in material and energy costs could also adversely affect consumer spending and demand for our products and increase our operating costs, both of which could have a material adverse effect on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threat or occurrence of one or more natural disasters or other extreme weather events, the nature, frequency and severity of which may be negatively impacted by climate change, and the threat or outbreak of terrorism, civil unrest, political instability, such as the Russia-Ukraine conflict, a public health epidemic or pandemic, such as the ongoing COVID-19 pandemic, or other hostilities, conflicts or similar adverse events could materially adversely affect our financial performance. These events may disrupt supply chains, resulting in increased costs and shipping delays, increase costs of energy and raw materials, result in damage to, or destruction or closure of, our stores, distribution centers and other properties or those of our suppliers, customers and other business partners, as well as injuries or loss of life. Such events can also adversely affect our work force and prevent employees and customers from reaching our stores and other properties, can modify consumer purchasing patterns and decrease disposable income, and can disrupt or</w:t>
      </w: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disable portions of our supply chain and distribution network. Although preventative measures may help to mitigate damage, we cannot provide any assurance that any measures we may take will be successful, and delays in recovery may be significant.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 with no business operations of our own and depend on cash flow from The Tile Shop to meet our obligations.</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are a holding company with no business operations of our own or material assets other than the equity of our subsidiaries. All of our operations are conducted by our subsidiaries, including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or inability to protect our intellectual property rights could diminish the value of our brand and weaken our competitive position.</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attempt to protect our intellectual property rights through a combination of copyright, patent, trademark, trade secret, trade dress and unfair competition laws, as well as confidentiality procedures, and assignment and licensing arrangements. Our failure to obtain or maintain adequate protection of our intellectual property rights for any reason could have a material adverse effect on our business, results of operations and financial condition, and might prevent our brands from achieving or maintaining market acceptance. Further, we cannot assure you that competitors or other third parties will not infringe upon our intellectual property rights, or that we will have adequate resources to enforce our intellectual property rights.</w:t>
      </w:r>
    </w:p>
    <w:p>
      <w:pPr>
        <w:spacing w:after="0" w:line="15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The COVID-19 pandemic has negatively impacted, and we anticipate will continue to adversely affect, our business, financial condition, results of operations and cash flows.</w:t>
      </w:r>
    </w:p>
    <w:p>
      <w:pPr>
        <w:spacing w:after="0" w:line="15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ongoing COVID-19 pandemic has created significant volatility, uncertainty and economic disruption across the world. In response to the COVID-19 pandemic, governmental authorities have implemented numerous measures to try to contain the virus, some of which have been extended or reimplemented as a result of ongoing waves of COVID-19 cases, with additional challenges resulting from the emergence of new variants of COVID-19. Such measures have impacted, and may continue to affect, our workforce, operations, suppliers and customers. While we have suspended many of the remedial measures we took in the months following the onset of COVID-19, it may be necessary to implement remedial measures such as temporary store closures, reduced store hours, workforce reductions or other steps to conserve cash and curtail other selling general and administrative expenses. There is no certainty that any remedial measures we may take in the future will be sufficient to mitigate the risks posed by COVID-19. Further, such measures could potentially materially adversely affect our business, financial condition and results of operations and create additional risks for us. In addition, any recovery from the COVID-19 pandemic and related economic impact may also be slowed or reversed by a variety of factors, such as any additional waves of COVID-19 infections and breakthrough infections.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climate change may adversely impact our business.</w:t>
      </w:r>
    </w:p>
    <w:p>
      <w:pPr>
        <w:spacing w:after="0" w:line="185"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Rising global average temperatures due to increased concentrations of carbon dioxide and other greenhouse gases in the atmosphere are causing significant changes in weather patterns around the globe and an increase in the frequency and severity of natural disasters. Changes in weather patterns and the increased frequency, intensity and duration of extreme weather events (such as floods, droughts, wildfires and severe storms) could, among other things, adversely impact the ability to extract natural stones from quarries, which is a key resource for a number of our products, disrupt the operation of our supply chain and the productivity of manufacturers on which we rely, disrupt retail operations and foot traffic in consumer markets, damage or destroy our stores, and increase our product costs. In addition, the impacts of climate change on global water resources may result in water scarcity, which could in the future impact our ability, and the ability of our suppliers, particularly those involved in quarrying activities, to access sufficient quantities of water in certain locations and result in increased costs.</w:t>
      </w:r>
    </w:p>
    <w:p>
      <w:pPr>
        <w:spacing w:after="0" w:line="159"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Further, the long-term impacts of climate change, including transition risks such as regulatory and technology changes, are expected to be widespread and unpredictable. For example, while a number of governmental bodies have introduced or are contemplating legislative or regulatory changes in response to climate change, including regulating greenhouse gas emissions, there continues to be a lack of consistent climate legislation, which creates economic and regulatory uncertainty. Any changes could, among other things, affect the availability and cost of our products. We also use fuel and electricity in our operations, which could face increased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regulation and cost increases as a result of climate change and other environmental concerns. These changes and their impacts could disrupt and adversely affect our operations and could have an adverse effect on our financial performance.</w:t>
      </w:r>
    </w:p>
    <w:p>
      <w:pPr>
        <w:spacing w:after="0" w:line="156"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b w:val="1"/>
          <w:bCs w:val="1"/>
          <w:i w:val="1"/>
          <w:iCs w:val="1"/>
          <w:color w:val="auto"/>
        </w:rPr>
        <w:t>The increasing focus by stakeholders on environmental, social and governance (“ESG”) policies and practices could result in additional costs, and could adversely impact our reputation, consumer perception, employee retention, and willingness of third parties to do business with us.</w:t>
      </w:r>
    </w:p>
    <w:p>
      <w:pPr>
        <w:spacing w:after="0" w:line="11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There has been increased focus from our stakeholders, including investors, consumers and employees, on our ESG policies and practices, including corporate citizenship and sustainability. Additionally, public interest and legislative pressure related to public companies’ ESG practices continues to grow. If our ESG policies and practices fail to meet regulatory requirements or stakeholders’ evolving expectations and standards for responsible corporate citizenship in areas including environmental stewardship, support for local communities, Board and employee diversity,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5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could also incur additional costs and require additional resources to monitor, report and comply with various ESG practices, as well as any initiatives or goals we may establish or announce, including those related to climate change. If we do establish such initiatives or goals, there can be no assurance that our stakeholders will agree with our strategy or that we will be successful in achieving such initiatives or goals, and we will remain subject to climate change risks regardless. Moreover, we may determine that it is in the best interest of our Company and our stockholders to prioritize other business, social, governance or sustainability investments over the achievement of any such initiatives or goals based on economic, regulatory and social factors, business strategy or pressure from investors, activist groups or other stakeholders. As a result, the effects of climate change and increased focus by stakeholders on ESG matters could have short- and long-term impacts on our business and operations. Inconsistency of legislation and regulations among jurisdictions and expected additional regulations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where we operate.</w:t>
      </w:r>
    </w:p>
    <w:p>
      <w:pPr>
        <w:spacing w:after="0" w:line="162" w:lineRule="exact"/>
        <w:rPr>
          <w:sz w:val="20"/>
          <w:szCs w:val="20"/>
          <w:color w:val="auto"/>
        </w:rPr>
      </w:pPr>
    </w:p>
    <w:p>
      <w:pPr>
        <w:jc w:val="both"/>
        <w:ind w:right="120"/>
        <w:spacing w:after="0" w:line="285" w:lineRule="auto"/>
        <w:rPr>
          <w:sz w:val="20"/>
          <w:szCs w:val="20"/>
          <w:color w:val="auto"/>
        </w:rPr>
      </w:pPr>
      <w:r>
        <w:rPr>
          <w:rFonts w:ascii="Arial" w:cs="Arial" w:eastAsia="Arial" w:hAnsi="Arial"/>
          <w:sz w:val="16"/>
          <w:szCs w:val="16"/>
          <w:color w:val="auto"/>
        </w:rPr>
        <w:t>If we fail to adopt ESG standards or practices as quickly as stakeholders desire, fail, or are perceived to fail, in our achievement of any initiatives or goals, or fail in fully and accurately reporting our progress on any such initiatives and goals, our reputation, business, financial performance and growth may be adversely impacted. Any such matters, or related corporate citizenship and sustainability matters, could have a material adverse effect on our business.</w:t>
      </w:r>
    </w:p>
    <w:p>
      <w:pPr>
        <w:spacing w:after="0" w:line="24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Any failure by the U.S. federal government to increase the debt ceiling or any government shutdown could adversely affect the U.S. and global economy and our liquidity, financial condition and earnings.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U.S. debt ceiling and budget deficit concerns have increased the possibility of credit-rating downgrades and economic slowdowns, or a recession in the United States or globally. The U.S. federal government hit its borrowing limit, or debt ceiling, on January 19, 2023. If the government fails to increase the debt limit, the U.S. government’s sovereign credit rating may be downgraded and the U.S. government could default on its debts, which could adversely affect the U.S. and global financial markets and economic conditions. Absent quantitative easing by the Federal Reserve, these developments could cause interest rates and borrowing costs to further increase, which may negatively impact our ability to access the debt markets on favorable terms, or at all. In addition, disagreement over the federal budget has previously caused the U.S. federal government to shut down for periods of time. Continued adverse political and economic conditions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Labor and Supply Chain</w:t>
      </w:r>
    </w:p>
    <w:p>
      <w:pPr>
        <w:spacing w:after="0" w:line="189"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56"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 In addition, any failure to manage our inventory effectively could have a material and adverse effect on our business, financial condition and results of operations. Our sales could be adversely affected when we experience shortages of key items; further, any inability to meet our customers’ product needs could also adversely affect sales of other related products.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source the products that we stock and sell from approximately 197 domestic and international suppliers. We source a large number of those products from foreign manufacturers, including 48% of our products from a group of ten suppliers located in Asia, Europe and the United States. Our largest supplier accounted for approximately 9% of our total purchases in 2022. We generally take title to these products sourced from foreign suppliers overseas and are responsible for arranging shipment to our distribution centers.</w:t>
      </w:r>
    </w:p>
    <w:p>
      <w:pPr>
        <w:spacing w:after="0" w:line="16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During 2022, many of our vendors increased their prices in response to inflationary cost pressures, which, combined with escalated international shipping rates, resulted in an increase in the cost of our inventory and corresponding pressure on our gross margin rates. Geopolitical conditions, such as the current Russia-Ukraine conflict, may lead to additional price increases and shipping delays. In response to this cost pressure, we have adjusted and may continue to adjust our pricing; however, we cannot provide any assurance that our attempts to mitigate the impact of price increase imposed by our vendors will be successful or that customers will continue to purchase our products at adjusted prices.</w:t>
      </w:r>
    </w:p>
    <w:p>
      <w:pPr>
        <w:spacing w:after="0" w:line="15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Other factors that may impact our suppliers, including financial instability among key suppliers, political instability, the impact of pandemics or other catastrophic events, such as the COVID-19 pandemic, trade restrictions, tariffs, currency exchange rates, inflation and transport capacity and costs, are beyond our control and could negatively impact our business if they seriously disrupt the movement of products through our supply chain or increase the costs of our products.</w:t>
      </w:r>
    </w:p>
    <w:p>
      <w:pPr>
        <w:spacing w:after="0" w:line="16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reliance on foreign suppliers increases our risk of not obtaining adequate, timely and cost-effective products and other risks involved in foreign operations, including foreign currency translation.</w:t>
      </w:r>
    </w:p>
    <w:p>
      <w:pPr>
        <w:spacing w:after="0" w:line="15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risks associated with direct sourcing from overseas manufacturers may be higher than the risks associated with our traditional domestic suppliers. Foreign sourcing subjects us to a number of risks, including long lead times; work stoppages; shipping delays and interruptions; product quality issues; employee rights issues; other social concerns; public health crises; political instability; acts of terrorism or war, including the Russia-Ukraine conflict; economic disruptions; the imposition of tariffs, including those imposed by the United States on goods imported from China and Russia, duties, quotas, import and export controls and other trade restrictions, as well as the possibility of a global trade war; changes in governmental policies, including potential adverse changes in tax laws and regulations; uncertainty surrounding the enforcement of laws (if any) relating to the protection of intellectual property or data security; and other events. Additionally, reductions in the value of the U.S. dollar or revaluation of foreign currencies used, as well as volatile market conditions arising from economic conditions, including the impact of the COVID-19 pandemic and Russia-Ukraine conflict, could ultimately increase the prices that we pay for our products. Any of these events could have a material adverse effect on us.</w:t>
      </w:r>
    </w:p>
    <w:p>
      <w:pPr>
        <w:spacing w:after="0" w:line="15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addition,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 and regulations applicable to the importation of our products. If duties were to be significantly increased, it could have a material adverse impact on us.</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56"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or the impact of water scarcity, natural disasters or other extreme weather events, which may be impacted by climate change, on the ability to access or efficiently extract resources from such quarries. If our suppliers cannot deliver sufficient products, and we cannot find replacement suppliers, our net sales and operating results may be adversely affected.</w:t>
      </w:r>
    </w:p>
    <w:p>
      <w:pPr>
        <w:spacing w:after="0" w:line="16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has been, and could continue to be, adversely affected if there are delays in product shipments due to freight difficulties, strikes, or other difficulties at our suppliers’ principal transport providers, or otherwise, including as a result of ongoing supply chain disruptions and labor shortages.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few key employees, and if we lose the services of these employees, we may not be able to run our business effectively.</w:t>
      </w:r>
    </w:p>
    <w:p>
      <w:pPr>
        <w:spacing w:after="0" w:line="19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Our future success depends in part on our ability to attract and retain key executive, merchandising, marketing, and sales personnel who share our values and are able to operate effectively and consistent with our culture. We have had changes in our senior management team over the past few years and have promoted or hired new employees to fill certain roles. Our inability to effectively integrate the newly-hired senior managers into our business processes, controls, systems and culture could have a material adverse effect on us. If any of our key employees ceases to be employed by us, we would need to hire additional qualified personnel and could experience delays in filling those roles.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 In addition, ineffective succession planning could result in unexpected costs, reduced productivity and/or difficulties with respect to internal processes and controls.</w:t>
      </w:r>
    </w:p>
    <w:p>
      <w:pPr>
        <w:spacing w:after="0" w:line="167"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5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 key element of our competitive strategy is to provide product expertise to our customers through our extensively trained, commissioned sales associates. We may be constrained in hiring and retaining sufficient qualified employees to support our strategy due to general labor shortages in our industry. In addition, a lack of qualified personnel or increased turnover rates within our employee base could lead to increased costs, such as increased overtime to meet demand and increased wage rates to attract and retain qualified employees. If we are unable to attract and retain qualified personnel and managers as needed in the future, including qualified sales personnel, our level of customer service may decline, which may decrease our revenues and profitability.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ability to control labor costs is subject to numerous external factors, including prevailing wage rates, inflationary pressures,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85"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3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5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We also maintain third-party insurance coverage against various other liability risks and risks of property loss, including directors’ and officers’ liability insurance coverage. Potential liabilities associated with those risks or other events could exceed the coverage provided by such arrangements, resulting in significant uninsured liabilities, which could have a material and adverse effect on our business, financial condition and results of operations. In addition, claims brought against us have resulted in, and additional claims could further result in, increased directors’ and officers’ insurance premiums and a reduction in coverage, which could negatively affect us, including by increasing our insurance costs and impacting our ability to attract and retain qualified officers and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laws or changes in existing or new laws and regulations or regulatory enforcement priorities could adversely affect our business.</w:t>
      </w:r>
    </w:p>
    <w:p>
      <w:pPr>
        <w:spacing w:after="0" w:line="208" w:lineRule="exact"/>
        <w:rPr>
          <w:sz w:val="20"/>
          <w:szCs w:val="20"/>
          <w:color w:val="auto"/>
        </w:rPr>
      </w:pPr>
    </w:p>
    <w:p>
      <w:pPr>
        <w:ind w:right="660"/>
        <w:spacing w:after="0" w:line="236" w:lineRule="auto"/>
        <w:rPr>
          <w:sz w:val="20"/>
          <w:szCs w:val="20"/>
          <w:color w:val="auto"/>
        </w:rPr>
      </w:pPr>
      <w:r>
        <w:rPr>
          <w:rFonts w:ascii="Arial" w:cs="Arial" w:eastAsia="Arial" w:hAnsi="Arial"/>
          <w:sz w:val="18"/>
          <w:szCs w:val="18"/>
          <w:color w:val="auto"/>
        </w:rPr>
        <w:t>We must comply with various laws and regulations at the local, regional, state, federal, and international levels. These laws and regulations change frequently, and such changes can impose significant costs and other burdens of compliance on our business and</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suppliers. Any changes in regulations, the imposition of additional regulations, or the enactment of any new legislation that affects employment/labor, trade, product safety, transportation/logistics, energy costs, health care, tax, environmental issues, including the impact of climate change, or compliance with the Foreign Corrupt Practices Act could have an adverse impact on our financial condition and results of operations. In addition, changes in enforcement priorities by governmental agencies charged with enforcing existing laws and regulations could increase our cost of doing business. The evolving and at times overlapping regulatory regimes to which the Company is subject may change at any time, including as a result of changes in the U.S. political environment; for instance, various levels of government are increasingly focused on tax reform and other legislative actions to increase tax revenue, including the adoption of the Inflation Reduction Act of 2022, which includes a new corporate alternative minimum tax of 15% for certain large companies, and the reduction in the corporate income tax rate resulting from the Tax Cuts and Jobs Act enacted into U.S. law in December 2017 could be reduced or rescinded by future tax law changes. In addition, a number of legal and regulatory measures and social initiatives have been introduced in an effort to reduce greenhouse gas and other carbon emissions. Any such initiatives, restrictions and requirements could restrict, or require us to make changes to, our operating activities, which could increase our operating costs, require us to make capital improvements to our properties, increase our energy, supply and transportation costs or limit their availability, or otherwise adversely affect our results of operations, liquidity or capital resources, and these effects could be material to us.</w:t>
      </w:r>
    </w:p>
    <w:p>
      <w:pPr>
        <w:spacing w:after="0" w:line="16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6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56"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We do not control the operations of our suppliers. Accordingly, we cannot guarantee that our suppliers will comply with applicable environmental, labor, anti-corruption and other laws and regulations or operate in a legal, ethical, and responsible manner. Violation of environmental, labor, anti-corruption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79" w:lineRule="exact"/>
        <w:rPr>
          <w:sz w:val="20"/>
          <w:szCs w:val="20"/>
          <w:color w:val="auto"/>
        </w:rPr>
      </w:pPr>
    </w:p>
    <w:p>
      <w:pPr>
        <w:ind w:right="880"/>
        <w:spacing w:after="0"/>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transactional taxes, and we could be subject to liability with respect to past or future sales, which could adversely affect our results of operations.</w:t>
      </w:r>
    </w:p>
    <w:p>
      <w:pPr>
        <w:spacing w:after="0" w:line="162"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application of sales tax and other indirect taxes on cross border sales by remote sellers is continuing to change and evolve. In June 2018, the U.S. Supreme Court decided South Dakota v. Wayfair, Inc., a case challenging the prior law under which sellers were not required to collect sales and use tax unless they have a physical presence in the buyer’s state. This decision allowed states to adopt new or enforce existing laws requiring sellers to collect and remit sales and use tax, even in states in which the seller has no presence. The adoption or enforcement of any such legislation could result in additional sales and use tax collection responsibility for certain of our businesses. A number of states have already begun, or have positioned themselves to begin, requiring sales and use tax collection by remote sellers, and the details and effective dates of these collection requirements vary from state to state. While we now collect, remit, and report sales tax in all states that impose a sales tax, it is possible that one or more jurisdictions may assert that we have liability for periods for which certain of our businesses did not collect sales, use or other similar taxes, and if such an assertion or assertions were successful, it could result in tax liabilities, including for past sales taxes and penalties and interest, which could materially adversely affect our business, financial condition and operating results.</w:t>
      </w:r>
    </w:p>
    <w:p>
      <w:pPr>
        <w:spacing w:after="0" w:line="16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We may become involved in legal proceedings and, while we cannot predict the outcomes of such proceedings and other contingencies with certainty, some of these outcomes could adversely affect our business, financial condition and results of operations.</w:t>
      </w:r>
    </w:p>
    <w:p>
      <w:pPr>
        <w:spacing w:after="0" w:line="13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We have in the past, and may in the future, become involved in stockholder, consumer, employment, tort or other litigation, which may include claims and proceedings arising out of the COVID-19 pandemic.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Technology-Related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disrupted if we are unable to protect the integrity and security of our customer information.</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and that of third parties upon which we rely, may be vulnerable to criminal cyber-attacks or security incidents due to employee or service provider error, third-party action, including actions of foreign actors, which risk may be exacerbated by the current Russia-Ukraine conflict and U.S. and international response, insider attacks, phishing or denial-of-service attacks, ransomware or other malware, social engineering, malfeasance, other unauthorized physical or electronic access, or other vulnerabilities. Any such incidents could compromise our networks, or those of our vendors, or disrupt our or our vendors’ critical systems, and the information stored there, such as personal identification information or funds, could be accessed, publicly disclosed, lost, corrupted or stolen.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also incur costs in order to comply with cybersecurity or data privacy regulations or with requirements imposed by business partners. Data privacy and cybersecurity laws in the United States and internationally are constantly changing, and the implementation of these laws has become more complex. In order to comply with current or newly enacted laws, we may be subject to increased costs as a result of continually evaluating our policies and processes and adapting to new requirements that are or become applicable to us. For instance, 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damage our competitive position and cause the loss of customers. In addition, any such breach, or any material failure on our part to comply with applicable laws, could subject us to litigation, government investigation or enforcement actions or other regulatory sanctions, regulatory penalties or fines, or costly response measures, and we may not have adequate insurance coverage to compensate us for any losses relating to such events. Any such occurrence could have a material adverse effect on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management information systems experience disruptions, it could disrupt our business and reduce our net sales.</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viruses, computer “hackers” or other causes. We may incur significant expenses in order to repair any such operational problems and could suffer reputational damage.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 Any such occurrence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selection and implementation of information technology initiatives may impact our operational efficiency and productivity.</w:t>
      </w:r>
    </w:p>
    <w:p>
      <w:pPr>
        <w:spacing w:after="0" w:line="171"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order to better manage our business, we have invested in, and expect to continue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For instance, we may experience occasional system interruptions and delays, as a result of routine maintenance, periodic updates, implementation of new technology or other factors, that make our information systems unavailable or slow to respond, including the interaction of our information systems with those of third parties. Furthermore, these initiatives might not provide the anticipated benefits or provide them in a delayed or unexpectedly costly manner. Accordingly, issues relating to our selection and implementation of information technology initiatives may negatively impact our business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may be unable to maintain our listing on The Nasdaq Stock Market LLC (“Nasdaq”) and may incur additional costs as a result of our Nasdaq listing.</w:t>
      </w:r>
    </w:p>
    <w:p>
      <w:pPr>
        <w:spacing w:after="0" w:line="130"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Our common stock currently trades on Nasdaq. We cannot provide any assurance that we will be able to continue to satisfy Nasdaq’s continued listing requirements and standards to which we are subject. A delisting of our common stock could negatively affect the</w:t>
      </w: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price and liquidity of our common stock and could impair our ability to raise capital in the future. In addition, we incur, and may incur additional, costs as a result of compliance with Nasdaq’s rules and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8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performance and the performance of our competitors;</w:t>
      </w:r>
    </w:p>
    <w:p>
      <w:pPr>
        <w:ind w:left="660" w:right="3280"/>
        <w:spacing w:after="0" w:line="246" w:lineRule="auto"/>
        <w:rPr>
          <w:sz w:val="20"/>
          <w:szCs w:val="20"/>
          <w:color w:val="auto"/>
        </w:rPr>
      </w:pPr>
      <w:r>
        <w:rPr>
          <w:rFonts w:ascii="Arial" w:cs="Arial" w:eastAsia="Arial" w:hAnsi="Arial"/>
          <w:sz w:val="16"/>
          <w:szCs w:val="16"/>
          <w:color w:val="auto"/>
        </w:rPr>
        <w:t>the public’s reaction to our filings with the SEC, our press releases and other public announcements; the degree of trading liquidity in our common stock, including our ability to remain listed on Nasdaq;</w:t>
      </w:r>
    </w:p>
    <w:p>
      <w:pPr>
        <w:ind w:left="340"/>
        <w:spacing w:after="0" w:line="219" w:lineRule="auto"/>
        <w:rPr>
          <w:sz w:val="20"/>
          <w:szCs w:val="20"/>
          <w:color w:val="auto"/>
        </w:rPr>
      </w:pPr>
      <w:r>
        <w:rPr>
          <w:rFonts w:ascii="Arial" w:cs="Arial" w:eastAsia="Arial" w:hAnsi="Arial"/>
          <w:sz w:val="18"/>
          <w:szCs w:val="18"/>
          <w:color w:val="auto"/>
        </w:rPr>
        <w:t>changes in recommendations or earnings estimates by research analysts who follow us or other companies in our industry;</w:t>
      </w:r>
    </w:p>
    <w:p>
      <w:pPr>
        <w:ind w:left="660" w:right="660"/>
        <w:spacing w:after="0" w:line="246" w:lineRule="auto"/>
        <w:rPr>
          <w:sz w:val="20"/>
          <w:szCs w:val="20"/>
          <w:color w:val="auto"/>
        </w:rPr>
      </w:pPr>
      <w:r>
        <w:rPr>
          <w:rFonts w:ascii="Arial" w:cs="Arial" w:eastAsia="Arial" w:hAnsi="Arial"/>
          <w:sz w:val="16"/>
          <w:szCs w:val="16"/>
          <w:color w:val="auto"/>
        </w:rPr>
        <w:t>variations in general economic conditions, including the impact of the COVID-19 pandemic and the possibility of an economic recession; actions of our current stockholders, including purchases or sales of common stock by our directors and executive officers;</w:t>
      </w:r>
    </w:p>
    <w:p>
      <w:pPr>
        <w:ind w:left="340"/>
        <w:spacing w:after="0" w:line="219" w:lineRule="auto"/>
        <w:rPr>
          <w:sz w:val="20"/>
          <w:szCs w:val="20"/>
          <w:color w:val="auto"/>
        </w:rPr>
      </w:pPr>
      <w:r>
        <w:rPr>
          <w:rFonts w:ascii="Arial" w:cs="Arial" w:eastAsia="Arial" w:hAnsi="Arial"/>
          <w:sz w:val="18"/>
          <w:szCs w:val="18"/>
          <w:color w:val="auto"/>
        </w:rPr>
        <w:t>the arrival or departure of key personnel; and</w:t>
      </w:r>
    </w:p>
    <w:p>
      <w:pPr>
        <w:ind w:left="340"/>
        <w:spacing w:after="0"/>
        <w:rPr>
          <w:sz w:val="20"/>
          <w:szCs w:val="20"/>
          <w:color w:val="auto"/>
        </w:rPr>
      </w:pPr>
      <w:r>
        <w:rPr>
          <w:rFonts w:ascii="Arial" w:cs="Arial" w:eastAsia="Arial" w:hAnsi="Arial"/>
          <w:sz w:val="18"/>
          <w:szCs w:val="18"/>
          <w:color w:val="auto"/>
        </w:rPr>
        <w:t>other developments affecting us, our industry or our competitors.</w:t>
      </w:r>
    </w:p>
    <w:p>
      <w:pPr>
        <w:spacing w:after="0" w:line="15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6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We suspended our quarterly dividend program and completed our stock repurchase program; as such, appreciation in the price of our common stock may be the only method to realize a return on your investment.</w:t>
      </w:r>
    </w:p>
    <w:p>
      <w:pPr>
        <w:spacing w:after="0" w:line="18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October 2019, we suspended our quarterly cash dividend program and cancelled our then-existing stock repurchase program to focus on debt reduction and continued investment in strategic initiatives. Since then, we have paid a special cash dividend of $0.65 per share in November 2021, but have not resumed our quarterly cash dividend. In addition, in August 2022, our Board approved a $30 million share repurchase plan, and we completed purchases under the plan in October 2022. Any future determination with respect to the payment of dividends or stock repurchases is at the discretion of our Board and is dependent upon our financial condition, results of operations, capital requirements, general business conditions, tax treatment of dividends and issuer stock repurchases in the United States, potential future contractual restrictions contained in credit agreements and other agreements and other factors deemed relevant by our Board of Directors. We can provide no assurance that we will pay any dividends to our stockholders in the future, or as to the amount of any such dividends, or that we will engage in additional stock repurchases. Our election not to pay a quarterly dividend or repurchase stock may negatively impact our reputation, our stock price, and investor confidence in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7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directors and executive officers, together with their affiliates, beneficially hold approximately 36.1%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contained in our certificate of incorporation and bylaws and provisions of Delaware law could impair a takeover attempt.</w:t>
      </w:r>
    </w:p>
    <w:p>
      <w:pPr>
        <w:spacing w:after="0" w:line="20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 among other things, a classified Board of Directors; no cumulative voting in the election of directors; the exclusive right of our Board of Directors to fill a vacancy created by the expansion of the Board of Directors or the resignation, death, or removal of a director; the ability of our Board of Directors to issue shares of preferred stock, including determining the price, voting rights and other terms of such shares, without stockholder approval; requiring approval of certain transactions by the Independent Transaction Committee of the Board; a prohibition on stockholder action by written consent and providing that a special meeting of stockholders may be called only by the chairman of the Board of Directors, the Chief Executive Officer, or the Board of Directors; limiting the liability of, and providing indemnification to, our directors and officers; controlling the procedures for the conduct and scheduling of stockholder meetings; allowing the Board of Directors to postpone or reschedule special meetings of stockholders; providing that directors may be removed prior to the expiration of their terms by stockholders only for cause; and advance notice procedures for nominating director candidates or proposing matters to be acted upon at a stockholders’ meeting. In addition, we are subject to provisions of Delaware law that may impair takeover attempts, including Section 203 of the Delaware General Corporation Law, which generally provides that a corporation may not engage in any business combination with any interested stockholder during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three-year period following the time that such stockholder becomes an interested stockholder, unless certain approval requirements are met.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6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certain types of lawsuits, which could increase costs to bring a claim, discourage claims or limit the ability of our stockholders to bring a claim in a judicial forum viewed by the stockholders as more favorable for disputes with us or our directors, officers or other employees.</w:t>
      </w:r>
    </w:p>
    <w:p>
      <w:pPr>
        <w:spacing w:after="0" w:line="132"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Our certificate of incorporation provides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action asserting a claim governed by the internal affairs doctrine. The choice of forum provision may increase costs to bring a claim, discourage claims or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this choice of forum provision to be inapplicable or unenforceable in an action, we may incur additional costs associated with resolving such action in other jurisdictions. The exclusive forum provision in our certificate of incorporation will not preclude or contract the scope of exclusive federal or concurrent jurisdiction for actions brought under the federal securities laws including the Exchange Act or the Securities Act of 1933, as amended, or the respective rules and regulations promulgated thereunder.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As of December 31, 2022, we operated 142 stores located in 31 states and the District of Columbia with an average square footage of approximately 20,000 square feet. The table below sets forth the store locations (alphabetically by state) of our 142 stores in operation as of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State</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Stores</w:t>
            </w:r>
          </w:p>
        </w:tc>
        <w:tc>
          <w:tcPr>
            <w:tcW w:w="1460" w:type="dxa"/>
            <w:vAlign w:val="bottom"/>
          </w:tcPr>
          <w:p>
            <w:pPr>
              <w:ind w:left="20"/>
              <w:spacing w:after="0"/>
              <w:rPr>
                <w:sz w:val="20"/>
                <w:szCs w:val="20"/>
                <w:color w:val="auto"/>
              </w:rPr>
            </w:pPr>
            <w:r>
              <w:rPr>
                <w:rFonts w:ascii="Arial" w:cs="Arial" w:eastAsia="Arial" w:hAnsi="Arial"/>
                <w:sz w:val="18"/>
                <w:szCs w:val="18"/>
                <w:color w:val="auto"/>
              </w:rPr>
              <w:t>State</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Stores</w:t>
            </w:r>
          </w:p>
        </w:tc>
        <w:tc>
          <w:tcPr>
            <w:tcW w:w="1480" w:type="dxa"/>
            <w:vAlign w:val="bottom"/>
          </w:tcPr>
          <w:p>
            <w:pPr>
              <w:spacing w:after="0"/>
              <w:rPr>
                <w:sz w:val="20"/>
                <w:szCs w:val="20"/>
                <w:color w:val="auto"/>
              </w:rPr>
            </w:pPr>
            <w:r>
              <w:rPr>
                <w:rFonts w:ascii="Arial" w:cs="Arial" w:eastAsia="Arial" w:hAnsi="Arial"/>
                <w:sz w:val="18"/>
                <w:szCs w:val="18"/>
                <w:color w:val="auto"/>
              </w:rPr>
              <w:t>State</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Stores</w:t>
            </w:r>
          </w:p>
        </w:tc>
        <w:tc>
          <w:tcPr>
            <w:tcW w:w="1480" w:type="dxa"/>
            <w:vAlign w:val="bottom"/>
          </w:tcPr>
          <w:p>
            <w:pPr>
              <w:spacing w:after="0"/>
              <w:rPr>
                <w:sz w:val="20"/>
                <w:szCs w:val="20"/>
                <w:color w:val="auto"/>
              </w:rPr>
            </w:pPr>
            <w:r>
              <w:rPr>
                <w:rFonts w:ascii="Arial" w:cs="Arial" w:eastAsia="Arial" w:hAnsi="Arial"/>
                <w:sz w:val="18"/>
                <w:szCs w:val="18"/>
                <w:color w:val="auto"/>
              </w:rPr>
              <w:t>State</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Stores</w:t>
            </w:r>
          </w:p>
        </w:tc>
      </w:tr>
      <w:tr>
        <w:trPr>
          <w:trHeight w:val="183"/>
        </w:trPr>
        <w:tc>
          <w:tcPr>
            <w:tcW w:w="1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Arizona</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Illinois</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Minnesota</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Oklahoma</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Arkansas</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Indiana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Missouri</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Pennsylvania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Colorado</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Iowa</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Nebraska</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Rhode Island</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Connecticut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Kansas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New Jersey</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South Carolina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Kentucky</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Mexico</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Tennessee</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District of Columbia</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Maryland</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New York</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Texas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Florida</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Massachusetts</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North Carolina</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Virginia</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r>
      <w:tr>
        <w:trPr>
          <w:trHeight w:val="189"/>
        </w:trPr>
        <w:tc>
          <w:tcPr>
            <w:tcW w:w="17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Georgia</w:t>
            </w:r>
          </w:p>
        </w:tc>
        <w:tc>
          <w:tcPr>
            <w:tcW w:w="10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8"/>
                <w:szCs w:val="18"/>
                <w:color w:val="auto"/>
              </w:rPr>
              <w:t>Michigan</w:t>
            </w:r>
          </w:p>
        </w:tc>
        <w:tc>
          <w:tcPr>
            <w:tcW w:w="122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Ohio</w:t>
            </w:r>
          </w:p>
        </w:tc>
        <w:tc>
          <w:tcPr>
            <w:tcW w:w="12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Wisconsin</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3"/>
        </w:trPr>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142</w:t>
            </w:r>
          </w:p>
        </w:tc>
      </w:tr>
    </w:tbl>
    <w:p>
      <w:pPr>
        <w:spacing w:after="0" w:line="17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163,000 square feet.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material property holdings are suitable for our current operations and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STOCKHOLDER MATTERS AND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Nasdaq under the symbol “TTSH.”</w:t>
      </w:r>
    </w:p>
    <w:p>
      <w:pPr>
        <w:spacing w:after="0" w:line="18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As of February 27, 2023, we had approximately 391 holders of record of our common stock. This figure does not include the number of persons whose securities are held in nominee or “street” name accounts through brokers.</w:t>
      </w:r>
    </w:p>
    <w:p>
      <w:pPr>
        <w:spacing w:after="0" w:line="15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As of February 27, 2023, we had 44,363,205 shares of common stock outstanding. The last reported sales price for our common stock on February 27, 2023 was $5.54.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Per Share</w:t>
      </w:r>
    </w:p>
    <w:p>
      <w:pPr>
        <w:spacing w:after="0" w:line="20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2021 we paid a special cash dividend of $0.65 per share to stockholders of record on November 19, 2021. Any future determination with respect to the payment of dividends is at the discretion of our Board of Directors and is dependent upon our financial condition, results of operations, capital requirements, general business conditions, tax treatment of dividends in the United States, contractual restrictions contained in our credit agreement and other factors deemed relevant by our Board of Directors. We can provide no assurance that we will pay any dividends to our stockholders in the future, or as to the amount of any such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For information on our equity compensation plans, refer to Part III, Item 12. “Security Ownership of Certain Beneficial Owners and Management and Related Stockholder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August 16, 2022, we announced that our Board of Directors approved a stock repurchase program, authorizing the repurchase of up to $30.0 million of our outstanding shares of common stock using a variety of methods, including, but not limited to, open market purchases, privately negotiated transactions, or purchases pursuant to a 10b5-1 plan. On August 16, 2022, pursuant to the stock repurchase program, we entered into a written stock repurchase plan (the “Plan”), providing for repurchases of up to $30.0 million of our outstanding shares of common stock, in conformity with the provisions of Rule 10b5-1 and Rule 10b-18 promulgated under the Exchange Act. In October 2022, we completed repurchases under the Plan.</w:t>
      </w:r>
    </w:p>
    <w:p>
      <w:pPr>
        <w:sectPr>
          <w:pgSz w:w="11900" w:h="16838" w:orient="portrait"/>
          <w:cols w:equalWidth="0" w:num="1">
            <w:col w:w="11220"/>
          </w:cols>
          <w:pgMar w:left="320" w:top="111" w:right="359" w:bottom="1440" w:gutter="0" w:footer="0" w:header="0"/>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84"/>
              </w:rPr>
              <w:t>Shares Purchased as</w:t>
            </w:r>
          </w:p>
        </w:tc>
        <w:tc>
          <w:tcPr>
            <w:tcW w:w="0" w:type="dxa"/>
            <w:vAlign w:val="bottom"/>
          </w:tcPr>
          <w:p>
            <w:pPr>
              <w:spacing w:after="0"/>
              <w:rPr>
                <w:sz w:val="1"/>
                <w:szCs w:val="1"/>
                <w:color w:val="auto"/>
              </w:rPr>
            </w:pPr>
          </w:p>
        </w:tc>
      </w:tr>
      <w:tr>
        <w:trPr>
          <w:trHeight w:val="203"/>
        </w:trPr>
        <w:tc>
          <w:tcPr>
            <w:tcW w:w="4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4"/>
              </w:rPr>
              <w:t>Part of Publicly</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15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Total Number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line="189" w:lineRule="exact"/>
              <w:rPr>
                <w:sz w:val="20"/>
                <w:szCs w:val="20"/>
                <w:color w:val="auto"/>
              </w:rPr>
            </w:pPr>
            <w:r>
              <w:rPr>
                <w:rFonts w:ascii="Arial" w:cs="Arial" w:eastAsia="Arial" w:hAnsi="Arial"/>
                <w:sz w:val="18"/>
                <w:szCs w:val="18"/>
                <w:color w:val="auto"/>
              </w:rPr>
              <w:t>Average Price</w:t>
            </w:r>
          </w:p>
        </w:tc>
        <w:tc>
          <w:tcPr>
            <w:tcW w:w="200" w:type="dxa"/>
            <w:vAlign w:val="bottom"/>
          </w:tcPr>
          <w:p>
            <w:pPr>
              <w:spacing w:after="0"/>
              <w:rPr>
                <w:sz w:val="16"/>
                <w:szCs w:val="16"/>
                <w:color w:val="auto"/>
              </w:rPr>
            </w:pPr>
          </w:p>
        </w:tc>
        <w:tc>
          <w:tcPr>
            <w:tcW w:w="15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0"/>
              </w:rPr>
              <w:t>Announced Plans or</w:t>
            </w:r>
          </w:p>
        </w:tc>
        <w:tc>
          <w:tcPr>
            <w:tcW w:w="0" w:type="dxa"/>
            <w:vAlign w:val="bottom"/>
          </w:tcPr>
          <w:p>
            <w:pPr>
              <w:spacing w:after="0"/>
              <w:rPr>
                <w:sz w:val="1"/>
                <w:szCs w:val="1"/>
                <w:color w:val="auto"/>
              </w:rPr>
            </w:pPr>
          </w:p>
        </w:tc>
      </w:tr>
      <w:tr>
        <w:trPr>
          <w:trHeight w:val="230"/>
        </w:trPr>
        <w:tc>
          <w:tcPr>
            <w:tcW w:w="4880" w:type="dxa"/>
            <w:vAlign w:val="bottom"/>
            <w:vMerge w:val="restart"/>
          </w:tcPr>
          <w:p>
            <w:pPr>
              <w:spacing w:after="0"/>
              <w:rPr>
                <w:sz w:val="20"/>
                <w:szCs w:val="20"/>
                <w:color w:val="auto"/>
              </w:rPr>
            </w:pPr>
            <w:r>
              <w:rPr>
                <w:rFonts w:ascii="Arial" w:cs="Arial" w:eastAsia="Arial" w:hAnsi="Arial"/>
                <w:sz w:val="18"/>
                <w:szCs w:val="18"/>
                <w:color w:val="auto"/>
              </w:rPr>
              <w:t>October 1, 2022 - October 31, 2022</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Shares Purchased</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Paid per Share</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3,721,961</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w w:val="87"/>
              </w:rPr>
              <w:t>(1)</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3.92</w:t>
            </w:r>
          </w:p>
        </w:tc>
        <w:tc>
          <w:tcPr>
            <w:tcW w:w="200" w:type="dxa"/>
            <w:vAlign w:val="bottom"/>
          </w:tcPr>
          <w:p>
            <w:pPr>
              <w:jc w:val="right"/>
              <w:spacing w:after="0"/>
              <w:rPr>
                <w:sz w:val="20"/>
                <w:szCs w:val="20"/>
                <w:color w:val="auto"/>
              </w:rPr>
            </w:pPr>
            <w:r>
              <w:rPr>
                <w:rFonts w:ascii="Arial" w:cs="Arial" w:eastAsia="Arial" w:hAnsi="Arial"/>
                <w:sz w:val="15"/>
                <w:szCs w:val="15"/>
                <w:color w:val="auto"/>
                <w:w w:val="76"/>
              </w:rPr>
              <w:t>(1)</w:t>
            </w:r>
          </w:p>
        </w:tc>
        <w:tc>
          <w:tcPr>
            <w:tcW w:w="4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3,710,634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November 1, 2022 - November 30, 2022</w:t>
            </w:r>
          </w:p>
        </w:tc>
        <w:tc>
          <w:tcPr>
            <w:tcW w:w="1500" w:type="dxa"/>
            <w:vAlign w:val="bottom"/>
          </w:tcPr>
          <w:p>
            <w:pPr>
              <w:jc w:val="right"/>
              <w:spacing w:after="0"/>
              <w:rPr>
                <w:sz w:val="20"/>
                <w:szCs w:val="20"/>
                <w:color w:val="auto"/>
              </w:rPr>
            </w:pPr>
            <w:r>
              <w:rPr>
                <w:rFonts w:ascii="Arial" w:cs="Arial" w:eastAsia="Arial" w:hAnsi="Arial"/>
                <w:sz w:val="18"/>
                <w:szCs w:val="18"/>
                <w:color w:val="auto"/>
              </w:rPr>
              <w:t>3,437</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w w:val="87"/>
              </w:rPr>
              <w:t>(2)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jc w:val="right"/>
              <w:spacing w:after="0"/>
              <w:rPr>
                <w:sz w:val="20"/>
                <w:szCs w:val="20"/>
                <w:color w:val="auto"/>
              </w:rPr>
            </w:pPr>
            <w:r>
              <w:rPr>
                <w:rFonts w:ascii="Arial" w:cs="Arial" w:eastAsia="Arial" w:hAnsi="Arial"/>
                <w:sz w:val="15"/>
                <w:szCs w:val="15"/>
                <w:color w:val="auto"/>
                <w:w w:val="76"/>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December 1, 2022 - December 31, 2022</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3,725,398</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3,710,634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0"/>
        <w:spacing w:after="0" w:line="264" w:lineRule="auto"/>
        <w:rPr>
          <w:sz w:val="20"/>
          <w:szCs w:val="20"/>
          <w:color w:val="auto"/>
        </w:rPr>
      </w:pPr>
      <w:r>
        <w:rPr>
          <w:rFonts w:ascii="Arial" w:cs="Arial" w:eastAsia="Arial" w:hAnsi="Arial"/>
          <w:sz w:val="16"/>
          <w:szCs w:val="16"/>
          <w:color w:val="auto"/>
        </w:rPr>
        <w:t>Maximum Number of Shares that May Yet be Purchased Under Plans or</w:t>
      </w:r>
    </w:p>
    <w:p>
      <w:pPr>
        <w:ind w:left="260"/>
        <w:spacing w:after="0" w:line="196" w:lineRule="auto"/>
        <w:rPr>
          <w:sz w:val="20"/>
          <w:szCs w:val="20"/>
          <w:color w:val="auto"/>
        </w:rPr>
      </w:pPr>
      <w:r>
        <w:rPr>
          <w:rFonts w:ascii="Arial" w:cs="Arial" w:eastAsia="Arial" w:hAnsi="Arial"/>
          <w:sz w:val="18"/>
          <w:szCs w:val="18"/>
          <w:color w:val="auto"/>
        </w:rPr>
        <w:t xml:space="preserve">Programs </w:t>
      </w:r>
      <w:r>
        <w:rPr>
          <w:rFonts w:ascii="Arial" w:cs="Arial" w:eastAsia="Arial" w:hAnsi="Arial"/>
          <w:sz w:val="29"/>
          <w:szCs w:val="29"/>
          <w:color w:val="auto"/>
          <w:vertAlign w:val="superscript"/>
        </w:rPr>
        <w:t>(3)</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wp:posOffset>
            </wp:positionV>
            <wp:extent cx="925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9258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13335</wp:posOffset>
            </wp:positionV>
            <wp:extent cx="9258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640" w:space="160"/>
            <w:col w:w="1420"/>
          </w:cols>
          <w:pgMar w:left="320" w:top="111" w:right="359" w:bottom="1440" w:gutter="0" w:footer="0" w:header="0"/>
          <w:type w:val="continuous"/>
        </w:sectPr>
      </w:pPr>
    </w:p>
    <w:p>
      <w:pPr>
        <w:spacing w:after="0" w:line="29" w:lineRule="exact"/>
        <w:rPr>
          <w:sz w:val="20"/>
          <w:szCs w:val="20"/>
          <w:color w:val="auto"/>
        </w:rPr>
      </w:pPr>
    </w:p>
    <w:p>
      <w:pPr>
        <w:ind w:left="340" w:right="20" w:hanging="332"/>
        <w:spacing w:after="0" w:line="234"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We withheld a total of 7,890 shares to satisfy tax withholding obligations due upon the vesting of restricted stock grants, as allowed by the 2012 Omnibus Award Plan (the “2012 Plan”) and the 2021 Omnibus Equity Compensation Plan (the “2021 Plan” and, together with the 2012 Plan, the “Plans”). We did not pay cash to repurchase these shares, nor were these repurchases part of a publicly announced plan or program. We repurchased an additional 3,437 shares pursuant to the terms of the underlying restricted stock agreements, as allowed by the 2012 Plan. We paid $0.0001 per share, the par value, to repurchase these shares. These repurchases were not part of a publicly announced plan or program. We also repurchased 3,710,634 shares of our common stock under the Plan for approximately $14.6 million, excluding brokerage commissions, or an average price of $3.92 per share.</w:t>
      </w:r>
    </w:p>
    <w:p>
      <w:pPr>
        <w:spacing w:after="0" w:line="231" w:lineRule="exact"/>
        <w:rPr>
          <w:rFonts w:ascii="Arial" w:cs="Arial" w:eastAsia="Arial" w:hAnsi="Arial"/>
          <w:sz w:val="27"/>
          <w:szCs w:val="27"/>
          <w:color w:val="auto"/>
          <w:vertAlign w:val="superscript"/>
        </w:rPr>
      </w:pPr>
    </w:p>
    <w:p>
      <w:pPr>
        <w:ind w:left="340" w:right="240" w:hanging="332"/>
        <w:spacing w:after="0" w:line="190" w:lineRule="auto"/>
        <w:tabs>
          <w:tab w:leader="none" w:pos="34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We repurchased 3,437 shares pursuant to the terms of the underlying restricted stock agreements, as allowed by the 2012 Plan. We paid $0.0001 per share, the par value, to repurchase these shares. These repurchases were not part of a publicly announced plan or program.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right="120" w:hanging="332"/>
        <w:spacing w:after="0" w:line="201"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Represents the approximate dollar value of shares that may be purchased under the $30.0 million share repurchase program approved by our Board of Directors on August 16, 2022. We completed the share repurchase program during the fourth quarter. In total, 7,805,226 shares were repurchased for $30.0 million, excluding brokerage commissions, or an average share price of $3.84 per share (or for $30.2 million, inclusive of brokerage commission, or an average share price of $3.87 per share).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graph and table below present our cumulative total stockholder returns relative to the performance of the S&amp;P SmallCap 600 and the Dow Jones U.S. Furnishings Index for the period commencing December 31, 2017 and ending December 31, 2022, the last trading day of fiscal year 2022. The comparison assumes $100 invested at the close of trading on December 31, 2017 in (i) our common stock, (ii) the stocks comprising the S&amp;P SmallCap 600, and (iii) the stocks comprising the Dow Jones U.S. Furnishings Index. All values assume that all dividends were reinvested on the date paid. The points on the graph represent fiscal year-end amounts based on the last trading day in each fiscal year.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112395</wp:posOffset>
            </wp:positionV>
            <wp:extent cx="6052185" cy="1654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218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Dow Jones</w:t>
            </w:r>
          </w:p>
        </w:tc>
      </w:tr>
      <w:tr>
        <w:trPr>
          <w:trHeight w:val="230"/>
        </w:trPr>
        <w:tc>
          <w:tcPr>
            <w:tcW w:w="3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100" w:type="dxa"/>
            <w:vAlign w:val="bottom"/>
            <w:gridSpan w:val="3"/>
          </w:tcPr>
          <w:p>
            <w:pPr>
              <w:ind w:left="140"/>
              <w:spacing w:after="0"/>
              <w:rPr>
                <w:sz w:val="20"/>
                <w:szCs w:val="20"/>
                <w:color w:val="auto"/>
              </w:rPr>
            </w:pPr>
            <w:r>
              <w:rPr>
                <w:rFonts w:ascii="Arial" w:cs="Arial" w:eastAsia="Arial" w:hAnsi="Arial"/>
                <w:sz w:val="18"/>
                <w:szCs w:val="18"/>
                <w:color w:val="auto"/>
              </w:rPr>
              <w:t>Tile Shop Holdings, Inc.</w:t>
            </w:r>
          </w:p>
        </w:tc>
        <w:tc>
          <w:tcPr>
            <w:tcW w:w="12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color w:val="auto"/>
              </w:rPr>
              <w:t>S&amp;P SmallCap 600</w:t>
            </w:r>
          </w:p>
        </w:tc>
        <w:tc>
          <w:tcPr>
            <w:tcW w:w="100" w:type="dxa"/>
            <w:vAlign w:val="bottom"/>
          </w:tcPr>
          <w:p>
            <w:pPr>
              <w:spacing w:after="0"/>
              <w:rPr>
                <w:sz w:val="20"/>
                <w:szCs w:val="20"/>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color w:val="auto"/>
                <w:w w:val="92"/>
              </w:rPr>
              <w:t>U‎.S. Furnishings Index</w:t>
            </w:r>
          </w:p>
        </w:tc>
      </w:tr>
      <w:tr>
        <w:trPr>
          <w:trHeight w:val="183"/>
        </w:trPr>
        <w:tc>
          <w:tcPr>
            <w:tcW w:w="3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December 31, 2017</w:t>
            </w:r>
          </w:p>
        </w:tc>
        <w:tc>
          <w:tcPr>
            <w:tcW w:w="20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9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100.00</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December 31, 2018</w:t>
            </w:r>
          </w:p>
        </w:tc>
        <w:tc>
          <w:tcPr>
            <w:tcW w:w="2880" w:type="dxa"/>
            <w:vAlign w:val="bottom"/>
            <w:gridSpan w:val="2"/>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58.81</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90.25</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line="189" w:lineRule="exact"/>
              <w:rPr>
                <w:sz w:val="20"/>
                <w:szCs w:val="20"/>
                <w:color w:val="auto"/>
              </w:rPr>
            </w:pPr>
            <w:r>
              <w:rPr>
                <w:rFonts w:ascii="Arial" w:cs="Arial" w:eastAsia="Arial" w:hAnsi="Arial"/>
                <w:sz w:val="18"/>
                <w:szCs w:val="18"/>
                <w:color w:val="auto"/>
              </w:rPr>
              <w:t>56.57</w:t>
            </w: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2019</w:t>
            </w:r>
          </w:p>
        </w:tc>
        <w:tc>
          <w:tcPr>
            <w:tcW w:w="2880" w:type="dxa"/>
            <w:vAlign w:val="bottom"/>
            <w:gridSpan w:val="2"/>
            <w:shd w:val="clear" w:color="auto" w:fill="CCEEFF"/>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76.64</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8"/>
                <w:szCs w:val="18"/>
                <w:color w:val="auto"/>
              </w:rPr>
              <w:t>December 31, 2020</w:t>
            </w:r>
          </w:p>
        </w:tc>
        <w:tc>
          <w:tcPr>
            <w:tcW w:w="2880" w:type="dxa"/>
            <w:vAlign w:val="bottom"/>
            <w:gridSpan w:val="2"/>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47.82</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119.51</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line="189" w:lineRule="exact"/>
              <w:rPr>
                <w:sz w:val="20"/>
                <w:szCs w:val="20"/>
                <w:color w:val="auto"/>
              </w:rPr>
            </w:pPr>
            <w:r>
              <w:rPr>
                <w:rFonts w:ascii="Arial" w:cs="Arial" w:eastAsia="Arial" w:hAnsi="Arial"/>
                <w:sz w:val="18"/>
                <w:szCs w:val="18"/>
                <w:color w:val="auto"/>
              </w:rPr>
              <w:t>78.00</w:t>
            </w:r>
          </w:p>
        </w:tc>
      </w:tr>
      <w:tr>
        <w:trPr>
          <w:trHeight w:val="189"/>
        </w:trPr>
        <w:tc>
          <w:tcPr>
            <w:tcW w:w="3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December 31, 2021</w:t>
            </w:r>
          </w:p>
        </w:tc>
        <w:tc>
          <w:tcPr>
            <w:tcW w:w="2880" w:type="dxa"/>
            <w:vAlign w:val="bottom"/>
            <w:gridSpan w:val="2"/>
            <w:shd w:val="clear" w:color="auto" w:fill="CCEEFF"/>
          </w:tcPr>
          <w:p>
            <w:pPr>
              <w:jc w:val="right"/>
              <w:ind w:right="69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80.37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149.71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101.31</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December 31, 2022</w:t>
            </w:r>
          </w:p>
        </w:tc>
        <w:tc>
          <w:tcPr>
            <w:tcW w:w="28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49.37</w:t>
            </w: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123.63</w:t>
            </w: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67.57</w:t>
            </w:r>
          </w:p>
        </w:tc>
      </w:tr>
      <w:tr>
        <w:trPr>
          <w:trHeight w:val="593"/>
        </w:trPr>
        <w:tc>
          <w:tcPr>
            <w:tcW w:w="3440" w:type="dxa"/>
            <w:vAlign w:val="bottom"/>
          </w:tcPr>
          <w:p>
            <w:pPr>
              <w:spacing w:after="0"/>
              <w:rPr>
                <w:sz w:val="24"/>
                <w:szCs w:val="24"/>
                <w:color w:val="auto"/>
              </w:rPr>
            </w:pPr>
          </w:p>
        </w:tc>
        <w:tc>
          <w:tcPr>
            <w:tcW w:w="2880" w:type="dxa"/>
            <w:vAlign w:val="bottom"/>
            <w:gridSpan w:val="2"/>
          </w:tcPr>
          <w:p>
            <w:pPr>
              <w:jc w:val="right"/>
              <w:ind w:right="510"/>
              <w:spacing w:after="0"/>
              <w:rPr>
                <w:sz w:val="20"/>
                <w:szCs w:val="20"/>
                <w:color w:val="auto"/>
              </w:rPr>
            </w:pPr>
            <w:r>
              <w:rPr>
                <w:rFonts w:ascii="Arial" w:cs="Arial" w:eastAsia="Arial" w:hAnsi="Arial"/>
                <w:sz w:val="18"/>
                <w:szCs w:val="18"/>
                <w:color w:val="auto"/>
              </w:rPr>
              <w:t>19</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7"/>
        </w:trPr>
        <w:tc>
          <w:tcPr>
            <w:tcW w:w="34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following table sets forth selected historical financial information derived from (i) our audited financial statements included elsewhere in this report as of December 31, 2022 and 2021 and for the years ended December 31, 2022, 2021, and 2020 and (ii) our audited financial statements not included elsewhere in this report as of December 31, 2020, 2019, and 2018 and for the years ended December 31, 2019 and 2018.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11"/>
          </w:tcPr>
          <w:p>
            <w:pPr>
              <w:ind w:left="160"/>
              <w:spacing w:after="0"/>
              <w:rPr>
                <w:sz w:val="20"/>
                <w:szCs w:val="20"/>
                <w:color w:val="auto"/>
              </w:rPr>
            </w:pPr>
            <w:r>
              <w:rPr>
                <w:rFonts w:ascii="Arial" w:cs="Arial" w:eastAsia="Arial" w:hAnsi="Arial"/>
                <w:sz w:val="18"/>
                <w:szCs w:val="18"/>
                <w:color w:val="auto"/>
              </w:rPr>
              <w:t>As of December 31, or for the year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89"/>
              </w:rPr>
              <w:t>2019</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2018</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7"/>
          </w:tcPr>
          <w:p>
            <w:pPr>
              <w:jc w:val="right"/>
              <w:spacing w:after="0"/>
              <w:rPr>
                <w:sz w:val="20"/>
                <w:szCs w:val="20"/>
                <w:color w:val="auto"/>
              </w:rPr>
            </w:pPr>
            <w:r>
              <w:rPr>
                <w:rFonts w:ascii="Arial" w:cs="Arial" w:eastAsia="Arial" w:hAnsi="Arial"/>
                <w:sz w:val="18"/>
                <w:szCs w:val="18"/>
                <w:color w:val="auto"/>
              </w:rPr>
              <w:t>(in thousands, except per share data)</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4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394,702</w:t>
            </w: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370,700</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325,057</w:t>
            </w:r>
          </w:p>
        </w:tc>
        <w:tc>
          <w:tcPr>
            <w:tcW w:w="760" w:type="dxa"/>
            <w:vAlign w:val="bottom"/>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340,351</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357,254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135,765</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117,570</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98"/>
              </w:rPr>
              <w:t>104,232</w:t>
            </w:r>
          </w:p>
        </w:tc>
        <w:tc>
          <w:tcPr>
            <w:tcW w:w="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105,915</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258,937</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253,130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236,119</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251,339</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line="161" w:lineRule="exact"/>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expenses</w:t>
            </w:r>
          </w:p>
        </w:tc>
        <w:tc>
          <w:tcPr>
            <w:tcW w:w="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236,328</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232,520</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215,149</w:t>
            </w: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237,476</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2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22,609</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18,138</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(1,579)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(656)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440"/>
              <w:spacing w:after="0" w:line="189" w:lineRule="exact"/>
              <w:rPr>
                <w:sz w:val="20"/>
                <w:szCs w:val="20"/>
                <w:color w:val="auto"/>
              </w:rPr>
            </w:pPr>
            <w:r>
              <w:rPr>
                <w:rFonts w:ascii="Arial" w:cs="Arial" w:eastAsia="Arial" w:hAnsi="Arial"/>
                <w:sz w:val="18"/>
                <w:szCs w:val="18"/>
                <w:color w:val="auto"/>
              </w:rPr>
              <w:t>(3,792)</w:t>
            </w: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21,030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19,954</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4,502</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(5,137)</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15,600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(5,327)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(5,180)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c>
          <w:tcPr>
            <w:tcW w:w="4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c>
          <w:tcPr>
            <w:tcW w:w="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15,703</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14,774</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6,031</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(4,463)</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10,442</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(loss) per share</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0.32</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0.12</w:t>
            </w: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line="161" w:lineRule="exact"/>
              <w:rPr>
                <w:sz w:val="20"/>
                <w:szCs w:val="20"/>
                <w:color w:val="auto"/>
              </w:rPr>
            </w:pPr>
            <w:r>
              <w:rPr>
                <w:rFonts w:ascii="Arial" w:cs="Arial" w:eastAsia="Arial" w:hAnsi="Arial"/>
                <w:sz w:val="18"/>
                <w:szCs w:val="18"/>
                <w:color w:val="auto"/>
              </w:rPr>
              <w:t>Weighted average shares</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outstanding (diluted)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49,247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51,085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50,584</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50,624</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52,089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 Sheet Data</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5,948</w:t>
            </w:r>
          </w:p>
        </w:tc>
        <w:tc>
          <w:tcPr>
            <w:tcW w:w="300" w:type="dxa"/>
            <w:vAlign w:val="bottom"/>
          </w:tcPr>
          <w:p>
            <w:pPr>
              <w:spacing w:after="0"/>
              <w:rPr>
                <w:sz w:val="16"/>
                <w:szCs w:val="16"/>
                <w:color w:val="auto"/>
              </w:rPr>
            </w:pPr>
          </w:p>
        </w:tc>
        <w:tc>
          <w:tcPr>
            <w:tcW w:w="28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9,358</w:t>
            </w:r>
          </w:p>
        </w:tc>
        <w:tc>
          <w:tcPr>
            <w:tcW w:w="300" w:type="dxa"/>
            <w:vAlign w:val="bottom"/>
          </w:tcPr>
          <w:p>
            <w:pPr>
              <w:spacing w:after="0"/>
              <w:rPr>
                <w:sz w:val="16"/>
                <w:szCs w:val="16"/>
                <w:color w:val="auto"/>
              </w:rPr>
            </w:pPr>
          </w:p>
        </w:tc>
        <w:tc>
          <w:tcPr>
            <w:tcW w:w="380" w:type="dxa"/>
            <w:vAlign w:val="bottom"/>
            <w:gridSpan w:val="2"/>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9,617</w:t>
            </w:r>
          </w:p>
        </w:tc>
        <w:tc>
          <w:tcPr>
            <w:tcW w:w="76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9,104</w:t>
            </w:r>
          </w:p>
        </w:tc>
        <w:tc>
          <w:tcPr>
            <w:tcW w:w="4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5,557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120,952</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97,175</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74,296</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97,620</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110,095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345,822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340,758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342,690</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w w:val="98"/>
              </w:rPr>
              <w:t>399,814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297,630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Lease obligations</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131,219</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138,451</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149,901</w:t>
            </w: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158,718</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80" w:type="dxa"/>
            <w:vAlign w:val="bottom"/>
          </w:tcPr>
          <w:p>
            <w:pPr>
              <w:spacing w:after="0" w:line="256" w:lineRule="exact"/>
              <w:rPr>
                <w:sz w:val="20"/>
                <w:szCs w:val="20"/>
                <w:color w:val="auto"/>
              </w:rPr>
            </w:pPr>
            <w:r>
              <w:rPr>
                <w:rFonts w:ascii="Arial" w:cs="Arial" w:eastAsia="Arial" w:hAnsi="Arial"/>
                <w:sz w:val="18"/>
                <w:szCs w:val="18"/>
                <w:color w:val="auto"/>
              </w:rPr>
              <w:t>Total debt</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45,400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63,000</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53,000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108,769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122,224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139,062</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130,899</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146,347</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Working capital</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63,112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29,369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27,850</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52,329</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79,774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Data</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line="161" w:lineRule="exact"/>
              <w:rPr>
                <w:sz w:val="20"/>
                <w:szCs w:val="20"/>
                <w:color w:val="auto"/>
              </w:rPr>
            </w:pPr>
            <w:r>
              <w:rPr>
                <w:rFonts w:ascii="Arial" w:cs="Arial" w:eastAsia="Arial" w:hAnsi="Arial"/>
                <w:sz w:val="18"/>
                <w:szCs w:val="18"/>
                <w:color w:val="auto"/>
              </w:rPr>
              <w:t>Net cash provided by operating</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2,715</w:t>
            </w:r>
          </w:p>
        </w:tc>
        <w:tc>
          <w:tcPr>
            <w:tcW w:w="30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39,691</w:t>
            </w:r>
          </w:p>
        </w:tc>
        <w:tc>
          <w:tcPr>
            <w:tcW w:w="300" w:type="dxa"/>
            <w:vAlign w:val="bottom"/>
          </w:tcPr>
          <w:p>
            <w:pPr>
              <w:spacing w:after="0"/>
              <w:rPr>
                <w:sz w:val="20"/>
                <w:szCs w:val="20"/>
                <w:color w:val="auto"/>
              </w:rPr>
            </w:pP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65,596</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38,563</w:t>
            </w:r>
          </w:p>
        </w:tc>
        <w:tc>
          <w:tcPr>
            <w:tcW w:w="44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18,170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(14,027)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(11,070)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(1,968)</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8"/>
                <w:szCs w:val="18"/>
                <w:color w:val="auto"/>
              </w:rPr>
              <w:t>(26,390)</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(34,143)</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line="161" w:lineRule="exact"/>
              <w:rPr>
                <w:sz w:val="20"/>
                <w:szCs w:val="20"/>
                <w:color w:val="auto"/>
              </w:rPr>
            </w:pPr>
            <w:r>
              <w:rPr>
                <w:rFonts w:ascii="Arial" w:cs="Arial" w:eastAsia="Arial" w:hAnsi="Arial"/>
                <w:sz w:val="18"/>
                <w:szCs w:val="18"/>
                <w:color w:val="auto"/>
              </w:rPr>
              <w:t>Net cash provided by (used in)</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(28,902)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(63,329)</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(8,622)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14,931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3480" w:type="dxa"/>
            <w:vAlign w:val="bottom"/>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Other Selected Financial Data</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(unaudited)</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8"/>
                <w:szCs w:val="18"/>
                <w:color w:val="auto"/>
              </w:rPr>
              <w:t>Dividends paid per share</w:t>
            </w:r>
          </w:p>
        </w:tc>
        <w:tc>
          <w:tcPr>
            <w:tcW w:w="62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28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0.65</w:t>
            </w:r>
          </w:p>
        </w:tc>
        <w:tc>
          <w:tcPr>
            <w:tcW w:w="300" w:type="dxa"/>
            <w:vAlign w:val="bottom"/>
          </w:tcPr>
          <w:p>
            <w:pPr>
              <w:spacing w:after="0"/>
              <w:rPr>
                <w:sz w:val="16"/>
                <w:szCs w:val="16"/>
                <w:color w:val="auto"/>
              </w:rPr>
            </w:pPr>
          </w:p>
        </w:tc>
        <w:tc>
          <w:tcPr>
            <w:tcW w:w="380" w:type="dxa"/>
            <w:vAlign w:val="bottom"/>
            <w:gridSpan w:val="2"/>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0.15</w:t>
            </w:r>
          </w:p>
        </w:tc>
        <w:tc>
          <w:tcPr>
            <w:tcW w:w="4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49,583</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50,255</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c>
          <w:tcPr>
            <w:tcW w:w="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49,355</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80" w:type="dxa"/>
            <w:vAlign w:val="bottom"/>
          </w:tcPr>
          <w:p>
            <w:pPr>
              <w:spacing w:after="0" w:line="25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(3)</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12.6 %</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13.6 %</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12.3 %</w:t>
            </w:r>
          </w:p>
        </w:tc>
        <w:tc>
          <w:tcPr>
            <w:tcW w:w="3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22"/>
                <w:szCs w:val="22"/>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Gross margin rate</w:t>
            </w:r>
            <w:r>
              <w:rPr>
                <w:rFonts w:ascii="Arial" w:cs="Arial" w:eastAsia="Arial" w:hAnsi="Arial"/>
                <w:sz w:val="29"/>
                <w:szCs w:val="29"/>
                <w:color w:val="auto"/>
                <w:vertAlign w:val="superscript"/>
              </w:rPr>
              <w:t>(4)</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65.6 %</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68.3 %</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68.1 %</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69.4 %</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70.4 %</w:t>
            </w:r>
          </w:p>
        </w:tc>
        <w:tc>
          <w:tcPr>
            <w:tcW w:w="0" w:type="dxa"/>
            <w:vAlign w:val="bottom"/>
          </w:tcPr>
          <w:p>
            <w:pPr>
              <w:spacing w:after="0"/>
              <w:rPr>
                <w:sz w:val="1"/>
                <w:szCs w:val="1"/>
                <w:color w:val="auto"/>
              </w:rPr>
            </w:pPr>
          </w:p>
        </w:tc>
      </w:tr>
      <w:tr>
        <w:trPr>
          <w:trHeight w:val="256"/>
        </w:trPr>
        <w:tc>
          <w:tcPr>
            <w:tcW w:w="3480" w:type="dxa"/>
            <w:vAlign w:val="bottom"/>
          </w:tcPr>
          <w:p>
            <w:pPr>
              <w:spacing w:after="0" w:line="256" w:lineRule="exact"/>
              <w:rPr>
                <w:sz w:val="20"/>
                <w:szCs w:val="20"/>
                <w:color w:val="auto"/>
              </w:rPr>
            </w:pPr>
            <w:r>
              <w:rPr>
                <w:rFonts w:ascii="Arial" w:cs="Arial" w:eastAsia="Arial" w:hAnsi="Arial"/>
                <w:sz w:val="18"/>
                <w:szCs w:val="18"/>
                <w:color w:val="auto"/>
              </w:rPr>
              <w:t>Operating income (loss) margin</w:t>
            </w:r>
            <w:r>
              <w:rPr>
                <w:rFonts w:ascii="Arial" w:cs="Arial" w:eastAsia="Arial" w:hAnsi="Arial"/>
                <w:sz w:val="29"/>
                <w:szCs w:val="29"/>
                <w:color w:val="auto"/>
                <w:vertAlign w:val="superscript"/>
              </w:rPr>
              <w:t>(5)</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9"/>
              </w:rPr>
              <w:t>Comparable store sales (decline) growth</w:t>
            </w:r>
            <w:r>
              <w:rPr>
                <w:rFonts w:ascii="Arial" w:cs="Arial" w:eastAsia="Arial" w:hAnsi="Arial"/>
                <w:sz w:val="29"/>
                <w:szCs w:val="29"/>
                <w:color w:val="auto"/>
                <w:w w:val="99"/>
                <w:vertAlign w:val="superscript"/>
              </w:rPr>
              <w:t>(6)</w:t>
            </w: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670"/>
              <w:spacing w:after="0"/>
              <w:rPr>
                <w:sz w:val="20"/>
                <w:szCs w:val="20"/>
                <w:color w:val="auto"/>
              </w:rPr>
            </w:pPr>
            <w:r>
              <w:rPr>
                <w:rFonts w:ascii="Arial" w:cs="Arial" w:eastAsia="Arial" w:hAnsi="Arial"/>
                <w:sz w:val="18"/>
                <w:szCs w:val="18"/>
                <w:color w:val="auto"/>
                <w:w w:val="89"/>
              </w:rPr>
              <w:t>20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right="60" w:hanging="432"/>
        <w:spacing w:after="0" w:line="234" w:lineRule="auto"/>
        <w:tabs>
          <w:tab w:leader="none" w:pos="4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On January 1, 2019, we adopted Accounting Standards Codification (“ASC”) 842 which requires organizations that lease assets to recognize the rights and obligations created by those leases on the consolidated balance sheet. Upon adopting this standard, we established a right of use asset of $147.2 million and lease liabilities of $169.9 million, reduced deferred rent by $44.6 million, and recorded a cumulative effect adjustment to retained earnings of $22.0 million. The change in useful life assigned to certain leasehold improvements triggered by the Company’s election to apply the hindsight practical expedient resulted in a $15.3 million reduction in fixed assets and retained earnings. The net impact of the cumulative effect adjustments also resulted in a $1.7 million reduction of deferred tax assets and a corresponding adjustment to retained earnings.</w:t>
      </w:r>
    </w:p>
    <w:p>
      <w:pPr>
        <w:spacing w:after="0" w:line="2" w:lineRule="exact"/>
        <w:rPr>
          <w:rFonts w:ascii="Arial" w:cs="Arial" w:eastAsia="Arial" w:hAnsi="Arial"/>
          <w:sz w:val="27"/>
          <w:szCs w:val="27"/>
          <w:color w:val="auto"/>
          <w:vertAlign w:val="superscript"/>
        </w:rPr>
      </w:pPr>
    </w:p>
    <w:p>
      <w:pPr>
        <w:ind w:left="440" w:hanging="432"/>
        <w:spacing w:after="0" w:line="184" w:lineRule="auto"/>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Total debt includes current maturities of long-term debt and long-term debt balances.</w:t>
      </w:r>
    </w:p>
    <w:p>
      <w:pPr>
        <w:spacing w:after="0" w:line="42" w:lineRule="exact"/>
        <w:rPr>
          <w:rFonts w:ascii="Arial" w:cs="Arial" w:eastAsia="Arial" w:hAnsi="Arial"/>
          <w:sz w:val="29"/>
          <w:szCs w:val="29"/>
          <w:color w:val="auto"/>
          <w:vertAlign w:val="superscript"/>
        </w:rPr>
      </w:pPr>
    </w:p>
    <w:p>
      <w:pPr>
        <w:ind w:left="440" w:right="20" w:hanging="432"/>
        <w:spacing w:after="0" w:line="237" w:lineRule="auto"/>
        <w:tabs>
          <w:tab w:leader="none" w:pos="4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6" w:lineRule="exact"/>
        <w:rPr>
          <w:rFonts w:ascii="Arial" w:cs="Arial" w:eastAsia="Arial" w:hAnsi="Arial"/>
          <w:sz w:val="27"/>
          <w:szCs w:val="27"/>
          <w:color w:val="auto"/>
          <w:vertAlign w:val="superscript"/>
        </w:rPr>
      </w:pPr>
    </w:p>
    <w:p>
      <w:pPr>
        <w:ind w:left="440" w:hanging="432"/>
        <w:spacing w:after="0" w:line="187" w:lineRule="auto"/>
        <w:tabs>
          <w:tab w:leader="none" w:pos="4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Gross margin rate is equal to gross profit divided by net sales.</w:t>
      </w:r>
    </w:p>
    <w:p>
      <w:pPr>
        <w:spacing w:after="0" w:line="43" w:lineRule="exact"/>
        <w:rPr>
          <w:rFonts w:ascii="Arial" w:cs="Arial" w:eastAsia="Arial" w:hAnsi="Arial"/>
          <w:sz w:val="30"/>
          <w:szCs w:val="30"/>
          <w:color w:val="auto"/>
          <w:vertAlign w:val="superscript"/>
        </w:rPr>
      </w:pPr>
    </w:p>
    <w:p>
      <w:pPr>
        <w:ind w:left="440" w:hanging="432"/>
        <w:spacing w:after="0" w:line="194" w:lineRule="auto"/>
        <w:tabs>
          <w:tab w:leader="none" w:pos="44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Operating income (loss) margin is equal to income (loss) from operations divided by net sales.</w:t>
      </w:r>
    </w:p>
    <w:p>
      <w:pPr>
        <w:spacing w:after="0" w:line="56" w:lineRule="exact"/>
        <w:rPr>
          <w:rFonts w:ascii="Arial" w:cs="Arial" w:eastAsia="Arial" w:hAnsi="Arial"/>
          <w:sz w:val="23"/>
          <w:szCs w:val="23"/>
          <w:color w:val="auto"/>
          <w:vertAlign w:val="superscript"/>
        </w:rPr>
      </w:pPr>
    </w:p>
    <w:p>
      <w:pPr>
        <w:ind w:left="440" w:right="60" w:hanging="432"/>
        <w:spacing w:after="0" w:line="233" w:lineRule="auto"/>
        <w:tabs>
          <w:tab w:leader="none" w:pos="4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Comparable store sales growth (decline)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(decline) amounts include total charges to customers less any actual returns. We include the change in the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Adjusted EBITDA to GAAP Net Income (Loss)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Adjusted EBITDA to net income (loss) for the years ended December 31, 2018 through December 31, 2022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8"/>
                <w:szCs w:val="18"/>
                <w:color w:val="auto"/>
              </w:rPr>
              <w:t>Years Ended December 31,</w:t>
            </w: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4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2018</w:t>
            </w:r>
          </w:p>
        </w:tc>
      </w:tr>
      <w:tr>
        <w:trPr>
          <w:trHeight w:val="18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right"/>
              <w:ind w:right="380"/>
              <w:spacing w:after="0" w:line="182" w:lineRule="exact"/>
              <w:rPr>
                <w:sz w:val="20"/>
                <w:szCs w:val="20"/>
                <w:color w:val="auto"/>
              </w:rPr>
            </w:pPr>
            <w:r>
              <w:rPr>
                <w:rFonts w:ascii="Arial" w:cs="Arial" w:eastAsia="Arial" w:hAnsi="Arial"/>
                <w:sz w:val="18"/>
                <w:szCs w:val="18"/>
                <w:color w:val="auto"/>
                <w:w w:val="91"/>
              </w:rPr>
              <w:t>(in thousands)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15,703</w:t>
            </w:r>
          </w:p>
        </w:tc>
        <w:tc>
          <w:tcPr>
            <w:tcW w:w="4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(4,463)</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1,579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656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3,792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5,327</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(1,529)</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25,142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27,379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31,336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33,546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28,396</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2,645</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2,669</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49,583</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50,255</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39,953</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34,846</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49,355</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a percentage of net sales for the years ended December 31, 2018 through December 31, 2022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Years Ended December 31,</w:t>
            </w: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r>
      <w:tr>
        <w:trPr>
          <w:trHeight w:val="250"/>
        </w:trPr>
        <w:tc>
          <w:tcPr>
            <w:tcW w:w="43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line="250" w:lineRule="exact"/>
              <w:rPr>
                <w:sz w:val="20"/>
                <w:szCs w:val="20"/>
                <w:color w:val="auto"/>
              </w:rPr>
            </w:pPr>
            <w:r>
              <w:rPr>
                <w:rFonts w:ascii="Arial" w:cs="Arial" w:eastAsia="Arial" w:hAnsi="Arial"/>
                <w:sz w:val="17"/>
                <w:szCs w:val="17"/>
                <w:color w:val="auto"/>
                <w:w w:val="95"/>
              </w:rPr>
              <w:t>2019</w:t>
            </w:r>
            <w:r>
              <w:rPr>
                <w:rFonts w:ascii="Arial" w:cs="Arial" w:eastAsia="Arial" w:hAnsi="Arial"/>
                <w:sz w:val="28"/>
                <w:szCs w:val="28"/>
                <w:color w:val="auto"/>
                <w:w w:val="95"/>
                <w:vertAlign w:val="superscript"/>
              </w:rPr>
              <w:t>(1)</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70"/>
              <w:spacing w:after="0" w:line="250" w:lineRule="exact"/>
              <w:rPr>
                <w:sz w:val="20"/>
                <w:szCs w:val="20"/>
                <w:color w:val="auto"/>
              </w:rPr>
            </w:pPr>
            <w:r>
              <w:rPr>
                <w:rFonts w:ascii="Arial" w:cs="Arial" w:eastAsia="Arial" w:hAnsi="Arial"/>
                <w:sz w:val="17"/>
                <w:szCs w:val="17"/>
                <w:color w:val="auto"/>
              </w:rPr>
              <w:t>2018</w:t>
            </w:r>
            <w:r>
              <w:rPr>
                <w:rFonts w:ascii="Arial" w:cs="Arial" w:eastAsia="Arial" w:hAnsi="Arial"/>
                <w:sz w:val="28"/>
                <w:szCs w:val="28"/>
                <w:color w:val="auto"/>
                <w:vertAlign w:val="superscript"/>
              </w:rPr>
              <w:t>(1)</w:t>
            </w:r>
          </w:p>
        </w:tc>
      </w:tr>
      <w:tr>
        <w:trPr>
          <w:trHeight w:val="183"/>
        </w:trPr>
        <w:tc>
          <w:tcPr>
            <w:tcW w:w="4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center"/>
              <w:ind w:right="420"/>
              <w:spacing w:after="0" w:line="182" w:lineRule="exact"/>
              <w:rPr>
                <w:sz w:val="20"/>
                <w:szCs w:val="20"/>
                <w:color w:val="auto"/>
              </w:rPr>
            </w:pPr>
            <w:r>
              <w:rPr>
                <w:rFonts w:ascii="Arial" w:cs="Arial" w:eastAsia="Arial" w:hAnsi="Arial"/>
                <w:sz w:val="18"/>
                <w:szCs w:val="18"/>
                <w:color w:val="auto"/>
                <w:w w:val="88"/>
              </w:rPr>
              <w:t>% of net sales</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0.4</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6"/>
                <w:szCs w:val="16"/>
                <w:color w:val="auto"/>
              </w:rPr>
            </w:pPr>
          </w:p>
        </w:tc>
        <w:tc>
          <w:tcPr>
            <w:tcW w:w="120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0.6</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0.8</w:t>
            </w:r>
          </w:p>
        </w:tc>
        <w:tc>
          <w:tcPr>
            <w:tcW w:w="460" w:type="dxa"/>
            <w:vAlign w:val="bottom"/>
          </w:tcPr>
          <w:p>
            <w:pPr>
              <w:spacing w:after="0"/>
              <w:rPr>
                <w:sz w:val="16"/>
                <w:szCs w:val="16"/>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6"/>
                <w:szCs w:val="16"/>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6.4</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6"/>
                <w:szCs w:val="16"/>
                <w:color w:val="auto"/>
              </w:rPr>
            </w:pPr>
          </w:p>
        </w:tc>
        <w:tc>
          <w:tcPr>
            <w:tcW w:w="120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9.6</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0"/>
              <w:spacing w:after="0" w:line="189" w:lineRule="exact"/>
              <w:rPr>
                <w:sz w:val="20"/>
                <w:szCs w:val="20"/>
                <w:color w:val="auto"/>
              </w:rPr>
            </w:pPr>
            <w:r>
              <w:rPr>
                <w:rFonts w:ascii="Arial" w:cs="Arial" w:eastAsia="Arial" w:hAnsi="Arial"/>
                <w:sz w:val="18"/>
                <w:szCs w:val="18"/>
                <w:color w:val="auto"/>
              </w:rPr>
              <w:t>9.9</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7.9</w:t>
            </w:r>
          </w:p>
        </w:tc>
        <w:tc>
          <w:tcPr>
            <w:tcW w:w="460" w:type="dxa"/>
            <w:vAlign w:val="bottom"/>
          </w:tcPr>
          <w:p>
            <w:pPr>
              <w:spacing w:after="0"/>
              <w:rPr>
                <w:sz w:val="16"/>
                <w:szCs w:val="16"/>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0"/>
              <w:spacing w:after="0" w:line="189" w:lineRule="exact"/>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6"/>
                <w:szCs w:val="16"/>
                <w:color w:val="auto"/>
              </w:rPr>
            </w:pPr>
          </w:p>
        </w:tc>
      </w:tr>
      <w:tr>
        <w:trPr>
          <w:trHeight w:val="183"/>
        </w:trPr>
        <w:tc>
          <w:tcPr>
            <w:tcW w:w="43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22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Arial" w:cs="Arial" w:eastAsia="Arial" w:hAnsi="Arial"/>
                <w:sz w:val="18"/>
                <w:szCs w:val="18"/>
                <w:color w:val="auto"/>
              </w:rPr>
              <w:t>12.6 %</w:t>
            </w:r>
          </w:p>
        </w:tc>
        <w:tc>
          <w:tcPr>
            <w:tcW w:w="180" w:type="dxa"/>
            <w:vAlign w:val="bottom"/>
          </w:tcPr>
          <w:p>
            <w:pPr>
              <w:spacing w:after="0"/>
              <w:rPr>
                <w:sz w:val="15"/>
                <w:szCs w:val="15"/>
                <w:color w:val="auto"/>
              </w:rPr>
            </w:pPr>
          </w:p>
        </w:tc>
        <w:tc>
          <w:tcPr>
            <w:tcW w:w="10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13.6 %</w:t>
            </w: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Arial" w:cs="Arial" w:eastAsia="Arial" w:hAnsi="Arial"/>
                <w:sz w:val="18"/>
                <w:szCs w:val="18"/>
                <w:color w:val="auto"/>
              </w:rPr>
              <w:t>12.3 %</w:t>
            </w:r>
          </w:p>
        </w:tc>
        <w:tc>
          <w:tcPr>
            <w:tcW w:w="1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10.2 %</w:t>
            </w:r>
          </w:p>
        </w:tc>
        <w:tc>
          <w:tcPr>
            <w:tcW w:w="180" w:type="dxa"/>
            <w:vAlign w:val="bottom"/>
          </w:tcPr>
          <w:p>
            <w:pPr>
              <w:spacing w:after="0"/>
              <w:rPr>
                <w:sz w:val="15"/>
                <w:szCs w:val="15"/>
                <w:color w:val="auto"/>
              </w:rPr>
            </w:pPr>
          </w:p>
        </w:tc>
        <w:tc>
          <w:tcPr>
            <w:tcW w:w="1260" w:type="dxa"/>
            <w:vAlign w:val="bottom"/>
            <w:tcBorders>
              <w:top w:val="single" w:sz="8" w:color="auto"/>
              <w:bottom w:val="single" w:sz="8" w:color="auto"/>
            </w:tcBorders>
            <w:gridSpan w:val="2"/>
          </w:tcPr>
          <w:p>
            <w:pPr>
              <w:jc w:val="right"/>
              <w:ind w:right="170"/>
              <w:spacing w:after="0" w:line="182" w:lineRule="exact"/>
              <w:rPr>
                <w:sz w:val="20"/>
                <w:szCs w:val="20"/>
                <w:color w:val="auto"/>
              </w:rPr>
            </w:pPr>
            <w:r>
              <w:rPr>
                <w:rFonts w:ascii="Arial" w:cs="Arial" w:eastAsia="Arial" w:hAnsi="Arial"/>
                <w:sz w:val="18"/>
                <w:szCs w:val="18"/>
                <w:color w:val="auto"/>
              </w:rPr>
              <w:t>13.8 %</w:t>
            </w:r>
          </w:p>
        </w:tc>
      </w:tr>
      <w:tr>
        <w:trPr>
          <w:trHeight w:val="20"/>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Amounts do not foot due to rounding.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You should read the following discussion and analysis together with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our anticipated new store openings, remodeling plans, and growth opportunities; our business strengths, marketing strategies, competitive advantages and role in our industry and markets; an overall decline in the health of the economy, the tile industry, consumer confidence and spending, and the housing market, including as a result of rising inflation or interest rates, the possibility of an economic recession, or the COVID-19 pandemic; our expectations regarding the potential impacts on our business of the COVID-19 pandemic, including its effect on general economic conditions and credit markets, the supply chain and product availability, labor, and customer traffic to our stores; the impact of ongoing supply chain disruptions and inflationary cost pressures, including increased materials, labor, energy, and transportation costs and decreased discretionary consumer spending; our ability to successfully implement our strategic plan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the COVID-19 pandemic, geopolitical conditions, including any failure by the U.S. federal government to increase the debt ceiling, and other economic factors; supply costs and expectations, including the continued availability of sufficient products from our suppliers, risks related to relying on foreign suppliers, and the potential impact of the COVID-19 pandemic and the Russia-Ukraine conflict on, among other things, product availability and pricing and timing and cost of deliveries; our expectations with respect to ongoing compliance with the terms of the credit facility,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ESG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including recent increases in, and ongoing volatility of, oil and gas prices; the potential outcome of any legal proceedings; and risks related to ownership of our common stock.</w:t>
      </w:r>
    </w:p>
    <w:p>
      <w:pPr>
        <w:spacing w:after="0" w:line="34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These forward-looking statements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level of demand for our products;</w:t>
      </w:r>
    </w:p>
    <w:p>
      <w:pPr>
        <w:ind w:left="660" w:right="4400"/>
        <w:spacing w:after="0" w:line="219" w:lineRule="auto"/>
        <w:rPr>
          <w:sz w:val="20"/>
          <w:szCs w:val="20"/>
          <w:color w:val="auto"/>
        </w:rPr>
      </w:pPr>
      <w:r>
        <w:rPr>
          <w:rFonts w:ascii="Arial" w:cs="Arial" w:eastAsia="Arial" w:hAnsi="Arial"/>
          <w:sz w:val="18"/>
          <w:szCs w:val="18"/>
          <w:i w:val="1"/>
          <w:iCs w:val="1"/>
          <w:color w:val="auto"/>
        </w:rPr>
        <w:t>our ability to grow and remain profitable in the highly competitive retail tile industry; our ability to access additional capital when and as needed;</w:t>
      </w:r>
    </w:p>
    <w:p>
      <w:pPr>
        <w:ind w:left="340"/>
        <w:spacing w:after="0" w:line="219" w:lineRule="auto"/>
        <w:rPr>
          <w:sz w:val="20"/>
          <w:szCs w:val="20"/>
          <w:color w:val="auto"/>
        </w:rPr>
      </w:pPr>
      <w:r>
        <w:rPr>
          <w:rFonts w:ascii="Arial" w:cs="Arial" w:eastAsia="Arial" w:hAnsi="Arial"/>
          <w:sz w:val="18"/>
          <w:szCs w:val="18"/>
          <w:i w:val="1"/>
          <w:iCs w:val="1"/>
          <w:color w:val="auto"/>
        </w:rPr>
        <w:t>our ability to attract and retain qualified personnel;</w:t>
      </w:r>
    </w:p>
    <w:p>
      <w:pPr>
        <w:ind w:left="660" w:right="2500"/>
        <w:spacing w:after="0" w:line="219" w:lineRule="auto"/>
        <w:rPr>
          <w:sz w:val="20"/>
          <w:szCs w:val="20"/>
          <w:color w:val="auto"/>
        </w:rPr>
      </w:pPr>
      <w:r>
        <w:rPr>
          <w:rFonts w:ascii="Arial" w:cs="Arial" w:eastAsia="Arial" w:hAnsi="Arial"/>
          <w:sz w:val="18"/>
          <w:szCs w:val="18"/>
          <w:i w:val="1"/>
          <w:iCs w:val="1"/>
          <w:color w:val="auto"/>
        </w:rPr>
        <w:t>changes in general economic, business and industry conditions, including any economic downturn or recession; our ability to introduce new products that satisfy market demand; and</w:t>
      </w:r>
    </w:p>
    <w:p>
      <w:pPr>
        <w:ind w:left="340"/>
        <w:spacing w:after="0"/>
        <w:rPr>
          <w:sz w:val="20"/>
          <w:szCs w:val="20"/>
          <w:color w:val="auto"/>
        </w:rPr>
      </w:pPr>
      <w:r>
        <w:rPr>
          <w:rFonts w:ascii="Arial" w:cs="Arial" w:eastAsia="Arial" w:hAnsi="Arial"/>
          <w:sz w:val="17"/>
          <w:szCs w:val="17"/>
          <w:i w:val="1"/>
          <w:iCs w:val="1"/>
          <w:color w:val="auto"/>
        </w:rPr>
        <w:t>legal, regulatory, and tax developments, including additional requirements imposed by changes in domestic and foreign laws and regulations.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Part I,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required by law, we undertake no obligation to update publicly any forward-looking statements, whether as a result of new information, future events, or for any other reason.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right="18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December 31, 2022, we operated 142 stores in 31 states and the District of Columbia, with an average size of approximately 20,000 square feet.</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setting and maintenance materials, and related accessories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net sales, operating income and stores opened from 2020 to 2022.</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color w:val="auto"/>
                <w:w w:val="88"/>
              </w:rPr>
              <w:t>For the year ended December 31,</w:t>
            </w:r>
          </w:p>
        </w:tc>
        <w:tc>
          <w:tcPr>
            <w:tcW w:w="1020" w:type="dxa"/>
            <w:vAlign w:val="bottom"/>
            <w:tcBorders>
              <w:bottom w:val="single" w:sz="8" w:color="auto"/>
            </w:tcBorders>
          </w:tcPr>
          <w:p>
            <w:pPr>
              <w:spacing w:after="0"/>
              <w:rPr>
                <w:sz w:val="18"/>
                <w:szCs w:val="18"/>
                <w:color w:val="auto"/>
              </w:rPr>
            </w:pP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rPr>
              <w:t>2022</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89"/>
              </w:rPr>
              <w:t>2021</w:t>
            </w: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60" w:type="dxa"/>
            <w:vAlign w:val="bottom"/>
            <w:gridSpan w:val="4"/>
          </w:tcPr>
          <w:p>
            <w:pPr>
              <w:jc w:val="center"/>
              <w:ind w:left="630"/>
              <w:spacing w:after="0" w:line="182" w:lineRule="exact"/>
              <w:rPr>
                <w:sz w:val="20"/>
                <w:szCs w:val="20"/>
                <w:color w:val="auto"/>
              </w:rPr>
            </w:pPr>
            <w:r>
              <w:rPr>
                <w:rFonts w:ascii="Arial" w:cs="Arial" w:eastAsia="Arial" w:hAnsi="Arial"/>
                <w:sz w:val="18"/>
                <w:szCs w:val="18"/>
                <w:color w:val="auto"/>
                <w:w w:val="88"/>
              </w:rPr>
              <w:t>(in thousands, except store data)</w:t>
            </w:r>
          </w:p>
        </w:tc>
        <w:tc>
          <w:tcPr>
            <w:tcW w:w="1020" w:type="dxa"/>
            <w:vAlign w:val="bottom"/>
          </w:tcPr>
          <w:p>
            <w:pPr>
              <w:spacing w:after="0"/>
              <w:rPr>
                <w:sz w:val="15"/>
                <w:szCs w:val="15"/>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394,702</w:t>
            </w:r>
          </w:p>
        </w:tc>
        <w:tc>
          <w:tcPr>
            <w:tcW w:w="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370,700</w:t>
            </w:r>
          </w:p>
        </w:tc>
        <w:tc>
          <w:tcPr>
            <w:tcW w:w="56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325,057</w:t>
            </w: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Income from operations</w:t>
            </w:r>
          </w:p>
        </w:tc>
        <w:tc>
          <w:tcPr>
            <w:tcW w:w="2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22,609</w:t>
            </w:r>
          </w:p>
        </w:tc>
        <w:tc>
          <w:tcPr>
            <w:tcW w:w="4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20,610</w:t>
            </w:r>
          </w:p>
        </w:tc>
        <w:tc>
          <w:tcPr>
            <w:tcW w:w="56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6,376</w:t>
            </w: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2,715</w:t>
            </w:r>
          </w:p>
        </w:tc>
        <w:tc>
          <w:tcPr>
            <w:tcW w:w="4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39,691</w:t>
            </w:r>
          </w:p>
        </w:tc>
        <w:tc>
          <w:tcPr>
            <w:tcW w:w="56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65,596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New stores opened during period</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operating results are heavily dependent upon the prices paid to acquire manmade and natural store products from our vendors around the world. The cost to source our products has increased over the last couple of years due to an increase in international freight rates and vendor price increases, due in part to higher labor costs, energy prices, and other inflationary pressures. In early 2022, we were able to take steps to raise prices to pass along the cost increases we were seeing. During the second half of 2022, we observed a slowing demand following increases in interest rates and a decrease in existing home sales. In response to the macroeconomic headwinds, we took a more conservative approach to adjusting prices during the second half of 2022. This dynamic contributed to a 6.5% increase in sales at comparable stores during 2022, which was largely due to an increase in average ticket and partially offset by a decrease in volume. Additionally, the cost increases experienced in 2022 outpaced the price increases that were passed on to our customers, which resulted in a decrease in gross margin rates from 68.3% in 2021 to 65.6% in 2022.</w:t>
      </w:r>
    </w:p>
    <w:p>
      <w:pPr>
        <w:spacing w:after="0" w:line="16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While the inflationary backdrop created headwinds for our business, we were able to take steps to control selling, general and administrative spending. Overall, selling, general and administrative expenses increased by $3.8 million or 1.6% to $236.3 million for the year ended December 31, 2022 as compared to the year ended December 31, 2021. The increase was largely driven by an $8.2 million increase in wages and benefits, primarily due to higher staffing levels, that was partially offset by a $6.5 million decrease in bonuses due to lower levels of annual incentives and sales bonuses. Additionally, marketing expenses increased by $2.1 million and IT related expenses increased by $1.4 million. These increases were partially offset by a $2.2 million decrease in depreciation expense. Asset impairment charges also decreased $0.3 million from $0.7 million in 2021 to $0.4 million in 2022.</w:t>
      </w:r>
    </w:p>
    <w:p>
      <w:pPr>
        <w:spacing w:after="0" w:line="14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August 16, 2022, we announced that our Board of Directors approved a $30.0 million share repurchase plan. We completed the repurchase plan during the fourth quarter. In total, 7.8 million shares were repurchased for $30.2 million, inclusive of brokerage commissions, or an average price of $3.87 per share.</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2022, our inventory balance increased by $23.8 million to $121.0 million as of December 31, 2022. Over the course of the year, we were able to successfully take steps to pull purchases forward ahead of announced price supplier price increases. We have seen significant improvements in our in-stock levels as compared to 2021; however, the increase in inventory combined with the share repurchase activity contributed to a $40.4 million increase in the debt balance from December 31, 2021 to 2022.</w:t>
      </w:r>
    </w:p>
    <w:p>
      <w:pPr>
        <w:spacing w:after="0" w:line="15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During the fourth quarter of 2022, we launched a new line of luxury vinyl tile products in all of our stores. Industry reports indicate that luxury vinyl tile has been the fastest growing hard surface product category over the last decade. Many of our customers have</w:t>
      </w: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started to gravitate toward this offering for certain rooms in their home. While these lines typically carry a lower gross margin profile than other tile products we carry in our assortment, we believe the gross margin contraction that may occur will be beneficial if we are able to grow our overall gross profit dollars. Overall, we are pleased with the early results following the launch. As of the end of the quarter, luxury vinyl tile sales represented less than 5% of our overall sales mix.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5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duty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 Gross profit is net sales less cost of sales. Gross margin rate is the percentage determined by dividing gross profit by net sales.</w:t>
      </w:r>
    </w:p>
    <w:p>
      <w:pPr>
        <w:spacing w:after="0" w:line="196"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costs, advertising costs, shipping and transportation expenses to move inventory from our distribution centers to our stores, and depreciation and amortization.</w:t>
      </w:r>
    </w:p>
    <w:p>
      <w:pPr>
        <w:spacing w:after="0" w:line="161" w:lineRule="exact"/>
        <w:rPr>
          <w:sz w:val="20"/>
          <w:szCs w:val="20"/>
          <w:color w:val="auto"/>
        </w:rPr>
      </w:pPr>
    </w:p>
    <w:p>
      <w:pPr>
        <w:ind w:right="680"/>
        <w:spacing w:after="0"/>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62" w:lineRule="exact"/>
        <w:rPr>
          <w:sz w:val="20"/>
          <w:szCs w:val="20"/>
          <w:color w:val="auto"/>
        </w:rPr>
      </w:pPr>
    </w:p>
    <w:p>
      <w:pPr>
        <w:ind w:left="5540" w:right="1880" w:hanging="5525"/>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601"/>
        </w:trPr>
        <w:tc>
          <w:tcPr>
            <w:tcW w:w="6960" w:type="dxa"/>
            <w:vAlign w:val="bottom"/>
            <w:gridSpan w:val="7"/>
          </w:tcPr>
          <w:p>
            <w:pPr>
              <w:spacing w:after="0"/>
              <w:rPr>
                <w:sz w:val="20"/>
                <w:szCs w:val="20"/>
                <w:color w:val="auto"/>
              </w:rPr>
            </w:pPr>
            <w:r>
              <w:rPr>
                <w:rFonts w:ascii="Arial" w:cs="Arial" w:eastAsia="Arial" w:hAnsi="Arial"/>
                <w:sz w:val="18"/>
                <w:szCs w:val="18"/>
                <w:b w:val="1"/>
                <w:bCs w:val="1"/>
                <w:color w:val="auto"/>
                <w:w w:val="91"/>
              </w:rPr>
              <w:t>Comparison of the Year Ended December 31, 2022 to the Year Ended December 31, 2021</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2021</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320" w:type="dxa"/>
            <w:vAlign w:val="bottom"/>
            <w:tcBorders>
              <w:bottom w:val="single" w:sz="8" w:color="auto"/>
            </w:tcBorders>
          </w:tcPr>
          <w:p>
            <w:pPr>
              <w:spacing w:after="0"/>
              <w:rPr>
                <w:sz w:val="21"/>
                <w:szCs w:val="21"/>
                <w:color w:val="auto"/>
              </w:rPr>
            </w:pPr>
          </w:p>
        </w:tc>
      </w:tr>
      <w:tr>
        <w:trPr>
          <w:trHeight w:val="183"/>
        </w:trPr>
        <w:tc>
          <w:tcPr>
            <w:tcW w:w="1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 in thousands)</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4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394,702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660" w:type="dxa"/>
            <w:vAlign w:val="bottom"/>
            <w:gridSpan w:val="2"/>
            <w:shd w:val="clear" w:color="auto" w:fill="CCEEFF"/>
          </w:tcPr>
          <w:p>
            <w:pPr>
              <w:jc w:val="right"/>
              <w:ind w:right="347"/>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370,700</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135,765</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34.4</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117,570</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31.7</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258,937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253,130</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236,328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59.9</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232,520</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62.7</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22,609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(1,579)</w:t>
            </w:r>
          </w:p>
        </w:tc>
        <w:tc>
          <w:tcPr>
            <w:tcW w:w="160" w:type="dxa"/>
            <w:vAlign w:val="bottom"/>
          </w:tcPr>
          <w:p>
            <w:pPr>
              <w:spacing w:after="0"/>
              <w:rPr>
                <w:sz w:val="16"/>
                <w:szCs w:val="16"/>
                <w:color w:val="auto"/>
              </w:rPr>
            </w:pPr>
          </w:p>
        </w:tc>
        <w:tc>
          <w:tcPr>
            <w:tcW w:w="12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(656)</w:t>
            </w:r>
          </w:p>
        </w:tc>
        <w:tc>
          <w:tcPr>
            <w:tcW w:w="13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r>
      <w:tr>
        <w:trPr>
          <w:trHeight w:val="183"/>
        </w:trPr>
        <w:tc>
          <w:tcPr>
            <w:tcW w:w="42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0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21,030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w:t>
            </w:r>
          </w:p>
        </w:tc>
        <w:tc>
          <w:tcPr>
            <w:tcW w:w="32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19,954</w:t>
            </w: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w:t>
            </w:r>
          </w:p>
        </w:tc>
        <w:tc>
          <w:tcPr>
            <w:tcW w:w="32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(5,327)</w:t>
            </w:r>
          </w:p>
        </w:tc>
        <w:tc>
          <w:tcPr>
            <w:tcW w:w="160" w:type="dxa"/>
            <w:vAlign w:val="bottom"/>
          </w:tcPr>
          <w:p>
            <w:pPr>
              <w:spacing w:after="0"/>
              <w:rPr>
                <w:sz w:val="16"/>
                <w:szCs w:val="16"/>
                <w:color w:val="auto"/>
              </w:rPr>
            </w:pPr>
          </w:p>
        </w:tc>
        <w:tc>
          <w:tcPr>
            <w:tcW w:w="12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(5,180)</w:t>
            </w:r>
          </w:p>
        </w:tc>
        <w:tc>
          <w:tcPr>
            <w:tcW w:w="13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(1.4)%</w:t>
            </w:r>
          </w:p>
        </w:tc>
      </w:tr>
      <w:tr>
        <w:trPr>
          <w:trHeight w:val="183"/>
        </w:trPr>
        <w:tc>
          <w:tcPr>
            <w:tcW w:w="424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15,703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4.0 %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14,774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4.0 %</w:t>
            </w: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increased $24.0 million, or 6.5%, in 2022 compared to 2021. Sales at comparable stores increased by 6.5% during 2022. The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annual sales was primarily due to an increase in average ticket size driven by higher selling prices and partially offset by a decrease in volume.</w:t>
      </w:r>
    </w:p>
    <w:p>
      <w:pPr>
        <w:spacing w:after="0" w:line="110" w:lineRule="exact"/>
        <w:rPr>
          <w:sz w:val="20"/>
          <w:szCs w:val="20"/>
          <w:color w:val="auto"/>
        </w:rPr>
      </w:pPr>
    </w:p>
    <w:p>
      <w:pPr>
        <w:jc w:val="both"/>
        <w:ind w:right="280"/>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increased $5.8 million, or 2.3%, in 2022 compared to 2021. The gross margin rate was 65.6% and 68.3% for 2022 and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in gross margin rate was primarily due to an increase in the cost of our products driven by supplier cost increases and higher international freight rates, which was partially offset by an increase in our selling prices.</w:t>
      </w:r>
    </w:p>
    <w:p>
      <w:pPr>
        <w:spacing w:after="0" w:line="16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 Selling, general and administrative expenses increased $3.8 million, or 1.6%, in 2022 compared to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increase was largely driven by an $8.2 million increase in wages and benefits, primarily due to higher staffing levels, that was partially offset by a $6.5 million decrease in bonuses due to lower levels of annual incentives and sales bonuses. Additionally, marketing expenses increased by $2.1 million and IT related expenses increased by $1.4 million. These increases were partially offset by a $2.2 million decrease in depreciation expense. Asset impairment charges also decreased $0.3 million from $0.7 million in 2021 to $0.4 million in 2022.</w:t>
      </w:r>
    </w:p>
    <w:p>
      <w:pPr>
        <w:spacing w:after="0" w:line="15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increased $0.9 million in 2022 compared to 2021. The increase in interest expense was primarily due to a higher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average debt in 2022 and an increase in interest rates.</w:t>
      </w:r>
    </w:p>
    <w:p>
      <w:pPr>
        <w:spacing w:after="0" w:line="15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 xml:space="preserve">Provision (Benefit) for Income Taxes </w:t>
      </w:r>
      <w:r>
        <w:rPr>
          <w:rFonts w:ascii="Arial" w:cs="Arial" w:eastAsia="Arial" w:hAnsi="Arial"/>
          <w:sz w:val="18"/>
          <w:szCs w:val="18"/>
          <w:color w:val="auto"/>
        </w:rPr>
        <w:t>– The provision for income taxes increased $0.1 million for 2022 compared to 2021 due to an increase in pretax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Our effective tax rate was 25.3% in 2022 and 26.0%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2021 to the Year Ended December 31, 2020</w:t>
      </w:r>
    </w:p>
    <w:p>
      <w:pPr>
        <w:spacing w:after="0" w:line="189" w:lineRule="exact"/>
        <w:rPr>
          <w:sz w:val="20"/>
          <w:szCs w:val="20"/>
          <w:color w:val="auto"/>
        </w:rPr>
      </w:pPr>
    </w:p>
    <w:p>
      <w:pPr>
        <w:ind w:right="6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A detailed discussion of the fiscal year 2021 performance compared to fiscal year 2020 is set forth in Part II, Item 7. “Management’s Discussion and Analysis of Financial Condition and Results of Operations – Comparison of the Year Ended December 31, 2021 to the Year Ended December 31, 2020,” in our </w:t>
      </w:r>
      <w:hyperlink r:id="rId48">
        <w:r>
          <w:rPr>
            <w:rFonts w:ascii="Arial" w:cs="Arial" w:eastAsia="Arial" w:hAnsi="Arial"/>
            <w:sz w:val="18"/>
            <w:szCs w:val="18"/>
            <w:u w:val="single" w:color="auto"/>
            <w:color w:val="0000FF"/>
          </w:rPr>
          <w:t>Annual Report on Form 10-K for the year ended December 31, 2021</w:t>
        </w:r>
      </w:hyperlink>
      <w:r>
        <w:rPr>
          <w:rFonts w:ascii="Arial" w:cs="Arial" w:eastAsia="Arial" w:hAnsi="Arial"/>
          <w:sz w:val="18"/>
          <w:szCs w:val="18"/>
          <w:color w:val="auto"/>
        </w:rPr>
        <w:t>, as filed with the SEC on March 3, 2022, which discussion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-144780</wp:posOffset>
            </wp:positionV>
            <wp:extent cx="31407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4071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calculate Adjusted EBITDA by taking net income calculated in accordance with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1"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w:t>
      </w: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gridSpan w:val="3"/>
          </w:tcPr>
          <w:p>
            <w:pPr>
              <w:spacing w:after="0"/>
              <w:rPr>
                <w:sz w:val="20"/>
                <w:szCs w:val="20"/>
                <w:color w:val="auto"/>
              </w:rPr>
            </w:pPr>
            <w:r>
              <w:rPr>
                <w:rFonts w:ascii="Arial" w:cs="Arial" w:eastAsia="Arial" w:hAnsi="Arial"/>
                <w:sz w:val="18"/>
                <w:szCs w:val="18"/>
                <w:color w:val="auto"/>
                <w:w w:val="95"/>
              </w:rPr>
              <w:t>The reconciliation of Adjusted EBITDA to net income for the years ended December 31, 2022 and 2021 follows: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auto"/>
            </w:tcBorders>
            <w:gridSpan w:val="6"/>
          </w:tcPr>
          <w:p>
            <w:pPr>
              <w:jc w:val="center"/>
              <w:ind w:left="1030"/>
              <w:spacing w:after="0"/>
              <w:rPr>
                <w:sz w:val="20"/>
                <w:szCs w:val="20"/>
                <w:color w:val="auto"/>
              </w:rPr>
            </w:pPr>
            <w:r>
              <w:rPr>
                <w:rFonts w:ascii="Arial" w:cs="Arial" w:eastAsia="Arial" w:hAnsi="Arial"/>
                <w:sz w:val="18"/>
                <w:szCs w:val="18"/>
                <w:color w:val="auto"/>
                <w:w w:val="88"/>
              </w:rPr>
              <w:t>Years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bottom w:val="single" w:sz="8" w:color="auto"/>
            </w:tcBorders>
          </w:tcPr>
          <w:p>
            <w:pPr>
              <w:jc w:val="center"/>
              <w:ind w:left="670"/>
              <w:spacing w:after="0" w:line="182" w:lineRule="exact"/>
              <w:rPr>
                <w:sz w:val="20"/>
                <w:szCs w:val="20"/>
                <w:color w:val="auto"/>
              </w:rPr>
            </w:pPr>
            <w:r>
              <w:rPr>
                <w:rFonts w:ascii="Arial" w:cs="Arial" w:eastAsia="Arial" w:hAnsi="Arial"/>
                <w:sz w:val="18"/>
                <w:szCs w:val="18"/>
                <w:color w:val="auto"/>
                <w:w w:val="89"/>
              </w:rPr>
              <w:t>2022</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70"/>
              <w:spacing w:after="0" w:line="182" w:lineRule="exact"/>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0" w:type="dxa"/>
            <w:vAlign w:val="bottom"/>
            <w:gridSpan w:val="5"/>
          </w:tcPr>
          <w:p>
            <w:pPr>
              <w:jc w:val="center"/>
              <w:ind w:right="360"/>
              <w:spacing w:after="0" w:line="182" w:lineRule="exact"/>
              <w:rPr>
                <w:sz w:val="20"/>
                <w:szCs w:val="20"/>
                <w:color w:val="auto"/>
              </w:rPr>
            </w:pPr>
            <w:r>
              <w:rPr>
                <w:rFonts w:ascii="Arial" w:cs="Arial" w:eastAsia="Arial" w:hAnsi="Arial"/>
                <w:sz w:val="18"/>
                <w:szCs w:val="18"/>
                <w:color w:val="auto"/>
                <w:w w:val="91"/>
              </w:rPr>
              <w:t>(in thousands)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1290"/>
              <w:spacing w:after="0" w:line="189"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15,703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1,579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5,327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25,142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27,379</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1,832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183"/>
        </w:trPr>
        <w:tc>
          <w:tcPr>
            <w:tcW w:w="702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5"/>
                <w:szCs w:val="15"/>
                <w:color w:val="auto"/>
              </w:rPr>
            </w:pPr>
          </w:p>
        </w:tc>
        <w:tc>
          <w:tcPr>
            <w:tcW w:w="1480" w:type="dxa"/>
            <w:vAlign w:val="bottom"/>
            <w:tcBorders>
              <w:bottom w:val="single" w:sz="8" w:color="auto"/>
            </w:tcBorders>
          </w:tcPr>
          <w:p>
            <w:pPr>
              <w:jc w:val="right"/>
              <w:ind w:right="129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49,583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50,255</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520" w:type="dxa"/>
            <w:vAlign w:val="bottom"/>
            <w:gridSpan w:val="3"/>
          </w:tcPr>
          <w:p>
            <w:pPr>
              <w:spacing w:after="0"/>
              <w:rPr>
                <w:sz w:val="20"/>
                <w:szCs w:val="20"/>
                <w:color w:val="auto"/>
              </w:rPr>
            </w:pPr>
            <w:r>
              <w:rPr>
                <w:rFonts w:ascii="Arial" w:cs="Arial" w:eastAsia="Arial" w:hAnsi="Arial"/>
                <w:sz w:val="18"/>
                <w:szCs w:val="18"/>
                <w:color w:val="auto"/>
              </w:rPr>
              <w:t>Adjusted EBITDA as a percentage of net sales for the years ended December 31, 2022 and 2021 follows: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990"/>
              <w:spacing w:after="0"/>
              <w:rPr>
                <w:sz w:val="20"/>
                <w:szCs w:val="20"/>
                <w:color w:val="auto"/>
              </w:rPr>
            </w:pPr>
            <w:r>
              <w:rPr>
                <w:rFonts w:ascii="Arial" w:cs="Arial" w:eastAsia="Arial" w:hAnsi="Arial"/>
                <w:sz w:val="18"/>
                <w:szCs w:val="18"/>
                <w:color w:val="auto"/>
                <w:w w:val="88"/>
              </w:rPr>
              <w:t>Years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1500" w:type="dxa"/>
            <w:vAlign w:val="bottom"/>
            <w:tcBorders>
              <w:bottom w:val="single" w:sz="8" w:color="auto"/>
            </w:tcBorders>
            <w:gridSpan w:val="2"/>
          </w:tcPr>
          <w:p>
            <w:pPr>
              <w:jc w:val="center"/>
              <w:ind w:left="691"/>
              <w:spacing w:after="0" w:line="182" w:lineRule="exact"/>
              <w:rPr>
                <w:sz w:val="20"/>
                <w:szCs w:val="20"/>
                <w:color w:val="auto"/>
              </w:rPr>
            </w:pPr>
            <w:r>
              <w:rPr>
                <w:rFonts w:ascii="Arial" w:cs="Arial" w:eastAsia="Arial" w:hAnsi="Arial"/>
                <w:sz w:val="18"/>
                <w:szCs w:val="18"/>
                <w:color w:val="auto"/>
                <w:w w:val="89"/>
              </w:rPr>
              <w:t>2022</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50"/>
              <w:spacing w:after="0" w:line="182"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0" w:type="dxa"/>
            <w:vAlign w:val="bottom"/>
            <w:gridSpan w:val="5"/>
          </w:tcPr>
          <w:p>
            <w:pPr>
              <w:jc w:val="center"/>
              <w:ind w:right="400"/>
              <w:spacing w:after="0" w:line="182" w:lineRule="exact"/>
              <w:rPr>
                <w:sz w:val="20"/>
                <w:szCs w:val="20"/>
                <w:color w:val="auto"/>
              </w:rPr>
            </w:pPr>
            <w:r>
              <w:rPr>
                <w:rFonts w:ascii="Arial" w:cs="Arial" w:eastAsia="Arial" w:hAnsi="Arial"/>
                <w:sz w:val="18"/>
                <w:szCs w:val="18"/>
                <w:color w:val="auto"/>
                <w:w w:val="88"/>
              </w:rPr>
              <w:t>% of net sales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4.0 %</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83"/>
        </w:trPr>
        <w:tc>
          <w:tcPr>
            <w:tcW w:w="702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12.6 %</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0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0"/>
                <w:szCs w:val="20"/>
                <w:color w:val="auto"/>
              </w:rPr>
            </w:pPr>
            <w:r>
              <w:rPr>
                <w:rFonts w:ascii="Arial" w:cs="Arial" w:eastAsia="Arial" w:hAnsi="Arial"/>
                <w:sz w:val="18"/>
                <w:szCs w:val="18"/>
                <w:color w:val="auto"/>
              </w:rPr>
              <w:t>($ in thousands)</w:t>
            </w:r>
          </w:p>
        </w:tc>
        <w:tc>
          <w:tcPr>
            <w:tcW w:w="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color w:val="auto"/>
                <w:w w:val="88"/>
              </w:rPr>
              <w:t>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1500" w:type="dxa"/>
            <w:vAlign w:val="bottom"/>
            <w:gridSpan w:val="2"/>
          </w:tcPr>
          <w:p>
            <w:pPr>
              <w:jc w:val="center"/>
              <w:ind w:left="711"/>
              <w:spacing w:after="0" w:line="250" w:lineRule="exact"/>
              <w:rPr>
                <w:sz w:val="20"/>
                <w:szCs w:val="20"/>
                <w:color w:val="auto"/>
              </w:rPr>
            </w:pPr>
            <w:r>
              <w:rPr>
                <w:rFonts w:ascii="Arial" w:cs="Arial" w:eastAsia="Arial" w:hAnsi="Arial"/>
                <w:sz w:val="17"/>
                <w:szCs w:val="17"/>
                <w:color w:val="auto"/>
                <w:w w:val="88"/>
              </w:rPr>
              <w:t>2022</w:t>
            </w:r>
            <w:r>
              <w:rPr>
                <w:rFonts w:ascii="Arial" w:cs="Arial" w:eastAsia="Arial" w:hAnsi="Arial"/>
                <w:sz w:val="28"/>
                <w:szCs w:val="28"/>
                <w:color w:val="auto"/>
                <w:w w:val="88"/>
                <w:vertAlign w:val="superscript"/>
              </w:rPr>
              <w:t>(1)</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60" w:type="dxa"/>
            <w:vAlign w:val="bottom"/>
            <w:gridSpan w:val="3"/>
          </w:tcPr>
          <w:p>
            <w:pPr>
              <w:jc w:val="center"/>
              <w:ind w:right="550"/>
              <w:spacing w:after="0" w:line="250" w:lineRule="exact"/>
              <w:rPr>
                <w:sz w:val="20"/>
                <w:szCs w:val="20"/>
                <w:color w:val="auto"/>
              </w:rPr>
            </w:pPr>
            <w:r>
              <w:rPr>
                <w:rFonts w:ascii="Arial" w:cs="Arial" w:eastAsia="Arial" w:hAnsi="Arial"/>
                <w:sz w:val="17"/>
                <w:szCs w:val="17"/>
                <w:color w:val="auto"/>
              </w:rPr>
              <w:t>2021</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183"/>
        </w:trPr>
        <w:tc>
          <w:tcPr>
            <w:tcW w:w="7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ind w:right="129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22,609</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348,720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353,008</w:t>
            </w:r>
          </w:p>
        </w:tc>
        <w:tc>
          <w:tcPr>
            <w:tcW w:w="0" w:type="dxa"/>
            <w:vAlign w:val="bottom"/>
          </w:tcPr>
          <w:p>
            <w:pPr>
              <w:spacing w:after="0"/>
              <w:rPr>
                <w:sz w:val="1"/>
                <w:szCs w:val="1"/>
                <w:color w:val="auto"/>
              </w:rPr>
            </w:pPr>
          </w:p>
        </w:tc>
      </w:tr>
      <w:tr>
        <w:trPr>
          <w:trHeight w:val="189"/>
        </w:trPr>
        <w:tc>
          <w:tcPr>
            <w:tcW w:w="702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(28,752)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(20,785)</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89"/>
        </w:trPr>
        <w:tc>
          <w:tcPr>
            <w:tcW w:w="702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(39,951)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(41,358)</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w w:val="98"/>
              </w:rPr>
              <w:t>(130,852)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(141,925)</w:t>
            </w:r>
          </w:p>
        </w:tc>
        <w:tc>
          <w:tcPr>
            <w:tcW w:w="0" w:type="dxa"/>
            <w:vAlign w:val="bottom"/>
          </w:tcPr>
          <w:p>
            <w:pPr>
              <w:spacing w:after="0"/>
              <w:rPr>
                <w:sz w:val="1"/>
                <w:szCs w:val="1"/>
                <w:color w:val="auto"/>
              </w:rPr>
            </w:pPr>
          </w:p>
        </w:tc>
      </w:tr>
      <w:tr>
        <w:trPr>
          <w:trHeight w:val="189"/>
        </w:trPr>
        <w:tc>
          <w:tcPr>
            <w:tcW w:w="702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(4,618)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183"/>
        </w:trPr>
        <w:tc>
          <w:tcPr>
            <w:tcW w:w="70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ind w:right="129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143,729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143,778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right="340" w:hanging="332"/>
        <w:spacing w:after="0" w:line="182" w:lineRule="auto"/>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Our principal sources of liquidity include $5.9 million of cash and cash equivalents at December 31, 2022, cash provided by operating activities and borrowings available under our credit facility. We expect to use this liquidity for purchasing additional merchandise inventory, maintaining our existing stores, reducing outstanding debt and general corporate purposes.</w:t>
      </w:r>
    </w:p>
    <w:p>
      <w:pPr>
        <w:spacing w:after="0" w:line="149"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On September 30, 2022, Holdings and its operating subsidiary, The Tile Shop,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w:t>
      </w: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Agreement), plus a margin ranging from 0.25% to 0.75%. The margin is determined based on the Rent Adjusted Leverage Ratio (as defined in the Credit Agreement). Borrowings outstanding as of December 31, 2022 were SOFR-based interest rate loans. The SOFR-based interest rate was 5.80% on December 31, 2022.</w:t>
      </w:r>
    </w:p>
    <w:p>
      <w:pPr>
        <w:spacing w:after="0" w:line="14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December 31, 2022.</w:t>
      </w:r>
    </w:p>
    <w:p>
      <w:pPr>
        <w:spacing w:after="0" w:line="156"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The Credit Agreement superseded and replaced in its entirety our prior senior credit facility with Bank of America, N.A. dated September 18, 2018. We drew on the revolving line of credit pursuant to the Credit Agreement to refinance all of the existing revolving line of credit and interest outstanding under our prior credit facility, as well as pay $0.4 million in debt issuance costs in connection with the Credit Agreement. Debt issuance costs are classified as other current assets and other assets in the Consolidated Balance Sheet and amortized on a straight line basis over the life of the Credit Agreement. We recorded a $0.1 million charge in interest expense to write-off certain unamortized deferred financing fees associated with the September 18, 2018 credit facility as of the date of the payoff.</w:t>
      </w:r>
    </w:p>
    <w:p>
      <w:pPr>
        <w:spacing w:after="0" w:line="1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Borrowings outstanding consisted of $45.4 million on the revolving line of credit as of December 31, 2022. As of December 31, 2022, there was $28.3 million available for borrowing on the revolving line of credit, which may be used for purchasing additional merchandise inventory, maintaining our stores, and general corporate purposes.</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also have standby letters of credit outstanding related to our workers’ compensation and medical insurance policies. The standby letters of credit totaled $2.4 million on both December 31, 2022 and December 31, 2021. As of December 31, 2022, $1.3 million of the standby letter of credit balance was secured by the revolving line of credit. The remaining $1.1 million letter of credit balance was secured by a $1.2 million deposit balance held by the issuing bank that has been classified as Restricted Cash on the Consolidated Balance Sheet as of December 31, 2022.</w:t>
      </w:r>
    </w:p>
    <w:p>
      <w:pPr>
        <w:spacing w:after="0" w:line="135"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During 2023, we expect to use cash for maintaining our existing stores, opening new stores, purchasing additional merchandise inventory, and general corporate purposes. Additionally, as described further in Note 6 of the Notes to the Consolidated Financial Statements, as of December 31, 2022, our lease liability under operating leases totaled $131.2 million. Contractual lease payments range from $16.9 million to $37.8 million on an annual basis over the next five years. We are also obligated to fund certain self-insured employee benefits, including our medical and workers’ compensation plans. As of December 31, 2022, accrual balances related to our estimated workers’ compensation claims and medical claims totaled $2.0 million and $1.1 million, respectively. Additionally, we have contractual obligations related to software service arrangements with suppliers for fixed or minimum amounts. Future minimum payments at December 31, 2022 for purchase obligations were $3.5 million. Amounts due under these arrangements in 2023 and 2024 total $1.7 million and $1.3 million, respectively.</w:t>
      </w:r>
    </w:p>
    <w:p>
      <w:pPr>
        <w:spacing w:after="0" w:line="15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currently believe that our cash and cash equivalents, cash flows from operations and access to cash under our credit facility will be adequate to meet our ongoing operating requirements over the next twelve months and our long-term liquidity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 expenditures during the years ended December 31, 2022,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rPr>
              <w:t>Years Ended December 31,</w:t>
            </w:r>
          </w:p>
        </w:tc>
      </w:tr>
      <w:tr>
        <w:trPr>
          <w:trHeight w:val="183"/>
        </w:trPr>
        <w:tc>
          <w:tcPr>
            <w:tcW w:w="8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8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store building, existing store remodels and store merchandising investments</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w:t>
            </w:r>
          </w:p>
        </w:tc>
        <w:tc>
          <w:tcPr>
            <w:tcW w:w="3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w:t>
            </w:r>
          </w:p>
        </w:tc>
      </w:tr>
      <w:tr>
        <w:trPr>
          <w:trHeight w:val="189"/>
        </w:trPr>
        <w:tc>
          <w:tcPr>
            <w:tcW w:w="8240" w:type="dxa"/>
            <w:vAlign w:val="bottom"/>
          </w:tcPr>
          <w:p>
            <w:pPr>
              <w:spacing w:after="0" w:line="189" w:lineRule="exact"/>
              <w:rPr>
                <w:sz w:val="20"/>
                <w:szCs w:val="20"/>
                <w:color w:val="auto"/>
              </w:rPr>
            </w:pPr>
            <w:r>
              <w:rPr>
                <w:rFonts w:ascii="Arial" w:cs="Arial" w:eastAsia="Arial" w:hAnsi="Arial"/>
                <w:sz w:val="18"/>
                <w:szCs w:val="18"/>
                <w:color w:val="auto"/>
              </w:rPr>
              <w:t>Information technology infrastructure</w:t>
            </w: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Distribution and manufacturing facilities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r>
      <w:tr>
        <w:trPr>
          <w:trHeight w:val="189"/>
        </w:trPr>
        <w:tc>
          <w:tcPr>
            <w:tcW w:w="82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General corporate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8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for the years ended December 31, 2022, 2021 and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88"/>
              </w:rPr>
              <w:t>For the year ended December 31,</w:t>
            </w:r>
          </w:p>
        </w:tc>
        <w:tc>
          <w:tcPr>
            <w:tcW w:w="940" w:type="dxa"/>
            <w:vAlign w:val="bottom"/>
            <w:tcBorders>
              <w:bottom w:val="single" w:sz="8" w:color="auto"/>
            </w:tcBorders>
          </w:tcPr>
          <w:p>
            <w:pPr>
              <w:spacing w:after="0"/>
              <w:rPr>
                <w:sz w:val="18"/>
                <w:szCs w:val="18"/>
                <w:color w:val="auto"/>
              </w:rPr>
            </w:pPr>
          </w:p>
        </w:tc>
      </w:tr>
      <w:tr>
        <w:trPr>
          <w:trHeight w:val="183"/>
        </w:trPr>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0"/>
              <w:spacing w:after="0" w:line="182" w:lineRule="exact"/>
              <w:rPr>
                <w:sz w:val="20"/>
                <w:szCs w:val="20"/>
                <w:color w:val="auto"/>
              </w:rPr>
            </w:pPr>
            <w:r>
              <w:rPr>
                <w:rFonts w:ascii="Arial" w:cs="Arial" w:eastAsia="Arial" w:hAnsi="Arial"/>
                <w:sz w:val="18"/>
                <w:szCs w:val="18"/>
                <w:color w:val="auto"/>
                <w:w w:val="89"/>
              </w:rPr>
              <w:t>2021</w:t>
            </w: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89"/>
              </w:rPr>
              <w:t>(in thousands)</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1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2,715</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39,691</w:t>
            </w:r>
          </w:p>
        </w:tc>
        <w:tc>
          <w:tcPr>
            <w:tcW w:w="500" w:type="dxa"/>
            <w:vAlign w:val="bottom"/>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65,596</w:t>
            </w: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(14,027)</w:t>
            </w:r>
          </w:p>
        </w:tc>
        <w:tc>
          <w:tcPr>
            <w:tcW w:w="20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(11,070)</w:t>
            </w:r>
          </w:p>
        </w:tc>
        <w:tc>
          <w:tcPr>
            <w:tcW w:w="5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(1,968)</w:t>
            </w: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financing activities</w:t>
            </w:r>
          </w:p>
        </w:tc>
        <w:tc>
          <w:tcPr>
            <w:tcW w:w="1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9,114</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(28,902)</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(63,329)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 provide us with a significant source of liquidity. Net cash provided by operating activities was $2.7 million,</w:t>
      </w:r>
    </w:p>
    <w:p>
      <w:pPr>
        <w:jc w:val="both"/>
        <w:ind w:right="180"/>
        <w:spacing w:after="0" w:line="234" w:lineRule="auto"/>
        <w:rPr>
          <w:sz w:val="20"/>
          <w:szCs w:val="20"/>
          <w:color w:val="auto"/>
        </w:rPr>
      </w:pPr>
      <w:r>
        <w:rPr>
          <w:rFonts w:ascii="Arial" w:cs="Arial" w:eastAsia="Arial" w:hAnsi="Arial"/>
          <w:sz w:val="18"/>
          <w:szCs w:val="18"/>
          <w:color w:val="auto"/>
        </w:rPr>
        <w:t>$39.7 million, and $65.6 million in 2022, 2021 and 2020, respectively. The decrease in operating cash flows in 2022 compared to 2021 was primarily due an increase in inventory combined with lower levels of accounts payable, accrued expenses and other liabilities as of December 31, 2022 when compared to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Net cash used in investing activities was $14.0 million, $11.1 million and $2.0 million in 2022, 2021 and 2020, respectively. The increase in investing activities in 2022 was due to an increase in capital expenditures during 2022 to invest in store remodels, store merchandising, distribution, internal fleet and information technology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Net cash provided by (used in) financing activities was $9.1 million, ($28.9) million and ($63.3) million in 2022, 2021 and 2020, respectively. Cash provided by financing activities during 2022 included $90.4 million of borrowings against our line of credit net of $50.0 million of payments against the line of credit and $30.2 million of 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included in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85" w:lineRule="exact"/>
        <w:rPr>
          <w:sz w:val="20"/>
          <w:szCs w:val="20"/>
          <w:color w:val="auto"/>
        </w:rPr>
      </w:pPr>
    </w:p>
    <w:p>
      <w:pPr>
        <w:ind w:right="300"/>
        <w:spacing w:after="0" w:line="296" w:lineRule="auto"/>
        <w:rPr>
          <w:sz w:val="20"/>
          <w:szCs w:val="20"/>
          <w:color w:val="auto"/>
        </w:rPr>
      </w:pPr>
      <w:r>
        <w:rPr>
          <w:rFonts w:ascii="Arial" w:cs="Arial" w:eastAsia="Arial" w:hAnsi="Arial"/>
          <w:sz w:val="15"/>
          <w:szCs w:val="15"/>
          <w:i w:val="1"/>
          <w:iCs w:val="1"/>
          <w:color w:val="auto"/>
        </w:rPr>
        <w:t xml:space="preserve">Description: </w:t>
      </w:r>
      <w:r>
        <w:rPr>
          <w:rFonts w:ascii="Arial" w:cs="Arial" w:eastAsia="Arial" w:hAnsi="Arial"/>
          <w:sz w:val="15"/>
          <w:szCs w:val="15"/>
          <w:color w:val="auto"/>
        </w:rPr>
        <w:t>Revenues are recognized when control of promised goods or services is transferred to our customers, in an amount that reflects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consideration received in exchange for those goods or services.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 xml:space="preserve">Judgement and uncertainties involved in the estimate: </w:t>
      </w:r>
      <w:r>
        <w:rPr>
          <w:rFonts w:ascii="Arial" w:cs="Arial" w:eastAsia="Arial" w:hAnsi="Arial"/>
          <w:sz w:val="18"/>
          <w:szCs w:val="18"/>
          <w:color w:val="auto"/>
        </w:rPr>
        <w:t>Net sales are reduced by an allowance for anticipated sales returns that we estimate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returns. Our process to establish a sales return reserve contains uncertainties because it requires management to make assumptions and to apply judgment to estimate future sales returns and exchanges. Merchandise exchanges are not considered merchandise returns and, therefore, are excluded when calculating the sales returns reserve.</w:t>
      </w:r>
    </w:p>
    <w:p>
      <w:pPr>
        <w:spacing w:after="0" w:line="161"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i w:val="1"/>
          <w:iCs w:val="1"/>
          <w:color w:val="auto"/>
        </w:rPr>
        <w:t xml:space="preserve">Effect if actual results differ from the assumptions: </w:t>
      </w:r>
      <w:r>
        <w:rPr>
          <w:rFonts w:ascii="Arial" w:cs="Arial" w:eastAsia="Arial" w:hAnsi="Arial"/>
          <w:sz w:val="18"/>
          <w:szCs w:val="18"/>
          <w:color w:val="auto"/>
        </w:rPr>
        <w:t>Actual return trends have not varied significantly from estimated amounts in prior periods. However, if</w:t>
      </w:r>
      <w:r>
        <w:rPr>
          <w:rFonts w:ascii="Arial" w:cs="Arial" w:eastAsia="Arial" w:hAnsi="Arial"/>
          <w:sz w:val="18"/>
          <w:szCs w:val="18"/>
          <w:i w:val="1"/>
          <w:iCs w:val="1"/>
          <w:color w:val="auto"/>
        </w:rPr>
        <w:t xml:space="preserve"> </w:t>
      </w:r>
      <w:r>
        <w:rPr>
          <w:rFonts w:ascii="Arial" w:cs="Arial" w:eastAsia="Arial" w:hAnsi="Arial"/>
          <w:sz w:val="18"/>
          <w:szCs w:val="18"/>
          <w:color w:val="auto"/>
        </w:rPr>
        <w:t>the nature of sales returns changes significantly, our sales could be adversely impacted. A 10% change in in our sales returns reserves and related return assets at December 31, 2022 would have had a $0.3 million net impact on operating income during fiscal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7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Our inventory consists of manufactured items and purchased merchandise held for resale. Inventories are stated at the lower of cost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moving 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w:t>
      </w:r>
    </w:p>
    <w:p>
      <w:pPr>
        <w:spacing w:after="0" w:line="15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i w:val="1"/>
          <w:iCs w:val="1"/>
          <w:color w:val="auto"/>
        </w:rPr>
        <w:t xml:space="preserve">Judgement and uncertainties involved in the estimate: </w:t>
      </w:r>
      <w:r>
        <w:rPr>
          <w:rFonts w:ascii="Arial" w:cs="Arial" w:eastAsia="Arial" w:hAnsi="Arial"/>
          <w:sz w:val="18"/>
          <w:szCs w:val="18"/>
          <w:color w:val="auto"/>
        </w:rPr>
        <w:t>We provide provisions for losses related to shrinkage and other amounts that are otherwise not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w:t>
      </w:r>
    </w:p>
    <w:p>
      <w:pPr>
        <w:spacing w:after="0" w:line="16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Effect if actual results differ from the assumptions: We do not believe there is a reasonable likelihood that there will be a material change in the assumptions we use to calculate our inventory provisions. However, if actual results are not consistent with our estimates and assumptions, we may be exposed to losses that could be material. A 10% change in in our inventory valuation and shrinkage reserves at December 31, 2022 would have had a $0.1 million net impact on operating income during fiscal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Property, plant and equipment are carried at cost less accumulated depreciation, which is amortized over the useful life of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are amortized over the shorter of their estimated useful lives or lease period (including expected renewal periods). 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which typically occurs at an individual store level. An impairment loss is recognized when estimated undiscounted future cash flows from the operations and/or disposition of the assets are less than the carrying amount.</w:t>
      </w:r>
    </w:p>
    <w:p>
      <w:pPr>
        <w:spacing w:after="0" w:line="163"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 xml:space="preserve">Judgement and uncertainties involved in the estimate: </w:t>
      </w:r>
      <w:r>
        <w:rPr>
          <w:rFonts w:ascii="Arial" w:cs="Arial" w:eastAsia="Arial" w:hAnsi="Arial"/>
          <w:sz w:val="16"/>
          <w:szCs w:val="16"/>
          <w:color w:val="auto"/>
        </w:rPr>
        <w:t>Significant assumptions used in developing undiscounted cash flow analyses include estimates of</w:t>
      </w:r>
      <w:r>
        <w:rPr>
          <w:rFonts w:ascii="Arial" w:cs="Arial" w:eastAsia="Arial" w:hAnsi="Arial"/>
          <w:sz w:val="16"/>
          <w:szCs w:val="16"/>
          <w:i w:val="1"/>
          <w:iCs w:val="1"/>
          <w:color w:val="auto"/>
        </w:rPr>
        <w:t xml:space="preserve"> </w:t>
      </w:r>
      <w:r>
        <w:rPr>
          <w:rFonts w:ascii="Arial" w:cs="Arial" w:eastAsia="Arial" w:hAnsi="Arial"/>
          <w:sz w:val="16"/>
          <w:szCs w:val="16"/>
          <w:color w:val="auto"/>
        </w:rPr>
        <w:t>future sales, gross margin and operating expenses. Measurement of an impairment loss is based on the excess of the carrying amount of the asset group over its fair value. Fair value is measured using discounted cash flows or independent opinions of value, as appropriate. Significant assumptions used in the fair value analyses include estimates of future sales, gross margin, operating expenses, comparable market rents and discount rates.</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i w:val="1"/>
          <w:iCs w:val="1"/>
          <w:color w:val="auto"/>
        </w:rPr>
        <w:t xml:space="preserve">Effect if actual results differ from the assumptions: </w:t>
      </w:r>
      <w:r>
        <w:rPr>
          <w:rFonts w:ascii="Arial" w:cs="Arial" w:eastAsia="Arial" w:hAnsi="Arial"/>
          <w:sz w:val="18"/>
          <w:szCs w:val="18"/>
          <w:color w:val="auto"/>
        </w:rPr>
        <w:t>If actual results are not consistent with our estimates and assumptions used in determining future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and asset fair values, we may be exposed to losses that could be material. During the fiscal years ended December 31, 2022, 2021 and 2020, the Company recorded asset impairment charges of $0.4 million, $0.7 million and $2.2 million, respectively, which were classified in selling, general and administrative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Deferred tax liabilities and assets are determined based on the difference between the financial statement basis and tax basis of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using enacted tax rates in effect for the year in which the differences are expected to reverse.</w:t>
      </w:r>
    </w:p>
    <w:p>
      <w:pPr>
        <w:spacing w:after="0" w:line="15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i w:val="1"/>
          <w:iCs w:val="1"/>
          <w:color w:val="auto"/>
        </w:rPr>
        <w:t xml:space="preserve">Judgement and uncertainties involved in the estimate: </w:t>
      </w:r>
      <w:r>
        <w:rPr>
          <w:rFonts w:ascii="Arial" w:cs="Arial" w:eastAsia="Arial" w:hAnsi="Arial"/>
          <w:sz w:val="18"/>
          <w:szCs w:val="18"/>
          <w:color w:val="auto"/>
        </w:rPr>
        <w:t>We estimate the degree to which tax assets and loss carryforwards will result in a benefit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6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i w:val="1"/>
          <w:iCs w:val="1"/>
          <w:color w:val="auto"/>
        </w:rPr>
        <w:t xml:space="preserve">Effect if actual results differ from the assumptions: </w:t>
      </w:r>
      <w:r>
        <w:rPr>
          <w:rFonts w:ascii="Arial" w:cs="Arial" w:eastAsia="Arial" w:hAnsi="Arial"/>
          <w:sz w:val="18"/>
          <w:szCs w:val="18"/>
          <w:color w:val="auto"/>
        </w:rPr>
        <w:t>If future taxable income is insufficient to realize the benefit of tax assets and loss carryforwards, we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exposed to losses that could be material.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credit concentration risk and foreign currency exchange risk.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Inflationary factors such as increases in the cost of our products and overhead costs may adversely affect our operating results. Our operating results are heavily dependent upon the prices paid to acquire manmade and natural stone products from our vendors around the world. Our cost of sales is subject to inflationary pressures and price fluctuations of the raw materials we use and other costs, including freight and labor costs. The cost to source our products has increased over the last couple of years due to an increase in international freight rates and vendor price increases, due in part to higher labor costs, energy prices and other inflationary pressures. Global inflation has increased during 2022, and the conflict in Ukraine and other geopolitical tensions and economic uncertainties have exacerbated inflationary pressures, including causing increases in the prices for goods and services and exacerbating global supply chain disruptions, which have resulted in, and may continue to result in, shortages in materials and services and related issues. Higher rates of inflation may have an adverse effect on our ability to maintain historical levels of gross profit and selling, general and administrative expenses as a percentage of revenues if the selling prices of our products do not increase with these increased costs. Historically, we have generally been able over time to offset, in whole or in part, the effects of inflation and price fluctuations through sales price increases and production efficiencies associated with technological enhancements and volume growth; however, we cannot reasonably estimate our ability to offset any increases in raw material prices or freight or labor costs or other inflationary pressures in the future. Such sustained inflationary pressures may have an adverse effect on our business, financial condition and results of operations if the selling prices of our products do not increase with these increased costs, or we cannot identify cost efficiencies.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pursuant to our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Borrowings outstanding as of December 31, 2022 were SOFR-based interest rate loans. The SOFR-based interest rate was 5.80% on December 31, 2022. Based upon balances and interest rates as of December 31, 2022, holding other variables constant, a one percentage point increase in interest rates for the next 12-month period would decrease pre-tax earnings and cash flow by approximately $0.5 million. Conversely, a one percentage point decrease in interest rates for the next 12-month period would result in an increase to pre-tax earnings and cash flow of approximately $0.5 million.</w:t>
      </w:r>
    </w:p>
    <w:p>
      <w:pPr>
        <w:spacing w:after="0" w:line="14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currently do not engage in any interest rate hedging activity. We do not, and do not intend to, engage in the practice of trading derivative securities for profit.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89" w:lineRule="exact"/>
        <w:rPr>
          <w:sz w:val="20"/>
          <w:szCs w:val="20"/>
          <w:color w:val="auto"/>
        </w:rPr>
      </w:pPr>
    </w:p>
    <w:p>
      <w:pPr>
        <w:ind w:right="320"/>
        <w:spacing w:after="0" w:line="307" w:lineRule="auto"/>
        <w:rPr>
          <w:sz w:val="20"/>
          <w:szCs w:val="20"/>
          <w:color w:val="auto"/>
        </w:rPr>
      </w:pPr>
      <w:r>
        <w:rPr>
          <w:rFonts w:ascii="Arial" w:cs="Arial" w:eastAsia="Arial" w:hAnsi="Arial"/>
          <w:sz w:val="16"/>
          <w:szCs w:val="16"/>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2022 and 2021. Our exposure to foreign currency rate fluctuations is not significant to our financial condition or results of operations.</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currently do not engage in any exchange rate hedging activity and currently have no intention to do so in the foreseeable future. However, in the future, in an effort to mitigate losses associated with these risks, we may at times engage in these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Our consolidated financial statements and the reports of our independent registered public accounting firm, as listed under Part IV, Item 15. “Exhibits and Financial Statement Schedules,” are included as a separate section of this report beginning on page 36 and are incorporated herein by reference.</w:t>
      </w:r>
    </w:p>
    <w:p>
      <w:pPr>
        <w:spacing w:after="0" w:line="80" w:lineRule="exact"/>
        <w:rPr>
          <w:sz w:val="20"/>
          <w:szCs w:val="20"/>
          <w:color w:val="auto"/>
        </w:rPr>
      </w:pPr>
    </w:p>
    <w:p>
      <w:pPr>
        <w:ind w:right="980"/>
        <w:spacing w:after="0" w:line="35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8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December 31, 2022 and have concluded that our disclosure controls and procedures were effective as of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56"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2022. Management’s assessment was based on criteria set forth by the Committee of Sponsoring Organizations of the Treadway Commission in Internal Control - Integrated Framework (2013 Framework) (“COSO”). Based on management’s assessment, management has concluded that our internal control over financial reporting was effective as of December 31, 2022.</w:t>
      </w:r>
    </w:p>
    <w:p>
      <w:pPr>
        <w:spacing w:after="0" w:line="165"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Ernst &amp; Young, LLP, our independent registered public accounting firm, has issued a report on our internal control over financial reporting as of December 31, 2022. See “Report of Independent Registered Public Accounting Firm – Opinion on Internal Control over Financial Reporting” of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680"/>
        <w:spacing w:after="0" w:line="324" w:lineRule="auto"/>
        <w:rPr>
          <w:sz w:val="20"/>
          <w:szCs w:val="20"/>
          <w:color w:val="auto"/>
        </w:rPr>
      </w:pPr>
      <w:r>
        <w:rPr>
          <w:rFonts w:ascii="Arial" w:cs="Arial" w:eastAsia="Arial" w:hAnsi="Arial"/>
          <w:sz w:val="16"/>
          <w:szCs w:val="16"/>
          <w:color w:val="auto"/>
        </w:rPr>
        <w:t>There were no changes in internal control over financial reporting (as defined by Rule 13a-15(f) under the Exchange Act) during the quarter ended December 31, 2022 that have materially affected, or are reasonably likely to materially affect, our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8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changes in conditions, or the degree of compliance with policies or procedures may deteriorate. Because of the inherent limitations in a cost effective control system, misstatements due to error or fraud may occur and not be detected.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sets forth, as of February 27, 2023, information regarding beneficial ownership of our common stock by each person, or group of affiliated persons, known by us to beneficially own more than 5% of our common stock.</w:t>
      </w:r>
    </w:p>
    <w:p>
      <w:pPr>
        <w:spacing w:after="0" w:line="15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based our calculation of the percentage of beneficial ownership on 44,363,205 shares of our common stock outstanding on February 27, 2023.</w:t>
      </w:r>
    </w:p>
    <w:p>
      <w:pPr>
        <w:spacing w:after="0" w:line="208"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500" w:type="dxa"/>
            <w:vAlign w:val="bottom"/>
            <w:gridSpan w:val="2"/>
            <w:vMerge w:val="continue"/>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Beneficially Owned</w:t>
            </w: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8,392,568</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6,918,096</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Fund 1 Investments, LLC</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3,387,190</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Monomoy</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2,531,463</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393"/>
        </w:trPr>
        <w:tc>
          <w:tcPr>
            <w:tcW w:w="8500" w:type="dxa"/>
            <w:vAlign w:val="bottom"/>
            <w:gridSpan w:val="2"/>
          </w:tcPr>
          <w:p>
            <w:pPr>
              <w:spacing w:after="0"/>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2,453,327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200" w:hanging="652"/>
        <w:spacing w:after="0" w:line="244"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13, 2023 by JWTS, Inc. (“JWTS”), Peter J. Jacullo III, and the Katherine D. Jacullo Children’s 1993 Irrevocable Trust (the “Jacullo Trust”) and a Form 4 filed by Mr. Jacullo with the SEC on June 16, 2022.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494,899 shares of common stock over which he has sole voting and dispositive power, including 21,689 shares of unvested restricted common stock.</w:t>
      </w:r>
    </w:p>
    <w:p>
      <w:pPr>
        <w:spacing w:after="0" w:line="159" w:lineRule="exact"/>
        <w:rPr>
          <w:rFonts w:ascii="Arial" w:cs="Arial" w:eastAsia="Arial" w:hAnsi="Arial"/>
          <w:sz w:val="17"/>
          <w:szCs w:val="17"/>
          <w:color w:val="auto"/>
        </w:rPr>
      </w:pPr>
    </w:p>
    <w:p>
      <w:pPr>
        <w:ind w:left="660" w:right="20" w:hanging="652"/>
        <w:spacing w:after="0" w:line="26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13, 2023 by Peter H. Kamin and a Form 4 filed by Mr. Kamin with the SEC on June 16, 2022.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3,409,384 shares of common stock directly held by Mr. Kamin, including 41,209 shares of unvested restricted common stock. Mr. Kamin has sole voting and dispositive power over all such shares.</w:t>
      </w:r>
    </w:p>
    <w:p>
      <w:pPr>
        <w:spacing w:after="0" w:line="146" w:lineRule="exact"/>
        <w:rPr>
          <w:rFonts w:ascii="Arial" w:cs="Arial" w:eastAsia="Arial" w:hAnsi="Arial"/>
          <w:sz w:val="16"/>
          <w:szCs w:val="16"/>
          <w:color w:val="auto"/>
        </w:rPr>
      </w:pPr>
    </w:p>
    <w:p>
      <w:pPr>
        <w:ind w:left="660" w:right="80" w:hanging="652"/>
        <w:spacing w:after="0" w:line="25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a Schedule 13G filed with the SEC on January 10, 2023 by Fund 1 Investments, LLC, as of December 31, 2022, Fund 1 Investments, LLC held shared voting and dispositive power over 3,387,190 shares of common stock. The shares are held for the benefit of private investment vehicles for which Pleasant Lake Partners LLC serves as investment adviser. Fund 1 Investments, LLC serves as managing member of Pleasant Lake Partners LLC. Jonathan Lennon serves as managing member of Fund 1 Investments, LLC. Each of Fund 1 Investments, LLC, Pleasant Lake Partners LLC and Mr. Lennon disclaims beneficial ownership of the shares except to the extent of its or his pecuniary interest therein. The</w:t>
      </w:r>
    </w:p>
    <w:p>
      <w:pPr>
        <w:ind w:left="660"/>
        <w:spacing w:after="0" w:line="222" w:lineRule="auto"/>
        <w:rPr>
          <w:sz w:val="20"/>
          <w:szCs w:val="20"/>
          <w:color w:val="auto"/>
        </w:rPr>
      </w:pPr>
      <w:r>
        <w:rPr>
          <w:rFonts w:ascii="Arial" w:cs="Arial" w:eastAsia="Arial" w:hAnsi="Arial"/>
          <w:sz w:val="18"/>
          <w:szCs w:val="18"/>
          <w:color w:val="auto"/>
        </w:rPr>
        <w:t>business address of Fund 1 Investments, LLC is 100 Carr 115 Unit 1900, Rincon, Puerto Rico 00677.</w:t>
      </w: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right="220" w:hanging="652"/>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61" w:lineRule="exact"/>
        <w:rPr>
          <w:rFonts w:ascii="Arial" w:cs="Arial" w:eastAsia="Arial" w:hAnsi="Arial"/>
          <w:sz w:val="18"/>
          <w:szCs w:val="18"/>
          <w:color w:val="auto"/>
        </w:rPr>
      </w:pPr>
    </w:p>
    <w:p>
      <w:pPr>
        <w:ind w:left="660" w:right="20" w:hanging="652"/>
        <w:spacing w:after="0" w:line="24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14, 2023, by Monomoy Capital Partners IV, L.P. (“MCP IV”), Monomoy Capital Partners IV Parallel, L.P. (“MCP IV Parallel”), Monomoy General Partner IV, L.P. (“GP IV”), Monomoy Ultimate GP II, LLC (“Ultimate GP II”), Monomoy Ultimate GP Holdings, LLC (“Ultimate GP Holdings”), Daniel Collin, Justin Hillenbrand (together with Mr. Collin, Ultimate GP Holdings, Ultimate GP II, GP IV, MCP IV Parallel and MCP IV, the “Monomoy Reporting Persons”), the Monomoy Reporting Persons hold shared voting and dipositive power over the shares reported as held. MCP IV directly holds 1,603,643.44 shares of common stock. MCP IV Parallel directly holds 927,819.56 shares of common stock. GP IV is the general partner of MCP IV and MCP Parallel IV. Ultimate GP II is the general partner of GP IV. Ultimate GP Holdings is the sole member of Ultimate GP II. Ultimate GP Holdings is managed by its members, Mr. Collin and Mr. Hillenbrand. As a result of the foregoing relationships, each of GP IV, Ultimate GP II, Ultimate GP Holdings, Mr. Collin and Mr. Hillenbrand may be deemed to beneficially own the shares of common stock directly held by MCP IV and MCP IV Parallel. Each of Mr. Collin and Mr. Hillenbrand disclaims beneficial ownership of the shares of common stock held by MCP IV and MCP IV Parallel. The business address of the Monomoy Reporting Persons is 1 Greenwich Office Park, Building 1S, 2nd Floor, Greenwich, Connecticut 06831.</w:t>
      </w:r>
    </w:p>
    <w:p>
      <w:pPr>
        <w:spacing w:after="0" w:line="167" w:lineRule="exact"/>
        <w:rPr>
          <w:rFonts w:ascii="Arial" w:cs="Arial" w:eastAsia="Arial" w:hAnsi="Arial"/>
          <w:sz w:val="17"/>
          <w:szCs w:val="17"/>
          <w:color w:val="auto"/>
        </w:rPr>
      </w:pPr>
    </w:p>
    <w:p>
      <w:pPr>
        <w:ind w:left="660" w:hanging="652"/>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a Schedule 13G/A filed with the SEC on February 13, 2023 by Cannell Capital LLC and J. Carlo Cannell, as of December 31, 2022, Cannell Capital LLC and Mr. Cannell held shared voting and dispositive power over 2,453,327 shares of common stock. Cannell Capital LLC acts as an investment adviser. Mr. Cannell is the managing member of Cannell Capital LLC. The business address of the reporting persons is 245 Meriwether Circle, Alta, Wyoming 83414.</w:t>
      </w:r>
    </w:p>
    <w:p>
      <w:pPr>
        <w:spacing w:after="0" w:line="157" w:lineRule="exact"/>
        <w:rPr>
          <w:sz w:val="20"/>
          <w:szCs w:val="20"/>
          <w:color w:val="auto"/>
        </w:rPr>
      </w:pPr>
    </w:p>
    <w:p>
      <w:pPr>
        <w:ind w:right="3000"/>
        <w:spacing w:after="0" w:line="48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Certain information required by Part III is incorporated by reference from our definitive Proxy Statement for the Annual Meeting of Shareholders, which is currently scheduled to be held on June 13, 2023 (the “Proxy Statement”), or an amendment to this Form 10-K, which we intend to file with the SEC within 120 days after the fiscal year end covered by this report. Except for those portions specifically incorporated in this Form 10-K by reference to the Proxy Statement, no other portions of the Proxy Statement are deemed to be filed as part of this Form 10-K.</w:t>
      </w:r>
    </w:p>
    <w:p>
      <w:pPr>
        <w:spacing w:after="0" w:line="150" w:lineRule="exact"/>
        <w:rPr>
          <w:sz w:val="20"/>
          <w:szCs w:val="20"/>
          <w:color w:val="auto"/>
        </w:rPr>
      </w:pPr>
    </w:p>
    <w:p>
      <w:pPr>
        <w:ind w:right="4300"/>
        <w:spacing w:after="0" w:line="448" w:lineRule="auto"/>
        <w:rPr>
          <w:sz w:val="20"/>
          <w:szCs w:val="20"/>
          <w:color w:val="auto"/>
        </w:rPr>
      </w:pPr>
      <w:r>
        <w:rPr>
          <w:rFonts w:ascii="Arial" w:cs="Arial" w:eastAsia="Arial" w:hAnsi="Arial"/>
          <w:sz w:val="18"/>
          <w:szCs w:val="18"/>
          <w:b w:val="1"/>
          <w:bCs w:val="1"/>
          <w:color w:val="auto"/>
        </w:rPr>
        <w:t xml:space="preserve">ITEM 10. DIRECTORS, EXECUTIVE OFFICERS AND CORPORATE GOVERNANCE </w:t>
      </w:r>
      <w:r>
        <w:rPr>
          <w:rFonts w:ascii="Arial" w:cs="Arial" w:eastAsia="Arial" w:hAnsi="Arial"/>
          <w:sz w:val="18"/>
          <w:szCs w:val="18"/>
          <w:color w:val="auto"/>
        </w:rPr>
        <w:t>The following sections of the Proxy Statement are incorporated herein by reference: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1 – Election of Directors</w:t>
      </w:r>
    </w:p>
    <w:p>
      <w:pPr>
        <w:spacing w:after="0" w:line="11" w:lineRule="exact"/>
        <w:rPr>
          <w:sz w:val="20"/>
          <w:szCs w:val="20"/>
          <w:color w:val="auto"/>
        </w:rPr>
      </w:pPr>
    </w:p>
    <w:p>
      <w:pPr>
        <w:ind w:left="340"/>
        <w:spacing w:after="0" w:line="219" w:lineRule="auto"/>
        <w:rPr>
          <w:sz w:val="20"/>
          <w:szCs w:val="20"/>
          <w:color w:val="auto"/>
        </w:rPr>
      </w:pPr>
      <w:r>
        <w:rPr>
          <w:rFonts w:ascii="Arial" w:cs="Arial" w:eastAsia="Arial" w:hAnsi="Arial"/>
          <w:sz w:val="18"/>
          <w:szCs w:val="18"/>
          <w:color w:val="auto"/>
        </w:rPr>
        <w:t>Information about our Executive Officers</w:t>
      </w:r>
    </w:p>
    <w:p>
      <w:pPr>
        <w:ind w:left="660" w:right="7180"/>
        <w:spacing w:after="0" w:line="303" w:lineRule="auto"/>
        <w:rPr>
          <w:sz w:val="20"/>
          <w:szCs w:val="20"/>
          <w:color w:val="auto"/>
        </w:rPr>
      </w:pPr>
      <w:r>
        <w:rPr>
          <w:rFonts w:ascii="Arial" w:cs="Arial" w:eastAsia="Arial" w:hAnsi="Arial"/>
          <w:sz w:val="16"/>
          <w:szCs w:val="16"/>
          <w:color w:val="auto"/>
        </w:rPr>
        <w:t>Certain Relationships and Related Transactions Delinquent Section 16(a) Reports</w:t>
      </w:r>
    </w:p>
    <w:p>
      <w:pPr>
        <w:spacing w:after="0" w:line="10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have adopted a Code of Business Conduct and Ethics that applies to all of our officers, directors and employees. The Code of Business Conduct and Ethics is available on the “Investor Relations” section of our website, at http://investors.tileshop.com, under the “Corporate Governance—Governance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 within four business days following the date of the amendment or waiver.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sections of the Proxy Statement are incorporated herein by reference:</w:t>
      </w:r>
    </w:p>
    <w:p>
      <w:pPr>
        <w:spacing w:after="0" w:line="171" w:lineRule="exact"/>
        <w:rPr>
          <w:sz w:val="20"/>
          <w:szCs w:val="20"/>
          <w:color w:val="auto"/>
        </w:rPr>
      </w:pPr>
    </w:p>
    <w:p>
      <w:pPr>
        <w:ind w:left="660" w:right="8780"/>
        <w:spacing w:after="0" w:line="265" w:lineRule="auto"/>
        <w:rPr>
          <w:sz w:val="20"/>
          <w:szCs w:val="20"/>
          <w:color w:val="auto"/>
        </w:rPr>
      </w:pPr>
      <w:r>
        <w:rPr>
          <w:rFonts w:ascii="Arial" w:cs="Arial" w:eastAsia="Arial" w:hAnsi="Arial"/>
          <w:sz w:val="16"/>
          <w:szCs w:val="16"/>
          <w:color w:val="auto"/>
        </w:rPr>
        <w:t>Executive Compensation Director Compensation Pay Ratio</w:t>
      </w:r>
    </w:p>
    <w:p>
      <w:pPr>
        <w:ind w:left="340"/>
        <w:spacing w:after="0" w:line="232" w:lineRule="auto"/>
        <w:rPr>
          <w:sz w:val="20"/>
          <w:szCs w:val="20"/>
          <w:color w:val="auto"/>
        </w:rPr>
      </w:pPr>
      <w:r>
        <w:rPr>
          <w:rFonts w:ascii="Arial" w:cs="Arial" w:eastAsia="Arial" w:hAnsi="Arial"/>
          <w:sz w:val="17"/>
          <w:szCs w:val="17"/>
          <w:color w:val="auto"/>
        </w:rPr>
        <w:t>Proposal 1 – Election of Directors – Committees of the Board of Directors – Compensation Committee Interlocks and Insider Participation</w:t>
      </w:r>
    </w:p>
    <w:p>
      <w:pPr>
        <w:ind w:left="340"/>
        <w:spacing w:after="0"/>
        <w:rPr>
          <w:sz w:val="20"/>
          <w:szCs w:val="20"/>
          <w:color w:val="auto"/>
        </w:rPr>
      </w:pPr>
      <w:r>
        <w:rPr>
          <w:rFonts w:ascii="Arial" w:cs="Arial" w:eastAsia="Arial" w:hAnsi="Arial"/>
          <w:sz w:val="17"/>
          <w:szCs w:val="17"/>
          <w:color w:val="auto"/>
        </w:rPr>
        <w:t>Proposal 1 – Election of Directors – Information Regarding the Board of Directors and Corporate Governance – Oversight of Risk Management</w:t>
      </w:r>
    </w:p>
    <w:p>
      <w:pPr>
        <w:spacing w:after="0" w:line="176"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of the Proxy Statement is incorporated herein by reference: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167" w:lineRule="exact"/>
        <w:rPr>
          <w:sz w:val="20"/>
          <w:szCs w:val="20"/>
          <w:color w:val="auto"/>
        </w:rPr>
      </w:pPr>
    </w:p>
    <w:p>
      <w:pPr>
        <w:ind w:right="3540" w:firstLine="3548"/>
        <w:spacing w:after="0" w:line="527" w:lineRule="auto"/>
        <w:rPr>
          <w:sz w:val="20"/>
          <w:szCs w:val="20"/>
          <w:color w:val="auto"/>
        </w:rPr>
      </w:pPr>
      <w:r>
        <w:rPr>
          <w:rFonts w:ascii="Arial" w:cs="Arial" w:eastAsia="Arial" w:hAnsi="Arial"/>
          <w:sz w:val="17"/>
          <w:szCs w:val="17"/>
          <w:b w:val="1"/>
          <w:bCs w:val="1"/>
          <w:color w:val="auto"/>
        </w:rPr>
        <w:t xml:space="preserve">EQUITY COMPENSATION PLAN INFORMATION </w:t>
      </w:r>
      <w:r>
        <w:rPr>
          <w:rFonts w:ascii="Arial" w:cs="Arial" w:eastAsia="Arial" w:hAnsi="Arial"/>
          <w:sz w:val="17"/>
          <w:szCs w:val="17"/>
          <w:color w:val="auto"/>
        </w:rPr>
        <w:t>The following table presents our equity compensation plan information as of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05"/>
              <w:spacing w:after="0"/>
              <w:rPr>
                <w:sz w:val="20"/>
                <w:szCs w:val="20"/>
                <w:color w:val="auto"/>
              </w:rPr>
            </w:pPr>
            <w:r>
              <w:rPr>
                <w:rFonts w:ascii="Arial" w:cs="Arial" w:eastAsia="Arial" w:hAnsi="Arial"/>
                <w:sz w:val="14"/>
                <w:szCs w:val="14"/>
                <w:b w:val="1"/>
                <w:bCs w:val="1"/>
                <w:color w:val="auto"/>
                <w:w w:val="93"/>
              </w:rPr>
              <w:t>(a)</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142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05"/>
              <w:spacing w:after="0"/>
              <w:rPr>
                <w:sz w:val="20"/>
                <w:szCs w:val="20"/>
                <w:color w:val="auto"/>
              </w:rPr>
            </w:pPr>
            <w:r>
              <w:rPr>
                <w:rFonts w:ascii="Arial" w:cs="Arial" w:eastAsia="Arial" w:hAnsi="Arial"/>
                <w:sz w:val="14"/>
                <w:szCs w:val="14"/>
                <w:b w:val="1"/>
                <w:bCs w:val="1"/>
                <w:color w:val="auto"/>
                <w:w w:val="91"/>
              </w:rPr>
              <w:t>Number of securities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580" w:type="dxa"/>
            <w:vAlign w:val="bottom"/>
          </w:tcPr>
          <w:p>
            <w:pPr>
              <w:spacing w:after="0"/>
              <w:rPr>
                <w:sz w:val="14"/>
                <w:szCs w:val="14"/>
                <w:color w:val="auto"/>
              </w:rPr>
            </w:pPr>
          </w:p>
        </w:tc>
        <w:tc>
          <w:tcPr>
            <w:tcW w:w="2380" w:type="dxa"/>
            <w:vAlign w:val="bottom"/>
            <w:gridSpan w:val="4"/>
          </w:tcPr>
          <w:p>
            <w:pPr>
              <w:jc w:val="center"/>
              <w:ind w:right="745"/>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85"/>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580" w:type="dxa"/>
            <w:vAlign w:val="bottom"/>
          </w:tcPr>
          <w:p>
            <w:pPr>
              <w:spacing w:after="0"/>
              <w:rPr>
                <w:sz w:val="12"/>
                <w:szCs w:val="12"/>
                <w:color w:val="auto"/>
              </w:rPr>
            </w:pP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700" w:type="dxa"/>
            <w:vAlign w:val="bottom"/>
            <w:gridSpan w:val="2"/>
          </w:tcPr>
          <w:p>
            <w:pPr>
              <w:jc w:val="right"/>
              <w:ind w:right="805"/>
              <w:spacing w:after="0" w:line="149" w:lineRule="exact"/>
              <w:rPr>
                <w:sz w:val="20"/>
                <w:szCs w:val="20"/>
                <w:color w:val="auto"/>
              </w:rPr>
            </w:pPr>
            <w:r>
              <w:rPr>
                <w:rFonts w:ascii="Arial" w:cs="Arial" w:eastAsia="Arial" w:hAnsi="Arial"/>
                <w:sz w:val="14"/>
                <w:szCs w:val="14"/>
                <w:b w:val="1"/>
                <w:bCs w:val="1"/>
                <w:color w:val="auto"/>
                <w:w w:val="97"/>
              </w:rPr>
              <w:t>available for</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145"/>
              <w:spacing w:after="0"/>
              <w:rPr>
                <w:sz w:val="20"/>
                <w:szCs w:val="20"/>
                <w:color w:val="auto"/>
              </w:rPr>
            </w:pPr>
            <w:r>
              <w:rPr>
                <w:rFonts w:ascii="Arial" w:cs="Arial" w:eastAsia="Arial" w:hAnsi="Arial"/>
                <w:sz w:val="14"/>
                <w:szCs w:val="14"/>
                <w:b w:val="1"/>
                <w:bCs w:val="1"/>
                <w:color w:val="auto"/>
                <w:w w:val="87"/>
              </w:rPr>
              <w:t>exercise of</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58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w w:val="95"/>
              </w:rPr>
              <w:t>future‎</w:t>
            </w:r>
          </w:p>
        </w:tc>
        <w:tc>
          <w:tcPr>
            <w:tcW w:w="1880" w:type="dxa"/>
            <w:vAlign w:val="bottom"/>
            <w:gridSpan w:val="3"/>
          </w:tcPr>
          <w:p>
            <w:pPr>
              <w:jc w:val="center"/>
              <w:ind w:right="845"/>
              <w:spacing w:after="0"/>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8"/>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5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w w:val="92"/>
              </w:rPr>
              <w:t>equity‎</w:t>
            </w:r>
          </w:p>
        </w:tc>
        <w:tc>
          <w:tcPr>
            <w:tcW w:w="2380" w:type="dxa"/>
            <w:vAlign w:val="bottom"/>
            <w:gridSpan w:val="4"/>
          </w:tcPr>
          <w:p>
            <w:pPr>
              <w:jc w:val="center"/>
              <w:ind w:right="385"/>
              <w:spacing w:after="0" w:line="149" w:lineRule="exact"/>
              <w:rPr>
                <w:sz w:val="20"/>
                <w:szCs w:val="20"/>
                <w:color w:val="auto"/>
              </w:rPr>
            </w:pPr>
            <w:r>
              <w:rPr>
                <w:rFonts w:ascii="Arial" w:cs="Arial" w:eastAsia="Arial" w:hAnsi="Arial"/>
                <w:sz w:val="14"/>
                <w:szCs w:val="14"/>
                <w:b w:val="1"/>
                <w:bCs w:val="1"/>
                <w:color w:val="auto"/>
                <w:w w:val="89"/>
              </w:rPr>
              <w:t>compensation plans (excluding</w:t>
            </w:r>
          </w:p>
        </w:tc>
        <w:tc>
          <w:tcPr>
            <w:tcW w:w="0" w:type="dxa"/>
            <w:vAlign w:val="bottom"/>
          </w:tcPr>
          <w:p>
            <w:pPr>
              <w:spacing w:after="0"/>
              <w:rPr>
                <w:sz w:val="1"/>
                <w:szCs w:val="1"/>
                <w:color w:val="auto"/>
              </w:rPr>
            </w:pPr>
          </w:p>
        </w:tc>
      </w:tr>
      <w:tr>
        <w:trPr>
          <w:trHeight w:val="185"/>
        </w:trPr>
        <w:tc>
          <w:tcPr>
            <w:tcW w:w="4920" w:type="dxa"/>
            <w:vAlign w:val="bottom"/>
            <w:gridSpan w:val="2"/>
            <w:vMerge w:val="continue"/>
          </w:tcPr>
          <w:p>
            <w:pPr>
              <w:spacing w:after="0"/>
              <w:rPr>
                <w:sz w:val="16"/>
                <w:szCs w:val="16"/>
                <w:color w:val="auto"/>
              </w:rPr>
            </w:pPr>
          </w:p>
        </w:tc>
        <w:tc>
          <w:tcPr>
            <w:tcW w:w="1780" w:type="dxa"/>
            <w:vAlign w:val="bottom"/>
            <w:gridSpan w:val="2"/>
          </w:tcPr>
          <w:p>
            <w:pPr>
              <w:jc w:val="center"/>
              <w:ind w:right="85"/>
              <w:spacing w:after="0"/>
              <w:rPr>
                <w:sz w:val="20"/>
                <w:szCs w:val="20"/>
                <w:color w:val="auto"/>
              </w:rPr>
            </w:pPr>
            <w:r>
              <w:rPr>
                <w:rFonts w:ascii="Arial" w:cs="Arial" w:eastAsia="Arial" w:hAnsi="Arial"/>
                <w:sz w:val="14"/>
                <w:szCs w:val="14"/>
                <w:b w:val="1"/>
                <w:bCs w:val="1"/>
                <w:color w:val="auto"/>
                <w:w w:val="93"/>
              </w:rPr>
              <w:t>warrants and rights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rights ($)</w:t>
            </w:r>
          </w:p>
        </w:tc>
        <w:tc>
          <w:tcPr>
            <w:tcW w:w="2960" w:type="dxa"/>
            <w:vAlign w:val="bottom"/>
            <w:gridSpan w:val="5"/>
          </w:tcPr>
          <w:p>
            <w:pPr>
              <w:jc w:val="center"/>
              <w:ind w:right="165"/>
              <w:spacing w:after="0"/>
              <w:rPr>
                <w:sz w:val="20"/>
                <w:szCs w:val="20"/>
                <w:color w:val="auto"/>
              </w:rPr>
            </w:pPr>
            <w:r>
              <w:rPr>
                <w:rFonts w:ascii="Arial" w:cs="Arial" w:eastAsia="Arial" w:hAnsi="Arial"/>
                <w:sz w:val="14"/>
                <w:szCs w:val="14"/>
                <w:b w:val="1"/>
                <w:bCs w:val="1"/>
                <w:color w:val="auto"/>
                <w:w w:val="91"/>
              </w:rPr>
              <w:t>securities reflected in column (a))</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stockholders</w:t>
            </w:r>
          </w:p>
        </w:tc>
        <w:tc>
          <w:tcPr>
            <w:tcW w:w="1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558,067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11.22</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3,864,901</w:t>
            </w:r>
          </w:p>
        </w:tc>
        <w:tc>
          <w:tcPr>
            <w:tcW w:w="260" w:type="dxa"/>
            <w:vAlign w:val="bottom"/>
            <w:tcBorders>
              <w:top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Equity compensation plans not approved by stockholders</w:t>
            </w: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558,067</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3,864,901</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100" w:hanging="652"/>
        <w:spacing w:after="0" w:line="23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shares of common stock to be issued upon exercise of outstanding options to purchase common stock granted pursuant to our Plans as of December 31, 2022.</w:t>
      </w: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shares available for future issuance are under the 2021 Plan.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ind w:right="1980"/>
        <w:spacing w:after="0" w:line="456"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The following sections of the Proxy Statement are incorporated herein by reference:</w:t>
      </w:r>
    </w:p>
    <w:p>
      <w:pPr>
        <w:ind w:left="660"/>
        <w:spacing w:after="0" w:line="236" w:lineRule="auto"/>
        <w:rPr>
          <w:sz w:val="20"/>
          <w:szCs w:val="20"/>
          <w:color w:val="auto"/>
        </w:rPr>
      </w:pPr>
      <w:r>
        <w:rPr>
          <w:rFonts w:ascii="Arial" w:cs="Arial" w:eastAsia="Arial" w:hAnsi="Arial"/>
          <w:sz w:val="18"/>
          <w:szCs w:val="18"/>
          <w:color w:val="auto"/>
        </w:rPr>
        <w:t>Proposal 1 – Election of Directors – Information Regarding the Board of Directors and Corporate Governance – Independence of the Board of Directors</w:t>
      </w:r>
    </w:p>
    <w:p>
      <w:pPr>
        <w:ind w:left="340"/>
        <w:spacing w:after="0"/>
        <w:rPr>
          <w:sz w:val="20"/>
          <w:szCs w:val="20"/>
          <w:color w:val="auto"/>
        </w:rPr>
      </w:pPr>
      <w:r>
        <w:rPr>
          <w:rFonts w:ascii="Arial" w:cs="Arial" w:eastAsia="Arial" w:hAnsi="Arial"/>
          <w:sz w:val="18"/>
          <w:szCs w:val="18"/>
          <w:color w:val="auto"/>
        </w:rPr>
        <w:t>Certain Relationships and Related Transactions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of the Proxy Statement is incorporated herein by reference: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1" w:right="6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ind w:right="8380" w:firstLine="8"/>
        <w:spacing w:after="0" w:line="456" w:lineRule="auto"/>
        <w:tabs>
          <w:tab w:leader="none" w:pos="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 1. Financial Statements</w:t>
      </w: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filed as part of this Form 10-K:</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56"/>
        </w:trPr>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0000FF"/>
              </w:rPr>
              <w:t>(i)</w:t>
            </w:r>
          </w:p>
        </w:tc>
        <w:tc>
          <w:tcPr>
            <w:tcW w:w="340" w:type="dxa"/>
            <w:vAlign w:val="bottom"/>
            <w:tcBorders>
              <w:left w:val="single" w:sz="8" w:color="CCEEFF"/>
            </w:tcBorders>
            <w:gridSpan w:val="2"/>
            <w:shd w:val="clear" w:color="auto" w:fill="CCEEFF"/>
          </w:tcPr>
          <w:p>
            <w:pPr>
              <w:spacing w:after="0"/>
              <w:rPr>
                <w:sz w:val="13"/>
                <w:szCs w:val="13"/>
                <w:color w:val="auto"/>
              </w:rPr>
            </w:pPr>
          </w:p>
        </w:tc>
        <w:tc>
          <w:tcPr>
            <w:tcW w:w="9900" w:type="dxa"/>
            <w:vAlign w:val="bottom"/>
            <w:gridSpan w:val="7"/>
            <w:shd w:val="clear" w:color="auto" w:fill="CCEEFF"/>
          </w:tcPr>
          <w:p>
            <w:pPr>
              <w:spacing w:after="0" w:line="156" w:lineRule="exact"/>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42)</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37</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60" w:type="dxa"/>
            <w:vAlign w:val="bottom"/>
            <w:gridSpan w:val="3"/>
          </w:tcPr>
          <w:p>
            <w:pPr>
              <w:spacing w:after="0" w:line="162" w:lineRule="exact"/>
              <w:rPr>
                <w:sz w:val="20"/>
                <w:szCs w:val="20"/>
                <w:color w:val="auto"/>
              </w:rPr>
            </w:pPr>
            <w:r>
              <w:rPr>
                <w:rFonts w:ascii="Arial" w:cs="Arial" w:eastAsia="Arial" w:hAnsi="Arial"/>
                <w:sz w:val="18"/>
                <w:szCs w:val="18"/>
                <w:color w:val="0000FF"/>
              </w:rPr>
              <w:t>(ii)</w:t>
            </w:r>
          </w:p>
        </w:tc>
        <w:tc>
          <w:tcPr>
            <w:tcW w:w="9900" w:type="dxa"/>
            <w:vAlign w:val="bottom"/>
            <w:gridSpan w:val="7"/>
          </w:tcPr>
          <w:p>
            <w:pPr>
              <w:spacing w:after="0" w:line="162" w:lineRule="exact"/>
              <w:rPr>
                <w:sz w:val="20"/>
                <w:szCs w:val="20"/>
                <w:color w:val="auto"/>
              </w:rPr>
            </w:pPr>
            <w:r>
              <w:rPr>
                <w:rFonts w:ascii="Arial" w:cs="Arial" w:eastAsia="Arial" w:hAnsi="Arial"/>
                <w:sz w:val="18"/>
                <w:szCs w:val="18"/>
                <w:color w:val="0000FF"/>
              </w:rPr>
              <w:t>Consolidated Balance Sheets as of December 31, 2022 and 2021</w:t>
            </w:r>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right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0000FF"/>
                <w:w w:val="74"/>
              </w:rPr>
              <w:t>(iii)</w:t>
            </w:r>
          </w:p>
        </w:tc>
        <w:tc>
          <w:tcPr>
            <w:tcW w:w="34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6940" w:type="dxa"/>
            <w:vAlign w:val="bottom"/>
            <w:tcBorders>
              <w:bottom w:val="single" w:sz="8" w:color="0000FF"/>
              <w:right w:val="single" w:sz="8" w:color="CCEEFF"/>
            </w:tcBorders>
            <w:gridSpan w:val="4"/>
            <w:shd w:val="clear" w:color="auto" w:fill="CCEEFF"/>
          </w:tcPr>
          <w:p>
            <w:pPr>
              <w:spacing w:after="0" w:line="162" w:lineRule="exact"/>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2960" w:type="dxa"/>
            <w:vAlign w:val="bottom"/>
            <w:tcBorders>
              <w:bottom w:val="single" w:sz="8" w:color="CCEEFF"/>
            </w:tcBorders>
            <w:gridSpan w:val="3"/>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41</w:t>
            </w:r>
          </w:p>
        </w:tc>
      </w:tr>
      <w:tr>
        <w:trPr>
          <w:trHeight w:val="169"/>
        </w:trPr>
        <w:tc>
          <w:tcPr>
            <w:tcW w:w="20" w:type="dxa"/>
            <w:vAlign w:val="bottom"/>
          </w:tcPr>
          <w:p>
            <w:pPr>
              <w:spacing w:after="0"/>
              <w:rPr>
                <w:sz w:val="14"/>
                <w:szCs w:val="14"/>
                <w:color w:val="auto"/>
              </w:rPr>
            </w:pPr>
          </w:p>
        </w:tc>
        <w:tc>
          <w:tcPr>
            <w:tcW w:w="560" w:type="dxa"/>
            <w:vAlign w:val="bottom"/>
            <w:gridSpan w:val="3"/>
          </w:tcPr>
          <w:p>
            <w:pPr>
              <w:spacing w:after="0" w:line="162" w:lineRule="exact"/>
              <w:rPr>
                <w:sz w:val="20"/>
                <w:szCs w:val="20"/>
                <w:color w:val="auto"/>
              </w:rPr>
            </w:pPr>
            <w:r>
              <w:rPr>
                <w:rFonts w:ascii="Arial" w:cs="Arial" w:eastAsia="Arial" w:hAnsi="Arial"/>
                <w:sz w:val="18"/>
                <w:szCs w:val="18"/>
                <w:color w:val="0000FF"/>
              </w:rPr>
              <w:t>(iv)</w:t>
            </w:r>
          </w:p>
        </w:tc>
        <w:tc>
          <w:tcPr>
            <w:tcW w:w="9900" w:type="dxa"/>
            <w:vAlign w:val="bottom"/>
            <w:gridSpan w:val="7"/>
          </w:tcPr>
          <w:p>
            <w:pPr>
              <w:spacing w:after="0" w:line="162" w:lineRule="exact"/>
              <w:rPr>
                <w:sz w:val="20"/>
                <w:szCs w:val="20"/>
                <w:color w:val="auto"/>
              </w:rPr>
            </w:pPr>
            <w:r>
              <w:rPr>
                <w:rFonts w:ascii="Arial" w:cs="Arial" w:eastAsia="Arial" w:hAnsi="Arial"/>
                <w:sz w:val="18"/>
                <w:szCs w:val="18"/>
                <w:color w:val="0000FF"/>
              </w:rPr>
              <w:t>Consolidated Statements of Comprehensive Income (Loss) for the years ended December 31, 2022, 2021, and 2020</w:t>
            </w:r>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42</w:t>
            </w:r>
          </w:p>
        </w:tc>
      </w:tr>
      <w:tr>
        <w:trPr>
          <w:trHeight w:val="162"/>
        </w:trPr>
        <w:tc>
          <w:tcPr>
            <w:tcW w:w="20" w:type="dxa"/>
            <w:vAlign w:val="bottom"/>
            <w:shd w:val="clear" w:color="auto" w:fill="CCEEFF"/>
          </w:tcPr>
          <w:p>
            <w:pPr>
              <w:spacing w:after="0"/>
              <w:rPr>
                <w:sz w:val="14"/>
                <w:szCs w:val="14"/>
                <w:color w:val="auto"/>
              </w:rPr>
            </w:pPr>
          </w:p>
        </w:tc>
        <w:tc>
          <w:tcPr>
            <w:tcW w:w="220" w:type="dxa"/>
            <w:vAlign w:val="bottom"/>
            <w:tcBorders>
              <w:top w:val="single" w:sz="8" w:color="0000FF"/>
              <w:right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0000FF"/>
                <w:w w:val="85"/>
              </w:rPr>
              <w:t>(v)</w:t>
            </w:r>
          </w:p>
        </w:tc>
        <w:tc>
          <w:tcPr>
            <w:tcW w:w="340" w:type="dxa"/>
            <w:vAlign w:val="bottom"/>
            <w:tcBorders>
              <w:left w:val="single" w:sz="8" w:color="CCEEFF"/>
            </w:tcBorders>
            <w:gridSpan w:val="2"/>
            <w:shd w:val="clear" w:color="auto" w:fill="CCEEFF"/>
          </w:tcPr>
          <w:p>
            <w:pPr>
              <w:spacing w:after="0"/>
              <w:rPr>
                <w:sz w:val="14"/>
                <w:szCs w:val="14"/>
                <w:color w:val="auto"/>
              </w:rPr>
            </w:pPr>
          </w:p>
        </w:tc>
        <w:tc>
          <w:tcPr>
            <w:tcW w:w="8320" w:type="dxa"/>
            <w:vAlign w:val="bottom"/>
            <w:tcBorders>
              <w:top w:val="single" w:sz="8" w:color="0000FF"/>
            </w:tcBorders>
            <w:gridSpan w:val="6"/>
            <w:shd w:val="clear" w:color="auto" w:fill="CCEEFF"/>
          </w:tcPr>
          <w:p>
            <w:pPr>
              <w:spacing w:after="0" w:line="162" w:lineRule="exact"/>
              <w:rPr>
                <w:sz w:val="20"/>
                <w:szCs w:val="20"/>
                <w:color w:val="auto"/>
              </w:rPr>
            </w:pPr>
            <w:r>
              <w:rPr>
                <w:rFonts w:ascii="Arial" w:cs="Arial" w:eastAsia="Arial" w:hAnsi="Arial"/>
                <w:sz w:val="18"/>
                <w:szCs w:val="18"/>
                <w:color w:val="0000FF"/>
                <w:w w:val="97"/>
              </w:rPr>
              <w:t>Consolidated Statements of Stockholders’ Equity for the years ended December 31, 2022, 2021, and 2020</w:t>
            </w:r>
          </w:p>
        </w:tc>
        <w:tc>
          <w:tcPr>
            <w:tcW w:w="15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43</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300" w:type="dxa"/>
            <w:vAlign w:val="bottom"/>
            <w:tcBorders>
              <w:righ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560" w:type="dxa"/>
            <w:vAlign w:val="bottom"/>
            <w:gridSpan w:val="3"/>
          </w:tcPr>
          <w:p>
            <w:pPr>
              <w:spacing w:after="0" w:line="162" w:lineRule="exact"/>
              <w:rPr>
                <w:sz w:val="20"/>
                <w:szCs w:val="20"/>
                <w:color w:val="auto"/>
              </w:rPr>
            </w:pPr>
            <w:r>
              <w:rPr>
                <w:rFonts w:ascii="Arial" w:cs="Arial" w:eastAsia="Arial" w:hAnsi="Arial"/>
                <w:sz w:val="18"/>
                <w:szCs w:val="18"/>
                <w:color w:val="0000FF"/>
              </w:rPr>
              <w:t>(vi)</w:t>
            </w:r>
          </w:p>
        </w:tc>
        <w:tc>
          <w:tcPr>
            <w:tcW w:w="9900" w:type="dxa"/>
            <w:vAlign w:val="bottom"/>
            <w:gridSpan w:val="7"/>
          </w:tcPr>
          <w:p>
            <w:pPr>
              <w:spacing w:after="0" w:line="162" w:lineRule="exact"/>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44</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30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0000FF"/>
              </w:rPr>
              <w:t>(vii)</w:t>
            </w:r>
          </w:p>
        </w:tc>
        <w:tc>
          <w:tcPr>
            <w:tcW w:w="200" w:type="dxa"/>
            <w:vAlign w:val="bottom"/>
            <w:shd w:val="clear" w:color="auto" w:fill="CCEEFF"/>
          </w:tcPr>
          <w:p>
            <w:pPr>
              <w:spacing w:after="0"/>
              <w:rPr>
                <w:sz w:val="14"/>
                <w:szCs w:val="14"/>
                <w:color w:val="auto"/>
              </w:rPr>
            </w:pPr>
          </w:p>
        </w:tc>
        <w:tc>
          <w:tcPr>
            <w:tcW w:w="9900" w:type="dxa"/>
            <w:vAlign w:val="bottom"/>
            <w:gridSpan w:val="7"/>
            <w:shd w:val="clear" w:color="auto" w:fill="CCEEFF"/>
          </w:tcPr>
          <w:p>
            <w:pPr>
              <w:spacing w:after="0" w:line="162" w:lineRule="exact"/>
              <w:rPr>
                <w:sz w:val="20"/>
                <w:szCs w:val="20"/>
                <w:color w:val="auto"/>
              </w:rPr>
            </w:pPr>
            <w:r>
              <w:rPr>
                <w:rFonts w:ascii="Arial" w:cs="Arial" w:eastAsia="Arial" w:hAnsi="Arial"/>
                <w:sz w:val="18"/>
                <w:szCs w:val="18"/>
                <w:color w:val="0000FF"/>
              </w:rPr>
              <w:t>Notes to Consolidated Financial Statements</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45</w:t>
            </w:r>
          </w:p>
        </w:tc>
      </w:tr>
      <w:tr>
        <w:trPr>
          <w:trHeight w:val="27"/>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140" w:type="dxa"/>
            <w:vAlign w:val="bottom"/>
            <w:shd w:val="clear" w:color="auto" w:fill="0000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preceding the signature page of this Form 10-K, which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Tile Shop Holdings, Inc. and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have audited the accompanying consolidated balance sheets of Tile Shop Holdings, Inc. and Subsidiaries (the Company) as of December 31, 2022 and 2021, the related consolidated statements of operations, comprehensive income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68"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2, 2023 expressed an unqualified opinion thereon.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PCAOB.</w:t>
      </w:r>
    </w:p>
    <w:p>
      <w:pPr>
        <w:spacing w:after="0" w:line="7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2"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500" w:type="dxa"/>
            <w:vAlign w:val="bottom"/>
          </w:tcPr>
          <w:p>
            <w:pPr>
              <w:spacing w:after="0"/>
              <w:rPr>
                <w:sz w:val="17"/>
                <w:szCs w:val="17"/>
                <w:color w:val="auto"/>
              </w:rPr>
            </w:pPr>
          </w:p>
        </w:tc>
      </w:tr>
      <w:tr>
        <w:trPr>
          <w:trHeight w:val="357"/>
        </w:trPr>
        <w:tc>
          <w:tcPr>
            <w:tcW w:w="12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Retail Store Impairment – Leasehold Improvements and Operating Lease Right of Use Assets</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Description of the</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7"/>
              </w:rPr>
              <w:t>As described in Notes 1, 3 and 6 to the consolidated financial statements, the Company’s long-lived assets consisted of</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Matter</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consolidated property, plant and equipment, net of $71.1 million and consolidated operating lease right of use assets balance of</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0"/>
              </w:rPr>
              <w:t>$118.5 million as of December 31, 2022. For the year ended December 31, 2022, the Company recorded an impairment charge</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9"/>
              </w:rPr>
              <w:t>of $0.4 million. The Company evaluates if there are indicators of impairment for long-lived assets in accordance with</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1"/>
              </w:rPr>
              <w:t>Accounting Standards Codification 360, Property, Plant, and Equipment when events and circumstances indicate that the long-</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2"/>
              </w:rPr>
              <w:t>lived assets may be impaired. The Company’s first step is to determine whether indicators of impairment exist in its long-lived</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2"/>
              </w:rPr>
              <w:t>assets (leasehold improvements and operating lease right of use assets) at the individual retail store level, which is the lowest</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8"/>
              </w:rPr>
              <w:t>level at which cash flows can be identified. If indicators of impairment are identified for any retail stores, the Company</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1"/>
              </w:rPr>
              <w:t>evaluates if the projected undiscounted cash flows to be generated by those stores are less than their carrying amounts. When</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this is the case, the Company compares the calculated fair value of the respective retail store to its carrying value. If fair value is</w:t>
            </w: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rPr>
              <w:t>less than the carrying value, an impairment loss is recorded.</w:t>
            </w:r>
          </w:p>
        </w:tc>
      </w:tr>
      <w:tr>
        <w:trPr>
          <w:trHeight w:val="350"/>
        </w:trPr>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w w:val="92"/>
              </w:rPr>
              <w:t>Significant assumptions used in the Company’s projected undiscounted cash flow analyses included estimates of future sales,</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5"/>
              </w:rPr>
              <w:t>gross margin and operating expenses. Additionally, significant assumptions utilized in the fair value analyses included the</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6"/>
              </w:rPr>
              <w:t>aforementioned assumptions, as well as comparable market rents and discount rate. This led to a high degree of auditor</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5"/>
              </w:rPr>
              <w:t>judgment, subjectivity and effort in performing procedures and in evaluating management’s future cash flow projections, in</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89"/>
              </w:rPr>
              <w:t>particular, the assumptions related to estimates of future sales, gross margin and comparable market rents which can be affected</w:t>
            </w: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rPr>
              <w:t>by expectations about future market or economic conditions.</w:t>
            </w:r>
          </w:p>
        </w:tc>
      </w:tr>
      <w:tr>
        <w:trPr>
          <w:trHeight w:val="350"/>
        </w:trPr>
        <w:tc>
          <w:tcPr>
            <w:tcW w:w="1640" w:type="dxa"/>
            <w:vAlign w:val="bottom"/>
            <w:gridSpan w:val="2"/>
          </w:tcPr>
          <w:p>
            <w:pPr>
              <w:spacing w:after="0"/>
              <w:rPr>
                <w:sz w:val="20"/>
                <w:szCs w:val="20"/>
                <w:color w:val="auto"/>
              </w:rPr>
            </w:pPr>
            <w:r>
              <w:rPr>
                <w:rFonts w:ascii="Arial" w:cs="Arial" w:eastAsia="Arial" w:hAnsi="Arial"/>
                <w:sz w:val="18"/>
                <w:szCs w:val="18"/>
                <w:i w:val="1"/>
                <w:iCs w:val="1"/>
                <w:color w:val="auto"/>
              </w:rPr>
              <w:t>How We Addressed</w:t>
            </w:r>
          </w:p>
        </w:tc>
        <w:tc>
          <w:tcPr>
            <w:tcW w:w="9500" w:type="dxa"/>
            <w:vAlign w:val="bottom"/>
          </w:tcPr>
          <w:p>
            <w:pPr>
              <w:ind w:left="260"/>
              <w:spacing w:after="0"/>
              <w:rPr>
                <w:sz w:val="20"/>
                <w:szCs w:val="20"/>
                <w:color w:val="auto"/>
              </w:rPr>
            </w:pPr>
            <w:r>
              <w:rPr>
                <w:rFonts w:ascii="Arial" w:cs="Arial" w:eastAsia="Arial" w:hAnsi="Arial"/>
                <w:sz w:val="18"/>
                <w:szCs w:val="18"/>
                <w:color w:val="auto"/>
                <w:w w:val="93"/>
              </w:rPr>
              <w:t>We obtained an understanding, evaluated the design, and tested the operating effectiveness of controls over the Company’s</w:t>
            </w:r>
          </w:p>
        </w:tc>
      </w:tr>
      <w:tr>
        <w:trPr>
          <w:trHeight w:val="189"/>
        </w:trPr>
        <w:tc>
          <w:tcPr>
            <w:tcW w:w="16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the Matter in Our</w:t>
            </w: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processes over the identification of indicators of impairment, the assessment of the undiscounted cash flows to be generated by</w:t>
            </w:r>
          </w:p>
        </w:tc>
      </w:tr>
      <w:tr>
        <w:trPr>
          <w:trHeight w:val="203"/>
        </w:trPr>
        <w:tc>
          <w:tcPr>
            <w:tcW w:w="16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Audit</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93"/>
              </w:rPr>
              <w:t>retail stores with indicators of impairment, the determination of the fair value of the retail stores and the measurement of any</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rPr>
              <w:t>resulting impairment. These controls include, among others, management’s evaluation of indicators of impairment,</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2"/>
              </w:rPr>
              <w:t>management’s review of the assumptions utilized to develop the projected undiscounted cash flows and the related fair value</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89"/>
              </w:rPr>
              <w:t>estimates, and management’s testing of the completeness and accuracy of the underlying data utilized to project future operating</w:t>
            </w: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rPr>
              <w:t>results for the retail stores.</w:t>
            </w:r>
          </w:p>
        </w:tc>
      </w:tr>
      <w:tr>
        <w:trPr>
          <w:trHeight w:val="350"/>
        </w:trPr>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w w:val="89"/>
              </w:rPr>
              <w:t>We performed audit procedures that included, among others, testing the completeness of retail stores evaluated for impairments,</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9"/>
              </w:rPr>
              <w:t>testing management’s process for developing the undiscounted cash flows and evaluating management’s significant</w:t>
            </w:r>
          </w:p>
        </w:tc>
      </w:tr>
      <w:tr>
        <w:trPr>
          <w:trHeight w:val="203"/>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auto"/>
                <w:w w:val="89"/>
              </w:rPr>
              <w:t>assumptions, including, as applicable, estimates of future sales, gross margin, operating expenses, comparable market rents and</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4"/>
              </w:rPr>
              <w:t>discount rate and comparing the current performance of the retail stores with historical trends and consistency with external</w:t>
            </w:r>
          </w:p>
        </w:tc>
      </w:tr>
      <w:tr>
        <w:trPr>
          <w:trHeight w:val="189"/>
        </w:trPr>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00" w:type="dxa"/>
            <w:vAlign w:val="bottom"/>
          </w:tcPr>
          <w:p>
            <w:pPr>
              <w:ind w:left="260"/>
              <w:spacing w:after="0" w:line="189" w:lineRule="exact"/>
              <w:rPr>
                <w:sz w:val="20"/>
                <w:szCs w:val="20"/>
                <w:color w:val="auto"/>
              </w:rPr>
            </w:pPr>
            <w:r>
              <w:rPr>
                <w:rFonts w:ascii="Arial" w:cs="Arial" w:eastAsia="Arial" w:hAnsi="Arial"/>
                <w:sz w:val="18"/>
                <w:szCs w:val="18"/>
                <w:color w:val="auto"/>
                <w:w w:val="90"/>
              </w:rPr>
              <w:t>market and industry data. We involved our internal valuation specialists to assist in the evaluation of the Company’s comparable</w:t>
            </w:r>
          </w:p>
        </w:tc>
      </w:tr>
      <w:tr>
        <w:trPr>
          <w:trHeight w:val="230"/>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auto"/>
              </w:rPr>
              <w:t>market rents and discount rate assumptions.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audited Tile Shop Holdings,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Tile Shop Holdings, Inc. and Subsidiaries (the Company) maintained, in all material respects, effective internal control over financial reporting as of December 31, 2022, based on the COSO criteria.</w:t>
      </w:r>
    </w:p>
    <w:p>
      <w:pPr>
        <w:spacing w:after="0" w:line="67" w:lineRule="exact"/>
        <w:rPr>
          <w:sz w:val="20"/>
          <w:szCs w:val="20"/>
          <w:color w:val="auto"/>
        </w:rPr>
      </w:pPr>
    </w:p>
    <w:p>
      <w:pPr>
        <w:ind w:right="800"/>
        <w:spacing w:after="0" w:line="291"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2022 consolidated financial statements of the Company and our report dated March 2, 2023 expressed an unqualified opinion thereon.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9"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1280" w:type="dxa"/>
            <w:vAlign w:val="bottom"/>
            <w:tcBorders>
              <w:top w:val="single" w:sz="8" w:color="0000FF"/>
            </w:tcBorders>
          </w:tcPr>
          <w:p>
            <w:pPr>
              <w:spacing w:after="0"/>
              <w:rPr>
                <w:sz w:val="24"/>
                <w:szCs w:val="24"/>
                <w:color w:val="auto"/>
              </w:rPr>
            </w:pPr>
          </w:p>
        </w:tc>
        <w:tc>
          <w:tcPr>
            <w:tcW w:w="708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080" w:type="dxa"/>
            <w:vAlign w:val="bottom"/>
          </w:tcPr>
          <w:p>
            <w:pPr>
              <w:jc w:val="center"/>
              <w:ind w:left="1510"/>
              <w:spacing w:after="0" w:line="189" w:lineRule="exact"/>
              <w:rPr>
                <w:sz w:val="20"/>
                <w:szCs w:val="20"/>
                <w:color w:val="auto"/>
              </w:rPr>
            </w:pPr>
            <w:r>
              <w:rPr>
                <w:rFonts w:ascii="Arial" w:cs="Arial" w:eastAsia="Arial" w:hAnsi="Arial"/>
                <w:sz w:val="18"/>
                <w:szCs w:val="18"/>
                <w:color w:val="auto"/>
                <w:w w:val="88"/>
              </w:rPr>
              <w:t>Consolidated Balance Sheets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080" w:type="dxa"/>
            <w:vAlign w:val="bottom"/>
          </w:tcPr>
          <w:p>
            <w:pPr>
              <w:jc w:val="center"/>
              <w:ind w:left="1510"/>
              <w:spacing w:after="0" w:line="189" w:lineRule="exact"/>
              <w:rPr>
                <w:sz w:val="20"/>
                <w:szCs w:val="20"/>
                <w:color w:val="auto"/>
              </w:rPr>
            </w:pPr>
            <w:r>
              <w:rPr>
                <w:rFonts w:ascii="Arial" w:cs="Arial" w:eastAsia="Arial" w:hAnsi="Arial"/>
                <w:sz w:val="18"/>
                <w:szCs w:val="18"/>
                <w:color w:val="auto"/>
                <w:w w:val="90"/>
              </w:rPr>
              <w:t>As of December 31, 2022 and 2021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7080" w:type="dxa"/>
            <w:vAlign w:val="bottom"/>
          </w:tcPr>
          <w:p>
            <w:pPr>
              <w:jc w:val="center"/>
              <w:ind w:left="1510"/>
              <w:spacing w:after="0"/>
              <w:rPr>
                <w:sz w:val="20"/>
                <w:szCs w:val="20"/>
                <w:color w:val="auto"/>
              </w:rPr>
            </w:pPr>
            <w:r>
              <w:rPr>
                <w:rFonts w:ascii="Arial" w:cs="Arial" w:eastAsia="Arial" w:hAnsi="Arial"/>
                <w:sz w:val="18"/>
                <w:szCs w:val="18"/>
                <w:color w:val="auto"/>
                <w:w w:val="88"/>
              </w:rPr>
              <w:t>(dollars in thousands, except per share data)</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7"/>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55"/>
        </w:trPr>
        <w:tc>
          <w:tcPr>
            <w:tcW w:w="8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5,948</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1,811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120,952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97,175</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9,769</w:t>
            </w:r>
          </w:p>
        </w:tc>
        <w:tc>
          <w:tcPr>
            <w:tcW w:w="0" w:type="dxa"/>
            <w:vAlign w:val="bottom"/>
          </w:tcPr>
          <w:p>
            <w:pPr>
              <w:spacing w:after="0"/>
              <w:rPr>
                <w:sz w:val="1"/>
                <w:szCs w:val="1"/>
                <w:color w:val="auto"/>
              </w:rPr>
            </w:pPr>
          </w:p>
        </w:tc>
      </w:tr>
      <w:tr>
        <w:trPr>
          <w:trHeight w:val="182"/>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146,403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127,082</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71,095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82,285</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118,501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6,536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345,822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340,758</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23,506</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30,884</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Current portion of lease liability</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27,866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28,190</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31,916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r>
        <w:trPr>
          <w:trHeight w:val="183"/>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83,291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97,713</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45,400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103,353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110,261</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237,053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218,534</w:t>
            </w:r>
          </w:p>
        </w:tc>
        <w:tc>
          <w:tcPr>
            <w:tcW w:w="0" w:type="dxa"/>
            <w:vAlign w:val="bottom"/>
          </w:tcPr>
          <w:p>
            <w:pPr>
              <w:spacing w:after="0"/>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7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5"/>
              </w:rPr>
              <w:t>Common stock, par value: $0.0001; authorized: 100,000,000 shares; issued and outstanding: 44,377,445 and</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51,963,377 shares, respectively</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127,997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126,920</w:t>
            </w:r>
          </w:p>
        </w:tc>
        <w:tc>
          <w:tcPr>
            <w:tcW w:w="0" w:type="dxa"/>
            <w:vAlign w:val="bottom"/>
          </w:tcPr>
          <w:p>
            <w:pPr>
              <w:spacing w:after="0"/>
              <w:rPr>
                <w:sz w:val="1"/>
                <w:szCs w:val="1"/>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6"/>
                <w:szCs w:val="16"/>
                <w:color w:val="auto"/>
              </w:rPr>
            </w:pPr>
          </w:p>
        </w:tc>
        <w:tc>
          <w:tcPr>
            <w:tcW w:w="13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(19,180)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108,769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345,822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340,758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71"/>
        </w:trPr>
        <w:tc>
          <w:tcPr>
            <w:tcW w:w="128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432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320" w:type="dxa"/>
            <w:vAlign w:val="bottom"/>
            <w:gridSpan w:val="6"/>
          </w:tcPr>
          <w:p>
            <w:pPr>
              <w:jc w:val="center"/>
              <w:ind w:left="50"/>
              <w:spacing w:after="0" w:line="202" w:lineRule="exact"/>
              <w:rPr>
                <w:sz w:val="20"/>
                <w:szCs w:val="20"/>
                <w:color w:val="auto"/>
              </w:rPr>
            </w:pPr>
            <w:r>
              <w:rPr>
                <w:rFonts w:ascii="Arial" w:cs="Arial" w:eastAsia="Arial" w:hAnsi="Arial"/>
                <w:sz w:val="18"/>
                <w:szCs w:val="18"/>
                <w:color w:val="auto"/>
                <w:w w:val="89"/>
              </w:rPr>
              <w:t>Consolidated Statements of Operations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1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320" w:type="dxa"/>
            <w:vAlign w:val="bottom"/>
            <w:gridSpan w:val="6"/>
          </w:tcPr>
          <w:p>
            <w:pPr>
              <w:jc w:val="center"/>
              <w:ind w:left="30"/>
              <w:spacing w:after="0" w:line="189" w:lineRule="exact"/>
              <w:rPr>
                <w:sz w:val="20"/>
                <w:szCs w:val="20"/>
                <w:color w:val="auto"/>
              </w:rPr>
            </w:pPr>
            <w:r>
              <w:rPr>
                <w:rFonts w:ascii="Arial" w:cs="Arial" w:eastAsia="Arial" w:hAnsi="Arial"/>
                <w:sz w:val="18"/>
                <w:szCs w:val="18"/>
                <w:color w:val="auto"/>
                <w:w w:val="88"/>
              </w:rPr>
              <w:t>For the years ended December 31, 2022, 2021 and 2020</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0"/>
        </w:trPr>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20" w:type="dxa"/>
            <w:vAlign w:val="bottom"/>
            <w:gridSpan w:val="6"/>
          </w:tcPr>
          <w:p>
            <w:pPr>
              <w:jc w:val="center"/>
              <w:ind w:left="30"/>
              <w:spacing w:after="0"/>
              <w:rPr>
                <w:sz w:val="20"/>
                <w:szCs w:val="20"/>
                <w:color w:val="auto"/>
              </w:rPr>
            </w:pPr>
            <w:r>
              <w:rPr>
                <w:rFonts w:ascii="Arial" w:cs="Arial" w:eastAsia="Arial" w:hAnsi="Arial"/>
                <w:sz w:val="18"/>
                <w:szCs w:val="18"/>
                <w:color w:val="auto"/>
                <w:w w:val="88"/>
              </w:rPr>
              <w:t>(dollars in thousands, except per share data)</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1280" w:type="dxa"/>
            <w:vAlign w:val="bottom"/>
            <w:tcBorders>
              <w:bottom w:val="single" w:sz="8" w:color="CCEEFF"/>
            </w:tcBorders>
          </w:tcPr>
          <w:p>
            <w:pPr>
              <w:spacing w:after="0"/>
              <w:rPr>
                <w:sz w:val="24"/>
                <w:szCs w:val="24"/>
                <w:color w:val="auto"/>
              </w:rPr>
            </w:pPr>
          </w:p>
        </w:tc>
        <w:tc>
          <w:tcPr>
            <w:tcW w:w="2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r>
      <w:tr>
        <w:trPr>
          <w:trHeight w:val="183"/>
        </w:trPr>
        <w:tc>
          <w:tcPr>
            <w:tcW w:w="3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394,702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370,700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325,057</w:t>
            </w:r>
          </w:p>
        </w:tc>
      </w:tr>
      <w:tr>
        <w:trPr>
          <w:trHeight w:val="189"/>
        </w:trPr>
        <w:tc>
          <w:tcPr>
            <w:tcW w:w="34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1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135,765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117,570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r>
      <w:tr>
        <w:trPr>
          <w:trHeight w:val="183"/>
        </w:trPr>
        <w:tc>
          <w:tcPr>
            <w:tcW w:w="3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258,937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253,130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r>
      <w:tr>
        <w:trPr>
          <w:trHeight w:val="189"/>
        </w:trPr>
        <w:tc>
          <w:tcPr>
            <w:tcW w:w="34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w w:val="94"/>
              </w:rPr>
              <w:t>Selling, general and administrative expenses</w:t>
            </w:r>
          </w:p>
        </w:tc>
        <w:tc>
          <w:tcPr>
            <w:tcW w:w="1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236,328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232,520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215,149</w:t>
            </w:r>
          </w:p>
        </w:tc>
      </w:tr>
      <w:tr>
        <w:trPr>
          <w:trHeight w:val="183"/>
        </w:trPr>
        <w:tc>
          <w:tcPr>
            <w:tcW w:w="3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22,609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20,610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r>
      <w:tr>
        <w:trPr>
          <w:trHeight w:val="189"/>
        </w:trPr>
        <w:tc>
          <w:tcPr>
            <w:tcW w:w="340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(1,579)</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(656)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r>
      <w:tr>
        <w:trPr>
          <w:trHeight w:val="183"/>
        </w:trPr>
        <w:tc>
          <w:tcPr>
            <w:tcW w:w="34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21,030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19,954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4,502</w:t>
            </w:r>
          </w:p>
        </w:tc>
      </w:tr>
      <w:tr>
        <w:trPr>
          <w:trHeight w:val="189"/>
        </w:trPr>
        <w:tc>
          <w:tcPr>
            <w:tcW w:w="3400" w:type="dxa"/>
            <w:vAlign w:val="bottom"/>
            <w:gridSpan w:val="2"/>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(5,327)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(5,180)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1,529</w:t>
            </w:r>
          </w:p>
        </w:tc>
      </w:tr>
      <w:tr>
        <w:trPr>
          <w:trHeight w:val="183"/>
        </w:trPr>
        <w:tc>
          <w:tcPr>
            <w:tcW w:w="34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15,703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14,774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6,031</w:t>
            </w:r>
          </w:p>
        </w:tc>
      </w:tr>
      <w:tr>
        <w:trPr>
          <w:trHeight w:val="20"/>
        </w:trPr>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9"/>
        </w:trPr>
        <w:tc>
          <w:tcPr>
            <w:tcW w:w="3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9"/>
        </w:trPr>
        <w:tc>
          <w:tcPr>
            <w:tcW w:w="3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Basic</w:t>
            </w:r>
          </w:p>
        </w:tc>
        <w:tc>
          <w:tcPr>
            <w:tcW w:w="182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6"/>
                <w:szCs w:val="16"/>
                <w:color w:val="auto"/>
              </w:rPr>
            </w:pPr>
          </w:p>
        </w:tc>
        <w:tc>
          <w:tcPr>
            <w:tcW w:w="860" w:type="dxa"/>
            <w:vAlign w:val="bottom"/>
            <w:gridSpan w:val="2"/>
          </w:tcPr>
          <w:p>
            <w:pPr>
              <w:jc w:val="right"/>
              <w:ind w:right="550"/>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0.29</w:t>
            </w:r>
          </w:p>
        </w:tc>
        <w:tc>
          <w:tcPr>
            <w:tcW w:w="120" w:type="dxa"/>
            <w:vAlign w:val="bottom"/>
          </w:tcPr>
          <w:p>
            <w:pPr>
              <w:spacing w:after="0"/>
              <w:rPr>
                <w:sz w:val="16"/>
                <w:szCs w:val="16"/>
                <w:color w:val="auto"/>
              </w:rPr>
            </w:pPr>
          </w:p>
        </w:tc>
        <w:tc>
          <w:tcPr>
            <w:tcW w:w="58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0.12</w:t>
            </w:r>
          </w:p>
        </w:tc>
      </w:tr>
      <w:tr>
        <w:trPr>
          <w:trHeight w:val="189"/>
        </w:trPr>
        <w:tc>
          <w:tcPr>
            <w:tcW w:w="3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Diluted</w:t>
            </w:r>
          </w:p>
        </w:tc>
        <w:tc>
          <w:tcPr>
            <w:tcW w:w="182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0.12</w:t>
            </w:r>
          </w:p>
        </w:tc>
      </w:tr>
      <w:tr>
        <w:trPr>
          <w:trHeight w:val="189"/>
        </w:trPr>
        <w:tc>
          <w:tcPr>
            <w:tcW w:w="12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3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9"/>
        </w:trPr>
        <w:tc>
          <w:tcPr>
            <w:tcW w:w="3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Basic</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48,855,701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50,393,980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49,957,356</w:t>
            </w:r>
          </w:p>
        </w:tc>
      </w:tr>
      <w:tr>
        <w:trPr>
          <w:trHeight w:val="189"/>
        </w:trPr>
        <w:tc>
          <w:tcPr>
            <w:tcW w:w="3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Diluted</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49,247,047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51,085,463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50,583,742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73"/>
        </w:trPr>
        <w:tc>
          <w:tcPr>
            <w:tcW w:w="128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424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9"/>
              </w:rPr>
              <w:t>Consolidated Statements of Comprehensive Income (Loss)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16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8"/>
              </w:rPr>
              <w:t>For the years ended December 31, 2022, 2021 and 2020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240" w:type="dxa"/>
            <w:vAlign w:val="bottom"/>
            <w:gridSpan w:val="2"/>
          </w:tcPr>
          <w:p>
            <w:pPr>
              <w:jc w:val="center"/>
              <w:ind w:left="830"/>
              <w:spacing w:after="0"/>
              <w:rPr>
                <w:sz w:val="20"/>
                <w:szCs w:val="20"/>
                <w:color w:val="auto"/>
              </w:rPr>
            </w:pPr>
            <w:r>
              <w:rPr>
                <w:rFonts w:ascii="Arial" w:cs="Arial" w:eastAsia="Arial" w:hAnsi="Arial"/>
                <w:sz w:val="18"/>
                <w:szCs w:val="18"/>
                <w:color w:val="auto"/>
                <w:w w:val="90"/>
              </w:rPr>
              <w:t>(dollars in thousands)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128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37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2022</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30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7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15,703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14,774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6,031</w:t>
            </w:r>
          </w:p>
        </w:tc>
      </w:tr>
      <w:tr>
        <w:trPr>
          <w:trHeight w:val="189"/>
        </w:trPr>
        <w:tc>
          <w:tcPr>
            <w:tcW w:w="304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37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w:t>
            </w:r>
          </w:p>
        </w:tc>
      </w:tr>
      <w:tr>
        <w:trPr>
          <w:trHeight w:val="183"/>
        </w:trPr>
        <w:tc>
          <w:tcPr>
            <w:tcW w:w="30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(loss) income</w:t>
            </w:r>
          </w:p>
        </w:tc>
        <w:tc>
          <w:tcPr>
            <w:tcW w:w="37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30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3780" w:type="dxa"/>
            <w:vAlign w:val="bottom"/>
          </w:tcPr>
          <w:p>
            <w:pPr>
              <w:spacing w:after="0"/>
              <w:rPr>
                <w:sz w:val="15"/>
                <w:szCs w:val="15"/>
                <w:color w:val="auto"/>
              </w:rPr>
            </w:pPr>
          </w:p>
        </w:tc>
        <w:tc>
          <w:tcPr>
            <w:tcW w:w="4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15,639</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14,798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6,089</w:t>
            </w:r>
          </w:p>
        </w:tc>
      </w:tr>
      <w:tr>
        <w:trPr>
          <w:trHeight w:val="20"/>
        </w:trPr>
        <w:tc>
          <w:tcPr>
            <w:tcW w:w="1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ind w:left="3860"/>
        <w:spacing w:after="0" w:line="237" w:lineRule="auto"/>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3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133"/>
        </w:trPr>
        <w:tc>
          <w:tcPr>
            <w:tcW w:w="43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3" w:lineRule="exact"/>
              <w:rPr>
                <w:sz w:val="20"/>
                <w:szCs w:val="20"/>
                <w:color w:val="auto"/>
              </w:rPr>
            </w:pPr>
            <w:r>
              <w:rPr>
                <w:rFonts w:ascii="Arial" w:cs="Arial" w:eastAsia="Arial" w:hAnsi="Arial"/>
                <w:sz w:val="14"/>
                <w:szCs w:val="14"/>
                <w:color w:val="auto"/>
                <w:w w:val="97"/>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20"/>
              <w:spacing w:after="0" w:line="133" w:lineRule="exact"/>
              <w:rPr>
                <w:sz w:val="20"/>
                <w:szCs w:val="20"/>
                <w:color w:val="auto"/>
              </w:rPr>
            </w:pPr>
            <w:r>
              <w:rPr>
                <w:rFonts w:ascii="Arial" w:cs="Arial" w:eastAsia="Arial" w:hAnsi="Arial"/>
                <w:sz w:val="14"/>
                <w:szCs w:val="14"/>
                <w:color w:val="auto"/>
                <w:w w:val="89"/>
              </w:rPr>
              <w:t>Retained earnings</w:t>
            </w:r>
          </w:p>
        </w:tc>
        <w:tc>
          <w:tcPr>
            <w:tcW w:w="100" w:type="dxa"/>
            <w:vAlign w:val="bottom"/>
          </w:tcPr>
          <w:p>
            <w:pPr>
              <w:spacing w:after="0"/>
              <w:rPr>
                <w:sz w:val="11"/>
                <w:szCs w:val="11"/>
                <w:color w:val="auto"/>
              </w:rPr>
            </w:pPr>
          </w:p>
        </w:tc>
        <w:tc>
          <w:tcPr>
            <w:tcW w:w="1380" w:type="dxa"/>
            <w:vAlign w:val="bottom"/>
            <w:gridSpan w:val="3"/>
          </w:tcPr>
          <w:p>
            <w:pPr>
              <w:jc w:val="center"/>
              <w:ind w:right="200"/>
              <w:spacing w:after="0" w:line="133" w:lineRule="exact"/>
              <w:rPr>
                <w:sz w:val="20"/>
                <w:szCs w:val="20"/>
                <w:color w:val="auto"/>
              </w:rPr>
            </w:pPr>
            <w:r>
              <w:rPr>
                <w:rFonts w:ascii="Arial" w:cs="Arial" w:eastAsia="Arial" w:hAnsi="Arial"/>
                <w:sz w:val="14"/>
                <w:szCs w:val="14"/>
                <w:color w:val="auto"/>
                <w:w w:val="94"/>
              </w:rPr>
              <w:t>Accumulated other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8"/>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13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2"/>
              </w:rPr>
              <w:t>comprehensive‎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1"/>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auto"/>
                <w:w w:val="93"/>
              </w:rPr>
              <w:t>(loss)‎</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r>
      <w:tr>
        <w:trPr>
          <w:trHeight w:val="183"/>
        </w:trPr>
        <w:tc>
          <w:tcPr>
            <w:tcW w:w="43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January 1, 2020</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50,806,674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156,482</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(25,518)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1,090,759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(116,594)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Stock based compensation</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r>
      <w:tr>
        <w:trPr>
          <w:trHeight w:val="175"/>
        </w:trPr>
        <w:tc>
          <w:tcPr>
            <w:tcW w:w="438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w w:val="95"/>
              </w:rPr>
              <w:t>Tax withholdings related to net share settlements of stock</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7"/>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(79,759)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r>
      <w:tr>
        <w:trPr>
          <w:trHeight w:val="183"/>
        </w:trPr>
        <w:tc>
          <w:tcPr>
            <w:tcW w:w="4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51,701,080</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158,556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(19,487)</w:t>
            </w: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139,062</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421,547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(24,018)</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2,266</w:t>
            </w:r>
          </w:p>
        </w:tc>
      </w:tr>
      <w:tr>
        <w:trPr>
          <w:trHeight w:val="175"/>
        </w:trPr>
        <w:tc>
          <w:tcPr>
            <w:tcW w:w="4380" w:type="dxa"/>
            <w:vAlign w:val="bottom"/>
            <w:gridSpan w:val="2"/>
          </w:tcPr>
          <w:p>
            <w:pPr>
              <w:spacing w:after="0" w:line="175" w:lineRule="exact"/>
              <w:rPr>
                <w:sz w:val="20"/>
                <w:szCs w:val="20"/>
                <w:color w:val="auto"/>
              </w:rPr>
            </w:pPr>
            <w:r>
              <w:rPr>
                <w:rFonts w:ascii="Arial" w:cs="Arial" w:eastAsia="Arial" w:hAnsi="Arial"/>
                <w:sz w:val="18"/>
                <w:szCs w:val="18"/>
                <w:color w:val="auto"/>
                <w:w w:val="95"/>
              </w:rPr>
              <w:t>Tax withholdings related to net share settlements of stock</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7"/>
        </w:trPr>
        <w:tc>
          <w:tcPr>
            <w:tcW w:w="4380" w:type="dxa"/>
            <w:vAlign w:val="bottom"/>
            <w:gridSpan w:val="2"/>
          </w:tcPr>
          <w:p>
            <w:pPr>
              <w:spacing w:after="0"/>
              <w:rPr>
                <w:sz w:val="20"/>
                <w:szCs w:val="20"/>
                <w:color w:val="auto"/>
              </w:rPr>
            </w:pPr>
            <w:r>
              <w:rPr>
                <w:rFonts w:ascii="Arial" w:cs="Arial" w:eastAsia="Arial" w:hAnsi="Arial"/>
                <w:sz w:val="18"/>
                <w:szCs w:val="18"/>
                <w:color w:val="auto"/>
              </w:rPr>
              <w:t>based compensation awards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(135,232)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Dividends paid ($0.65 per share)</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(32,949)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(32,949)</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r>
      <w:tr>
        <w:trPr>
          <w:trHeight w:val="183"/>
        </w:trPr>
        <w:tc>
          <w:tcPr>
            <w:tcW w:w="4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51,963,377</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126,920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(4,713)</w:t>
            </w: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122,224</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610,480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(264,513)</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1,832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1,832</w:t>
            </w:r>
          </w:p>
        </w:tc>
      </w:tr>
      <w:tr>
        <w:trPr>
          <w:trHeight w:val="175"/>
        </w:trPr>
        <w:tc>
          <w:tcPr>
            <w:tcW w:w="4380" w:type="dxa"/>
            <w:vAlign w:val="bottom"/>
            <w:gridSpan w:val="2"/>
          </w:tcPr>
          <w:p>
            <w:pPr>
              <w:spacing w:after="0" w:line="175" w:lineRule="exact"/>
              <w:rPr>
                <w:sz w:val="20"/>
                <w:szCs w:val="20"/>
                <w:color w:val="auto"/>
              </w:rPr>
            </w:pPr>
            <w:r>
              <w:rPr>
                <w:rFonts w:ascii="Arial" w:cs="Arial" w:eastAsia="Arial" w:hAnsi="Arial"/>
                <w:sz w:val="18"/>
                <w:szCs w:val="18"/>
                <w:color w:val="auto"/>
                <w:w w:val="95"/>
              </w:rPr>
              <w:t>Tax withholdings related to net share settlements of stock</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7"/>
        </w:trPr>
        <w:tc>
          <w:tcPr>
            <w:tcW w:w="4380" w:type="dxa"/>
            <w:vAlign w:val="bottom"/>
            <w:gridSpan w:val="2"/>
          </w:tcPr>
          <w:p>
            <w:pPr>
              <w:spacing w:after="0"/>
              <w:rPr>
                <w:sz w:val="20"/>
                <w:szCs w:val="20"/>
                <w:color w:val="auto"/>
              </w:rPr>
            </w:pPr>
            <w:r>
              <w:rPr>
                <w:rFonts w:ascii="Arial" w:cs="Arial" w:eastAsia="Arial" w:hAnsi="Arial"/>
                <w:sz w:val="18"/>
                <w:szCs w:val="18"/>
                <w:color w:val="auto"/>
              </w:rPr>
              <w:t>based compensation awards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(126,673)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(7,805,226)</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(30,170)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(30,171)</w:t>
            </w:r>
          </w:p>
        </w:tc>
      </w:tr>
      <w:tr>
        <w:trPr>
          <w:trHeight w:val="189"/>
        </w:trPr>
        <w:tc>
          <w:tcPr>
            <w:tcW w:w="438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(64)</w:t>
            </w: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15,703</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15,703</w:t>
            </w:r>
          </w:p>
        </w:tc>
      </w:tr>
      <w:tr>
        <w:trPr>
          <w:trHeight w:val="183"/>
        </w:trPr>
        <w:tc>
          <w:tcPr>
            <w:tcW w:w="4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2022</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44,377,445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127,997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(19,180)</w:t>
            </w:r>
          </w:p>
        </w:tc>
        <w:tc>
          <w:tcPr>
            <w:tcW w:w="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108,769</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3"/>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120" w:type="dxa"/>
            <w:vAlign w:val="bottom"/>
          </w:tcPr>
          <w:p>
            <w:pPr>
              <w:jc w:val="center"/>
              <w:ind w:left="2470"/>
              <w:spacing w:after="0" w:line="189" w:lineRule="exact"/>
              <w:rPr>
                <w:sz w:val="20"/>
                <w:szCs w:val="20"/>
                <w:color w:val="auto"/>
              </w:rPr>
            </w:pPr>
            <w:r>
              <w:rPr>
                <w:rFonts w:ascii="Arial" w:cs="Arial" w:eastAsia="Arial" w:hAnsi="Arial"/>
                <w:sz w:val="18"/>
                <w:szCs w:val="18"/>
                <w:color w:val="auto"/>
                <w:w w:val="89"/>
              </w:rPr>
              <w:t>Consolidated Statements of Cash Flows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560" w:type="dxa"/>
            <w:vAlign w:val="bottom"/>
            <w:gridSpan w:val="3"/>
          </w:tcPr>
          <w:p>
            <w:pPr>
              <w:jc w:val="center"/>
              <w:ind w:left="2030"/>
              <w:spacing w:after="0" w:line="189" w:lineRule="exact"/>
              <w:rPr>
                <w:sz w:val="20"/>
                <w:szCs w:val="20"/>
                <w:color w:val="auto"/>
              </w:rPr>
            </w:pPr>
            <w:r>
              <w:rPr>
                <w:rFonts w:ascii="Arial" w:cs="Arial" w:eastAsia="Arial" w:hAnsi="Arial"/>
                <w:sz w:val="18"/>
                <w:szCs w:val="18"/>
                <w:color w:val="auto"/>
                <w:w w:val="88"/>
              </w:rPr>
              <w:t>For the years ended December 31, 2022, 2021 and 2020</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color w:val="auto"/>
                <w:w w:val="90"/>
              </w:rPr>
              <w:t>(dollars in 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127"/>
              <w:spacing w:after="0"/>
              <w:rPr>
                <w:sz w:val="20"/>
                <w:szCs w:val="20"/>
                <w:color w:val="auto"/>
              </w:rPr>
            </w:pPr>
            <w:r>
              <w:rPr>
                <w:rFonts w:ascii="Arial" w:cs="Arial" w:eastAsia="Arial" w:hAnsi="Arial"/>
                <w:sz w:val="18"/>
                <w:szCs w:val="18"/>
                <w:color w:val="auto"/>
              </w:rPr>
              <w:t>For the years ended,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15,703</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25,142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27,379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31,336</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427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304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423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Non-cash lease expense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25,779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24,832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24,025</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1,832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2,266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(1,612)</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189"/>
        </w:trPr>
        <w:tc>
          <w:tcPr>
            <w:tcW w:w="740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(23,777)</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(22,879)</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23,323</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Other current assets, net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(2,676)</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(8,057)</w:t>
            </w: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15,873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Income tax receivable / payable</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2,677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189"/>
        </w:trPr>
        <w:tc>
          <w:tcPr>
            <w:tcW w:w="740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(34,966)</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(22,185)</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(17,683)</w:t>
            </w:r>
          </w:p>
        </w:tc>
        <w:tc>
          <w:tcPr>
            <w:tcW w:w="0" w:type="dxa"/>
            <w:vAlign w:val="bottom"/>
          </w:tcPr>
          <w:p>
            <w:pPr>
              <w:spacing w:after="0"/>
              <w:rPr>
                <w:sz w:val="1"/>
                <w:szCs w:val="1"/>
                <w:color w:val="auto"/>
              </w:rPr>
            </w:pPr>
          </w:p>
        </w:tc>
      </w:tr>
      <w:tr>
        <w:trPr>
          <w:trHeight w:val="183"/>
        </w:trPr>
        <w:tc>
          <w:tcPr>
            <w:tcW w:w="740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2,715</w:t>
            </w: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39,691</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65,596</w:t>
            </w: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(14,027)</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(11,070)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183"/>
        </w:trPr>
        <w:tc>
          <w:tcPr>
            <w:tcW w:w="740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(14,027)</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(11,070)</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(50,000)</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(5,000)</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(127,262)</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90,400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64,100</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(32,949)</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(30,171)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(755)</w:t>
            </w:r>
          </w:p>
        </w:tc>
        <w:tc>
          <w:tcPr>
            <w:tcW w:w="24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(953)</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400" w:type="dxa"/>
            <w:vAlign w:val="bottom"/>
            <w:gridSpan w:val="2"/>
          </w:tcPr>
          <w:p>
            <w:pPr>
              <w:ind w:left="440"/>
              <w:spacing w:after="0" w:line="182" w:lineRule="exact"/>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9,114</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(28,902)</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(63,329)</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740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(2,254)</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(259)</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10,013</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10,272</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7,759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10,013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5,948</w:t>
            </w:r>
          </w:p>
        </w:tc>
        <w:tc>
          <w:tcPr>
            <w:tcW w:w="160" w:type="dxa"/>
            <w:vAlign w:val="bottom"/>
          </w:tcPr>
          <w:p>
            <w:pPr>
              <w:spacing w:after="0"/>
              <w:rPr>
                <w:sz w:val="16"/>
                <w:szCs w:val="16"/>
                <w:color w:val="auto"/>
              </w:rPr>
            </w:pP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9,358</w:t>
            </w:r>
          </w:p>
        </w:tc>
        <w:tc>
          <w:tcPr>
            <w:tcW w:w="16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1,811</w:t>
            </w: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7,759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10,013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170"/>
        </w:trPr>
        <w:tc>
          <w:tcPr>
            <w:tcW w:w="1280" w:type="dxa"/>
            <w:vAlign w:val="bottom"/>
            <w:shd w:val="clear" w:color="auto" w:fill="CCEEFF"/>
          </w:tcPr>
          <w:p>
            <w:pPr>
              <w:spacing w:after="0"/>
              <w:rPr>
                <w:sz w:val="14"/>
                <w:szCs w:val="14"/>
                <w:color w:val="auto"/>
              </w:rPr>
            </w:pPr>
          </w:p>
        </w:tc>
        <w:tc>
          <w:tcPr>
            <w:tcW w:w="6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Purchases of property, plant and equipment included in accounts payable and accrued expenses</w:t>
            </w:r>
          </w:p>
        </w:tc>
        <w:tc>
          <w:tcPr>
            <w:tcW w:w="44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89"/>
        </w:trPr>
        <w:tc>
          <w:tcPr>
            <w:tcW w:w="74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Cash paid for interest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1,257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632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89"/>
        </w:trPr>
        <w:tc>
          <w:tcPr>
            <w:tcW w:w="74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paid for income taxes, net of refunds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2,231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5,298</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w:t>
      </w:r>
    </w:p>
    <w:p>
      <w:pPr>
        <w:spacing w:after="0" w:line="159"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Natural stone products include marble, travertine, granite, quartz, sandstone, slate, and onyx tiles. Man-made products include ceramic, porcelain, glass, cement, wood look, metal and luxury vinyl tile.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of December 31, 2022, the Company operated 142 stores in 31 states and the District of Columbia, with an average size of approximately 20,000 square feet. The Company also has a sourcing office located in China.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12, “New Markets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Company considered the COVID-19 related impacts on its estimates, as appropriate, within its consolidated financial statements and there may be changes to those estimates in future periods. The Company believes that the accounting estimates are appropriate after giving consideration to the increased uncertainties surrounding the severity and duration of the COVID-19 pandemic.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and right of use assets, accounting for leases, valuation of inventory, and income taxes.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Company had cash and cash equivalents of $5.9 million and $9.4 million at December 31, 2022 and 2021, respectively. The Company considers all highly liquid investments with an original maturity date of three months or less when purchased to be cash equivalents. The payments due from banks for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$1.6 million and $1.7 million at December 31, 2022 and 2021,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Cash and cash equivalents that are restricted as to withdrawal or are under the terms of use for current operations are included in the restricted balance on the balance sheet.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8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Trade receivables are carried at original invoice amount less an estimate made for doubtful accounts. Management determines the allowance for doubtful accounts on a specific identification basis and by leveraging information on historical losses, current conditions, and reasonable and supportable forecasts of future conditions. Trade receivables are written off when deemed uncollectible. Recoveries of trade receivables previously written off are recorded when received. The allowance for doubtful accounts was $0.3 million and $0.2 million as of December 31, 2022 and 2021, respectively. The Company does not accrue interest on accounts receivable.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Inventories were comprised of the following as of December 31:</w:t>
            </w: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6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r>
      <w:tr>
        <w:trPr>
          <w:trHeight w:val="183"/>
        </w:trPr>
        <w:tc>
          <w:tcPr>
            <w:tcW w:w="6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r>
      <w:tr>
        <w:trPr>
          <w:trHeight w:val="189"/>
        </w:trPr>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Finished goods</w:t>
            </w:r>
          </w:p>
        </w:tc>
        <w:tc>
          <w:tcPr>
            <w:tcW w:w="21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119,517</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95,869</w:t>
            </w:r>
          </w:p>
        </w:tc>
      </w:tr>
      <w:tr>
        <w:trPr>
          <w:trHeight w:val="189"/>
        </w:trPr>
        <w:tc>
          <w:tcPr>
            <w:tcW w:w="6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1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1,435</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1,306</w:t>
            </w:r>
          </w:p>
        </w:tc>
      </w:tr>
      <w:tr>
        <w:trPr>
          <w:trHeight w:val="183"/>
        </w:trPr>
        <w:tc>
          <w:tcPr>
            <w:tcW w:w="65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120,952</w:t>
            </w:r>
          </w:p>
        </w:tc>
        <w:tc>
          <w:tcPr>
            <w:tcW w:w="1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97,175</w:t>
            </w:r>
          </w:p>
        </w:tc>
      </w:tr>
      <w:tr>
        <w:trPr>
          <w:trHeight w:val="20"/>
        </w:trPr>
        <w:tc>
          <w:tcPr>
            <w:tcW w:w="6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$0.7 million and $0.5 million as of December 31, 2022 and 2021,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31"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December 31, 2022 and 2021, the Company has not recognized any liabilities for uncertain tax positions nor has the Company accrued interest and penalties related to uncertain tax positions.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6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generally requires customers to pay a deposit when purchasing inventory that is not regularly carried at the store location, or not currently in stock. These deposits are included in other current accrued liabilities until the customer takes possession of the merchandise.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8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three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costs classified in each major expense category 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Materials cost;</w:t>
      </w:r>
    </w:p>
    <w:p>
      <w:pPr>
        <w:spacing w:after="0" w:line="11" w:lineRule="exact"/>
        <w:rPr>
          <w:sz w:val="20"/>
          <w:szCs w:val="20"/>
          <w:color w:val="auto"/>
        </w:rPr>
      </w:pPr>
    </w:p>
    <w:p>
      <w:pPr>
        <w:ind w:left="660" w:right="3680"/>
        <w:spacing w:after="0" w:line="219" w:lineRule="auto"/>
        <w:rPr>
          <w:sz w:val="20"/>
          <w:szCs w:val="20"/>
          <w:color w:val="auto"/>
        </w:rPr>
      </w:pPr>
      <w:r>
        <w:rPr>
          <w:rFonts w:ascii="Arial" w:cs="Arial" w:eastAsia="Arial" w:hAnsi="Arial"/>
          <w:sz w:val="18"/>
          <w:szCs w:val="18"/>
          <w:color w:val="auto"/>
        </w:rPr>
        <w:t>Shipping and transportation expenses to bring products into the Company's distribution centers; Customs and duty expenses;</w:t>
      </w:r>
    </w:p>
    <w:p>
      <w:pPr>
        <w:ind w:left="660" w:right="7480"/>
        <w:spacing w:after="0" w:line="219" w:lineRule="auto"/>
        <w:rPr>
          <w:sz w:val="20"/>
          <w:szCs w:val="20"/>
          <w:color w:val="auto"/>
        </w:rPr>
      </w:pPr>
      <w:r>
        <w:rPr>
          <w:rFonts w:ascii="Arial" w:cs="Arial" w:eastAsia="Arial" w:hAnsi="Arial"/>
          <w:sz w:val="18"/>
          <w:szCs w:val="18"/>
          <w:color w:val="auto"/>
        </w:rPr>
        <w:t>Customer shipping and handling expenses; Physical inventory losses;</w:t>
      </w:r>
    </w:p>
    <w:p>
      <w:pPr>
        <w:ind w:left="660" w:right="4620"/>
        <w:spacing w:after="0" w:line="233" w:lineRule="auto"/>
        <w:rPr>
          <w:sz w:val="20"/>
          <w:szCs w:val="20"/>
          <w:color w:val="auto"/>
        </w:rPr>
      </w:pPr>
      <w:r>
        <w:rPr>
          <w:rFonts w:ascii="Arial" w:cs="Arial" w:eastAsia="Arial" w:hAnsi="Arial"/>
          <w:sz w:val="18"/>
          <w:szCs w:val="18"/>
          <w:color w:val="auto"/>
        </w:rPr>
        <w:t>Costs incurred at distribution centers in connection with the receiving process; and Labor and overhead costs incurred to manufacture inventory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(sometimes referred to as “SG&amp;A”)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compensation costs for store, corporate and distribution employees;</w:t>
      </w:r>
    </w:p>
    <w:p>
      <w:pPr>
        <w:spacing w:after="0" w:line="11" w:lineRule="exact"/>
        <w:rPr>
          <w:sz w:val="20"/>
          <w:szCs w:val="20"/>
          <w:color w:val="auto"/>
        </w:rPr>
      </w:pPr>
    </w:p>
    <w:p>
      <w:pPr>
        <w:ind w:left="340"/>
        <w:spacing w:after="0" w:line="219" w:lineRule="auto"/>
        <w:rPr>
          <w:sz w:val="20"/>
          <w:szCs w:val="20"/>
          <w:color w:val="auto"/>
        </w:rPr>
      </w:pPr>
      <w:r>
        <w:rPr>
          <w:rFonts w:ascii="Arial" w:cs="Arial" w:eastAsia="Arial" w:hAnsi="Arial"/>
          <w:sz w:val="18"/>
          <w:szCs w:val="18"/>
          <w:color w:val="auto"/>
        </w:rPr>
        <w:t>Occupancy, utilities and maintenance costs of store and corporate facilities;</w:t>
      </w:r>
    </w:p>
    <w:p>
      <w:pPr>
        <w:ind w:left="660" w:right="1760"/>
        <w:spacing w:after="0" w:line="219" w:lineRule="auto"/>
        <w:rPr>
          <w:sz w:val="20"/>
          <w:szCs w:val="20"/>
          <w:color w:val="auto"/>
        </w:rPr>
      </w:pPr>
      <w:r>
        <w:rPr>
          <w:rFonts w:ascii="Arial" w:cs="Arial" w:eastAsia="Arial" w:hAnsi="Arial"/>
          <w:sz w:val="18"/>
          <w:szCs w:val="18"/>
          <w:color w:val="auto"/>
        </w:rPr>
        <w:t>Shipping and transportation expenses to move inventory from the Company's distribution centers to the Company's stores; Depreciation and amortization; and</w:t>
      </w:r>
    </w:p>
    <w:p>
      <w:pPr>
        <w:ind w:left="340"/>
        <w:spacing w:after="0"/>
        <w:rPr>
          <w:sz w:val="20"/>
          <w:szCs w:val="20"/>
          <w:color w:val="auto"/>
        </w:rPr>
      </w:pPr>
      <w:r>
        <w:rPr>
          <w:rFonts w:ascii="Arial" w:cs="Arial" w:eastAsia="Arial" w:hAnsi="Arial"/>
          <w:sz w:val="18"/>
          <w:szCs w:val="18"/>
          <w:color w:val="auto"/>
        </w:rPr>
        <w:t>Advertising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or Pretax Return on Capital Employed targets. The Company adjusts the cumulative expense recognized on awards with performance conditions based on a probability of achieving the performance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75" w:lineRule="exact"/>
        <w:rPr>
          <w:sz w:val="20"/>
          <w:szCs w:val="20"/>
          <w:color w:val="auto"/>
        </w:rPr>
      </w:pPr>
    </w:p>
    <w:p>
      <w:pPr>
        <w:jc w:val="both"/>
        <w:ind w:right="520"/>
        <w:spacing w:after="0" w:line="261"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operations consist primarily of retail sales of natural stone and man-made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Advertising costs were $8.1 million, $6.1 million and $4.6 million for the years ended December 31, 2022, 2021 and 2020, respectively, and are included in selling, general and administrative expenses in the consolidated statements of operations. The</w:t>
      </w: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Company’s advertising consists primarily of digital media, direct marketing, events, traditional print media and mobile advertisements and is expensed at the time the media is distributed.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8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the year ended December 31, 2022, the Company did not record any pre-opening costs. During both the years ended December 31, 2021 and 2020, the Company recorded pre-opening costs of $0.1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 asset. The cost and accumulated depreciation of assets sold or otherwise disposed of are removed from the accounts and any gain or loss thereon is included in other income and expense.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7"/>
              </w:rPr>
              <w:t>Asset life (in years)</w:t>
            </w: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Buildings and building improvements</w:t>
            </w: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40</w:t>
            </w:r>
          </w:p>
        </w:tc>
        <w:tc>
          <w:tcPr>
            <w:tcW w:w="54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5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20</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8"/>
                <w:szCs w:val="18"/>
                <w:color w:val="auto"/>
              </w:rPr>
              <w:t>Machinery and equipment</w:t>
            </w:r>
          </w:p>
        </w:tc>
        <w:tc>
          <w:tcPr>
            <w:tcW w:w="5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10</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5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Vehicles</w:t>
            </w:r>
          </w:p>
        </w:tc>
        <w:tc>
          <w:tcPr>
            <w:tcW w:w="5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40" w:type="dxa"/>
            <w:vAlign w:val="bottom"/>
          </w:tcPr>
          <w:p>
            <w:pPr>
              <w:spacing w:after="0"/>
              <w:rPr>
                <w:sz w:val="20"/>
                <w:szCs w:val="20"/>
                <w:color w:val="auto"/>
              </w:rPr>
            </w:pPr>
          </w:p>
        </w:tc>
      </w:tr>
    </w:tbl>
    <w:p>
      <w:pPr>
        <w:spacing w:after="0" w:line="12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Company evaluates potential impairment losses on long-lived assets used in operations at the individual retail store level, which is the lowest level at which cash flows can be identified,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excess of the carrying value of the asset group over its fair value. Fair value is measured using discounted cash flows or independent opinions of value, as appropriate. During the fiscal years ended December 31, 2022, 2021 and 2020, the Company recorded asset impairment charges of $0.4 million, $0.7 million and $2.2 million, respectively, which were classified in selling, general and administrative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8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judgment by management with respect to certain external factors, including, but not limited to, technological and economic feasibility, and estimated economic life. As of December 31, 2022 and 2021, $3.8 million and $5.0 million was included in computer equipment and software, respectively. The internal use software costs are amortized over estimated useful lives of three to seven years. There was $2.0 million, $1.5 million and $1.5 million of amortization expense related to capitalized software during the years ended December 31, 2022, 2021 and 2020,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lease incentives. The Company’s lease terms may include options to extend or terminate the lease typically at its own discretion. The Company regularly evaluates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renewal options and when such options are reasonably certain of exercise, the Company includes the renewal period in its lease term. The Company does not separate non-lease components from lease components by class of underlying assets and does not apply the recognition requirements to short term leases. Certain lease arrangements contain provisions requiring the Company to restore the leased property to its original condition at the end of the lease. The fair values of these obligations are recorded as liabilities on a discounted basis, which occurs at the time the 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were $2.7 million and $2.9 million as of December 31, 2022 and 2021, respectively, and are included in other long-term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8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2022 and 2021, an accrual of $1.1 million and $0.8 million related to estimated employee health claims was included in other accrued liabilities, respectively. As of December 31, 2022 and 2021, an accrual of $2.0 million and $2.2 million related to estimated workers’ compensation claims was included in other accrued liabilities, respectively.</w:t>
      </w:r>
    </w:p>
    <w:p>
      <w:pPr>
        <w:spacing w:after="0" w:line="1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 has standby letters of credit outstanding related to the Company's workers’ compensation and employee health insurance policies. As of both December 31, 2022 and 2021, the standby letters of credit totaled $2.4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89"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7"/>
        </w:trPr>
        <w:tc>
          <w:tcPr>
            <w:tcW w:w="7560" w:type="dxa"/>
            <w:vAlign w:val="bottom"/>
          </w:tcPr>
          <w:p>
            <w:pPr>
              <w:spacing w:after="0"/>
              <w:rPr>
                <w:sz w:val="24"/>
                <w:szCs w:val="24"/>
                <w:color w:val="auto"/>
              </w:rPr>
            </w:pPr>
          </w:p>
        </w:tc>
        <w:tc>
          <w:tcPr>
            <w:tcW w:w="3680" w:type="dxa"/>
            <w:vAlign w:val="bottom"/>
            <w:gridSpan w:val="3"/>
          </w:tcPr>
          <w:p>
            <w:pPr>
              <w:jc w:val="right"/>
              <w:ind w:right="770"/>
              <w:spacing w:after="0"/>
              <w:rPr>
                <w:sz w:val="20"/>
                <w:szCs w:val="20"/>
                <w:color w:val="auto"/>
              </w:rPr>
            </w:pPr>
            <w:r>
              <w:rPr>
                <w:rFonts w:ascii="Arial" w:cs="Arial" w:eastAsia="Arial" w:hAnsi="Arial"/>
                <w:sz w:val="18"/>
                <w:szCs w:val="18"/>
                <w:color w:val="auto"/>
              </w:rPr>
              <w:t>Years Ended December 31,</w:t>
            </w:r>
          </w:p>
        </w:tc>
      </w:tr>
      <w:tr>
        <w:trPr>
          <w:trHeight w:val="217"/>
        </w:trPr>
        <w:tc>
          <w:tcPr>
            <w:tcW w:w="75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183"/>
        </w:trPr>
        <w:tc>
          <w:tcPr>
            <w:tcW w:w="7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76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51 %</w:t>
            </w: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48 %</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28</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760" w:type="dxa"/>
            <w:vAlign w:val="bottom"/>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14</w:t>
            </w: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76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6"/>
                <w:szCs w:val="16"/>
                <w:color w:val="auto"/>
              </w:rPr>
            </w:pPr>
          </w:p>
        </w:tc>
        <w:tc>
          <w:tcPr>
            <w:tcW w:w="176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8</w:t>
            </w: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760" w:type="dxa"/>
            <w:vAlign w:val="bottom"/>
            <w:tcBorders>
              <w:bottom w:val="single" w:sz="8" w:color="auto"/>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530"/>
              <w:spacing w:after="0" w:line="189" w:lineRule="exact"/>
              <w:rPr>
                <w:sz w:val="20"/>
                <w:szCs w:val="20"/>
                <w:color w:val="auto"/>
              </w:rPr>
            </w:pPr>
            <w:r>
              <w:rPr>
                <w:rFonts w:ascii="Arial" w:cs="Arial" w:eastAsia="Arial" w:hAnsi="Arial"/>
                <w:sz w:val="18"/>
                <w:szCs w:val="18"/>
                <w:color w:val="auto"/>
              </w:rPr>
              <w:t>2</w:t>
            </w:r>
          </w:p>
        </w:tc>
      </w:tr>
      <w:tr>
        <w:trPr>
          <w:trHeight w:val="183"/>
        </w:trPr>
        <w:tc>
          <w:tcPr>
            <w:tcW w:w="7560" w:type="dxa"/>
            <w:vAlign w:val="bottom"/>
          </w:tcPr>
          <w:p>
            <w:pPr>
              <w:spacing w:after="0"/>
              <w:rPr>
                <w:sz w:val="15"/>
                <w:szCs w:val="15"/>
                <w:color w:val="auto"/>
              </w:rPr>
            </w:pPr>
          </w:p>
        </w:tc>
        <w:tc>
          <w:tcPr>
            <w:tcW w:w="176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100 %</w:t>
            </w:r>
          </w:p>
        </w:tc>
        <w:tc>
          <w:tcPr>
            <w:tcW w:w="160" w:type="dxa"/>
            <w:vAlign w:val="bottom"/>
          </w:tcPr>
          <w:p>
            <w:pPr>
              <w:spacing w:after="0"/>
              <w:rPr>
                <w:sz w:val="15"/>
                <w:szCs w:val="15"/>
                <w:color w:val="auto"/>
              </w:rPr>
            </w:pPr>
          </w:p>
        </w:tc>
        <w:tc>
          <w:tcPr>
            <w:tcW w:w="176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7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62" w:lineRule="exact"/>
        <w:rPr>
          <w:sz w:val="20"/>
          <w:szCs w:val="20"/>
          <w:color w:val="auto"/>
        </w:rPr>
      </w:pPr>
    </w:p>
    <w:p>
      <w:pPr>
        <w:ind w:left="660" w:right="180"/>
        <w:spacing w:after="0" w:line="228"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ind w:left="660" w:right="120"/>
        <w:spacing w:after="0" w:line="223"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ind w:left="660" w:right="160"/>
        <w:spacing w:after="0" w:line="286"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1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9" w:lineRule="exact"/>
        <w:rPr>
          <w:sz w:val="20"/>
          <w:szCs w:val="20"/>
          <w:color w:val="auto"/>
        </w:rPr>
      </w:pPr>
    </w:p>
    <w:p>
      <w:pPr>
        <w:ind w:right="520"/>
        <w:spacing w:after="0" w:line="261" w:lineRule="auto"/>
        <w:rPr>
          <w:sz w:val="20"/>
          <w:szCs w:val="20"/>
          <w:color w:val="auto"/>
        </w:rPr>
      </w:pPr>
      <w:r>
        <w:rPr>
          <w:rFonts w:ascii="Arial" w:cs="Arial" w:eastAsia="Arial" w:hAnsi="Arial"/>
          <w:sz w:val="17"/>
          <w:szCs w:val="17"/>
          <w:color w:val="auto"/>
        </w:rPr>
        <w:t>of a reporting period, revenue will be recognized based on the transaction price allocated to the goods delivered and services rendered. The customer deposit balance was $11.3 million and $13.8 million as of December 31, 2022 and 2021, respectively. Revenues recognized during the year ended December 31, 2022 that were included in the customer deposit balance as of the beginning of the period were $13.7 million.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Company extends financing to qualified professional customers who apply for credit. The accounts receivable balance was $3.4 million and</w:t>
      </w:r>
    </w:p>
    <w:p>
      <w:pPr>
        <w:spacing w:after="0" w:line="10"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$3.2 million as of December 31, 2022 and 2021,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1"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2022 and 2021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w w:val="91"/>
              </w:rPr>
              <w:t>December 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4"/>
          </w:tcPr>
          <w:p>
            <w:pPr>
              <w:jc w:val="right"/>
              <w:ind w:right="850"/>
              <w:spacing w:after="0" w:line="182"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4,993</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5,202</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1,687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1,658</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3,306</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Plant and Equipment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 at December 31:</w:t>
            </w: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6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r>
      <w:tr>
        <w:trPr>
          <w:trHeight w:val="183"/>
        </w:trPr>
        <w:tc>
          <w:tcPr>
            <w:tcW w:w="6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Land</w:t>
            </w:r>
          </w:p>
        </w:tc>
        <w:tc>
          <w:tcPr>
            <w:tcW w:w="180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w:t>
            </w: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Building and building improvements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25,835</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24,755</w:t>
            </w: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Leasehold improvements</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99,949</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98,529</w:t>
            </w: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Furniture and fixtures</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148,298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142,161</w:t>
            </w: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Machinery and equipment</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31,261</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30,461</w:t>
            </w: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49,313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47,003</w:t>
            </w: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Vehicles</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8,064</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6,105</w:t>
            </w:r>
          </w:p>
        </w:tc>
      </w:tr>
      <w:tr>
        <w:trPr>
          <w:trHeight w:val="189"/>
        </w:trPr>
        <w:tc>
          <w:tcPr>
            <w:tcW w:w="68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1,648</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684</w:t>
            </w:r>
          </w:p>
        </w:tc>
      </w:tr>
      <w:tr>
        <w:trPr>
          <w:trHeight w:val="183"/>
        </w:trPr>
        <w:tc>
          <w:tcPr>
            <w:tcW w:w="68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property, plant and equipment</w:t>
            </w: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365,272</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350,602</w:t>
            </w: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(294,177)</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(268,317)</w:t>
            </w:r>
          </w:p>
        </w:tc>
      </w:tr>
      <w:tr>
        <w:trPr>
          <w:trHeight w:val="183"/>
        </w:trPr>
        <w:tc>
          <w:tcPr>
            <w:tcW w:w="684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property, plant and equipment, net</w:t>
            </w: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71,095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82,285</w:t>
            </w:r>
          </w:p>
        </w:tc>
      </w:tr>
      <w:tr>
        <w:trPr>
          <w:trHeight w:val="20"/>
        </w:trPr>
        <w:tc>
          <w:tcPr>
            <w:tcW w:w="6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Depreciation expense on property and equipment, including financing leases, was $25.1 million, $27.4 million and $31.3 million for the years ended December 31, 2022, 2021 and 2020, respectively. Property, plant and equipment is measured at fair value when an impairment is recognized and the related assets are written down to fair value. During the years ended December 31, 2022, 2021 and 2020, the Company recorded asset impairment charges of $0.4 million, $0.7 million and $2.2 million,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Note 4: Other Accrued Liabilities</w:t>
            </w: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20" w:type="dxa"/>
            <w:vAlign w:val="bottom"/>
          </w:tcPr>
          <w:p>
            <w:pPr>
              <w:spacing w:after="0"/>
              <w:rPr>
                <w:sz w:val="20"/>
                <w:szCs w:val="20"/>
                <w:color w:val="auto"/>
              </w:rPr>
            </w:pPr>
            <w:r>
              <w:rPr>
                <w:rFonts w:ascii="Arial" w:cs="Arial" w:eastAsia="Arial" w:hAnsi="Arial"/>
                <w:sz w:val="18"/>
                <w:szCs w:val="18"/>
                <w:color w:val="auto"/>
                <w:w w:val="97"/>
              </w:rPr>
              <w:t>Other accrued liabilities consisted of the following at December 31:</w:t>
            </w: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deposits</w:t>
            </w:r>
          </w:p>
        </w:tc>
        <w:tc>
          <w:tcPr>
            <w:tcW w:w="34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11,315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4,993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3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6,040</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3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2,286</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3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7,282</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182"/>
        </w:trPr>
        <w:tc>
          <w:tcPr>
            <w:tcW w:w="5220" w:type="dxa"/>
            <w:vAlign w:val="bottom"/>
          </w:tcPr>
          <w:p>
            <w:pPr>
              <w:ind w:left="120"/>
              <w:spacing w:after="0" w:line="182" w:lineRule="exact"/>
              <w:rPr>
                <w:sz w:val="20"/>
                <w:szCs w:val="20"/>
                <w:color w:val="auto"/>
              </w:rPr>
            </w:pPr>
            <w:r>
              <w:rPr>
                <w:rFonts w:ascii="Arial" w:cs="Arial" w:eastAsia="Arial" w:hAnsi="Arial"/>
                <w:sz w:val="18"/>
                <w:szCs w:val="18"/>
                <w:color w:val="auto"/>
              </w:rPr>
              <w:t>Total other accrued liabilities</w:t>
            </w:r>
          </w:p>
        </w:tc>
        <w:tc>
          <w:tcPr>
            <w:tcW w:w="3120" w:type="dxa"/>
            <w:vAlign w:val="bottom"/>
            <w:vMerge w:val="restart"/>
          </w:tcPr>
          <w:p>
            <w:pPr>
              <w:jc w:val="right"/>
              <w:ind w:right="2530"/>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31,916</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2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Note 5: Long-term Debt</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7280" w:type="dxa"/>
            <w:vAlign w:val="bottom"/>
          </w:tcPr>
          <w:p>
            <w:pPr>
              <w:spacing w:after="0"/>
              <w:rPr>
                <w:sz w:val="20"/>
                <w:szCs w:val="20"/>
                <w:color w:val="auto"/>
              </w:rPr>
            </w:pPr>
            <w:r>
              <w:rPr>
                <w:rFonts w:ascii="Arial" w:cs="Arial" w:eastAsia="Arial" w:hAnsi="Arial"/>
                <w:sz w:val="18"/>
                <w:szCs w:val="18"/>
                <w:color w:val="auto"/>
              </w:rPr>
              <w:t>Long-term debt, net of debt issuance costs, consisted of the following at December 31: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7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r>
      <w:tr>
        <w:trPr>
          <w:trHeight w:val="183"/>
        </w:trPr>
        <w:tc>
          <w:tcPr>
            <w:tcW w:w="7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r>
      <w:tr>
        <w:trPr>
          <w:trHeight w:val="189"/>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debt obligations</w:t>
            </w:r>
          </w:p>
        </w:tc>
        <w:tc>
          <w:tcPr>
            <w:tcW w:w="13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45,400</w:t>
            </w:r>
          </w:p>
        </w:tc>
        <w:tc>
          <w:tcPr>
            <w:tcW w:w="64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r>
      <w:tr>
        <w:trPr>
          <w:trHeight w:val="189"/>
        </w:trPr>
        <w:tc>
          <w:tcPr>
            <w:tcW w:w="72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current portion</w:t>
            </w:r>
          </w:p>
        </w:tc>
        <w:tc>
          <w:tcPr>
            <w:tcW w:w="1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72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Debt obligations, net of current portion</w:t>
            </w:r>
          </w:p>
        </w:tc>
        <w:tc>
          <w:tcPr>
            <w:tcW w:w="10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45,400</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w:t>
            </w:r>
          </w:p>
        </w:tc>
      </w:tr>
      <w:tr>
        <w:trPr>
          <w:trHeight w:val="20"/>
        </w:trPr>
        <w:tc>
          <w:tcPr>
            <w:tcW w:w="7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 LLC’s Rent Adjusted Leverage Ratio (as defined in the Credit Agreement). Borrowings outstanding as of December 31, 2022 were SOFR-based interest rate loans. The SOFR-based interest rate was 5.8% on December 31, 2022.</w:t>
      </w:r>
    </w:p>
    <w:p>
      <w:pPr>
        <w:spacing w:after="0" w:line="16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in compliance with the covenants as of December 31, 2022.</w:t>
      </w:r>
    </w:p>
    <w:p>
      <w:pPr>
        <w:spacing w:after="0" w:line="145"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The Credit Agreement superseded and replaced in its entirety the Company’s prior senior credit facility with Bank of America, N.A. dated September 18, 2018. The Company drew on the revolving line of credit pursuant to the Credit Agreement to refinance all of the existing revolving line of credit and interest outstanding under the Company’s prior credit facility, as well as pay $0.4 million in debt issuance costs in connection with the Credit Agreement. Debt issuance costs are classified as other current assets and other assets in the Consolidated Balance Sheet and amortized on a straight line basis over the life of the Credit Agreement. The Company recorded a $0.1 million charge in interest expense to write-off certain unamortized deferred financing fees associated with the September 18, 2018 credit facility as of the date of the payoff.</w:t>
      </w:r>
    </w:p>
    <w:p>
      <w:pPr>
        <w:spacing w:after="0" w:line="15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Borrowings outstanding consisted of $45.4 million on the revolving line of credit as of December 31, 2022. As of December 31, 2022, there was $28.3 million available for borrowing on the revolving line of credit, which may be used for purchasing additional merchandise inventory, maintaining the Company’s stores, and general corporate purposes.</w:t>
      </w:r>
    </w:p>
    <w:p>
      <w:pPr>
        <w:spacing w:after="0" w:line="16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Company has standby letters of credit outstanding related to its workers’ compensation and medical insurance policies. Standby letters of credit totaled $2.4 million as of December 31, 2022. As of December 31, 2022, $1.3 million of the standby letter of credit balance was secured by the Company’s September 30, 2022 credit facility. The Company pledged $1.2 million of cash as collateral to secure the remaining $1.1 million standby letters of credit as of December 31, 2022, which has been classified as restricted cash in the Consolidated Balance Sheet.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71"/>
        </w:trPr>
        <w:tc>
          <w:tcPr>
            <w:tcW w:w="1280" w:type="dxa"/>
            <w:vAlign w:val="bottom"/>
            <w:tcBorders>
              <w:top w:val="single" w:sz="8" w:color="0000FF"/>
            </w:tcBorders>
          </w:tcPr>
          <w:p>
            <w:pPr>
              <w:spacing w:after="0"/>
              <w:rPr>
                <w:sz w:val="24"/>
                <w:szCs w:val="24"/>
                <w:color w:val="auto"/>
              </w:rPr>
            </w:pPr>
          </w:p>
        </w:tc>
        <w:tc>
          <w:tcPr>
            <w:tcW w:w="980" w:type="dxa"/>
            <w:vAlign w:val="bottom"/>
          </w:tcPr>
          <w:p>
            <w:pPr>
              <w:spacing w:after="0"/>
              <w:rPr>
                <w:sz w:val="24"/>
                <w:szCs w:val="24"/>
                <w:color w:val="auto"/>
              </w:rPr>
            </w:pPr>
          </w:p>
        </w:tc>
        <w:tc>
          <w:tcPr>
            <w:tcW w:w="5680" w:type="dxa"/>
            <w:vAlign w:val="bottom"/>
          </w:tcPr>
          <w:p>
            <w:pPr>
              <w:ind w:left="1780"/>
              <w:spacing w:after="0"/>
              <w:rPr>
                <w:sz w:val="20"/>
                <w:szCs w:val="20"/>
                <w:color w:val="auto"/>
              </w:rPr>
            </w:pPr>
            <w:r>
              <w:rPr>
                <w:rFonts w:ascii="Arial" w:cs="Arial" w:eastAsia="Arial" w:hAnsi="Arial"/>
                <w:sz w:val="18"/>
                <w:szCs w:val="18"/>
                <w:b w:val="1"/>
                <w:bCs w:val="1"/>
                <w:color w:val="auto"/>
              </w:rPr>
              <w:t>Tile Shop Holdings, Inc. and Subsidiaries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80" w:type="dxa"/>
            <w:vAlign w:val="bottom"/>
          </w:tcPr>
          <w:p>
            <w:pPr>
              <w:ind w:left="1780"/>
              <w:spacing w:after="0"/>
              <w:rPr>
                <w:sz w:val="20"/>
                <w:szCs w:val="20"/>
                <w:color w:val="auto"/>
              </w:rPr>
            </w:pPr>
            <w:r>
              <w:rPr>
                <w:rFonts w:ascii="Arial" w:cs="Arial" w:eastAsia="Arial" w:hAnsi="Arial"/>
                <w:sz w:val="18"/>
                <w:szCs w:val="18"/>
                <w:color w:val="auto"/>
              </w:rPr>
              <w:t>Notes to Consolidated Financial Statements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0"/>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w w:val="95"/>
              </w:rPr>
              <w:t>December 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w w:val="97"/>
              </w:rPr>
              <w:t>December 31,</w:t>
            </w:r>
          </w:p>
        </w:tc>
      </w:tr>
      <w:tr>
        <w:trPr>
          <w:trHeight w:val="230"/>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Leases (in thousands)</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Classification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2260" w:type="dxa"/>
            <w:vAlign w:val="bottom"/>
            <w:gridSpan w:val="2"/>
          </w:tcPr>
          <w:p>
            <w:pPr>
              <w:spacing w:after="0" w:line="182" w:lineRule="exact"/>
              <w:rPr>
                <w:sz w:val="20"/>
                <w:szCs w:val="20"/>
                <w:color w:val="auto"/>
              </w:rPr>
            </w:pPr>
            <w:r>
              <w:rPr>
                <w:rFonts w:ascii="Arial" w:cs="Arial" w:eastAsia="Arial" w:hAnsi="Arial"/>
                <w:sz w:val="18"/>
                <w:szCs w:val="18"/>
                <w:color w:val="auto"/>
              </w:rPr>
              <w:t>Assets</w:t>
            </w:r>
          </w:p>
        </w:tc>
        <w:tc>
          <w:tcPr>
            <w:tcW w:w="5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2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Operating lease assets</w:t>
            </w:r>
          </w:p>
        </w:tc>
        <w:tc>
          <w:tcPr>
            <w:tcW w:w="56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Right of use asset</w:t>
            </w:r>
          </w:p>
        </w:tc>
        <w:tc>
          <w:tcPr>
            <w:tcW w:w="360" w:type="dxa"/>
            <w:vAlign w:val="bottom"/>
            <w:gridSpan w:val="4"/>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118,501</w:t>
            </w:r>
          </w:p>
        </w:tc>
        <w:tc>
          <w:tcPr>
            <w:tcW w:w="300" w:type="dxa"/>
            <w:vAlign w:val="bottom"/>
            <w:gridSpan w:val="3"/>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r>
      <w:tr>
        <w:trPr>
          <w:trHeight w:val="223"/>
        </w:trPr>
        <w:tc>
          <w:tcPr>
            <w:tcW w:w="22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color w:val="auto"/>
              </w:rPr>
              <w:t>Total leased assets</w:t>
            </w:r>
          </w:p>
        </w:tc>
        <w:tc>
          <w:tcPr>
            <w:tcW w:w="56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7"/>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118,501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123,101</w:t>
            </w:r>
          </w:p>
        </w:tc>
      </w:tr>
      <w:tr>
        <w:trPr>
          <w:trHeight w:val="170"/>
        </w:trPr>
        <w:tc>
          <w:tcPr>
            <w:tcW w:w="1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9"/>
        </w:trPr>
        <w:tc>
          <w:tcPr>
            <w:tcW w:w="2260" w:type="dxa"/>
            <w:vAlign w:val="bottom"/>
            <w:gridSpan w:val="2"/>
          </w:tcPr>
          <w:p>
            <w:pPr>
              <w:spacing w:after="0" w:line="189" w:lineRule="exact"/>
              <w:rPr>
                <w:sz w:val="20"/>
                <w:szCs w:val="20"/>
                <w:color w:val="auto"/>
              </w:rPr>
            </w:pPr>
            <w:r>
              <w:rPr>
                <w:rFonts w:ascii="Arial" w:cs="Arial" w:eastAsia="Arial" w:hAnsi="Arial"/>
                <w:sz w:val="18"/>
                <w:szCs w:val="18"/>
                <w:color w:val="auto"/>
              </w:rPr>
              <w:t>Liabilities</w:t>
            </w:r>
          </w:p>
        </w:tc>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22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Operating</w:t>
            </w:r>
          </w:p>
        </w:tc>
        <w:tc>
          <w:tcPr>
            <w:tcW w:w="5680" w:type="dxa"/>
            <w:vAlign w:val="bottom"/>
          </w:tcPr>
          <w:p>
            <w:pPr>
              <w:ind w:left="440"/>
              <w:spacing w:after="0" w:line="189" w:lineRule="exact"/>
              <w:rPr>
                <w:sz w:val="20"/>
                <w:szCs w:val="20"/>
                <w:color w:val="auto"/>
              </w:rPr>
            </w:pPr>
            <w:r>
              <w:rPr>
                <w:rFonts w:ascii="Arial" w:cs="Arial" w:eastAsia="Arial" w:hAnsi="Arial"/>
                <w:sz w:val="18"/>
                <w:szCs w:val="18"/>
                <w:color w:val="auto"/>
              </w:rPr>
              <w:t>Current portion of lease liability</w:t>
            </w:r>
          </w:p>
        </w:tc>
        <w:tc>
          <w:tcPr>
            <w:tcW w:w="360" w:type="dxa"/>
            <w:vAlign w:val="bottom"/>
            <w:gridSpan w:val="4"/>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27,866</w:t>
            </w:r>
          </w:p>
        </w:tc>
        <w:tc>
          <w:tcPr>
            <w:tcW w:w="300" w:type="dxa"/>
            <w:vAlign w:val="bottom"/>
            <w:gridSpan w:val="3"/>
          </w:tcPr>
          <w:p>
            <w:pPr>
              <w:jc w:val="right"/>
              <w:ind w:right="7"/>
              <w:spacing w:after="0" w:line="189"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rPr>
              <w:t>28,190</w:t>
            </w:r>
          </w:p>
        </w:tc>
      </w:tr>
      <w:tr>
        <w:trPr>
          <w:trHeight w:val="189"/>
        </w:trPr>
        <w:tc>
          <w:tcPr>
            <w:tcW w:w="2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Noncurrent</w:t>
            </w:r>
          </w:p>
        </w:tc>
        <w:tc>
          <w:tcPr>
            <w:tcW w:w="5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2260" w:type="dxa"/>
            <w:vAlign w:val="bottom"/>
            <w:tcBorders>
              <w:bottom w:val="single" w:sz="8" w:color="CCEEFF"/>
            </w:tcBorders>
            <w:gridSpan w:val="2"/>
          </w:tcPr>
          <w:p>
            <w:pPr>
              <w:ind w:left="120"/>
              <w:spacing w:after="0" w:line="189" w:lineRule="exact"/>
              <w:rPr>
                <w:sz w:val="20"/>
                <w:szCs w:val="20"/>
                <w:color w:val="auto"/>
              </w:rPr>
            </w:pPr>
            <w:r>
              <w:rPr>
                <w:rFonts w:ascii="Arial" w:cs="Arial" w:eastAsia="Arial" w:hAnsi="Arial"/>
                <w:sz w:val="18"/>
                <w:szCs w:val="18"/>
                <w:color w:val="auto"/>
              </w:rPr>
              <w:t>Operating</w:t>
            </w:r>
          </w:p>
        </w:tc>
        <w:tc>
          <w:tcPr>
            <w:tcW w:w="568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8"/>
                <w:szCs w:val="18"/>
                <w:color w:val="auto"/>
              </w:rPr>
              <w:t>Long-term lease liability, net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103,353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110,261</w:t>
            </w:r>
          </w:p>
        </w:tc>
      </w:tr>
      <w:tr>
        <w:trPr>
          <w:trHeight w:val="183"/>
        </w:trPr>
        <w:tc>
          <w:tcPr>
            <w:tcW w:w="22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56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67"/>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131,219</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138,451</w:t>
            </w:r>
          </w:p>
        </w:tc>
      </w:tr>
      <w:tr>
        <w:trPr>
          <w:trHeight w:val="20"/>
        </w:trPr>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71"/>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jc w:val="right"/>
              <w:ind w:right="470"/>
              <w:spacing w:after="0"/>
              <w:rPr>
                <w:sz w:val="20"/>
                <w:szCs w:val="20"/>
                <w:color w:val="auto"/>
              </w:rPr>
            </w:pPr>
            <w:r>
              <w:rPr>
                <w:rFonts w:ascii="Arial" w:cs="Arial" w:eastAsia="Arial" w:hAnsi="Arial"/>
                <w:sz w:val="18"/>
                <w:szCs w:val="18"/>
                <w:color w:val="auto"/>
              </w:rPr>
              <w:t>Year Ended December 31,</w:t>
            </w:r>
          </w:p>
        </w:tc>
      </w:tr>
      <w:tr>
        <w:trPr>
          <w:trHeight w:val="217"/>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Lease cost (in thousands)</w:t>
            </w:r>
          </w:p>
        </w:tc>
        <w:tc>
          <w:tcPr>
            <w:tcW w:w="5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Classification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2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68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color w:val="auto"/>
              </w:rPr>
              <w:t>SG&amp;A expenses</w:t>
            </w: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33,286</w:t>
            </w:r>
          </w:p>
        </w:tc>
        <w:tc>
          <w:tcPr>
            <w:tcW w:w="140" w:type="dxa"/>
            <w:vAlign w:val="bottom"/>
            <w:gridSpan w:val="2"/>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34,047</w:t>
            </w:r>
          </w:p>
        </w:tc>
      </w:tr>
      <w:tr>
        <w:trPr>
          <w:trHeight w:val="257"/>
        </w:trPr>
        <w:tc>
          <w:tcPr>
            <w:tcW w:w="2260" w:type="dxa"/>
            <w:vAlign w:val="bottom"/>
            <w:gridSpan w:val="2"/>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680" w:type="dxa"/>
            <w:vAlign w:val="bottom"/>
          </w:tcPr>
          <w:p>
            <w:pPr>
              <w:ind w:left="440"/>
              <w:spacing w:after="0"/>
              <w:rPr>
                <w:sz w:val="20"/>
                <w:szCs w:val="20"/>
                <w:color w:val="auto"/>
              </w:rPr>
            </w:pPr>
            <w:r>
              <w:rPr>
                <w:rFonts w:ascii="Arial" w:cs="Arial" w:eastAsia="Arial" w:hAnsi="Arial"/>
                <w:sz w:val="18"/>
                <w:szCs w:val="18"/>
                <w:color w:val="auto"/>
              </w:rPr>
              <w:t>SG&amp;A expenses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14,052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14,325</w:t>
            </w:r>
          </w:p>
        </w:tc>
      </w:tr>
      <w:tr>
        <w:trPr>
          <w:trHeight w:val="189"/>
        </w:trPr>
        <w:tc>
          <w:tcPr>
            <w:tcW w:w="2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56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SG&amp;A expenses</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447</w:t>
            </w:r>
          </w:p>
        </w:tc>
      </w:tr>
      <w:tr>
        <w:trPr>
          <w:trHeight w:val="183"/>
        </w:trPr>
        <w:tc>
          <w:tcPr>
            <w:tcW w:w="2260" w:type="dxa"/>
            <w:vAlign w:val="bottom"/>
            <w:gridSpan w:val="2"/>
          </w:tcPr>
          <w:p>
            <w:pPr>
              <w:spacing w:after="0" w:line="182" w:lineRule="exact"/>
              <w:rPr>
                <w:sz w:val="20"/>
                <w:szCs w:val="20"/>
                <w:color w:val="auto"/>
              </w:rPr>
            </w:pPr>
            <w:r>
              <w:rPr>
                <w:rFonts w:ascii="Arial" w:cs="Arial" w:eastAsia="Arial" w:hAnsi="Arial"/>
                <w:sz w:val="18"/>
                <w:szCs w:val="18"/>
                <w:color w:val="auto"/>
              </w:rPr>
              <w:t>Net lease cost</w:t>
            </w:r>
          </w:p>
        </w:tc>
        <w:tc>
          <w:tcPr>
            <w:tcW w:w="5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47,762</w:t>
            </w:r>
          </w:p>
        </w:tc>
        <w:tc>
          <w:tcPr>
            <w:tcW w:w="140" w:type="dxa"/>
            <w:vAlign w:val="bottom"/>
            <w:gridSpan w:val="2"/>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48,819</w:t>
            </w:r>
          </w:p>
        </w:tc>
      </w:tr>
      <w:tr>
        <w:trPr>
          <w:trHeight w:val="20"/>
        </w:trPr>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Maturity of Lease Liabilities (in thousands)</w:t>
            </w: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Operating Leases</w:t>
            </w:r>
          </w:p>
        </w:tc>
        <w:tc>
          <w:tcPr>
            <w:tcW w:w="760" w:type="dxa"/>
            <w:vAlign w:val="bottom"/>
            <w:tcBorders>
              <w:bottom w:val="single" w:sz="8" w:color="auto"/>
            </w:tcBorders>
          </w:tcPr>
          <w:p>
            <w:pPr>
              <w:spacing w:after="0"/>
              <w:rPr>
                <w:sz w:val="18"/>
                <w:szCs w:val="18"/>
                <w:color w:val="auto"/>
              </w:rPr>
            </w:pPr>
          </w:p>
        </w:tc>
      </w:tr>
      <w:tr>
        <w:trPr>
          <w:trHeight w:val="183"/>
        </w:trPr>
        <w:tc>
          <w:tcPr>
            <w:tcW w:w="5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37,848</w:t>
            </w: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34,059</w:t>
            </w: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28,131</w:t>
            </w: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2026</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23,188</w:t>
            </w: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16,863</w:t>
            </w:r>
          </w:p>
        </w:tc>
      </w:tr>
      <w:tr>
        <w:trPr>
          <w:trHeight w:val="189"/>
        </w:trPr>
        <w:tc>
          <w:tcPr>
            <w:tcW w:w="596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21,996</w:t>
            </w:r>
          </w:p>
        </w:tc>
      </w:tr>
      <w:tr>
        <w:trPr>
          <w:trHeight w:val="183"/>
        </w:trPr>
        <w:tc>
          <w:tcPr>
            <w:tcW w:w="59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162,085</w:t>
            </w:r>
          </w:p>
        </w:tc>
      </w:tr>
      <w:tr>
        <w:trPr>
          <w:trHeight w:val="189"/>
        </w:trPr>
        <w:tc>
          <w:tcPr>
            <w:tcW w:w="596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Less: interest</w:t>
            </w:r>
          </w:p>
        </w:tc>
        <w:tc>
          <w:tcPr>
            <w:tcW w:w="1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(30,866)</w:t>
            </w:r>
          </w:p>
        </w:tc>
      </w:tr>
      <w:tr>
        <w:trPr>
          <w:trHeight w:val="183"/>
        </w:trPr>
        <w:tc>
          <w:tcPr>
            <w:tcW w:w="5960" w:type="dxa"/>
            <w:vAlign w:val="bottom"/>
            <w:tcBorders>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131,219</w:t>
            </w:r>
          </w:p>
        </w:tc>
      </w:tr>
      <w:tr>
        <w:trPr>
          <w:trHeight w:val="20"/>
        </w:trPr>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85"/>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6"/>
          </w:tcPr>
          <w:p>
            <w:pPr>
              <w:jc w:val="right"/>
              <w:ind w:right="200"/>
              <w:spacing w:after="0"/>
              <w:rPr>
                <w:sz w:val="20"/>
                <w:szCs w:val="20"/>
                <w:color w:val="auto"/>
              </w:rPr>
            </w:pPr>
            <w:r>
              <w:rPr>
                <w:rFonts w:ascii="Arial" w:cs="Arial" w:eastAsia="Arial" w:hAnsi="Arial"/>
                <w:sz w:val="18"/>
                <w:szCs w:val="18"/>
                <w:color w:val="auto"/>
              </w:rPr>
              <w:t>Year Ended December 31,</w:t>
            </w:r>
          </w:p>
        </w:tc>
        <w:tc>
          <w:tcPr>
            <w:tcW w:w="760" w:type="dxa"/>
            <w:vAlign w:val="bottom"/>
          </w:tcPr>
          <w:p>
            <w:pPr>
              <w:spacing w:after="0"/>
              <w:rPr>
                <w:sz w:val="24"/>
                <w:szCs w:val="24"/>
                <w:color w:val="auto"/>
              </w:rPr>
            </w:pPr>
          </w:p>
        </w:tc>
      </w:tr>
      <w:tr>
        <w:trPr>
          <w:trHeight w:val="217"/>
        </w:trPr>
        <w:tc>
          <w:tcPr>
            <w:tcW w:w="5960" w:type="dxa"/>
            <w:vAlign w:val="bottom"/>
            <w:gridSpan w:val="3"/>
          </w:tcPr>
          <w:p>
            <w:pPr>
              <w:spacing w:after="0"/>
              <w:rPr>
                <w:sz w:val="20"/>
                <w:szCs w:val="20"/>
                <w:color w:val="auto"/>
              </w:rPr>
            </w:pPr>
            <w:r>
              <w:rPr>
                <w:rFonts w:ascii="Arial" w:cs="Arial" w:eastAsia="Arial" w:hAnsi="Arial"/>
                <w:sz w:val="18"/>
                <w:szCs w:val="18"/>
                <w:color w:val="auto"/>
              </w:rPr>
              <w:t>Other Information (in thousands)</w:t>
            </w:r>
          </w:p>
        </w:tc>
        <w:tc>
          <w:tcPr>
            <w:tcW w:w="2560" w:type="dxa"/>
            <w:vAlign w:val="bottom"/>
            <w:gridSpan w:val="7"/>
          </w:tcPr>
          <w:p>
            <w:pPr>
              <w:jc w:val="right"/>
              <w:ind w:righ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jc w:val="right"/>
              <w:ind w:right="570"/>
              <w:spacing w:after="0"/>
              <w:rPr>
                <w:sz w:val="20"/>
                <w:szCs w:val="20"/>
                <w:color w:val="auto"/>
              </w:rPr>
            </w:pPr>
            <w:r>
              <w:rPr>
                <w:rFonts w:ascii="Arial" w:cs="Arial" w:eastAsia="Arial" w:hAnsi="Arial"/>
                <w:sz w:val="18"/>
                <w:szCs w:val="18"/>
                <w:color w:val="auto"/>
              </w:rPr>
              <w:t>2021</w:t>
            </w:r>
          </w:p>
        </w:tc>
      </w:tr>
      <w:tr>
        <w:trPr>
          <w:trHeight w:val="183"/>
        </w:trPr>
        <w:tc>
          <w:tcPr>
            <w:tcW w:w="596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89"/>
        </w:trPr>
        <w:tc>
          <w:tcPr>
            <w:tcW w:w="59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0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5"/>
              </w:rPr>
              <w:t>(37,587)</w:t>
            </w:r>
          </w:p>
        </w:tc>
        <w:tc>
          <w:tcPr>
            <w:tcW w:w="12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(37,011)</w:t>
            </w:r>
          </w:p>
        </w:tc>
      </w:tr>
      <w:tr>
        <w:trPr>
          <w:trHeight w:val="230"/>
        </w:trPr>
        <w:tc>
          <w:tcPr>
            <w:tcW w:w="5960" w:type="dxa"/>
            <w:vAlign w:val="bottom"/>
            <w:gridSpan w:val="3"/>
          </w:tcPr>
          <w:p>
            <w:pPr>
              <w:ind w:left="120"/>
              <w:spacing w:after="0"/>
              <w:rPr>
                <w:sz w:val="20"/>
                <w:szCs w:val="20"/>
                <w:color w:val="auto"/>
              </w:rPr>
            </w:pPr>
            <w:r>
              <w:rPr>
                <w:rFonts w:ascii="Arial" w:cs="Arial" w:eastAsia="Arial" w:hAnsi="Arial"/>
                <w:sz w:val="18"/>
                <w:szCs w:val="18"/>
                <w:color w:val="auto"/>
                <w:w w:val="91"/>
              </w:rPr>
              <w:t>Lease right-of-use assets obtained or modified in exchange for lease obligations</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tcPr>
          <w:p>
            <w:pPr>
              <w:spacing w:after="0"/>
              <w:rPr>
                <w:sz w:val="20"/>
                <w:szCs w:val="20"/>
                <w:color w:val="auto"/>
              </w:rPr>
            </w:pPr>
          </w:p>
        </w:tc>
        <w:tc>
          <w:tcPr>
            <w:tcW w:w="12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15,681</w:t>
            </w:r>
          </w:p>
        </w:tc>
      </w:tr>
      <w:tr>
        <w:trPr>
          <w:trHeight w:val="404"/>
        </w:trPr>
        <w:tc>
          <w:tcPr>
            <w:tcW w:w="5960" w:type="dxa"/>
            <w:vAlign w:val="bottom"/>
            <w:gridSpan w:val="3"/>
          </w:tcPr>
          <w:p>
            <w:pPr>
              <w:spacing w:after="0"/>
              <w:rPr>
                <w:sz w:val="20"/>
                <w:szCs w:val="20"/>
                <w:color w:val="auto"/>
              </w:rPr>
            </w:pPr>
            <w:r>
              <w:rPr>
                <w:rFonts w:ascii="Arial" w:cs="Arial" w:eastAsia="Arial" w:hAnsi="Arial"/>
                <w:sz w:val="18"/>
                <w:szCs w:val="18"/>
                <w:color w:val="auto"/>
              </w:rPr>
              <w:t>Lease Term and Discount Rate</w:t>
            </w:r>
          </w:p>
        </w:tc>
        <w:tc>
          <w:tcPr>
            <w:tcW w:w="2560" w:type="dxa"/>
            <w:vAlign w:val="bottom"/>
            <w:gridSpan w:val="7"/>
          </w:tcPr>
          <w:p>
            <w:pPr>
              <w:jc w:val="right"/>
              <w:ind w:right="1040"/>
              <w:spacing w:after="0"/>
              <w:rPr>
                <w:sz w:val="20"/>
                <w:szCs w:val="20"/>
                <w:color w:val="auto"/>
              </w:rPr>
            </w:pPr>
            <w:r>
              <w:rPr>
                <w:rFonts w:ascii="Arial" w:cs="Arial" w:eastAsia="Arial" w:hAnsi="Arial"/>
                <w:sz w:val="18"/>
                <w:szCs w:val="18"/>
                <w:color w:val="auto"/>
                <w:w w:val="94"/>
              </w:rPr>
              <w:t>December 31, 2022</w:t>
            </w:r>
          </w:p>
        </w:tc>
        <w:tc>
          <w:tcPr>
            <w:tcW w:w="1960" w:type="dxa"/>
            <w:vAlign w:val="bottom"/>
            <w:gridSpan w:val="4"/>
          </w:tcPr>
          <w:p>
            <w:pPr>
              <w:jc w:val="right"/>
              <w:ind w:right="100"/>
              <w:spacing w:after="0"/>
              <w:rPr>
                <w:sz w:val="20"/>
                <w:szCs w:val="20"/>
                <w:color w:val="auto"/>
              </w:rPr>
            </w:pPr>
            <w:r>
              <w:rPr>
                <w:rFonts w:ascii="Arial" w:cs="Arial" w:eastAsia="Arial" w:hAnsi="Arial"/>
                <w:sz w:val="18"/>
                <w:szCs w:val="18"/>
                <w:color w:val="auto"/>
              </w:rPr>
              <w:t>December 31, 2021</w:t>
            </w:r>
          </w:p>
        </w:tc>
        <w:tc>
          <w:tcPr>
            <w:tcW w:w="760" w:type="dxa"/>
            <w:vAlign w:val="bottom"/>
          </w:tcPr>
          <w:p>
            <w:pPr>
              <w:spacing w:after="0"/>
              <w:rPr>
                <w:sz w:val="24"/>
                <w:szCs w:val="24"/>
                <w:color w:val="auto"/>
              </w:rPr>
            </w:pPr>
          </w:p>
        </w:tc>
      </w:tr>
      <w:tr>
        <w:trPr>
          <w:trHeight w:val="183"/>
        </w:trPr>
        <w:tc>
          <w:tcPr>
            <w:tcW w:w="5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Weighted average remaining term (years)</w:t>
            </w:r>
          </w:p>
        </w:tc>
        <w:tc>
          <w:tcPr>
            <w:tcW w:w="1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89"/>
        </w:trPr>
        <w:tc>
          <w:tcPr>
            <w:tcW w:w="59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leases</w:t>
            </w:r>
          </w:p>
        </w:tc>
        <w:tc>
          <w:tcPr>
            <w:tcW w:w="20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5.4</w:t>
            </w:r>
          </w:p>
        </w:tc>
      </w:tr>
      <w:tr>
        <w:trPr>
          <w:trHeight w:val="189"/>
        </w:trPr>
        <w:tc>
          <w:tcPr>
            <w:tcW w:w="5960" w:type="dxa"/>
            <w:vAlign w:val="bottom"/>
            <w:gridSpan w:val="3"/>
          </w:tcPr>
          <w:p>
            <w:pPr>
              <w:spacing w:after="0" w:line="189" w:lineRule="exact"/>
              <w:rPr>
                <w:sz w:val="20"/>
                <w:szCs w:val="20"/>
                <w:color w:val="auto"/>
              </w:rPr>
            </w:pPr>
            <w:r>
              <w:rPr>
                <w:rFonts w:ascii="Arial" w:cs="Arial" w:eastAsia="Arial" w:hAnsi="Arial"/>
                <w:sz w:val="18"/>
                <w:szCs w:val="18"/>
                <w:color w:val="auto"/>
              </w:rPr>
              <w:t>Weighted average discount rate</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9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leases</w:t>
            </w:r>
          </w:p>
        </w:tc>
        <w:tc>
          <w:tcPr>
            <w:tcW w:w="2440" w:type="dxa"/>
            <w:vAlign w:val="bottom"/>
            <w:gridSpan w:val="6"/>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7.67 %</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6.64 %</w:t>
            </w:r>
          </w:p>
        </w:tc>
      </w:tr>
    </w:tbl>
    <w:p>
      <w:pPr>
        <w:spacing w:after="0" w:line="16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July 2022, the Company entered into an agreement to modify one of its store leases. The terms of the agreement required the Company to vacate the store during the fourth quarter of 2022 in exchange for a $1.4 million lease incentive payment from the landlord. During the fourth quarter, the Company fulfilled its obligation to close the store and received the $1.4 million lease incentive payment from the landlord. The Company recognized the $1.4 million benefit associated with the modified lease during the year ended December 31,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85" w:lineRule="exact"/>
        <w:rPr>
          <w:sz w:val="20"/>
          <w:szCs w:val="20"/>
          <w:color w:val="auto"/>
        </w:rPr>
      </w:pPr>
    </w:p>
    <w:p>
      <w:pPr>
        <w:ind w:left="500" w:right="46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Quoted prices for similar assets or liabilities in active markets;</w:t>
      </w:r>
    </w:p>
    <w:p>
      <w:pPr>
        <w:jc w:val="both"/>
        <w:ind w:left="660" w:right="4880"/>
        <w:spacing w:after="0" w:line="255" w:lineRule="auto"/>
        <w:rPr>
          <w:sz w:val="20"/>
          <w:szCs w:val="20"/>
          <w:color w:val="auto"/>
        </w:rPr>
      </w:pPr>
      <w:r>
        <w:rPr>
          <w:rFonts w:ascii="Arial" w:cs="Arial" w:eastAsia="Arial" w:hAnsi="Arial"/>
          <w:sz w:val="16"/>
          <w:szCs w:val="16"/>
          <w:color w:val="auto"/>
        </w:rPr>
        <w:t>Quoted prices for identical or similar assets or liabilities in non-active markets; Inputs other than quoted prices that are observable for the asset or liability; and</w:t>
      </w:r>
    </w:p>
    <w:p>
      <w:pPr>
        <w:ind w:left="34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55" w:lineRule="exact"/>
        <w:rPr>
          <w:sz w:val="20"/>
          <w:szCs w:val="20"/>
          <w:color w:val="auto"/>
        </w:rPr>
      </w:pPr>
    </w:p>
    <w:p>
      <w:pPr>
        <w:ind w:left="500" w:right="460"/>
        <w:spacing w:after="0" w:line="261"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December 31, 2022 and 2021 according to the valuation techniques the Company uses to determine their fair values. There have been no transfers of assets among the fair value hierarchies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3"/>
          </w:tcPr>
          <w:p>
            <w:pPr>
              <w:ind w:left="116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8"/>
              </w:rPr>
              <w:t>December 31, 2022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ind w:left="110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80"/>
              <w:spacing w:after="0" w:line="189" w:lineRule="exact"/>
              <w:rPr>
                <w:sz w:val="20"/>
                <w:szCs w:val="20"/>
                <w:color w:val="auto"/>
              </w:rPr>
            </w:pPr>
            <w:r>
              <w:rPr>
                <w:rFonts w:ascii="Arial" w:cs="Arial" w:eastAsia="Arial" w:hAnsi="Arial"/>
                <w:sz w:val="18"/>
                <w:szCs w:val="18"/>
                <w:color w:val="auto"/>
              </w:rPr>
              <w:t>5,948</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ind w:left="1080"/>
              <w:spacing w:after="0"/>
              <w:rPr>
                <w:sz w:val="20"/>
                <w:szCs w:val="20"/>
                <w:color w:val="auto"/>
              </w:rPr>
            </w:pPr>
            <w:r>
              <w:rPr>
                <w:rFonts w:ascii="Arial" w:cs="Arial" w:eastAsia="Arial" w:hAnsi="Arial"/>
                <w:sz w:val="18"/>
                <w:szCs w:val="18"/>
                <w:color w:val="auto"/>
              </w:rPr>
              <w:t>1,811</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56" w:lineRule="exact"/>
        <w:rPr>
          <w:sz w:val="20"/>
          <w:szCs w:val="20"/>
          <w:color w:val="auto"/>
        </w:rPr>
      </w:pPr>
    </w:p>
    <w:p>
      <w:pPr>
        <w:ind w:left="660" w:right="260"/>
        <w:spacing w:after="0" w:line="22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approximates fair value.</w:t>
      </w:r>
    </w:p>
    <w:p>
      <w:pPr>
        <w:ind w:left="660" w:right="140"/>
        <w:spacing w:after="0" w:line="286" w:lineRule="auto"/>
        <w:rPr>
          <w:sz w:val="20"/>
          <w:szCs w:val="20"/>
          <w:color w:val="auto"/>
        </w:rPr>
      </w:pPr>
      <w:r>
        <w:rPr>
          <w:rFonts w:ascii="Arial" w:cs="Arial" w:eastAsia="Arial" w:hAnsi="Arial"/>
          <w:sz w:val="16"/>
          <w:szCs w:val="16"/>
          <w:i w:val="1"/>
          <w:iCs w:val="1"/>
          <w:color w:val="auto"/>
        </w:rPr>
        <w:t>Restricted cash</w:t>
      </w:r>
      <w:r>
        <w:rPr>
          <w:rFonts w:ascii="Arial" w:cs="Arial" w:eastAsia="Arial" w:hAnsi="Arial"/>
          <w:sz w:val="16"/>
          <w:szCs w:val="16"/>
          <w:color w:val="auto"/>
        </w:rPr>
        <w:t>: Consists of cash and cash equivalents held in bank deposit accounts restricted as to withdrawal or that are under the terms of use</w:t>
      </w:r>
      <w:r>
        <w:rPr>
          <w:rFonts w:ascii="Arial" w:cs="Arial" w:eastAsia="Arial" w:hAnsi="Arial"/>
          <w:sz w:val="16"/>
          <w:szCs w:val="16"/>
          <w:i w:val="1"/>
          <w:iCs w:val="1"/>
          <w:color w:val="auto"/>
        </w:rPr>
        <w:t xml:space="preserve"> </w:t>
      </w:r>
      <w:r>
        <w:rPr>
          <w:rFonts w:ascii="Arial" w:cs="Arial" w:eastAsia="Arial" w:hAnsi="Arial"/>
          <w:sz w:val="16"/>
          <w:szCs w:val="16"/>
          <w:color w:val="auto"/>
        </w:rPr>
        <w:t>for current operations. The value was measured using quoted market prices in active markets. The carrying amount approximates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accounts receivable and accounts payable approximates their estimated fair values due to the short maturities of these instruments.</w:t>
      </w:r>
    </w:p>
    <w:p>
      <w:pPr>
        <w:spacing w:after="0" w:line="20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years ended December 31, 2022, 2021 and 2020, the Company recognized charges in selling, general, and administrative expenses to write-down property, plant, and equipment and right of use assets to their estimated fair values of $0.4 million, $0.7 million and $2.2 million, respectively.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3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During the twelve months ended December 31, 2021, the Company recorded a $1.1 million adjustment to reflect an increase in the fair value to restore leased property to its original condition at the end of the lease. The change in the estimated value of the Company’s asset retirement obligation resulted in a $1.1 million increase in property, plant and equipment, a $0.1 million increase in other current liabilities, and a $1.0 million increase in other long-term liabilities. The Company measured the fair value of its asset retirement obligation based on the estimated amounts and timing of settlements, an estimated risk adjusted rate of return, and expected inflation rates, which are considered Level 2 inputs. The Company did not adjust its estimate of the fair value to restore leased property to its original condition during the twelve months ended December 31, 2022.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6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carrying value of the Company’s borrowings under its Credit Agreement approximates fair value based upon Level 2 inputs of the market interest rates available to the Company for debt obligations with similar risks and maturities.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On July 9, 2018, Fumitake Nishi, a former Company employee and the brother-in-law of Robert A. Rucker, the Company’s former Interim Chief Executive Officer and President, former member of the Company’s Board of Directors, and former holder of more than 5% of the Company’s common stock, informed the Company he had reacquired a majority of the equity of one of its key vendors, Nanyang Helin Stone Co. Ltd (“Nanyang”). Mr. Nishi also has an ownership interest in Tilestyling Co. Ltd (“Tile Style”), a vendor from which the Company started acquiring product in 2020. Nanyang and Tile Style supply the Company with natural stone products, including hand-crafted mosaics, listellos and other accessories. The Company paid $9.2 million,</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$9.3 million, and $7.6 million to Nanyang in connection with purchases made during the years ended December 31, 2022, 2021 and 2020, respectively. As of December 31, 2022, the accounts payable due to Nanyang was $0.4 million. As of December 31, 2021, there were no amounts payable due to Nanyang. The Company paid $3.1 million, $3.5 million and $0.7 million to Tile Style in connection with purchases made during the years ended December 31, 2022, 2021 and 2020, respectively. As of December 31, 2022, the accounts payable balance due to Tile Style was $0.2 million. As of December 31, 2021, there were no amounts payable due to Tile Style.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33"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Tile Style. The Company believes Nanyang and Tile Style each provide an important combination of quality, product availability and pricing, and relying solely on other vendors to supply similar product to the Company would not be in the Company’s best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per common share</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Basic earnings per share is calculated by dividing net income by the weighted average number of shares outstanding during the period. Diluted earnings per share is calculated by dividing net income by the weighted average number of common shares outstanding, after taking into consideration all dilutive potential common shares outstanding during the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Basic and diluted net income per share was calculated as follows:</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3"/>
        </w:trPr>
        <w:tc>
          <w:tcPr>
            <w:tcW w:w="5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5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20" w:type="dxa"/>
            <w:vAlign w:val="bottom"/>
            <w:gridSpan w:val="7"/>
          </w:tcPr>
          <w:p>
            <w:pPr>
              <w:jc w:val="right"/>
              <w:ind w:right="430"/>
              <w:spacing w:after="0" w:line="182" w:lineRule="exact"/>
              <w:rPr>
                <w:sz w:val="20"/>
                <w:szCs w:val="20"/>
                <w:color w:val="auto"/>
              </w:rPr>
            </w:pPr>
            <w:r>
              <w:rPr>
                <w:rFonts w:ascii="Arial" w:cs="Arial" w:eastAsia="Arial" w:hAnsi="Arial"/>
                <w:sz w:val="18"/>
                <w:szCs w:val="18"/>
                <w:color w:val="auto"/>
                <w:w w:val="93"/>
              </w:rPr>
              <w:t>(in thousands, except share and per share data)</w:t>
            </w:r>
          </w:p>
        </w:tc>
      </w:tr>
      <w:tr>
        <w:trPr>
          <w:trHeight w:val="189"/>
        </w:trPr>
        <w:tc>
          <w:tcPr>
            <w:tcW w:w="5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15,703</w:t>
            </w:r>
          </w:p>
        </w:tc>
        <w:tc>
          <w:tcPr>
            <w:tcW w:w="4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14,774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r>
      <w:tr>
        <w:trPr>
          <w:trHeight w:val="189"/>
        </w:trPr>
        <w:tc>
          <w:tcPr>
            <w:tcW w:w="588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48,855,701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50,393,980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49,957,356</w:t>
            </w:r>
          </w:p>
        </w:tc>
      </w:tr>
      <w:tr>
        <w:trPr>
          <w:trHeight w:val="189"/>
        </w:trPr>
        <w:tc>
          <w:tcPr>
            <w:tcW w:w="58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9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391,346</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691,483</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626,386</w:t>
            </w:r>
          </w:p>
        </w:tc>
      </w:tr>
      <w:tr>
        <w:trPr>
          <w:trHeight w:val="183"/>
        </w:trPr>
        <w:tc>
          <w:tcPr>
            <w:tcW w:w="58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49,247,047</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51,085,463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50,583,742</w:t>
            </w:r>
          </w:p>
        </w:tc>
      </w:tr>
      <w:tr>
        <w:trPr>
          <w:trHeight w:val="183"/>
        </w:trPr>
        <w:tc>
          <w:tcPr>
            <w:tcW w:w="58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Basic net income per share</w:t>
            </w: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0.12</w:t>
            </w:r>
          </w:p>
        </w:tc>
      </w:tr>
      <w:tr>
        <w:trPr>
          <w:trHeight w:val="189"/>
        </w:trPr>
        <w:tc>
          <w:tcPr>
            <w:tcW w:w="5880" w:type="dxa"/>
            <w:vAlign w:val="bottom"/>
          </w:tcPr>
          <w:p>
            <w:pPr>
              <w:ind w:left="120"/>
              <w:spacing w:after="0" w:line="189" w:lineRule="exact"/>
              <w:rPr>
                <w:sz w:val="20"/>
                <w:szCs w:val="20"/>
                <w:color w:val="auto"/>
              </w:rPr>
            </w:pPr>
            <w:r>
              <w:rPr>
                <w:rFonts w:ascii="Arial" w:cs="Arial" w:eastAsia="Arial" w:hAnsi="Arial"/>
                <w:sz w:val="18"/>
                <w:szCs w:val="18"/>
                <w:color w:val="auto"/>
              </w:rPr>
              <w:t>Diluted net income per share</w:t>
            </w:r>
          </w:p>
        </w:tc>
        <w:tc>
          <w:tcPr>
            <w:tcW w:w="124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0.32</w:t>
            </w:r>
          </w:p>
        </w:tc>
        <w:tc>
          <w:tcPr>
            <w:tcW w:w="46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0.29</w:t>
            </w:r>
          </w:p>
        </w:tc>
        <w:tc>
          <w:tcPr>
            <w:tcW w:w="16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0.12</w:t>
            </w:r>
          </w:p>
        </w:tc>
      </w:tr>
      <w:tr>
        <w:trPr>
          <w:trHeight w:val="189"/>
        </w:trPr>
        <w:tc>
          <w:tcPr>
            <w:tcW w:w="5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Anti-dilutive securities excluded from earnings per share calculation</w:t>
            </w: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640,993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884,610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1,482,552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5"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On July 20, 2021, the stockholders of the Company approved the Tile Shop Holdings, Inc.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During the years ended December 31, 2022, 2021 and 2020, the Company did not grant any stock options to its employees. Prior to 2020,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15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Stock based compensation related to options for the years ended December 31, 2022, 2021 and 2020 was $0.1 million, $0.3 million, and $0.4 million, respectively, and was included in selling, general and administrative expenses in the consolidated statements of operations. As of December 31, 2022, the total future compensation cost related to non-vested options not yet recognized in the consolidated statement of operations was less than $0.1 million and is expected to be recognized over a weighted average period of 0.1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2022, 2021 and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Weighted</w:t>
            </w:r>
          </w:p>
        </w:tc>
        <w:tc>
          <w:tcPr>
            <w:tcW w:w="158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Weighted Avg.</w:t>
            </w:r>
          </w:p>
        </w:tc>
        <w:tc>
          <w:tcPr>
            <w:tcW w:w="140" w:type="dxa"/>
            <w:vAlign w:val="bottom"/>
          </w:tcPr>
          <w:p>
            <w:pPr>
              <w:spacing w:after="0"/>
              <w:rPr>
                <w:sz w:val="17"/>
                <w:szCs w:val="17"/>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6"/>
                <w:szCs w:val="16"/>
                <w:color w:val="auto"/>
              </w:rPr>
            </w:pPr>
          </w:p>
        </w:tc>
        <w:tc>
          <w:tcPr>
            <w:tcW w:w="1120" w:type="dxa"/>
            <w:vAlign w:val="bottom"/>
          </w:tcPr>
          <w:p>
            <w:pPr>
              <w:jc w:val="center"/>
              <w:ind w:right="170"/>
              <w:spacing w:after="0" w:line="189" w:lineRule="exact"/>
              <w:rPr>
                <w:sz w:val="20"/>
                <w:szCs w:val="20"/>
                <w:color w:val="auto"/>
              </w:rPr>
            </w:pPr>
            <w:r>
              <w:rPr>
                <w:rFonts w:ascii="Arial" w:cs="Arial" w:eastAsia="Arial" w:hAnsi="Arial"/>
                <w:sz w:val="18"/>
                <w:szCs w:val="18"/>
                <w:color w:val="auto"/>
                <w:w w:val="90"/>
              </w:rPr>
              <w:t>Avg. Grant</w:t>
            </w:r>
          </w:p>
        </w:tc>
        <w:tc>
          <w:tcPr>
            <w:tcW w:w="1580" w:type="dxa"/>
            <w:vAlign w:val="bottom"/>
            <w:gridSpan w:val="2"/>
          </w:tcPr>
          <w:p>
            <w:pPr>
              <w:jc w:val="center"/>
              <w:ind w:right="30"/>
              <w:spacing w:after="0" w:line="189" w:lineRule="exact"/>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Exercise‎</w:t>
            </w:r>
          </w:p>
        </w:tc>
        <w:tc>
          <w:tcPr>
            <w:tcW w:w="240" w:type="dxa"/>
            <w:vAlign w:val="bottom"/>
          </w:tcPr>
          <w:p>
            <w:pPr>
              <w:spacing w:after="0"/>
              <w:rPr>
                <w:sz w:val="16"/>
                <w:szCs w:val="16"/>
                <w:color w:val="auto"/>
              </w:rPr>
            </w:pPr>
          </w:p>
        </w:tc>
        <w:tc>
          <w:tcPr>
            <w:tcW w:w="1120" w:type="dxa"/>
            <w:vAlign w:val="bottom"/>
          </w:tcPr>
          <w:p>
            <w:pPr>
              <w:jc w:val="right"/>
              <w:ind w:right="450"/>
              <w:spacing w:after="0" w:line="189" w:lineRule="exact"/>
              <w:rPr>
                <w:sz w:val="20"/>
                <w:szCs w:val="20"/>
                <w:color w:val="auto"/>
              </w:rPr>
            </w:pPr>
            <w:r>
              <w:rPr>
                <w:rFonts w:ascii="Arial" w:cs="Arial" w:eastAsia="Arial" w:hAnsi="Arial"/>
                <w:sz w:val="18"/>
                <w:szCs w:val="18"/>
                <w:color w:val="auto"/>
              </w:rPr>
              <w:t>Date</w:t>
            </w:r>
          </w:p>
        </w:tc>
        <w:tc>
          <w:tcPr>
            <w:tcW w:w="1580" w:type="dxa"/>
            <w:vAlign w:val="bottom"/>
            <w:gridSpan w:val="2"/>
          </w:tcPr>
          <w:p>
            <w:pPr>
              <w:jc w:val="center"/>
              <w:ind w:right="10"/>
              <w:spacing w:after="0" w:line="189" w:lineRule="exact"/>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color w:val="auto"/>
                <w:w w:val="87"/>
              </w:rPr>
              <w:t>Price‎</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0"/>
              </w:rPr>
              <w:t>Fair Value</w:t>
            </w:r>
          </w:p>
        </w:tc>
        <w:tc>
          <w:tcPr>
            <w:tcW w:w="660" w:type="dxa"/>
            <w:vAlign w:val="bottom"/>
          </w:tcPr>
          <w:p>
            <w:pPr>
              <w:ind w:left="260"/>
              <w:spacing w:after="0"/>
              <w:rPr>
                <w:sz w:val="20"/>
                <w:szCs w:val="20"/>
                <w:color w:val="auto"/>
              </w:rPr>
            </w:pPr>
            <w:r>
              <w:rPr>
                <w:rFonts w:ascii="Arial" w:cs="Arial" w:eastAsia="Arial" w:hAnsi="Arial"/>
                <w:sz w:val="18"/>
                <w:szCs w:val="18"/>
                <w:color w:val="auto"/>
                <w:w w:val="90"/>
              </w:rPr>
              <w:t>Term‎</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w w:val="88"/>
              </w:rPr>
              <w:t>(Years)</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182"/>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January 1, 2020</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1,253,994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11.34</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5.31</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4.7</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(243,547)</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12.91</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5.91</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2020</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1,010,447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5.16</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4.6</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(104,502)</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11.03</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4.90</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2021</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905,945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5.19</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3.7</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(347,878)</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10.53</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5.45</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2022</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558,067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11.22</w:t>
            </w:r>
          </w:p>
        </w:tc>
        <w:tc>
          <w:tcPr>
            <w:tcW w:w="2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4.82</w:t>
            </w: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4.2</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Exercisable at December 31, 2022</w:t>
            </w:r>
          </w:p>
        </w:tc>
        <w:tc>
          <w:tcPr>
            <w:tcW w:w="9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11.63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5.01</w:t>
            </w:r>
          </w:p>
        </w:tc>
        <w:tc>
          <w:tcPr>
            <w:tcW w:w="660" w:type="dxa"/>
            <w:vAlign w:val="bottom"/>
          </w:tcPr>
          <w:p>
            <w:pPr>
              <w:spacing w:after="0" w:line="20" w:lineRule="exact"/>
              <w:rPr>
                <w:sz w:val="1"/>
                <w:szCs w:val="1"/>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8"/>
                <w:szCs w:val="18"/>
                <w:color w:val="auto"/>
              </w:rPr>
              <w:t>515,050</w:t>
            </w: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Vested and expected to vest, December 31, 2022</w:t>
            </w:r>
          </w:p>
        </w:tc>
        <w:tc>
          <w:tcPr>
            <w:tcW w:w="9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558,067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11.22</w:t>
            </w:r>
          </w:p>
        </w:tc>
        <w:tc>
          <w:tcPr>
            <w:tcW w:w="2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4.82</w:t>
            </w:r>
          </w:p>
        </w:tc>
        <w:tc>
          <w:tcPr>
            <w:tcW w:w="6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4.2</w:t>
            </w: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aggregate intrinsic value is the difference between the exercise price and the closing price of the Company’s stock on December 31. No stock options were exercised during fiscal year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as of December 31, 2022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9"/>
              </w:rPr>
              <w:t>Range of Exercise Price</w:t>
            </w: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3"/>
          </w:tcPr>
          <w:p>
            <w:pPr>
              <w:jc w:val="right"/>
              <w:ind w:right="1131"/>
              <w:spacing w:after="0"/>
              <w:rPr>
                <w:sz w:val="20"/>
                <w:szCs w:val="20"/>
                <w:color w:val="auto"/>
              </w:rPr>
            </w:pPr>
            <w:r>
              <w:rPr>
                <w:rFonts w:ascii="Arial" w:cs="Arial" w:eastAsia="Arial" w:hAnsi="Arial"/>
                <w:sz w:val="18"/>
                <w:szCs w:val="18"/>
                <w:color w:val="auto"/>
              </w:rPr>
              <w:t>Weighted Average</w:t>
            </w:r>
          </w:p>
        </w:tc>
      </w:tr>
      <w:tr>
        <w:trPr>
          <w:trHeight w:val="155"/>
        </w:trPr>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jc w:val="right"/>
              <w:ind w:right="191"/>
              <w:spacing w:after="0" w:line="154" w:lineRule="exact"/>
              <w:rPr>
                <w:sz w:val="20"/>
                <w:szCs w:val="20"/>
                <w:color w:val="auto"/>
              </w:rPr>
            </w:pPr>
            <w:r>
              <w:rPr>
                <w:rFonts w:ascii="Arial" w:cs="Arial" w:eastAsia="Arial" w:hAnsi="Arial"/>
                <w:sz w:val="17"/>
                <w:szCs w:val="17"/>
                <w:color w:val="auto"/>
              </w:rPr>
              <w:t>Remaining Contractual</w:t>
            </w:r>
          </w:p>
        </w:tc>
      </w:tr>
      <w:tr>
        <w:trPr>
          <w:trHeight w:val="230"/>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2220" w:type="dxa"/>
            <w:vAlign w:val="bottom"/>
          </w:tcPr>
          <w:p>
            <w:pPr>
              <w:jc w:val="right"/>
              <w:ind w:right="651"/>
              <w:spacing w:after="0"/>
              <w:rPr>
                <w:sz w:val="20"/>
                <w:szCs w:val="20"/>
                <w:color w:val="auto"/>
              </w:rPr>
            </w:pPr>
            <w:r>
              <w:rPr>
                <w:rFonts w:ascii="Arial" w:cs="Arial" w:eastAsia="Arial" w:hAnsi="Arial"/>
                <w:sz w:val="18"/>
                <w:szCs w:val="18"/>
                <w:color w:val="auto"/>
              </w:rPr>
              <w:t>Life‎-Years</w:t>
            </w:r>
          </w:p>
        </w:tc>
      </w:tr>
      <w:tr>
        <w:trPr>
          <w:trHeight w:val="183"/>
        </w:trPr>
        <w:tc>
          <w:tcPr>
            <w:tcW w:w="8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$5.00</w:t>
            </w:r>
          </w:p>
        </w:tc>
        <w:tc>
          <w:tcPr>
            <w:tcW w:w="44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to</w:t>
            </w:r>
          </w:p>
        </w:tc>
        <w:tc>
          <w:tcPr>
            <w:tcW w:w="860" w:type="dxa"/>
            <w:vAlign w:val="bottom"/>
            <w:tcBorders>
              <w:top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$10.00</w:t>
            </w:r>
          </w:p>
        </w:tc>
        <w:tc>
          <w:tcPr>
            <w:tcW w:w="39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363,567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7.03</w:t>
            </w:r>
          </w:p>
        </w:tc>
        <w:tc>
          <w:tcPr>
            <w:tcW w:w="16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5.61</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$10.01</w:t>
            </w:r>
          </w:p>
        </w:tc>
        <w:tc>
          <w:tcPr>
            <w:tcW w:w="440" w:type="dxa"/>
            <w:vAlign w:val="bottom"/>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$15.00</w:t>
            </w:r>
          </w:p>
        </w:tc>
        <w:tc>
          <w:tcPr>
            <w:tcW w:w="5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25,000</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12.79</w:t>
            </w:r>
          </w:p>
        </w:tc>
        <w:tc>
          <w:tcPr>
            <w:tcW w:w="160" w:type="dxa"/>
            <w:vAlign w:val="bottom"/>
          </w:tcPr>
          <w:p>
            <w:pPr>
              <w:spacing w:after="0"/>
              <w:rPr>
                <w:sz w:val="16"/>
                <w:szCs w:val="16"/>
                <w:color w:val="auto"/>
              </w:rPr>
            </w:pPr>
          </w:p>
        </w:tc>
        <w:tc>
          <w:tcPr>
            <w:tcW w:w="2220" w:type="dxa"/>
            <w:vAlign w:val="bottom"/>
          </w:tcPr>
          <w:p>
            <w:pPr>
              <w:jc w:val="right"/>
              <w:spacing w:after="0" w:line="189" w:lineRule="exact"/>
              <w:rPr>
                <w:sz w:val="20"/>
                <w:szCs w:val="20"/>
                <w:color w:val="auto"/>
              </w:rPr>
            </w:pPr>
            <w:r>
              <w:rPr>
                <w:rFonts w:ascii="Arial" w:cs="Arial" w:eastAsia="Arial" w:hAnsi="Arial"/>
                <w:sz w:val="18"/>
                <w:szCs w:val="18"/>
                <w:color w:val="auto"/>
              </w:rPr>
              <w:t>3.11</w:t>
            </w:r>
          </w:p>
        </w:tc>
      </w:tr>
      <w:tr>
        <w:trPr>
          <w:trHeight w:val="189"/>
        </w:trPr>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$15.01</w:t>
            </w:r>
          </w:p>
        </w:tc>
        <w:tc>
          <w:tcPr>
            <w:tcW w:w="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$20.00</w:t>
            </w:r>
          </w:p>
        </w:tc>
        <w:tc>
          <w:tcPr>
            <w:tcW w:w="5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110,500</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17.83</w:t>
            </w:r>
          </w:p>
        </w:tc>
        <w:tc>
          <w:tcPr>
            <w:tcW w:w="160" w:type="dxa"/>
            <w:vAlign w:val="bottom"/>
            <w:shd w:val="clear" w:color="auto" w:fill="CCEEFF"/>
          </w:tcPr>
          <w:p>
            <w:pPr>
              <w:spacing w:after="0"/>
              <w:rPr>
                <w:sz w:val="16"/>
                <w:szCs w:val="16"/>
                <w:color w:val="auto"/>
              </w:rPr>
            </w:pP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1.77</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$20.01</w:t>
            </w:r>
          </w:p>
        </w:tc>
        <w:tc>
          <w:tcPr>
            <w:tcW w:w="440" w:type="dxa"/>
            <w:vAlign w:val="bottom"/>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$25.00</w:t>
            </w:r>
          </w:p>
        </w:tc>
        <w:tc>
          <w:tcPr>
            <w:tcW w:w="5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51,000</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23.17</w:t>
            </w:r>
          </w:p>
        </w:tc>
        <w:tc>
          <w:tcPr>
            <w:tcW w:w="160" w:type="dxa"/>
            <w:vAlign w:val="bottom"/>
          </w:tcPr>
          <w:p>
            <w:pPr>
              <w:spacing w:after="0"/>
              <w:rPr>
                <w:sz w:val="16"/>
                <w:szCs w:val="16"/>
                <w:color w:val="auto"/>
              </w:rPr>
            </w:pPr>
          </w:p>
        </w:tc>
        <w:tc>
          <w:tcPr>
            <w:tcW w:w="2220" w:type="dxa"/>
            <w:vAlign w:val="bottom"/>
          </w:tcPr>
          <w:p>
            <w:pPr>
              <w:jc w:val="right"/>
              <w:spacing w:after="0" w:line="189" w:lineRule="exact"/>
              <w:rPr>
                <w:sz w:val="20"/>
                <w:szCs w:val="20"/>
                <w:color w:val="auto"/>
              </w:rPr>
            </w:pPr>
            <w:r>
              <w:rPr>
                <w:rFonts w:ascii="Arial" w:cs="Arial" w:eastAsia="Arial" w:hAnsi="Arial"/>
                <w:sz w:val="18"/>
                <w:szCs w:val="18"/>
                <w:color w:val="auto"/>
              </w:rPr>
              <w:t>0.76</w:t>
            </w:r>
          </w:p>
        </w:tc>
      </w:tr>
      <w:tr>
        <w:trPr>
          <w:trHeight w:val="189"/>
        </w:trPr>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$25.01</w:t>
            </w:r>
          </w:p>
        </w:tc>
        <w:tc>
          <w:tcPr>
            <w:tcW w:w="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$30.00</w:t>
            </w:r>
          </w:p>
        </w:tc>
        <w:tc>
          <w:tcPr>
            <w:tcW w:w="5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8,000</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29.44</w:t>
            </w:r>
          </w:p>
        </w:tc>
        <w:tc>
          <w:tcPr>
            <w:tcW w:w="160" w:type="dxa"/>
            <w:vAlign w:val="bottom"/>
            <w:shd w:val="clear" w:color="auto" w:fill="CCEEFF"/>
          </w:tcPr>
          <w:p>
            <w:pPr>
              <w:spacing w:after="0"/>
              <w:rPr>
                <w:sz w:val="16"/>
                <w:szCs w:val="16"/>
                <w:color w:val="auto"/>
              </w:rPr>
            </w:pP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0.56</w:t>
            </w:r>
          </w:p>
        </w:tc>
      </w:tr>
      <w:tr>
        <w:trPr>
          <w:trHeight w:val="230"/>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color w:val="auto"/>
              </w:rPr>
              <w:t>55</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90"/>
        </w:trPr>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Company awards restricted common shares to selected employees and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or Pretax Return on Capital Employed performance targets. The restricted common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restricted stock activity during the years ended December 31, 2022, 2021 and 2020:</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January 1, 2020</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997,658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70"/>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1,090,759</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(329,326)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(116,594)</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2020</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1,642,497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line="20" w:lineRule="exact"/>
              <w:rPr>
                <w:sz w:val="1"/>
                <w:szCs w:val="1"/>
                <w:color w:val="auto"/>
              </w:rPr>
            </w:pPr>
          </w:p>
        </w:tc>
      </w:tr>
      <w:tr>
        <w:trPr>
          <w:trHeight w:val="170"/>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421,547</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(742,392)</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(24,018)</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2021</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1,297,634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line="20" w:lineRule="exact"/>
              <w:rPr>
                <w:sz w:val="1"/>
                <w:szCs w:val="1"/>
                <w:color w:val="auto"/>
              </w:rPr>
            </w:pPr>
          </w:p>
        </w:tc>
      </w:tr>
      <w:tr>
        <w:trPr>
          <w:trHeight w:val="170"/>
        </w:trPr>
        <w:tc>
          <w:tcPr>
            <w:tcW w:w="8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610,478</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(466,298)</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(264,912)</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83"/>
        </w:trPr>
        <w:tc>
          <w:tcPr>
            <w:tcW w:w="8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2022</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1,176,902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The total expense associated with restricted stock for the years ended December 31, 2022, 2021, and 2020 was $1.7 million, $2.0 million, and $1.8 million, respectively.</w:t>
      </w:r>
    </w:p>
    <w:p>
      <w:pPr>
        <w:spacing w:after="0" w:line="15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During 2021, the Company granted restricted share awards subject to forfeiture on the date the Company files its annual report on Form 10-K for each of the 2021, 2022 and 2023 fiscal years if the Company fails to attain certain Adjusted EBITDA margin performance targets in 2021, 2022 and 2023. In 2022, the Company granted restricted share awards subject to forfeiture on the date the Company files its annual report on Form 10-K for each of the 2022, 2023 and 2024 fiscal years if the Company fails to attain certain Pretax Return on Capital Employed performance targets in 2022, 2023 and</w:t>
      </w:r>
    </w:p>
    <w:p>
      <w:pPr>
        <w:spacing w:after="0" w:line="2"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2024. The Company did not attain the Adjusted EBITDA or Pretax Return on Capital Employed performance measures in 2022, and accordingly, did not record any expense in connection with the performance share awards in 2022. The Company anticipates cancelling 144,590 restricted shares date this Form 10-K is filed.</w:t>
      </w:r>
    </w:p>
    <w:p>
      <w:pPr>
        <w:spacing w:after="0" w:line="164"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 of December 31, 2022, there was $3.2 million of total unrecognized expense related to unvested restricted stock awards, which are expected to vest, and will be expensed over a weighted average period of 1.5 years. The fair value of restricted stock granted in fiscal years 2022 and 2021 was $3.4 million and $3.0 million, respectively. The total fair value of restricted stock that vested in fiscal years 2022 and 2021 was $1.9 million and $5.4 million, respectively. Using the closing stock price of $4.38 on December 30, 2022 (the last trading day of fiscal 2022), the 1,032,312 restricted shares outstanding and expected to vest as of December 31, 2022 had an intrinsic value of $4.5 million.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consisted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0"/>
              <w:spacing w:after="0" w:line="182" w:lineRule="exact"/>
              <w:rPr>
                <w:sz w:val="20"/>
                <w:szCs w:val="20"/>
                <w:color w:val="auto"/>
              </w:rPr>
            </w:pPr>
            <w:r>
              <w:rPr>
                <w:rFonts w:ascii="Arial" w:cs="Arial" w:eastAsia="Arial" w:hAnsi="Arial"/>
                <w:sz w:val="18"/>
                <w:szCs w:val="18"/>
                <w:color w:val="auto"/>
                <w:w w:val="89"/>
              </w:rPr>
              <w:t>2021</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4"/>
        </w:trPr>
        <w:tc>
          <w:tcPr>
            <w:tcW w:w="49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(in thousands)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96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Federal</w:t>
            </w:r>
          </w:p>
        </w:tc>
        <w:tc>
          <w:tcPr>
            <w:tcW w:w="21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(3,870)</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(5,397)</w:t>
            </w: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Arial" w:cs="Arial" w:eastAsia="Arial" w:hAnsi="Arial"/>
                <w:sz w:val="18"/>
                <w:szCs w:val="18"/>
                <w:color w:val="auto"/>
              </w:rPr>
              <w:t>State</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(1,390)</w:t>
            </w: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International</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4960" w:type="dxa"/>
            <w:vAlign w:val="bottom"/>
          </w:tcPr>
          <w:p>
            <w:pPr>
              <w:spacing w:after="0" w:line="182" w:lineRule="exact"/>
              <w:rPr>
                <w:sz w:val="20"/>
                <w:szCs w:val="20"/>
                <w:color w:val="auto"/>
              </w:rPr>
            </w:pPr>
            <w:r>
              <w:rPr>
                <w:rFonts w:ascii="Arial" w:cs="Arial" w:eastAsia="Arial" w:hAnsi="Arial"/>
                <w:sz w:val="18"/>
                <w:szCs w:val="18"/>
                <w:color w:val="auto"/>
              </w:rPr>
              <w:t>Total Current</w:t>
            </w:r>
          </w:p>
        </w:tc>
        <w:tc>
          <w:tcPr>
            <w:tcW w:w="18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(4,910)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(6,791)</w:t>
            </w: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Arial" w:cs="Arial" w:eastAsia="Arial" w:hAnsi="Arial"/>
                <w:sz w:val="18"/>
                <w:szCs w:val="18"/>
                <w:color w:val="auto"/>
              </w:rPr>
              <w:t>Federal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1,698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189"/>
        </w:trPr>
        <w:tc>
          <w:tcPr>
            <w:tcW w:w="49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189"/>
        </w:trPr>
        <w:tc>
          <w:tcPr>
            <w:tcW w:w="4960" w:type="dxa"/>
            <w:vAlign w:val="bottom"/>
          </w:tcPr>
          <w:p>
            <w:pPr>
              <w:ind w:left="220"/>
              <w:spacing w:after="0" w:line="189" w:lineRule="exact"/>
              <w:rPr>
                <w:sz w:val="20"/>
                <w:szCs w:val="20"/>
                <w:color w:val="auto"/>
              </w:rPr>
            </w:pPr>
            <w:r>
              <w:rPr>
                <w:rFonts w:ascii="Arial" w:cs="Arial" w:eastAsia="Arial" w:hAnsi="Arial"/>
                <w:sz w:val="18"/>
                <w:szCs w:val="18"/>
                <w:color w:val="auto"/>
              </w:rPr>
              <w:t>International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Deferred</w:t>
            </w:r>
          </w:p>
        </w:tc>
        <w:tc>
          <w:tcPr>
            <w:tcW w:w="18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1,611</w:t>
            </w: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183"/>
        </w:trPr>
        <w:tc>
          <w:tcPr>
            <w:tcW w:w="4960" w:type="dxa"/>
            <w:vAlign w:val="bottom"/>
          </w:tcPr>
          <w:p>
            <w:pPr>
              <w:spacing w:after="0" w:line="182" w:lineRule="exact"/>
              <w:rPr>
                <w:sz w:val="20"/>
                <w:szCs w:val="20"/>
                <w:color w:val="auto"/>
              </w:rPr>
            </w:pPr>
            <w:r>
              <w:rPr>
                <w:rFonts w:ascii="Arial" w:cs="Arial" w:eastAsia="Arial" w:hAnsi="Arial"/>
                <w:sz w:val="18"/>
                <w:szCs w:val="18"/>
                <w:color w:val="auto"/>
              </w:rPr>
              <w:t>Total (Provision) Benefit for Income Taxes</w:t>
            </w:r>
          </w:p>
        </w:tc>
        <w:tc>
          <w:tcPr>
            <w:tcW w:w="18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(5,180)</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Company's pretax income is from domestic operations.</w:t>
      </w:r>
    </w:p>
    <w:p>
      <w:pPr>
        <w:spacing w:after="0" w:line="185"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On March 27, 2020, the CARES Act was signed into law. As a result of the CARES Act tax law changes, for the year ended December 31, 2020, the Company recognized a $3.4 million tax benefit related to its ability to carryback net operating losses to prior years that had higher tax rates. The Company filed its carryback claim with the IRS in 2020. The Company collected $4.9 million of the carryback claim from the IRS during the year ending December 31, 2022. In January 2023, the Company received the remaining $4.2 million balance of the carryback claim. As of December 31, 2022, the $4.2 million refund due from the IRS related to the carryback claim was presented as an Income Tax Receivable in the Consolidated Balance Sheet.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effective income tax rate reconciliation for the years ended December 31, 2022,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8"/>
                <w:szCs w:val="18"/>
                <w:color w:val="auto"/>
              </w:rPr>
            </w:pPr>
          </w:p>
        </w:tc>
      </w:tr>
      <w:tr>
        <w:trPr>
          <w:trHeight w:val="182"/>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State income taxes, net of the federal tax benefit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6.1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Remeasurement of deferred tax assets</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(0.1)</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Tax credits</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Impact of CARES Act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(76.1)</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CCEEFF"/>
          </w:tcPr>
          <w:p>
            <w:pPr>
              <w:spacing w:after="0"/>
              <w:rPr>
                <w:sz w:val="16"/>
                <w:szCs w:val="16"/>
                <w:color w:val="auto"/>
              </w:rPr>
            </w:pPr>
          </w:p>
        </w:tc>
      </w:tr>
      <w:tr>
        <w:trPr>
          <w:trHeight w:val="183"/>
        </w:trPr>
        <w:tc>
          <w:tcPr>
            <w:tcW w:w="6820" w:type="dxa"/>
            <w:vAlign w:val="bottom"/>
          </w:tcPr>
          <w:p>
            <w:pPr>
              <w:spacing w:after="0" w:line="182" w:lineRule="exact"/>
              <w:rPr>
                <w:sz w:val="20"/>
                <w:szCs w:val="20"/>
                <w:color w:val="auto"/>
              </w:rPr>
            </w:pPr>
            <w:r>
              <w:rPr>
                <w:rFonts w:ascii="Arial" w:cs="Arial" w:eastAsia="Arial" w:hAnsi="Arial"/>
                <w:sz w:val="18"/>
                <w:szCs w:val="18"/>
                <w:color w:val="auto"/>
              </w:rPr>
              <w:t>Effective tax rate</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25.3</w:t>
            </w:r>
          </w:p>
        </w:tc>
        <w:tc>
          <w:tcPr>
            <w:tcW w:w="3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26.0</w:t>
            </w:r>
          </w:p>
        </w:tc>
        <w:tc>
          <w:tcPr>
            <w:tcW w:w="32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70"/>
              <w:spacing w:after="0" w:line="182" w:lineRule="exact"/>
              <w:rPr>
                <w:sz w:val="20"/>
                <w:szCs w:val="20"/>
                <w:color w:val="auto"/>
              </w:rPr>
            </w:pPr>
            <w:r>
              <w:rPr>
                <w:rFonts w:ascii="Arial" w:cs="Arial" w:eastAsia="Arial" w:hAnsi="Arial"/>
                <w:sz w:val="18"/>
                <w:szCs w:val="18"/>
                <w:color w:val="auto"/>
              </w:rPr>
              <w:t>(34.0)%</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The Company’s effective tax rate was 25.3%, 26.0% and (34.0)% during the years ended December 31, 2022, 2021 and 2020, respectively. The decrease in the effective tax rate in 2022 when compared to 2021 was primarily due to a decrease in the Company’s state taxes. The increase in the effective tax rate in 2021 when compared to 2020 was due to the tax benefit recognized during 2020 following the enactment of the CARES Act, which gave the Company the ability to carry back federal net operating losses to years with a federal statutory tax rate of 35%.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Components of net deferred income taxes were as follows at December 31:</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24"/>
        </w:trPr>
        <w:tc>
          <w:tcPr>
            <w:tcW w:w="836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Section 743 carryforward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7,764</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2,031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33,901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36,004</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4,034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deferred income tax assets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47,730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51,761</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6,692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32,693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34,104</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1,809</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deferred income tax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41,194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44,808</w:t>
            </w:r>
          </w:p>
        </w:tc>
        <w:tc>
          <w:tcPr>
            <w:tcW w:w="0" w:type="dxa"/>
            <w:vAlign w:val="bottom"/>
          </w:tcPr>
          <w:p>
            <w:pPr>
              <w:spacing w:after="0"/>
              <w:rPr>
                <w:sz w:val="1"/>
                <w:szCs w:val="1"/>
                <w:color w:val="auto"/>
              </w:rPr>
            </w:pPr>
          </w:p>
        </w:tc>
      </w:tr>
      <w:tr>
        <w:trPr>
          <w:trHeight w:val="183"/>
        </w:trPr>
        <w:tc>
          <w:tcPr>
            <w:tcW w:w="8360" w:type="dxa"/>
            <w:vAlign w:val="bottom"/>
          </w:tcPr>
          <w:p>
            <w:pPr>
              <w:ind w:left="220"/>
              <w:spacing w:after="0" w:line="182" w:lineRule="exact"/>
              <w:rPr>
                <w:sz w:val="20"/>
                <w:szCs w:val="20"/>
                <w:color w:val="auto"/>
              </w:rPr>
            </w:pPr>
            <w:r>
              <w:rPr>
                <w:rFonts w:ascii="Arial" w:cs="Arial" w:eastAsia="Arial" w:hAnsi="Arial"/>
                <w:sz w:val="18"/>
                <w:szCs w:val="18"/>
                <w:color w:val="auto"/>
              </w:rPr>
              <w:t>Net deferred income tax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6,536</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has recognized the tax consequences of all foreign unremitted earnings and management has no specific plans to indefinitely reinvest the unremitted earnings of its foreign subsidiary as of December 31, 2022. As of December 31, 2022, the total undistributed earnings of the Company's non-U.S. subsidiary was approximately $0.3 million. The Company has provided no deferred taxes on withholding taxes, state taxes, and foreign currency gains and losses due on the repatriation of those earnings.</w:t>
      </w:r>
    </w:p>
    <w:p>
      <w:pPr>
        <w:spacing w:after="0" w:line="161"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Company records interest and penalties through income tax expense relating to uncertain tax positions. As of December 31, 2022, 2021 and 2020, the Company has not recognized any liabilities for uncertain tax positions nor has the Company accrued interest and penalties related to uncertain tax positions.</w:t>
      </w:r>
    </w:p>
    <w:p>
      <w:pPr>
        <w:spacing w:after="0" w:line="8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Company's federal income tax returns for the 2019 through 2021 tax years are still subject to examination in the U.S. Various state and foreign jurisdiction tax years remain open to examination.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85"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61"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w:t>
      </w: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6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December 31, 2022, the balance of the contribution liability for this arrangement was $0.5 million, which was classified as other accrued liabilities on the consolidated balance sheet.</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December 31, 2022, the remaining balance in the Investment Fund available for reimbursement to the Company was $0.6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Retirement Savings Plan</w:t>
      </w:r>
    </w:p>
    <w:p>
      <w:pPr>
        <w:spacing w:after="0" w:line="1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Company has a 401(k) profit sharing plan covering substantially all full-time employees. Employee contributions are limited to the maximum amount allowable by the Internal Revenue Code. The Company matched $1.6 million, $1.8 million, and $1.5 million of employee contributions in 2022, 2021, and 2020, respectively, and made no discretionary contributions for any of the years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Financial Data (Unaudited)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Quarterly results of operations for the years ended December 31, 2022 and 2021 are summarized below (in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First Quarter</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Second Quarter</w:t>
            </w:r>
          </w:p>
        </w:tc>
        <w:tc>
          <w:tcPr>
            <w:tcW w:w="1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Third Quarter</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Fourth Quarter</w:t>
            </w:r>
          </w:p>
        </w:tc>
      </w:tr>
      <w:tr>
        <w:trPr>
          <w:trHeight w:val="372"/>
        </w:trPr>
        <w:tc>
          <w:tcPr>
            <w:tcW w:w="454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102,471</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107,604</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97,154</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87,473</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66,845</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71,018</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64,612</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56,462</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4,736</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9,778</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5,503</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2,592</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3,513</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6,914</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3,823</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1,453</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0.07</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0.14</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0.08</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0.03</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0.07</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0.13</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0.08</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0.03</w:t>
            </w:r>
          </w:p>
        </w:tc>
      </w:tr>
      <w:tr>
        <w:trPr>
          <w:trHeight w:val="189"/>
        </w:trPr>
        <w:tc>
          <w:tcPr>
            <w:tcW w:w="4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92,084</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96,193</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92,240</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90,183</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64,186</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66,425</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62,949</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59,570</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6,908</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7,614</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3,158</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2,930</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6"/>
                <w:szCs w:val="16"/>
                <w:color w:val="auto"/>
              </w:rPr>
            </w:pPr>
          </w:p>
        </w:tc>
        <w:tc>
          <w:tcPr>
            <w:tcW w:w="152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5,297</w:t>
            </w:r>
          </w:p>
        </w:tc>
        <w:tc>
          <w:tcPr>
            <w:tcW w:w="174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5,494</w:t>
            </w:r>
          </w:p>
        </w:tc>
        <w:tc>
          <w:tcPr>
            <w:tcW w:w="170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2,175</w:t>
            </w: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1,808</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0.11</w:t>
            </w:r>
          </w:p>
        </w:tc>
        <w:tc>
          <w:tcPr>
            <w:tcW w:w="174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0.11</w:t>
            </w:r>
          </w:p>
        </w:tc>
        <w:tc>
          <w:tcPr>
            <w:tcW w:w="17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0.04</w:t>
            </w:r>
          </w:p>
        </w:tc>
        <w:tc>
          <w:tcPr>
            <w:tcW w:w="1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0.10</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0.11</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15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580"/>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59</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1"/>
        </w:trPr>
        <w:tc>
          <w:tcPr>
            <w:tcW w:w="4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Arial" w:cs="Arial" w:eastAsia="Arial" w:hAnsi="Arial"/>
                <w:sz w:val="18"/>
                <w:szCs w:val="18"/>
                <w:color w:val="0000FF"/>
                <w:w w:val="95"/>
              </w:rPr>
              <w:t>Table of Contents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8"/>
        </w:trPr>
        <w:tc>
          <w:tcPr>
            <w:tcW w:w="4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35"/>
          </w:tcPr>
          <w:p>
            <w:pPr>
              <w:jc w:val="center"/>
              <w:ind w:right="4340"/>
              <w:spacing w:after="0"/>
              <w:rPr>
                <w:sz w:val="20"/>
                <w:szCs w:val="20"/>
                <w:color w:val="auto"/>
              </w:rPr>
            </w:pPr>
            <w:r>
              <w:rPr>
                <w:rFonts w:ascii="Arial" w:cs="Arial" w:eastAsia="Arial" w:hAnsi="Arial"/>
                <w:sz w:val="18"/>
                <w:szCs w:val="18"/>
                <w:b w:val="1"/>
                <w:bCs w:val="1"/>
                <w:color w:val="auto"/>
              </w:rPr>
              <w:t>TILE SHOP HOLDINGS, INC.</w:t>
            </w:r>
          </w:p>
        </w:tc>
      </w:tr>
      <w:tr>
        <w:trPr>
          <w:trHeight w:val="234"/>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80" w:type="dxa"/>
            <w:vAlign w:val="bottom"/>
            <w:gridSpan w:val="34"/>
          </w:tcPr>
          <w:p>
            <w:pPr>
              <w:jc w:val="center"/>
              <w:ind w:right="49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38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 No.</w:t>
            </w:r>
          </w:p>
        </w:tc>
        <w:tc>
          <w:tcPr>
            <w:tcW w:w="9900" w:type="dxa"/>
            <w:vAlign w:val="bottom"/>
            <w:gridSpan w:val="42"/>
          </w:tcPr>
          <w:p>
            <w:pPr>
              <w:spacing w:after="0"/>
              <w:rPr>
                <w:sz w:val="20"/>
                <w:szCs w:val="20"/>
                <w:color w:val="auto"/>
              </w:rPr>
            </w:pPr>
            <w:r>
              <w:rPr>
                <w:rFonts w:ascii="Arial" w:cs="Arial" w:eastAsia="Arial" w:hAnsi="Arial"/>
                <w:sz w:val="18"/>
                <w:szCs w:val="18"/>
                <w:b w:val="1"/>
                <w:bCs w:val="1"/>
                <w:color w:val="auto"/>
              </w:rPr>
              <w:t>Description</w:t>
            </w: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Certificate of Incorporation of Tile Shop Holdings, Inc. – incorporated by reference to Exhibit 3.1 to the Registrant’s Form S-4 (Reg.</w:t>
              </w:r>
            </w:hyperlink>
          </w:p>
        </w:tc>
      </w:tr>
      <w:tr>
        <w:trPr>
          <w:trHeight w:val="176"/>
        </w:trPr>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60" w:type="dxa"/>
            <w:vAlign w:val="bottom"/>
            <w:tcBorders>
              <w:top w:val="single" w:sz="8" w:color="0000EE"/>
              <w:bottom w:val="single" w:sz="8" w:color="0000EE"/>
            </w:tcBorders>
            <w:gridSpan w:val="5"/>
            <w:shd w:val="clear" w:color="auto" w:fill="CCEEFF"/>
          </w:tcPr>
          <w:p>
            <w:pPr>
              <w:spacing w:after="0" w:line="169"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No. 333-182482) dated July 2, 2012.</w:t>
              </w:r>
            </w:hyperlink>
          </w:p>
        </w:tc>
        <w:tc>
          <w:tcPr>
            <w:tcW w:w="6960" w:type="dxa"/>
            <w:vAlign w:val="bottom"/>
            <w:tcBorders>
              <w:top w:val="single" w:sz="8" w:color="0000EE"/>
              <w:bottom w:val="single" w:sz="8" w:color="CCEEFF"/>
            </w:tcBorders>
            <w:gridSpan w:val="2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FF"/>
                <w:w w:val="87"/>
              </w:rPr>
            </w:pPr>
            <w:hyperlink r:id="rId8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Certificate of Amendment to the Certificate of Incorporation of Tile Shop Holdings, Inc. – incorporated by reference to Exhibit 3.2 to</w:t>
              </w:r>
            </w:hyperlink>
          </w:p>
        </w:tc>
      </w:tr>
      <w:tr>
        <w:trPr>
          <w:trHeight w:val="169"/>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89">
              <w:r>
                <w:rPr>
                  <w:rFonts w:ascii="Arial" w:cs="Arial" w:eastAsia="Arial" w:hAnsi="Arial"/>
                  <w:sz w:val="18"/>
                  <w:szCs w:val="18"/>
                  <w:color w:val="0000FF"/>
                </w:rPr>
                <w:t>the Registrant’s Current Report on Form 8-K filed July 21, 2021.</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Bylaws of Tile Shop Holdings, Inc. – incorporated by reference to Exhibit 3.2 to the Registrant’s Form S-4 (Reg. No. 333-182482)</w:t>
              </w:r>
            </w:hyperlink>
          </w:p>
        </w:tc>
      </w:tr>
      <w:tr>
        <w:trPr>
          <w:trHeight w:val="169"/>
        </w:trPr>
        <w:tc>
          <w:tcPr>
            <w:tcW w:w="48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500" w:type="dxa"/>
            <w:vAlign w:val="bottom"/>
            <w:tcBorders>
              <w:top w:val="single" w:sz="8" w:color="0000EE"/>
            </w:tcBorders>
            <w:gridSpan w:val="26"/>
            <w:shd w:val="clear" w:color="auto" w:fill="CCEEFF"/>
          </w:tcPr>
          <w:p>
            <w:pPr>
              <w:spacing w:after="0" w:line="169" w:lineRule="exact"/>
              <w:rPr>
                <w:rFonts w:ascii="Arial" w:cs="Arial" w:eastAsia="Arial" w:hAnsi="Arial"/>
                <w:sz w:val="18"/>
                <w:szCs w:val="18"/>
                <w:color w:val="0000EE"/>
              </w:rPr>
            </w:pPr>
            <w:hyperlink r:id="rId90">
              <w:r>
                <w:rPr>
                  <w:rFonts w:ascii="Arial" w:cs="Arial" w:eastAsia="Arial" w:hAnsi="Arial"/>
                  <w:sz w:val="18"/>
                  <w:szCs w:val="18"/>
                  <w:color w:val="0000EE"/>
                </w:rPr>
                <w:t>dated July 2,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EE"/>
                <w:w w:val="87"/>
              </w:rPr>
            </w:pPr>
            <w:hyperlink r:id="rId9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Specimen Common Stock Certificate – incorporated by reference to Exhibit 4.1 of Amendment No. 1 to the Registrant’s Form S-4 (Reg.</w:t>
              </w:r>
            </w:hyperlink>
          </w:p>
        </w:tc>
      </w:tr>
      <w:tr>
        <w:trPr>
          <w:trHeight w:val="169"/>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tcBorders>
              <w:top w:val="single" w:sz="8" w:color="0000EE"/>
            </w:tcBorders>
            <w:gridSpan w:val="41"/>
          </w:tcPr>
          <w:p>
            <w:pPr>
              <w:spacing w:after="0" w:line="169" w:lineRule="exact"/>
              <w:rPr>
                <w:rFonts w:ascii="Arial" w:cs="Arial" w:eastAsia="Arial" w:hAnsi="Arial"/>
                <w:sz w:val="18"/>
                <w:szCs w:val="18"/>
                <w:color w:val="0000EE"/>
              </w:rPr>
            </w:pPr>
            <w:hyperlink r:id="rId91">
              <w:r>
                <w:rPr>
                  <w:rFonts w:ascii="Arial" w:cs="Arial" w:eastAsia="Arial" w:hAnsi="Arial"/>
                  <w:sz w:val="18"/>
                  <w:szCs w:val="18"/>
                  <w:color w:val="0000EE"/>
                </w:rPr>
                <w:t>No. 333-182482) dated July 23, 2012.</w:t>
              </w:r>
            </w:hyperlink>
          </w:p>
        </w:tc>
        <w:tc>
          <w:tcPr>
            <w:tcW w:w="20" w:type="dxa"/>
            <w:vAlign w:val="bottom"/>
          </w:tcPr>
          <w:p>
            <w:pPr>
              <w:spacing w:after="0"/>
              <w:rPr>
                <w:sz w:val="14"/>
                <w:szCs w:val="14"/>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sz w:val="20"/>
                <w:szCs w:val="20"/>
                <w:color w:val="auto"/>
              </w:rPr>
            </w:pPr>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sz w:val="20"/>
                <w:szCs w:val="20"/>
                <w:color w:val="auto"/>
              </w:rPr>
            </w:pPr>
            <w:r>
              <w:rPr>
                <w:rFonts w:ascii="Arial" w:cs="Arial" w:eastAsia="Arial" w:hAnsi="Arial"/>
                <w:sz w:val="18"/>
                <w:szCs w:val="18"/>
                <w:color w:val="0000FF"/>
              </w:rPr>
              <w:t>Description of Tile Shop Holdings, Inc.’s Registered Securities – filed herewith.</w:t>
            </w: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Tile Shop Holdings, Inc. 2012 Omnibus Award Plan (f/k/a 2012 Equity Award Plan) – incorporated by reference to Exhibit 10.1 to the</w:t>
              </w:r>
            </w:hyperlink>
          </w:p>
        </w:tc>
      </w:tr>
      <w:tr>
        <w:trPr>
          <w:trHeight w:val="176"/>
        </w:trPr>
        <w:tc>
          <w:tcPr>
            <w:tcW w:w="4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Registrant’s Current Report on Form 8-K filed July 26, 2013.</w:t>
              </w:r>
            </w:hyperlink>
          </w:p>
        </w:tc>
        <w:tc>
          <w:tcPr>
            <w:tcW w:w="5320" w:type="dxa"/>
            <w:vAlign w:val="bottom"/>
            <w:tcBorders>
              <w:top w:val="single" w:sz="8" w:color="0000EE"/>
            </w:tcBorders>
            <w:gridSpan w:val="2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2*</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Amended and Restated Amendment No. 1 to the Tile Shop Holdings, Inc. 2012 Omnibus Award Plan (f/k/a 2012 Equity Award Plan) –</w:t>
              </w:r>
            </w:hyperlink>
          </w:p>
        </w:tc>
      </w:tr>
      <w:tr>
        <w:trPr>
          <w:trHeight w:val="169"/>
        </w:trPr>
        <w:tc>
          <w:tcPr>
            <w:tcW w:w="48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righ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20" w:type="dxa"/>
            <w:vAlign w:val="bottom"/>
            <w:tcBorders>
              <w:top w:val="single" w:sz="8" w:color="0000FF"/>
            </w:tcBorders>
            <w:gridSpan w:val="38"/>
            <w:shd w:val="clear" w:color="auto" w:fill="CCEEFF"/>
          </w:tcPr>
          <w:p>
            <w:pPr>
              <w:spacing w:after="0" w:line="169" w:lineRule="exact"/>
              <w:rPr>
                <w:rFonts w:ascii="Arial" w:cs="Arial" w:eastAsia="Arial" w:hAnsi="Arial"/>
                <w:sz w:val="18"/>
                <w:szCs w:val="18"/>
                <w:color w:val="0000FF"/>
              </w:rPr>
            </w:pPr>
            <w:hyperlink r:id="rId93">
              <w:r>
                <w:rPr>
                  <w:rFonts w:ascii="Arial" w:cs="Arial" w:eastAsia="Arial" w:hAnsi="Arial"/>
                  <w:sz w:val="18"/>
                  <w:szCs w:val="18"/>
                  <w:color w:val="0000FF"/>
                </w:rPr>
                <w:t>incorporated by reference to Exhibit 10.2 to the Registrant’s Current Report on Form 8-K filed July 26,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1040" w:type="dxa"/>
            <w:vAlign w:val="bottom"/>
            <w:tcBorders>
              <w:right w:val="single" w:sz="8" w:color="0000FF"/>
            </w:tcBorders>
            <w:shd w:val="clear" w:color="auto" w:fill="0000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FF"/>
                <w:w w:val="98"/>
              </w:rPr>
            </w:pPr>
            <w:hyperlink r:id="rId94">
              <w:r>
                <w:rPr>
                  <w:rFonts w:ascii="Arial" w:cs="Arial" w:eastAsia="Arial" w:hAnsi="Arial"/>
                  <w:sz w:val="18"/>
                  <w:szCs w:val="18"/>
                  <w:color w:val="0000FF"/>
                  <w:w w:val="98"/>
                </w:rPr>
                <w:t>Form of Indemnification Agreement by and between Tile Shop Holdings, Inc. and each of its directors and executive officers –</w:t>
              </w:r>
            </w:hyperlink>
          </w:p>
        </w:tc>
      </w:tr>
      <w:tr>
        <w:trPr>
          <w:trHeight w:val="169"/>
        </w:trPr>
        <w:tc>
          <w:tcPr>
            <w:tcW w:w="4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8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incorporated by reference to Exhibit 10.13 of Amendment No. 1 to the Registrant’s Form S-4 (Reg. No. 333-182482) dated July</w:t>
              </w:r>
            </w:hyperlink>
          </w:p>
        </w:tc>
        <w:tc>
          <w:tcPr>
            <w:tcW w:w="360" w:type="dxa"/>
            <w:vAlign w:val="bottom"/>
            <w:tcBorders>
              <w:bottom w:val="single" w:sz="8" w:color="0000FF"/>
            </w:tcBorders>
            <w:gridSpan w:val="7"/>
          </w:tcPr>
          <w:p>
            <w:pPr>
              <w:jc w:val="right"/>
              <w:ind w:right="40"/>
              <w:spacing w:after="0" w:line="169" w:lineRule="exact"/>
              <w:rPr>
                <w:rFonts w:ascii="Arial" w:cs="Arial" w:eastAsia="Arial" w:hAnsi="Arial"/>
                <w:sz w:val="18"/>
                <w:szCs w:val="18"/>
                <w:color w:val="0000FF"/>
              </w:rPr>
            </w:pPr>
            <w:hyperlink r:id="rId94">
              <w:r>
                <w:rPr>
                  <w:rFonts w:ascii="Arial" w:cs="Arial" w:eastAsia="Arial" w:hAnsi="Arial"/>
                  <w:sz w:val="18"/>
                  <w:szCs w:val="18"/>
                  <w:color w:val="0000FF"/>
                </w:rPr>
                <w:t>23,</w:t>
              </w:r>
            </w:hyperlink>
          </w:p>
        </w:tc>
        <w:tc>
          <w:tcPr>
            <w:tcW w:w="20" w:type="dxa"/>
            <w:vAlign w:val="bottom"/>
            <w:tcBorders>
              <w:bottom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line="169" w:lineRule="exact"/>
              <w:rPr>
                <w:rFonts w:ascii="Arial" w:cs="Arial" w:eastAsia="Arial" w:hAnsi="Arial"/>
                <w:sz w:val="18"/>
                <w:szCs w:val="18"/>
                <w:color w:val="0000FF"/>
              </w:rPr>
            </w:pPr>
            <w:hyperlink r:id="rId94">
              <w:r>
                <w:rPr>
                  <w:rFonts w:ascii="Arial" w:cs="Arial" w:eastAsia="Arial" w:hAnsi="Arial"/>
                  <w:sz w:val="18"/>
                  <w:szCs w:val="18"/>
                  <w:color w:val="0000FF"/>
                </w:rPr>
                <w:t>2012.</w:t>
              </w:r>
            </w:hyperlink>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rFonts w:ascii="Arial" w:cs="Arial" w:eastAsia="Arial" w:hAnsi="Arial"/>
                <w:sz w:val="18"/>
                <w:szCs w:val="18"/>
                <w:color w:val="0000EE"/>
                <w:w w:val="99"/>
              </w:rPr>
            </w:pPr>
            <w:hyperlink r:id="rId95">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4*</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Tile Shop Holdings, Inc. Form of Incentive Stock Option Agreement (2012 Plan) – incorporated by reference to Exhibit 10.3 to the</w:t>
              </w:r>
            </w:hyperlink>
          </w:p>
        </w:tc>
      </w:tr>
      <w:tr>
        <w:trPr>
          <w:trHeight w:val="176"/>
        </w:trPr>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20" w:type="dxa"/>
            <w:vAlign w:val="bottom"/>
            <w:tcBorders>
              <w:top w:val="single" w:sz="8" w:color="0000EE"/>
              <w:bottom w:val="single" w:sz="8" w:color="0000EE"/>
            </w:tcBorders>
            <w:gridSpan w:val="9"/>
            <w:shd w:val="clear" w:color="auto" w:fill="CCEEFF"/>
          </w:tcPr>
          <w:p>
            <w:pPr>
              <w:spacing w:after="0" w:line="169"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Registrant’s Current Report on Form 8-K filed July 26, 2013.</w:t>
              </w:r>
            </w:hyperlink>
          </w:p>
        </w:tc>
        <w:tc>
          <w:tcPr>
            <w:tcW w:w="5100" w:type="dxa"/>
            <w:vAlign w:val="bottom"/>
            <w:tcBorders>
              <w:top w:val="single" w:sz="8" w:color="0000EE"/>
              <w:bottom w:val="single" w:sz="8" w:color="CCEEFF"/>
            </w:tcBorders>
            <w:gridSpan w:val="1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5*</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Tile Shop Holdings, Inc. Form of Nonstatutory Stock Option Agreement (2012 Plan) – incorporated by reference to Exhibit 10.4 to the</w:t>
              </w:r>
            </w:hyperlink>
          </w:p>
        </w:tc>
      </w:tr>
      <w:tr>
        <w:trPr>
          <w:trHeight w:val="176"/>
        </w:trPr>
        <w:tc>
          <w:tcPr>
            <w:tcW w:w="4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Registrant’s Current Report on Form 8-K filed July 26, 2013.</w:t>
              </w:r>
            </w:hyperlink>
          </w:p>
        </w:tc>
        <w:tc>
          <w:tcPr>
            <w:tcW w:w="5360" w:type="dxa"/>
            <w:vAlign w:val="bottom"/>
            <w:tcBorders>
              <w:top w:val="single" w:sz="8" w:color="0000EE"/>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6*</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rPr>
            </w:pPr>
            <w:hyperlink r:id="rId97">
              <w:r>
                <w:rPr>
                  <w:rFonts w:ascii="Arial" w:cs="Arial" w:eastAsia="Arial" w:hAnsi="Arial"/>
                  <w:sz w:val="18"/>
                  <w:szCs w:val="18"/>
                  <w:color w:val="0000EE"/>
                </w:rPr>
                <w:t>Tile Shop Holdings, Inc. Form of Stock Restriction Agreement (2012 Plan) – incorporated by reference to Exhibit 10.5 to the</w:t>
              </w:r>
            </w:hyperlink>
          </w:p>
        </w:tc>
      </w:tr>
      <w:tr>
        <w:trPr>
          <w:trHeight w:val="176"/>
        </w:trPr>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20" w:type="dxa"/>
            <w:vAlign w:val="bottom"/>
            <w:tcBorders>
              <w:top w:val="single" w:sz="8" w:color="0000EE"/>
              <w:bottom w:val="single" w:sz="8" w:color="0000EE"/>
            </w:tcBorders>
            <w:gridSpan w:val="9"/>
            <w:shd w:val="clear" w:color="auto" w:fill="CCEEFF"/>
          </w:tcPr>
          <w:p>
            <w:pPr>
              <w:spacing w:after="0" w:line="169"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Registrant’s Current Report on Form 8-K filed July 26, 2013.</w:t>
              </w:r>
            </w:hyperlink>
          </w:p>
        </w:tc>
        <w:tc>
          <w:tcPr>
            <w:tcW w:w="4640" w:type="dxa"/>
            <w:vAlign w:val="bottom"/>
            <w:tcBorders>
              <w:top w:val="single" w:sz="8" w:color="0000EE"/>
              <w:bottom w:val="single" w:sz="8" w:color="CCEEFF"/>
            </w:tcBorders>
            <w:gridSpan w:val="11"/>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EE"/>
                <w:w w:val="99"/>
              </w:rPr>
            </w:pPr>
            <w:hyperlink r:id="rId98">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7*</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EE"/>
              </w:rPr>
            </w:pPr>
            <w:hyperlink r:id="rId98">
              <w:r>
                <w:rPr>
                  <w:rFonts w:ascii="Arial" w:cs="Arial" w:eastAsia="Arial" w:hAnsi="Arial"/>
                  <w:sz w:val="18"/>
                  <w:szCs w:val="18"/>
                  <w:color w:val="0000EE"/>
                </w:rPr>
                <w:t>Tile Shop Holdings, Inc. Form of Stock Restriction Agreement (2012 Plan) – incorporated by reference to Exhibit 10.2 to the</w:t>
              </w:r>
            </w:hyperlink>
          </w:p>
        </w:tc>
      </w:tr>
      <w:tr>
        <w:trPr>
          <w:trHeight w:val="176"/>
        </w:trPr>
        <w:tc>
          <w:tcPr>
            <w:tcW w:w="4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00" w:type="dxa"/>
            <w:vAlign w:val="bottom"/>
            <w:tcBorders>
              <w:top w:val="single" w:sz="8" w:color="0000EE"/>
              <w:bottom w:val="single" w:sz="8" w:color="0000EE"/>
            </w:tcBorders>
            <w:gridSpan w:val="15"/>
          </w:tcPr>
          <w:p>
            <w:pPr>
              <w:spacing w:after="0" w:line="169"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Registrant’s Quarterly Report on Form 10-Q for the quarter ended September 30, 2017.</w:t>
              </w:r>
            </w:hyperlink>
          </w:p>
        </w:tc>
        <w:tc>
          <w:tcPr>
            <w:tcW w:w="2760" w:type="dxa"/>
            <w:vAlign w:val="bottom"/>
            <w:tcBorders>
              <w:top w:val="single" w:sz="8" w:color="0000EE"/>
            </w:tcBorders>
            <w:gridSpan w:val="5"/>
          </w:tcPr>
          <w:p>
            <w:pPr>
              <w:spacing w:after="0"/>
              <w:rPr>
                <w:sz w:val="15"/>
                <w:szCs w:val="15"/>
                <w:color w:val="auto"/>
              </w:rPr>
            </w:pPr>
          </w:p>
        </w:tc>
        <w:tc>
          <w:tcPr>
            <w:tcW w:w="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940" w:type="dxa"/>
            <w:vAlign w:val="bottom"/>
            <w:tcBorders>
              <w:right w:val="single" w:sz="8" w:color="CCEEFF"/>
            </w:tcBorders>
            <w:gridSpan w:val="4"/>
            <w:shd w:val="clear" w:color="auto" w:fill="CCEEFF"/>
          </w:tcPr>
          <w:p>
            <w:pPr>
              <w:jc w:val="center"/>
              <w:ind w:left="350"/>
              <w:spacing w:after="0" w:line="16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8*</w:t>
              </w:r>
            </w:hyperlink>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Employment Agreement, dated February 19, 2018, between Tile Shop Holdings, Inc. and Cabell Lolmaugh – incorporated by reference</w:t>
              </w:r>
            </w:hyperlink>
          </w:p>
        </w:tc>
      </w:tr>
      <w:tr>
        <w:trPr>
          <w:trHeight w:val="176"/>
        </w:trPr>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340" w:type="dxa"/>
            <w:vAlign w:val="bottom"/>
            <w:tcBorders>
              <w:top w:val="single" w:sz="8" w:color="0000EE"/>
              <w:bottom w:val="single" w:sz="8" w:color="0000EE"/>
            </w:tcBorders>
            <w:gridSpan w:val="16"/>
            <w:shd w:val="clear" w:color="auto" w:fill="CCEEFF"/>
          </w:tcPr>
          <w:p>
            <w:pPr>
              <w:spacing w:after="0" w:line="169"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to Exhibit 10.1 to the Registrant’s Current Report on Form 8-K filed February 21, 2018.</w:t>
              </w:r>
            </w:hyperlink>
          </w:p>
        </w:tc>
        <w:tc>
          <w:tcPr>
            <w:tcW w:w="3520" w:type="dxa"/>
            <w:vAlign w:val="bottom"/>
            <w:tcBorders>
              <w:top w:val="single" w:sz="8" w:color="0000EE"/>
              <w:bottom w:val="single" w:sz="8" w:color="CCEEFF"/>
            </w:tcBorders>
            <w:gridSpan w:val="2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9*</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EE"/>
                <w:w w:val="97"/>
              </w:rPr>
            </w:pPr>
            <w:hyperlink r:id="rId100">
              <w:r>
                <w:rPr>
                  <w:rFonts w:ascii="Arial" w:cs="Arial" w:eastAsia="Arial" w:hAnsi="Arial"/>
                  <w:sz w:val="18"/>
                  <w:szCs w:val="18"/>
                  <w:color w:val="0000EE"/>
                  <w:w w:val="97"/>
                </w:rPr>
                <w:t>Employment Agreement, dated September 6, 2019, by and between Tile Shop Holdings, Inc. and Mark Davis – incorporated by</w:t>
              </w:r>
            </w:hyperlink>
          </w:p>
        </w:tc>
      </w:tr>
      <w:tr>
        <w:trPr>
          <w:trHeight w:val="176"/>
        </w:trPr>
        <w:tc>
          <w:tcPr>
            <w:tcW w:w="4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80" w:type="dxa"/>
            <w:vAlign w:val="bottom"/>
            <w:tcBorders>
              <w:top w:val="single" w:sz="8" w:color="0000EE"/>
              <w:bottom w:val="single" w:sz="8" w:color="0000EE"/>
            </w:tcBorders>
            <w:gridSpan w:val="19"/>
          </w:tcPr>
          <w:p>
            <w:pPr>
              <w:spacing w:after="0" w:line="169"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reference to Exhibit 10.2 to the Registrant’s Quarterly Report on Form 10-Q for the quarter ended September 30, 2019.</w:t>
              </w:r>
            </w:hyperlink>
          </w:p>
        </w:tc>
        <w:tc>
          <w:tcPr>
            <w:tcW w:w="680" w:type="dxa"/>
            <w:vAlign w:val="bottom"/>
            <w:tcBorders>
              <w:top w:val="single" w:sz="8" w:color="0000EE"/>
            </w:tcBorders>
            <w:gridSpan w:val="3"/>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10*</w:t>
              </w:r>
            </w:hyperlink>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w w:val="96"/>
              </w:rPr>
            </w:pPr>
            <w:hyperlink r:id="rId101">
              <w:r>
                <w:rPr>
                  <w:rFonts w:ascii="Arial" w:cs="Arial" w:eastAsia="Arial" w:hAnsi="Arial"/>
                  <w:sz w:val="18"/>
                  <w:szCs w:val="18"/>
                  <w:color w:val="0000EE"/>
                  <w:w w:val="96"/>
                </w:rPr>
                <w:t>Letter Agreement, dated as of April 24, 2020, by and between Tile Shop Holdings, Inc. and Cabell H. Lolmaugh – incorporated by</w:t>
              </w:r>
            </w:hyperlink>
          </w:p>
        </w:tc>
      </w:tr>
      <w:tr>
        <w:trPr>
          <w:trHeight w:val="169"/>
        </w:trPr>
        <w:tc>
          <w:tcPr>
            <w:tcW w:w="48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righ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EE"/>
            </w:tcBorders>
            <w:gridSpan w:val="25"/>
            <w:shd w:val="clear" w:color="auto" w:fill="CCEEFF"/>
          </w:tcPr>
          <w:p>
            <w:pPr>
              <w:spacing w:after="0" w:line="169" w:lineRule="exact"/>
              <w:rPr>
                <w:rFonts w:ascii="Arial" w:cs="Arial" w:eastAsia="Arial" w:hAnsi="Arial"/>
                <w:sz w:val="18"/>
                <w:szCs w:val="18"/>
                <w:color w:val="0000EE"/>
              </w:rPr>
            </w:pPr>
            <w:hyperlink r:id="rId101">
              <w:r>
                <w:rPr>
                  <w:rFonts w:ascii="Arial" w:cs="Arial" w:eastAsia="Arial" w:hAnsi="Arial"/>
                  <w:sz w:val="18"/>
                  <w:szCs w:val="18"/>
                  <w:color w:val="0000EE"/>
                </w:rPr>
                <w:t>reference to Exhibit 10.1 to the Registrant’s Current Report on Form 8-K filed April 27, 2020.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00" w:type="dxa"/>
            <w:vAlign w:val="bottom"/>
            <w:tcBorders>
              <w:right w:val="single" w:sz="8" w:color="CCEEFF"/>
            </w:tcBorders>
            <w:shd w:val="clear" w:color="auto" w:fill="0000EE"/>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940" w:type="dxa"/>
            <w:vAlign w:val="bottom"/>
            <w:gridSpan w:val="4"/>
          </w:tcPr>
          <w:p>
            <w:pPr>
              <w:jc w:val="center"/>
              <w:ind w:left="350"/>
              <w:spacing w:after="0" w:line="162"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11*</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Letter Agreement, dated as of April 24, 2020, by and between Tile Shop Holdings, Inc. and Mark B. Davis – incorporated by reference</w:t>
              </w:r>
            </w:hyperlink>
          </w:p>
        </w:tc>
      </w:tr>
      <w:tr>
        <w:trPr>
          <w:trHeight w:val="169"/>
        </w:trPr>
        <w:tc>
          <w:tcPr>
            <w:tcW w:w="4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0" w:type="dxa"/>
            <w:vAlign w:val="bottom"/>
            <w:tcBorders>
              <w:top w:val="single" w:sz="8" w:color="0000EE"/>
            </w:tcBorders>
            <w:gridSpan w:val="37"/>
          </w:tcPr>
          <w:p>
            <w:pPr>
              <w:spacing w:after="0" w:line="169" w:lineRule="exact"/>
              <w:rPr>
                <w:rFonts w:ascii="Arial" w:cs="Arial" w:eastAsia="Arial" w:hAnsi="Arial"/>
                <w:sz w:val="18"/>
                <w:szCs w:val="18"/>
                <w:color w:val="0000EE"/>
              </w:rPr>
            </w:pPr>
            <w:hyperlink r:id="rId102">
              <w:r>
                <w:rPr>
                  <w:rFonts w:ascii="Arial" w:cs="Arial" w:eastAsia="Arial" w:hAnsi="Arial"/>
                  <w:sz w:val="18"/>
                  <w:szCs w:val="18"/>
                  <w:color w:val="0000EE"/>
                </w:rPr>
                <w:t>to Exhibit 10.3 to the Registrant’s Current Report on Form 8-K filed April 27, 2020.</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12*</w:t>
              </w:r>
            </w:hyperlink>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Employment Agreement, dated October 16, 2020, by and between Tile Shop Holdings, Inc. and Joe Kinder – incorporated by reference</w:t>
              </w:r>
            </w:hyperlink>
          </w:p>
        </w:tc>
      </w:tr>
      <w:tr>
        <w:trPr>
          <w:trHeight w:val="169"/>
        </w:trPr>
        <w:tc>
          <w:tcPr>
            <w:tcW w:w="48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righ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EE"/>
            </w:tcBorders>
            <w:gridSpan w:val="39"/>
            <w:shd w:val="clear" w:color="auto" w:fill="CCEEFF"/>
          </w:tcPr>
          <w:p>
            <w:pPr>
              <w:spacing w:after="0" w:line="169" w:lineRule="exact"/>
              <w:rPr>
                <w:rFonts w:ascii="Arial" w:cs="Arial" w:eastAsia="Arial" w:hAnsi="Arial"/>
                <w:sz w:val="18"/>
                <w:szCs w:val="18"/>
                <w:color w:val="0000EE"/>
              </w:rPr>
            </w:pPr>
            <w:hyperlink r:id="rId103">
              <w:r>
                <w:rPr>
                  <w:rFonts w:ascii="Arial" w:cs="Arial" w:eastAsia="Arial" w:hAnsi="Arial"/>
                  <w:sz w:val="18"/>
                  <w:szCs w:val="18"/>
                  <w:color w:val="0000EE"/>
                </w:rPr>
                <w:t>to Exhibit 10.1 to the Registrant’s Quarterly Report on Form 10-Q for the quarter ended September 30, 2020.</w:t>
              </w:r>
            </w:hyperlink>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1040" w:type="dxa"/>
            <w:vAlign w:val="bottom"/>
            <w:tcBorders>
              <w:right w:val="single" w:sz="8" w:color="CCEEFF"/>
            </w:tcBorders>
            <w:shd w:val="clear" w:color="auto" w:fill="0000EE"/>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0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13*</w:t>
              </w:r>
            </w:hyperlink>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Tile Shop Holdings, Inc. Form of Performance-Based Stock Restriction Agreement – incorporated by reference to Exhibit 10.20 to the</w:t>
              </w:r>
            </w:hyperlink>
          </w:p>
        </w:tc>
      </w:tr>
      <w:tr>
        <w:trPr>
          <w:trHeight w:val="169"/>
        </w:trPr>
        <w:tc>
          <w:tcPr>
            <w:tcW w:w="4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104">
              <w:r>
                <w:rPr>
                  <w:rFonts w:ascii="Arial" w:cs="Arial" w:eastAsia="Arial" w:hAnsi="Arial"/>
                  <w:sz w:val="18"/>
                  <w:szCs w:val="18"/>
                  <w:color w:val="0000FF"/>
                </w:rPr>
                <w:t>Registrant’s Annual Report on Form 10-K for the year ended December 31, 2020.</w:t>
              </w:r>
            </w:hyperlink>
          </w:p>
        </w:tc>
        <w:tc>
          <w:tcPr>
            <w:tcW w:w="140" w:type="dxa"/>
            <w:vAlign w:val="bottom"/>
            <w:gridSpan w:val="7"/>
          </w:tcPr>
          <w:p>
            <w:pPr>
              <w:spacing w:after="0"/>
              <w:rPr>
                <w:sz w:val="14"/>
                <w:szCs w:val="14"/>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05">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14*</w:t>
              </w:r>
            </w:hyperlink>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FF"/>
                <w:w w:val="96"/>
              </w:rPr>
            </w:pPr>
            <w:hyperlink r:id="rId105">
              <w:r>
                <w:rPr>
                  <w:rFonts w:ascii="Arial" w:cs="Arial" w:eastAsia="Arial" w:hAnsi="Arial"/>
                  <w:sz w:val="18"/>
                  <w:szCs w:val="18"/>
                  <w:color w:val="0000FF"/>
                  <w:w w:val="96"/>
                </w:rPr>
                <w:t>Tile Shop Holdings, Inc. 2021 Omnibus Equity Compensation Plan – incorporated by reference to Exhibit 10.1 to the Registrant’s</w:t>
              </w:r>
            </w:hyperlink>
          </w:p>
        </w:tc>
      </w:tr>
      <w:tr>
        <w:trPr>
          <w:trHeight w:val="176"/>
        </w:trPr>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52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Current Report on Form 8-K filed July 21, 2021.</w:t>
              </w:r>
            </w:hyperlink>
          </w:p>
        </w:tc>
        <w:tc>
          <w:tcPr>
            <w:tcW w:w="588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9"/>
            <w:shd w:val="clear" w:color="auto" w:fill="CCEEFF"/>
          </w:tcPr>
          <w:p>
            <w:pPr>
              <w:spacing w:after="0"/>
              <w:rPr>
                <w:sz w:val="15"/>
                <w:szCs w:val="15"/>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06">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15*</w:t>
              </w:r>
            </w:hyperlink>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Form of Nonqualified Stock Option Agreement (2021 Plan) – incorporated by reference to Exhibit 10.2 to the Registrant’s Current</w:t>
              </w:r>
            </w:hyperlink>
          </w:p>
        </w:tc>
      </w:tr>
      <w:tr>
        <w:trPr>
          <w:trHeight w:val="176"/>
        </w:trPr>
        <w:tc>
          <w:tcPr>
            <w:tcW w:w="4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Report on Form 8-K filed July 21, 2021.</w:t>
              </w:r>
            </w:hyperlink>
          </w:p>
        </w:tc>
        <w:tc>
          <w:tcPr>
            <w:tcW w:w="6540" w:type="dxa"/>
            <w:vAlign w:val="bottom"/>
            <w:tcBorders>
              <w:top w:val="single" w:sz="8" w:color="0000FF"/>
            </w:tcBorders>
            <w:gridSpan w:val="17"/>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180" w:type="dxa"/>
            <w:vAlign w:val="bottom"/>
            <w:gridSpan w:val="9"/>
          </w:tcPr>
          <w:p>
            <w:pPr>
              <w:spacing w:after="0"/>
              <w:rPr>
                <w:sz w:val="15"/>
                <w:szCs w:val="15"/>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07">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16*</w:t>
              </w:r>
            </w:hyperlink>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Form of Incentive Stock Option Agreement (2021 Plan) – incorporated by reference to Exhibit 10.3 to the Registrant’s Current Report</w:t>
              </w:r>
            </w:hyperlink>
          </w:p>
        </w:tc>
      </w:tr>
      <w:tr>
        <w:trPr>
          <w:trHeight w:val="169"/>
        </w:trPr>
        <w:tc>
          <w:tcPr>
            <w:tcW w:w="48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right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33"/>
            <w:shd w:val="clear" w:color="auto" w:fill="CCEEFF"/>
          </w:tcPr>
          <w:p>
            <w:pPr>
              <w:spacing w:after="0" w:line="169" w:lineRule="exact"/>
              <w:rPr>
                <w:rFonts w:ascii="Arial" w:cs="Arial" w:eastAsia="Arial" w:hAnsi="Arial"/>
                <w:sz w:val="18"/>
                <w:szCs w:val="18"/>
                <w:color w:val="0000FF"/>
              </w:rPr>
            </w:pPr>
            <w:hyperlink r:id="rId107">
              <w:r>
                <w:rPr>
                  <w:rFonts w:ascii="Arial" w:cs="Arial" w:eastAsia="Arial" w:hAnsi="Arial"/>
                  <w:sz w:val="18"/>
                  <w:szCs w:val="18"/>
                  <w:color w:val="0000FF"/>
                </w:rPr>
                <w:t>on Form 8-K filed July 21, 2021.</w:t>
              </w:r>
            </w:hyperlink>
          </w:p>
        </w:tc>
        <w:tc>
          <w:tcPr>
            <w:tcW w:w="180" w:type="dxa"/>
            <w:vAlign w:val="bottom"/>
            <w:tcBorders>
              <w:top w:val="single" w:sz="8" w:color="CCEEFF"/>
            </w:tcBorders>
            <w:gridSpan w:val="9"/>
            <w:shd w:val="clear" w:color="auto" w:fill="CCEEFF"/>
          </w:tcPr>
          <w:p>
            <w:pPr>
              <w:spacing w:after="0"/>
              <w:rPr>
                <w:sz w:val="14"/>
                <w:szCs w:val="14"/>
                <w:color w:val="auto"/>
              </w:rPr>
            </w:pPr>
          </w:p>
        </w:tc>
      </w:tr>
      <w:tr>
        <w:trPr>
          <w:trHeight w:val="27"/>
        </w:trPr>
        <w:tc>
          <w:tcPr>
            <w:tcW w:w="4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280" w:type="dxa"/>
            <w:vAlign w:val="bottom"/>
            <w:gridSpan w:val="5"/>
          </w:tcPr>
          <w:p>
            <w:pPr>
              <w:jc w:val="center"/>
              <w:ind w:left="10"/>
              <w:spacing w:after="0" w:line="162"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17*</w:t>
              </w:r>
            </w:hyperlink>
          </w:p>
        </w:tc>
        <w:tc>
          <w:tcPr>
            <w:tcW w:w="10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8"/>
                <w:szCs w:val="18"/>
                <w:color w:val="0000FF"/>
                <w:w w:val="95"/>
              </w:rPr>
            </w:pPr>
            <w:hyperlink r:id="rId108">
              <w:r>
                <w:rPr>
                  <w:rFonts w:ascii="Arial" w:cs="Arial" w:eastAsia="Arial" w:hAnsi="Arial"/>
                  <w:sz w:val="18"/>
                  <w:szCs w:val="18"/>
                  <w:color w:val="0000FF"/>
                  <w:w w:val="95"/>
                </w:rPr>
                <w:t>Form of Stock Restriction Agreement (2021 Plan) – incorporated by reference to Exhibit 10.4 to the Registrant’s Current Report on</w:t>
              </w:r>
            </w:hyperlink>
          </w:p>
        </w:tc>
      </w:tr>
      <w:tr>
        <w:trPr>
          <w:trHeight w:val="176"/>
        </w:trPr>
        <w:tc>
          <w:tcPr>
            <w:tcW w:w="4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Form 8-K filed July 21, 2021.</w:t>
              </w:r>
            </w:hyperlink>
          </w:p>
        </w:tc>
        <w:tc>
          <w:tcPr>
            <w:tcW w:w="7380" w:type="dxa"/>
            <w:vAlign w:val="bottom"/>
            <w:tcBorders>
              <w:top w:val="single" w:sz="8" w:color="0000FF"/>
            </w:tcBorders>
            <w:gridSpan w:val="25"/>
          </w:tcPr>
          <w:p>
            <w:pPr>
              <w:spacing w:after="0"/>
              <w:rPr>
                <w:sz w:val="15"/>
                <w:szCs w:val="15"/>
                <w:color w:val="auto"/>
              </w:rPr>
            </w:pPr>
          </w:p>
        </w:tc>
        <w:tc>
          <w:tcPr>
            <w:tcW w:w="100" w:type="dxa"/>
            <w:vAlign w:val="bottom"/>
            <w:gridSpan w:val="3"/>
          </w:tcPr>
          <w:p>
            <w:pPr>
              <w:spacing w:after="0"/>
              <w:rPr>
                <w:sz w:val="15"/>
                <w:szCs w:val="15"/>
                <w:color w:val="auto"/>
              </w:rPr>
            </w:pPr>
          </w:p>
        </w:tc>
        <w:tc>
          <w:tcPr>
            <w:tcW w:w="260" w:type="dxa"/>
            <w:vAlign w:val="bottom"/>
            <w:gridSpan w:val="11"/>
          </w:tcPr>
          <w:p>
            <w:pPr>
              <w:spacing w:after="0"/>
              <w:rPr>
                <w:sz w:val="15"/>
                <w:szCs w:val="15"/>
                <w:color w:val="auto"/>
              </w:rPr>
            </w:pPr>
          </w:p>
        </w:tc>
      </w:tr>
      <w:tr>
        <w:trPr>
          <w:trHeight w:val="162"/>
        </w:trPr>
        <w:tc>
          <w:tcPr>
            <w:tcW w:w="1280" w:type="dxa"/>
            <w:vAlign w:val="bottom"/>
            <w:gridSpan w:val="5"/>
            <w:shd w:val="clear" w:color="auto" w:fill="CCEEFF"/>
          </w:tcPr>
          <w:p>
            <w:pPr>
              <w:jc w:val="center"/>
              <w:ind w:left="10"/>
              <w:spacing w:after="0" w:line="162"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18*</w:t>
              </w:r>
            </w:hyperlink>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Form of Performance-Based Stock Restriction Agreement (2021 Plan) – incorporated by reference to Exhibit 10.5 to the Registrant’s</w:t>
              </w:r>
            </w:hyperlink>
          </w:p>
        </w:tc>
      </w:tr>
      <w:tr>
        <w:trPr>
          <w:trHeight w:val="176"/>
        </w:trPr>
        <w:tc>
          <w:tcPr>
            <w:tcW w:w="4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52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Current Report on Form 8-K filed July 21, 2021.</w:t>
              </w:r>
            </w:hyperlink>
          </w:p>
        </w:tc>
        <w:tc>
          <w:tcPr>
            <w:tcW w:w="6120" w:type="dxa"/>
            <w:vAlign w:val="bottom"/>
            <w:tcBorders>
              <w:top w:val="single" w:sz="8" w:color="0000FF"/>
              <w:bottom w:val="single" w:sz="8" w:color="CCEEFF"/>
            </w:tcBorders>
            <w:gridSpan w:val="23"/>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11"/>
            <w:shd w:val="clear" w:color="auto" w:fill="CCEEFF"/>
          </w:tcPr>
          <w:p>
            <w:pPr>
              <w:spacing w:after="0"/>
              <w:rPr>
                <w:sz w:val="15"/>
                <w:szCs w:val="15"/>
                <w:color w:val="auto"/>
              </w:rPr>
            </w:pPr>
          </w:p>
        </w:tc>
      </w:tr>
      <w:tr>
        <w:trPr>
          <w:trHeight w:val="162"/>
        </w:trPr>
        <w:tc>
          <w:tcPr>
            <w:tcW w:w="480" w:type="dxa"/>
            <w:vAlign w:val="bottom"/>
          </w:tcPr>
          <w:p>
            <w:pPr>
              <w:spacing w:after="0"/>
              <w:rPr>
                <w:sz w:val="14"/>
                <w:szCs w:val="14"/>
                <w:color w:val="auto"/>
              </w:rPr>
            </w:pPr>
          </w:p>
        </w:tc>
        <w:tc>
          <w:tcPr>
            <w:tcW w:w="460" w:type="dxa"/>
            <w:vAlign w:val="bottom"/>
            <w:gridSpan w:val="3"/>
          </w:tcPr>
          <w:p>
            <w:pPr>
              <w:jc w:val="center"/>
              <w:spacing w:after="0" w:line="162" w:lineRule="exact"/>
              <w:rPr>
                <w:sz w:val="20"/>
                <w:szCs w:val="20"/>
                <w:color w:val="auto"/>
              </w:rPr>
            </w:pPr>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gridSpan w:val="42"/>
          </w:tcPr>
          <w:p>
            <w:pPr>
              <w:spacing w:after="0" w:line="162" w:lineRule="exact"/>
              <w:rPr>
                <w:sz w:val="20"/>
                <w:szCs w:val="20"/>
                <w:color w:val="auto"/>
              </w:rPr>
            </w:pPr>
            <w:r>
              <w:rPr>
                <w:rFonts w:ascii="Arial" w:cs="Arial" w:eastAsia="Arial" w:hAnsi="Arial"/>
                <w:sz w:val="18"/>
                <w:szCs w:val="18"/>
                <w:color w:val="0000FF"/>
              </w:rPr>
              <w:t>Form of Stock Restriction Agreement (2021 Plan) (2023) – filed herewith.</w:t>
            </w:r>
          </w:p>
        </w:tc>
      </w:tr>
      <w:tr>
        <w:trPr>
          <w:trHeight w:val="27"/>
        </w:trPr>
        <w:tc>
          <w:tcPr>
            <w:tcW w:w="4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480" w:type="dxa"/>
            <w:vAlign w:val="bottom"/>
            <w:tcBorders>
              <w:right w:val="single" w:sz="8" w:color="CCEEFF"/>
            </w:tcBorders>
            <w:shd w:val="clear" w:color="auto" w:fill="CCEEFF"/>
          </w:tcPr>
          <w:p>
            <w:pPr>
              <w:spacing w:after="0"/>
              <w:rPr>
                <w:sz w:val="14"/>
                <w:szCs w:val="14"/>
                <w:color w:val="auto"/>
              </w:rPr>
            </w:pPr>
          </w:p>
        </w:tc>
        <w:tc>
          <w:tcPr>
            <w:tcW w:w="460" w:type="dxa"/>
            <w:vAlign w:val="bottom"/>
            <w:tcBorders>
              <w:right w:val="single" w:sz="8" w:color="CCEEFF"/>
            </w:tcBorders>
            <w:gridSpan w:val="3"/>
            <w:shd w:val="clear" w:color="auto" w:fill="CCEEFF"/>
          </w:tcPr>
          <w:p>
            <w:pPr>
              <w:jc w:val="center"/>
              <w:spacing w:after="0" w:line="162" w:lineRule="exact"/>
              <w:rPr>
                <w:sz w:val="20"/>
                <w:szCs w:val="20"/>
                <w:color w:val="auto"/>
              </w:rPr>
            </w:pPr>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900" w:type="dxa"/>
            <w:vAlign w:val="bottom"/>
            <w:gridSpan w:val="42"/>
            <w:shd w:val="clear" w:color="auto" w:fill="CCEEFF"/>
          </w:tcPr>
          <w:p>
            <w:pPr>
              <w:spacing w:after="0" w:line="162" w:lineRule="exact"/>
              <w:rPr>
                <w:sz w:val="20"/>
                <w:szCs w:val="20"/>
                <w:color w:val="auto"/>
              </w:rPr>
            </w:pPr>
            <w:r>
              <w:rPr>
                <w:rFonts w:ascii="Arial" w:cs="Arial" w:eastAsia="Arial" w:hAnsi="Arial"/>
                <w:sz w:val="18"/>
                <w:szCs w:val="18"/>
                <w:color w:val="0000FF"/>
              </w:rPr>
              <w:t>Form of Performance-Based Stock Restriction Agreement (2021 Plan) (2023) – filed herewith.</w:t>
            </w:r>
          </w:p>
        </w:tc>
      </w:tr>
      <w:tr>
        <w:trPr>
          <w:trHeight w:val="230"/>
        </w:trPr>
        <w:tc>
          <w:tcPr>
            <w:tcW w:w="480" w:type="dxa"/>
            <w:vAlign w:val="bottom"/>
            <w:tcBorders>
              <w:top w:val="single" w:sz="8" w:color="CCEE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420" w:type="dxa"/>
            <w:vAlign w:val="bottom"/>
            <w:tcBorders>
              <w:top w:val="single" w:sz="8" w:color="0000FF"/>
            </w:tcBorders>
            <w:gridSpan w:val="9"/>
          </w:tcPr>
          <w:p>
            <w:pPr>
              <w:jc w:val="center"/>
              <w:ind w:left="3990"/>
              <w:spacing w:after="0"/>
              <w:rPr>
                <w:sz w:val="20"/>
                <w:szCs w:val="20"/>
                <w:color w:val="auto"/>
              </w:rPr>
            </w:pPr>
            <w:r>
              <w:rPr>
                <w:rFonts w:ascii="Arial" w:cs="Arial" w:eastAsia="Arial" w:hAnsi="Arial"/>
                <w:sz w:val="18"/>
                <w:szCs w:val="18"/>
                <w:color w:val="auto"/>
                <w:w w:val="89"/>
              </w:rPr>
              <w:t>60</w:t>
            </w:r>
          </w:p>
        </w:tc>
        <w:tc>
          <w:tcPr>
            <w:tcW w:w="2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104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90"/>
        </w:trPr>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6"/>
            <w:vMerge w:val="restart"/>
          </w:tcPr>
          <w:p>
            <w:pPr>
              <w:jc w:val="center"/>
              <w:ind w:left="270"/>
              <w:spacing w:after="0"/>
              <w:rPr>
                <w:rFonts w:ascii="Arial" w:cs="Arial" w:eastAsia="Arial" w:hAnsi="Arial"/>
                <w:sz w:val="18"/>
                <w:szCs w:val="18"/>
                <w:color w:val="0000FF"/>
                <w:w w:val="95"/>
              </w:rPr>
            </w:pPr>
            <w:hyperlink r:id="rId11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21*</w:t>
              </w:r>
            </w:hyperlink>
          </w:p>
        </w:tc>
        <w:tc>
          <w:tcPr>
            <w:tcW w:w="360" w:type="dxa"/>
            <w:vAlign w:val="bottom"/>
          </w:tcPr>
          <w:p>
            <w:pPr>
              <w:spacing w:after="0"/>
              <w:rPr>
                <w:sz w:val="17"/>
                <w:szCs w:val="17"/>
                <w:color w:val="auto"/>
              </w:rPr>
            </w:pPr>
          </w:p>
        </w:tc>
        <w:tc>
          <w:tcPr>
            <w:tcW w:w="9860" w:type="dxa"/>
            <w:vAlign w:val="bottom"/>
            <w:gridSpan w:val="18"/>
          </w:tcPr>
          <w:p>
            <w:pPr>
              <w:spacing w:after="0"/>
              <w:rPr>
                <w:rFonts w:ascii="Arial" w:cs="Arial" w:eastAsia="Arial" w:hAnsi="Arial"/>
                <w:sz w:val="18"/>
                <w:szCs w:val="18"/>
                <w:color w:val="0000FF"/>
                <w:w w:val="92"/>
              </w:rPr>
            </w:pPr>
            <w:hyperlink r:id="rId112">
              <w:r>
                <w:rPr>
                  <w:rFonts w:ascii="Arial" w:cs="Arial" w:eastAsia="Arial" w:hAnsi="Arial"/>
                  <w:sz w:val="18"/>
                  <w:szCs w:val="18"/>
                  <w:color w:val="0000FF"/>
                  <w:w w:val="92"/>
                </w:rPr>
                <w:t>Employment Agreement, effective as of January 3, 2022, by and between Tile Shop Holdings, Inc. and Karla Lunan – incorporated by</w:t>
              </w:r>
            </w:hyperlink>
          </w:p>
        </w:tc>
        <w:tc>
          <w:tcPr>
            <w:tcW w:w="0" w:type="dxa"/>
            <w:vAlign w:val="bottom"/>
          </w:tcPr>
          <w:p>
            <w:pPr>
              <w:spacing w:after="0"/>
              <w:rPr>
                <w:sz w:val="1"/>
                <w:szCs w:val="1"/>
                <w:color w:val="auto"/>
              </w:rPr>
            </w:pPr>
          </w:p>
        </w:tc>
      </w:tr>
      <w:tr>
        <w:trPr>
          <w:trHeight w:val="169"/>
        </w:trPr>
        <w:tc>
          <w:tcPr>
            <w:tcW w:w="102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97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12">
              <w:r>
                <w:rPr>
                  <w:rFonts w:ascii="Arial" w:cs="Arial" w:eastAsia="Arial" w:hAnsi="Arial"/>
                  <w:sz w:val="18"/>
                  <w:szCs w:val="18"/>
                  <w:color w:val="0000FF"/>
                </w:rPr>
                <w:t>reference to Exhibit 10.1 to the Registrant’s Current Report on Form 8-K filed December 23, 2021.</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7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gridSpan w:val="6"/>
            <w:shd w:val="clear" w:color="auto" w:fill="CCEEFF"/>
          </w:tcPr>
          <w:p>
            <w:pPr>
              <w:jc w:val="center"/>
              <w:ind w:left="270"/>
              <w:spacing w:after="0" w:line="162"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22*</w:t>
              </w:r>
            </w:hyperlink>
          </w:p>
        </w:tc>
        <w:tc>
          <w:tcPr>
            <w:tcW w:w="360" w:type="dxa"/>
            <w:vAlign w:val="bottom"/>
            <w:shd w:val="clear" w:color="auto" w:fill="CCEEFF"/>
          </w:tcPr>
          <w:p>
            <w:pPr>
              <w:spacing w:after="0"/>
              <w:rPr>
                <w:sz w:val="14"/>
                <w:szCs w:val="14"/>
                <w:color w:val="auto"/>
              </w:rPr>
            </w:pPr>
          </w:p>
        </w:tc>
        <w:tc>
          <w:tcPr>
            <w:tcW w:w="9860" w:type="dxa"/>
            <w:vAlign w:val="bottom"/>
            <w:gridSpan w:val="18"/>
            <w:shd w:val="clear" w:color="auto" w:fill="CCEEFF"/>
          </w:tcPr>
          <w:p>
            <w:pPr>
              <w:spacing w:after="0" w:line="162"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Waiver of Claims and General Release, dated December 22, 2021, by and between Tile Shop Holdings, Inc. and Nancy DiMattia –</w:t>
              </w:r>
            </w:hyperlink>
          </w:p>
        </w:tc>
        <w:tc>
          <w:tcPr>
            <w:tcW w:w="0" w:type="dxa"/>
            <w:vAlign w:val="bottom"/>
          </w:tcPr>
          <w:p>
            <w:pPr>
              <w:spacing w:after="0"/>
              <w:rPr>
                <w:sz w:val="1"/>
                <w:szCs w:val="1"/>
                <w:color w:val="auto"/>
              </w:rPr>
            </w:pPr>
          </w:p>
        </w:tc>
      </w:tr>
      <w:tr>
        <w:trPr>
          <w:trHeight w:val="176"/>
        </w:trPr>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400" w:type="dxa"/>
            <w:vAlign w:val="bottom"/>
            <w:tcBorders>
              <w:top w:val="single" w:sz="8" w:color="0000FF"/>
              <w:bottom w:val="single" w:sz="8" w:color="0000FF"/>
              <w:right w:val="single" w:sz="8" w:color="CCEEFF"/>
            </w:tcBorders>
            <w:gridSpan w:val="8"/>
            <w:shd w:val="clear" w:color="auto" w:fill="CCEEFF"/>
          </w:tcPr>
          <w:p>
            <w:pPr>
              <w:spacing w:after="0" w:line="169"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incorporated by reference to Exhibit 10.2 to the Registrant’s Current Report on Form 8-K filed December 23, 2021.</w:t>
              </w:r>
            </w:hyperlink>
          </w:p>
        </w:tc>
        <w:tc>
          <w:tcPr>
            <w:tcW w:w="1060" w:type="dxa"/>
            <w:vAlign w:val="bottom"/>
            <w:tcBorders>
              <w:top w:val="single" w:sz="8" w:color="0000FF"/>
              <w:left w:val="single" w:sz="8" w:color="CCEEFF"/>
              <w:bottom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gridSpan w:val="7"/>
          </w:tcPr>
          <w:p>
            <w:pPr>
              <w:jc w:val="center"/>
              <w:spacing w:after="0" w:line="162"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23***</w:t>
              </w:r>
            </w:hyperlink>
          </w:p>
        </w:tc>
        <w:tc>
          <w:tcPr>
            <w:tcW w:w="9860" w:type="dxa"/>
            <w:vAlign w:val="bottom"/>
            <w:gridSpan w:val="18"/>
          </w:tcPr>
          <w:p>
            <w:pPr>
              <w:spacing w:after="0" w:line="162"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Credit Agreement, dated as of September 30, 2022, by and among The Tile Shop, LLC, as borrower and loan party, Tile Shop Holdings,</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976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Inc., Tile Shop Lending, Inc., and The Tile Shop of Michigan, LLC, as guarantors and loan parties, each lender from time to time party</w:t>
              </w:r>
            </w:hyperlink>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gridSpan w:val="18"/>
          </w:tcPr>
          <w:p>
            <w:pPr>
              <w:spacing w:after="0" w:line="169"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thereto, and JPMorgan Chase Bank, N.A., as administrative agent, sole bookrunner and sole lead arranger – incorporated by reference to</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4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Exhibit 10.1 to the Registrant’s Current Report on Form 8-K filed September 30, 2022.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7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380" w:type="dxa"/>
            <w:vAlign w:val="bottom"/>
            <w:gridSpan w:val="7"/>
            <w:shd w:val="clear" w:color="auto" w:fill="CCEEFF"/>
          </w:tcPr>
          <w:p>
            <w:pPr>
              <w:jc w:val="center"/>
              <w:spacing w:after="0" w:line="16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24***</w:t>
              </w:r>
            </w:hyperlink>
          </w:p>
        </w:tc>
        <w:tc>
          <w:tcPr>
            <w:tcW w:w="9860" w:type="dxa"/>
            <w:vAlign w:val="bottom"/>
            <w:gridSpan w:val="18"/>
            <w:shd w:val="clear" w:color="auto" w:fill="CCEEFF"/>
          </w:tcPr>
          <w:p>
            <w:pPr>
              <w:spacing w:after="0" w:line="162" w:lineRule="exact"/>
              <w:rPr>
                <w:rFonts w:ascii="Arial" w:cs="Arial" w:eastAsia="Arial" w:hAnsi="Arial"/>
                <w:sz w:val="18"/>
                <w:szCs w:val="18"/>
                <w:color w:val="0000FF"/>
                <w:w w:val="94"/>
              </w:rPr>
            </w:pPr>
            <w:hyperlink r:id="rId115">
              <w:r>
                <w:rPr>
                  <w:rFonts w:ascii="Arial" w:cs="Arial" w:eastAsia="Arial" w:hAnsi="Arial"/>
                  <w:sz w:val="18"/>
                  <w:szCs w:val="18"/>
                  <w:color w:val="0000FF"/>
                  <w:w w:val="94"/>
                </w:rPr>
                <w:t>Pledge and Security Agreement, dated as of September 30, 2022, by and among The Tile Shop, LLC, Tile Shop Holdings, Inc., Tile</w:t>
              </w:r>
            </w:hyperlink>
          </w:p>
        </w:tc>
        <w:tc>
          <w:tcPr>
            <w:tcW w:w="0" w:type="dxa"/>
            <w:vAlign w:val="bottom"/>
          </w:tcPr>
          <w:p>
            <w:pPr>
              <w:spacing w:after="0"/>
              <w:rPr>
                <w:sz w:val="1"/>
                <w:szCs w:val="1"/>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FF"/>
            </w:tcBorders>
            <w:gridSpan w:val="13"/>
            <w:shd w:val="clear" w:color="auto" w:fill="CCEEFF"/>
          </w:tcPr>
          <w:p>
            <w:pPr>
              <w:spacing w:after="0" w:line="169"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Shop Lending, Inc., and The Tile Shop of Michigan, LLC, as grantors, and JPMorgan Chase Bank, N.A., as administrative agent –</w:t>
              </w:r>
            </w:hyperlink>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440" w:type="dxa"/>
            <w:vAlign w:val="bottom"/>
            <w:tcBorders>
              <w:top w:val="single" w:sz="8" w:color="0000FF"/>
            </w:tcBorders>
            <w:gridSpan w:val="11"/>
            <w:shd w:val="clear" w:color="auto" w:fill="CCEEFF"/>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incorporated by reference to Exhibit 10.2 to the Registrant’s Current Report on Form 8-K filed September 30, 2022.</w:t>
              </w:r>
            </w:hyperlink>
          </w:p>
        </w:tc>
        <w:tc>
          <w:tcPr>
            <w:tcW w:w="140" w:type="dxa"/>
            <w:vAlign w:val="bottom"/>
            <w:tcBorders>
              <w:top w:val="single" w:sz="8" w:color="CCEEFF"/>
            </w:tcBorders>
            <w:gridSpan w:val="3"/>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7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rFonts w:ascii="Arial" w:cs="Arial" w:eastAsia="Arial" w:hAnsi="Arial"/>
                <w:sz w:val="18"/>
                <w:szCs w:val="18"/>
                <w:color w:val="0000EE"/>
                <w:w w:val="85"/>
              </w:rPr>
            </w:pPr>
            <w:hyperlink r:id="rId116">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gridSpan w:val="18"/>
          </w:tcPr>
          <w:p>
            <w:pPr>
              <w:spacing w:after="0" w:line="162"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Subsidiaries of Tile Shop Holdings, Inc. – incorporated by reference to Exhibit 21.1 to the Registrant’s Annual Report on Form 10-K for</w:t>
              </w:r>
            </w:hyperlink>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the year ended December 31, 2017.</w:t>
              </w:r>
            </w:hyperlink>
          </w:p>
        </w:tc>
        <w:tc>
          <w:tcPr>
            <w:tcW w:w="728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sz w:val="20"/>
                <w:szCs w:val="20"/>
                <w:color w:val="auto"/>
              </w:rPr>
            </w:pPr>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60" w:type="dxa"/>
            <w:vAlign w:val="bottom"/>
            <w:gridSpan w:val="18"/>
            <w:shd w:val="clear" w:color="auto" w:fill="CCEEFF"/>
          </w:tcPr>
          <w:p>
            <w:pPr>
              <w:spacing w:after="0" w:line="162" w:lineRule="exact"/>
              <w:rPr>
                <w:sz w:val="20"/>
                <w:szCs w:val="20"/>
                <w:color w:val="auto"/>
              </w:rPr>
            </w:pPr>
            <w:r>
              <w:rPr>
                <w:rFonts w:ascii="Arial" w:cs="Arial" w:eastAsia="Arial" w:hAnsi="Arial"/>
                <w:sz w:val="18"/>
                <w:szCs w:val="18"/>
                <w:color w:val="0000FF"/>
              </w:rPr>
              <w:t>Consent of Ernst &amp; Young LLP, independent registered public accounting firm – filed herewith.</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7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sz w:val="20"/>
                <w:szCs w:val="20"/>
                <w:color w:val="auto"/>
              </w:rPr>
            </w:pPr>
            <w:r>
              <w:rPr>
                <w:rFonts w:ascii="Arial" w:cs="Arial" w:eastAsia="Arial" w:hAnsi="Arial"/>
                <w:sz w:val="18"/>
                <w:szCs w:val="18"/>
                <w:color w:val="0000FF"/>
                <w:w w:val="85"/>
              </w:rPr>
              <w:t>24.</w:t>
            </w:r>
            <w:r>
              <w:rPr>
                <w:rFonts w:ascii="Arial" w:cs="Arial" w:eastAsia="Arial" w:hAnsi="Arial"/>
                <w:sz w:val="18"/>
                <w:szCs w:val="18"/>
                <w:u w:val="single" w:color="auto"/>
                <w:color w:val="0000FF"/>
                <w:w w:val="85"/>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gridSpan w:val="18"/>
          </w:tcPr>
          <w:p>
            <w:pPr>
              <w:spacing w:after="0" w:line="162" w:lineRule="exact"/>
              <w:rPr>
                <w:sz w:val="20"/>
                <w:szCs w:val="20"/>
                <w:color w:val="auto"/>
              </w:rPr>
            </w:pPr>
            <w:r>
              <w:rPr>
                <w:rFonts w:ascii="Arial" w:cs="Arial" w:eastAsia="Arial" w:hAnsi="Arial"/>
                <w:sz w:val="18"/>
                <w:szCs w:val="18"/>
                <w:color w:val="0000FF"/>
              </w:rPr>
              <w:t>Power of Attorney (included on the “Signatures” page of this Annual Report on Form 10-K) – filed 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7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60" w:type="dxa"/>
            <w:vAlign w:val="bottom"/>
            <w:gridSpan w:val="18"/>
            <w:shd w:val="clear" w:color="auto" w:fill="CCEEFF"/>
          </w:tcPr>
          <w:p>
            <w:pPr>
              <w:spacing w:after="0" w:line="162" w:lineRule="exact"/>
              <w:rPr>
                <w:sz w:val="20"/>
                <w:szCs w:val="20"/>
                <w:color w:val="auto"/>
              </w:rPr>
            </w:pPr>
            <w:r>
              <w:rPr>
                <w:rFonts w:ascii="Arial" w:cs="Arial" w:eastAsia="Arial" w:hAnsi="Arial"/>
                <w:sz w:val="18"/>
                <w:szCs w:val="18"/>
                <w:color w:val="0000FF"/>
              </w:rPr>
              <w:t>Certification by Chief Executive Officer Pursuant to Section 302 of the Sarbanes-Oxley Act of 2002 – filed herewith.</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7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360" w:type="dxa"/>
            <w:vAlign w:val="bottom"/>
            <w:tcBorders>
              <w:left w:val="single" w:sz="8" w:color="0000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gridSpan w:val="18"/>
          </w:tcPr>
          <w:p>
            <w:pPr>
              <w:spacing w:after="0" w:line="162" w:lineRule="exact"/>
              <w:rPr>
                <w:sz w:val="20"/>
                <w:szCs w:val="20"/>
                <w:color w:val="auto"/>
              </w:rPr>
            </w:pPr>
            <w:r>
              <w:rPr>
                <w:rFonts w:ascii="Arial" w:cs="Arial" w:eastAsia="Arial" w:hAnsi="Arial"/>
                <w:sz w:val="18"/>
                <w:szCs w:val="18"/>
                <w:color w:val="0000FF"/>
              </w:rPr>
              <w:t>Certification by Chief Financial Officer Pursuant to Section 302 of the Sarbanes-Oxley Act of 2002 – filed herewith.</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7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52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gridSpan w:val="2"/>
            <w:shd w:val="clear" w:color="auto" w:fill="CCEEFF"/>
          </w:tcPr>
          <w:p>
            <w:pPr>
              <w:spacing w:after="0"/>
              <w:rPr>
                <w:sz w:val="14"/>
                <w:szCs w:val="14"/>
                <w:color w:val="auto"/>
              </w:rPr>
            </w:pPr>
          </w:p>
        </w:tc>
        <w:tc>
          <w:tcPr>
            <w:tcW w:w="500" w:type="dxa"/>
            <w:vAlign w:val="bottom"/>
            <w:gridSpan w:val="3"/>
            <w:shd w:val="clear" w:color="auto" w:fill="CCEEFF"/>
          </w:tcPr>
          <w:p>
            <w:pPr>
              <w:jc w:val="center"/>
              <w:spacing w:after="0" w:line="162"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60" w:type="dxa"/>
            <w:vAlign w:val="bottom"/>
            <w:gridSpan w:val="18"/>
            <w:shd w:val="clear" w:color="auto" w:fill="CCEEFF"/>
          </w:tcPr>
          <w:p>
            <w:pPr>
              <w:spacing w:after="0" w:line="162" w:lineRule="exact"/>
              <w:rPr>
                <w:sz w:val="20"/>
                <w:szCs w:val="20"/>
                <w:color w:val="auto"/>
              </w:rPr>
            </w:pPr>
            <w:r>
              <w:rPr>
                <w:rFonts w:ascii="Arial" w:cs="Arial" w:eastAsia="Arial" w:hAnsi="Arial"/>
                <w:sz w:val="18"/>
                <w:szCs w:val="18"/>
                <w:color w:val="0000FF"/>
              </w:rPr>
              <w:t>Certification by Chief Executive Officer Pursuant to Section 906 of the Sarbanes-Oxley Act of 2002 – furnished herewith.</w:t>
            </w:r>
          </w:p>
        </w:tc>
        <w:tc>
          <w:tcPr>
            <w:tcW w:w="0" w:type="dxa"/>
            <w:vAlign w:val="bottom"/>
          </w:tcPr>
          <w:p>
            <w:pPr>
              <w:spacing w:after="0"/>
              <w:rPr>
                <w:sz w:val="1"/>
                <w:szCs w:val="1"/>
                <w:color w:val="auto"/>
              </w:rPr>
            </w:pPr>
          </w:p>
        </w:tc>
      </w:tr>
      <w:tr>
        <w:trPr>
          <w:trHeight w:val="169"/>
        </w:trPr>
        <w:tc>
          <w:tcPr>
            <w:tcW w:w="440" w:type="dxa"/>
            <w:vAlign w:val="bottom"/>
            <w:tcBorders>
              <w:top w:val="single" w:sz="8" w:color="CCEEFF"/>
            </w:tcBorders>
            <w:gridSpan w:val="2"/>
          </w:tcPr>
          <w:p>
            <w:pPr>
              <w:spacing w:after="0"/>
              <w:rPr>
                <w:sz w:val="14"/>
                <w:szCs w:val="14"/>
                <w:color w:val="auto"/>
              </w:rPr>
            </w:pPr>
          </w:p>
        </w:tc>
        <w:tc>
          <w:tcPr>
            <w:tcW w:w="500" w:type="dxa"/>
            <w:vAlign w:val="bottom"/>
            <w:tcBorders>
              <w:top w:val="single" w:sz="8" w:color="0000FF"/>
              <w:bottom w:val="single" w:sz="8" w:color="0000FF"/>
            </w:tcBorders>
            <w:gridSpan w:val="3"/>
          </w:tcPr>
          <w:p>
            <w:pPr>
              <w:jc w:val="center"/>
              <w:spacing w:after="0" w:line="162"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8760" w:type="dxa"/>
            <w:vAlign w:val="bottom"/>
            <w:tcBorders>
              <w:top w:val="single" w:sz="8" w:color="0000FF"/>
              <w:bottom w:val="single" w:sz="8" w:color="0000FF"/>
            </w:tcBorders>
            <w:gridSpan w:val="9"/>
          </w:tcPr>
          <w:p>
            <w:pPr>
              <w:spacing w:after="0" w:line="162" w:lineRule="exact"/>
              <w:rPr>
                <w:sz w:val="20"/>
                <w:szCs w:val="20"/>
                <w:color w:val="auto"/>
              </w:rPr>
            </w:pPr>
            <w:r>
              <w:rPr>
                <w:rFonts w:ascii="Arial" w:cs="Arial" w:eastAsia="Arial" w:hAnsi="Arial"/>
                <w:sz w:val="18"/>
                <w:szCs w:val="18"/>
                <w:color w:val="0000FF"/>
                <w:w w:val="91"/>
              </w:rPr>
              <w:t>Certification by Chief Financial Officer Pursuant to Section 906 of the Sarbanes-Oxley Act of 2002 – furnished herewith.</w:t>
            </w:r>
          </w:p>
        </w:tc>
        <w:tc>
          <w:tcPr>
            <w:tcW w:w="40" w:type="dxa"/>
            <w:vAlign w:val="bottom"/>
            <w:tcBorders>
              <w:top w:val="single" w:sz="8" w:color="0000FF"/>
            </w:tcBorders>
          </w:tcPr>
          <w:p>
            <w:pPr>
              <w:spacing w:after="0"/>
              <w:rPr>
                <w:sz w:val="14"/>
                <w:szCs w:val="14"/>
                <w:color w:val="auto"/>
              </w:rPr>
            </w:pPr>
          </w:p>
        </w:tc>
        <w:tc>
          <w:tcPr>
            <w:tcW w:w="1060" w:type="dxa"/>
            <w:vAlign w:val="bottom"/>
            <w:tcBorders>
              <w:top w:val="single" w:sz="8" w:color="CCEEFF"/>
            </w:tcBorders>
            <w:gridSpan w:val="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gridSpan w:val="5"/>
            <w:shd w:val="clear" w:color="auto" w:fill="CCEEFF"/>
          </w:tcPr>
          <w:p>
            <w:pPr>
              <w:jc w:val="center"/>
              <w:ind w:left="350"/>
              <w:spacing w:after="0" w:line="162" w:lineRule="exact"/>
              <w:rPr>
                <w:rFonts w:ascii="Arial" w:cs="Arial" w:eastAsia="Arial" w:hAnsi="Arial"/>
                <w:sz w:val="18"/>
                <w:szCs w:val="18"/>
                <w:color w:val="0000EE"/>
                <w:w w:val="85"/>
              </w:rPr>
            </w:pPr>
            <w:hyperlink r:id="rId11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60" w:type="dxa"/>
            <w:vAlign w:val="bottom"/>
            <w:gridSpan w:val="18"/>
            <w:shd w:val="clear" w:color="auto" w:fill="CCEEFF"/>
          </w:tcPr>
          <w:p>
            <w:pPr>
              <w:spacing w:after="0" w:line="162"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Director Standstill Commitment – incorporated by reference to Exhibit 99.1 to the Registrant’s Current Report on Form 8-K filed on</w:t>
              </w:r>
            </w:hyperlink>
          </w:p>
        </w:tc>
        <w:tc>
          <w:tcPr>
            <w:tcW w:w="0" w:type="dxa"/>
            <w:vAlign w:val="bottom"/>
          </w:tcPr>
          <w:p>
            <w:pPr>
              <w:spacing w:after="0"/>
              <w:rPr>
                <w:sz w:val="1"/>
                <w:szCs w:val="1"/>
                <w:color w:val="auto"/>
              </w:rPr>
            </w:pPr>
          </w:p>
        </w:tc>
      </w:tr>
      <w:tr>
        <w:trPr>
          <w:trHeight w:val="169"/>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580" w:type="dxa"/>
            <w:vAlign w:val="bottom"/>
            <w:tcBorders>
              <w:top w:val="single" w:sz="8" w:color="0000EE"/>
            </w:tcBorders>
            <w:gridSpan w:val="14"/>
            <w:shd w:val="clear" w:color="auto" w:fill="CCEEFF"/>
          </w:tcPr>
          <w:p>
            <w:pPr>
              <w:spacing w:after="0" w:line="169" w:lineRule="exact"/>
              <w:rPr>
                <w:rFonts w:ascii="Arial" w:cs="Arial" w:eastAsia="Arial" w:hAnsi="Arial"/>
                <w:sz w:val="18"/>
                <w:szCs w:val="18"/>
                <w:color w:val="0000EE"/>
              </w:rPr>
            </w:pPr>
            <w:hyperlink r:id="rId117">
              <w:r>
                <w:rPr>
                  <w:rFonts w:ascii="Arial" w:cs="Arial" w:eastAsia="Arial" w:hAnsi="Arial"/>
                  <w:sz w:val="18"/>
                  <w:szCs w:val="18"/>
                  <w:color w:val="0000EE"/>
                </w:rPr>
                <w:t>January 13, 2020.</w:t>
              </w:r>
            </w:hyperlink>
          </w:p>
        </w:tc>
        <w:tc>
          <w:tcPr>
            <w:tcW w:w="1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0" w:type="dxa"/>
            <w:vAlign w:val="bottom"/>
            <w:gridSpan w:val="5"/>
          </w:tcPr>
          <w:p>
            <w:pPr>
              <w:jc w:val="center"/>
              <w:ind w:left="350"/>
              <w:spacing w:after="0" w:line="162" w:lineRule="exact"/>
              <w:rPr>
                <w:rFonts w:ascii="Arial" w:cs="Arial" w:eastAsia="Arial" w:hAnsi="Arial"/>
                <w:sz w:val="18"/>
                <w:szCs w:val="18"/>
                <w:color w:val="0000EE"/>
                <w:w w:val="85"/>
              </w:rPr>
            </w:pPr>
            <w:hyperlink r:id="rId11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gridSpan w:val="18"/>
          </w:tcPr>
          <w:p>
            <w:pPr>
              <w:spacing w:after="0" w:line="162"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Stipulation of Settlement, dated August 7, 2020 – incorporated by reference to Exhibit 99.1 to the Registrant’s Current Report on Form</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8-K filed on August 7, 2020.</w:t>
              </w:r>
            </w:hyperlink>
          </w:p>
        </w:tc>
        <w:tc>
          <w:tcPr>
            <w:tcW w:w="7680" w:type="dxa"/>
            <w:vAlign w:val="bottom"/>
            <w:tcBorders>
              <w:top w:val="single" w:sz="8" w:color="0000EE"/>
            </w:tcBorders>
            <w:gridSpan w:val="14"/>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bl>
    <w:p>
      <w:pPr>
        <w:ind w:left="1380" w:right="80" w:hanging="825"/>
        <w:spacing w:after="0" w:line="236" w:lineRule="auto"/>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following financial statements from the Annual Report on Form 10-K for the year ended December 31, 2022 are formatted in iXBRL (Inline eXtensible Business Reporting Language): (i) Consolidated Balance Sheets, (ii) Consolidated Statements of Operations, (iii) Consolidated Statements of Comprehensive Income (Loss), (iv) Consolidated Statements of Stockholders’ Equity, (v) Consolidated Statements of Cash Flows, and (vi) the Notes to Consolidated Financial Statements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488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56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 – filed herewith.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155" w:lineRule="exact"/>
        <w:rPr>
          <w:sz w:val="20"/>
          <w:szCs w:val="20"/>
          <w:color w:val="auto"/>
        </w:rPr>
      </w:pPr>
    </w:p>
    <w:p>
      <w:pPr>
        <w:ind w:right="360" w:firstLine="8"/>
        <w:spacing w:after="0" w:line="261" w:lineRule="auto"/>
        <w:tabs>
          <w:tab w:leader="none" w:pos="2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certifications are not deemed filed with the Securities and Exchange Commission and are not to be incorporated by reference in any filing we make under the Securities Act of 1933, as amended, or the Exchange Act.</w:t>
      </w:r>
    </w:p>
    <w:p>
      <w:pPr>
        <w:spacing w:after="0" w:line="143" w:lineRule="exact"/>
        <w:rPr>
          <w:rFonts w:ascii="Arial" w:cs="Arial" w:eastAsia="Arial" w:hAnsi="Arial"/>
          <w:sz w:val="18"/>
          <w:szCs w:val="18"/>
          <w:color w:val="auto"/>
        </w:rPr>
      </w:pPr>
    </w:p>
    <w:p>
      <w:pPr>
        <w:ind w:right="220" w:firstLine="8"/>
        <w:spacing w:after="0" w:line="246"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Regulation S-K, Item 601(a)(5). The Company will provide a copy of any omitted schedule or exhibit to the Securities and Exchange Commission or its staff upon request.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520" w:type="dxa"/>
            <w:vAlign w:val="bottom"/>
          </w:tcPr>
          <w:p>
            <w:pPr>
              <w:spacing w:after="0"/>
              <w:rPr>
                <w:sz w:val="20"/>
                <w:szCs w:val="20"/>
                <w:color w:val="auto"/>
              </w:rPr>
            </w:pPr>
            <w:r>
              <w:rPr>
                <w:rFonts w:ascii="Arial" w:cs="Arial" w:eastAsia="Arial" w:hAnsi="Arial"/>
                <w:sz w:val="18"/>
                <w:szCs w:val="18"/>
                <w:color w:val="auto"/>
              </w:rPr>
              <w:t>Date: March 2, 2023</w:t>
            </w:r>
          </w:p>
        </w:tc>
        <w:tc>
          <w:tcPr>
            <w:tcW w:w="514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CABELL H. LOLMAUGH</w:t>
            </w:r>
          </w:p>
        </w:tc>
      </w:tr>
      <w:tr>
        <w:trPr>
          <w:trHeight w:val="222"/>
        </w:trPr>
        <w:tc>
          <w:tcPr>
            <w:tcW w:w="35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Cabell H. Lolmaugh</w:t>
            </w:r>
          </w:p>
        </w:tc>
      </w:tr>
      <w:tr>
        <w:trPr>
          <w:trHeight w:val="230"/>
        </w:trPr>
        <w:tc>
          <w:tcPr>
            <w:tcW w:w="3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392"/>
        </w:trPr>
        <w:tc>
          <w:tcPr>
            <w:tcW w:w="3520" w:type="dxa"/>
            <w:vAlign w:val="bottom"/>
          </w:tcPr>
          <w:p>
            <w:pPr>
              <w:spacing w:after="0"/>
              <w:rPr>
                <w:sz w:val="24"/>
                <w:szCs w:val="24"/>
                <w:color w:val="auto"/>
              </w:rPr>
            </w:pPr>
          </w:p>
        </w:tc>
        <w:tc>
          <w:tcPr>
            <w:tcW w:w="5140" w:type="dxa"/>
            <w:vAlign w:val="bottom"/>
          </w:tcPr>
          <w:p>
            <w:pPr>
              <w:jc w:val="right"/>
              <w:ind w:right="2850"/>
              <w:spacing w:after="0"/>
              <w:rPr>
                <w:sz w:val="20"/>
                <w:szCs w:val="20"/>
                <w:color w:val="auto"/>
              </w:rPr>
            </w:pPr>
            <w:r>
              <w:rPr>
                <w:rFonts w:ascii="Arial" w:cs="Arial" w:eastAsia="Arial" w:hAnsi="Arial"/>
                <w:sz w:val="18"/>
                <w:szCs w:val="18"/>
                <w:color w:val="auto"/>
              </w:rPr>
              <w:t>62</w:t>
            </w:r>
          </w:p>
        </w:tc>
        <w:tc>
          <w:tcPr>
            <w:tcW w:w="2580" w:type="dxa"/>
            <w:vAlign w:val="bottom"/>
          </w:tcPr>
          <w:p>
            <w:pPr>
              <w:spacing w:after="0"/>
              <w:rPr>
                <w:sz w:val="24"/>
                <w:szCs w:val="24"/>
                <w:color w:val="auto"/>
              </w:rPr>
            </w:pPr>
          </w:p>
        </w:tc>
      </w:tr>
      <w:tr>
        <w:trPr>
          <w:trHeight w:val="318"/>
        </w:trPr>
        <w:tc>
          <w:tcPr>
            <w:tcW w:w="35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622"/>
        <w:spacing w:after="0" w:line="230" w:lineRule="auto"/>
        <w:rPr>
          <w:sz w:val="20"/>
          <w:szCs w:val="20"/>
          <w:color w:val="auto"/>
        </w:rPr>
      </w:pPr>
      <w:r>
        <w:rPr>
          <w:rFonts w:ascii="Arial" w:cs="Arial" w:eastAsia="Arial" w:hAnsi="Arial"/>
          <w:sz w:val="18"/>
          <w:szCs w:val="18"/>
          <w:color w:val="auto"/>
        </w:rPr>
        <w:t>Each person whose signature appears below constitutes CABELL H. LOLMAUGH, KARLA LUNAN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w:t>
      </w:r>
    </w:p>
    <w:p>
      <w:pPr>
        <w:spacing w:after="0" w:line="164" w:lineRule="exact"/>
        <w:rPr>
          <w:sz w:val="20"/>
          <w:szCs w:val="20"/>
          <w:color w:val="auto"/>
        </w:rPr>
      </w:pPr>
    </w:p>
    <w:p>
      <w:pPr>
        <w:ind w:right="180" w:firstLine="622"/>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19"/>
                <w:szCs w:val="19"/>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44"/>
        </w:trPr>
        <w:tc>
          <w:tcPr>
            <w:tcW w:w="3500" w:type="dxa"/>
            <w:vAlign w:val="bottom"/>
          </w:tcPr>
          <w:p>
            <w:pPr>
              <w:spacing w:after="0"/>
              <w:rPr>
                <w:sz w:val="20"/>
                <w:szCs w:val="20"/>
                <w:color w:val="auto"/>
              </w:rPr>
            </w:pPr>
            <w:r>
              <w:rPr>
                <w:rFonts w:ascii="Arial" w:cs="Arial" w:eastAsia="Arial" w:hAnsi="Arial"/>
                <w:sz w:val="18"/>
                <w:szCs w:val="18"/>
                <w:color w:val="auto"/>
              </w:rPr>
              <w:t>/s/ CABELL H. LOLMAUGH</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Executive Officer,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Cabell H. Lolmaugh</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auto"/>
              </w:rPr>
              <w:t>/s/ KARLA LUNAN</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Senior Vice President and 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(Principal Financial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Karla Lunan</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auto"/>
              </w:rPr>
              <w:t>/s/ MARK B. DAVIS</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Vice President, Investor Relations, and Chief</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Accounting Officer (Principal Accounting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B. Davis</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 KAMIN</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 and Chairman of the Board of Directors</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Peter H. Kamin</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BONNEY</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J. Bonney</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K. GLASSER</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Deborah K. Glasser</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JACULLO, III</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Peter J. Jacullo, III</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SOLHEID</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March 2, 2023</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Linda Solheid</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500" w:type="dxa"/>
            <w:vAlign w:val="bottom"/>
          </w:tcPr>
          <w:p>
            <w:pPr>
              <w:spacing w:after="0"/>
              <w:rPr>
                <w:sz w:val="24"/>
                <w:szCs w:val="24"/>
                <w:color w:val="auto"/>
              </w:rPr>
            </w:pPr>
          </w:p>
        </w:tc>
        <w:tc>
          <w:tcPr>
            <w:tcW w:w="5320" w:type="dxa"/>
            <w:vAlign w:val="bottom"/>
            <w:gridSpan w:val="2"/>
          </w:tcPr>
          <w:p>
            <w:pPr>
              <w:jc w:val="right"/>
              <w:ind w:right="301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66" w:name="page67"/>
    <w:bookmarkEnd w:id="66"/>
    <w:p>
      <w:pPr>
        <w:jc w:val="right"/>
        <w:ind w:right="199"/>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TILE SHOP HOLDINGS, INC. COMMON STOCK</w:t>
      </w:r>
    </w:p>
    <w:p>
      <w:pPr>
        <w:spacing w:after="0" w:line="211" w:lineRule="exact"/>
        <w:rPr>
          <w:sz w:val="20"/>
          <w:szCs w:val="20"/>
          <w:color w:val="auto"/>
        </w:rPr>
      </w:pPr>
    </w:p>
    <w:p>
      <w:pPr>
        <w:ind w:left="180" w:right="239"/>
        <w:spacing w:after="0" w:line="255" w:lineRule="auto"/>
        <w:rPr>
          <w:sz w:val="20"/>
          <w:szCs w:val="20"/>
          <w:color w:val="auto"/>
        </w:rPr>
      </w:pPr>
      <w:r>
        <w:rPr>
          <w:rFonts w:ascii="Arial" w:cs="Arial" w:eastAsia="Arial" w:hAnsi="Arial"/>
          <w:sz w:val="18"/>
          <w:szCs w:val="18"/>
          <w:i w:val="1"/>
          <w:iCs w:val="1"/>
          <w:color w:val="auto"/>
        </w:rPr>
        <w:t>The following summarizes the terms and provisions of the common stock of Tile Shop Holdings, Inc., a Delaware corporation (the “Company”), which common stock is registered under Section 12 of the Securities Exchange Act of 1934, as amended (the “Exchange Act”). The following summary does not purport to be complete and is qualified in its entirety by reference to the Company’s Certificate of Incorporation, as amended (the “Certificate of Incorporation”), and By-Laws, which the Company has previously filed with the Securities and Exchange Commission, and applicable Delaware law.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ind w:left="180" w:right="299"/>
        <w:spacing w:after="0" w:line="342" w:lineRule="auto"/>
        <w:rPr>
          <w:sz w:val="20"/>
          <w:szCs w:val="20"/>
          <w:color w:val="auto"/>
        </w:rPr>
      </w:pPr>
      <w:r>
        <w:rPr>
          <w:rFonts w:ascii="Arial" w:cs="Arial" w:eastAsia="Arial" w:hAnsi="Arial"/>
          <w:sz w:val="16"/>
          <w:szCs w:val="16"/>
          <w:color w:val="auto"/>
        </w:rPr>
        <w:t>The Company’s authorized capital stock consists of 100,000,000 shares of common stock, $0.0001 par value per share (the “Common Stock”), and 10,000,000 shares of preferred stock, $0.0001 par value per share (the “Preferred Stock”).</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 Delaware law, stockholders generally are not personally liable for a corporation’s acts or debts.</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ind w:left="180" w:right="379"/>
        <w:spacing w:after="0" w:line="263" w:lineRule="auto"/>
        <w:rPr>
          <w:sz w:val="20"/>
          <w:szCs w:val="20"/>
          <w:color w:val="auto"/>
        </w:rPr>
      </w:pPr>
      <w:r>
        <w:rPr>
          <w:rFonts w:ascii="Arial" w:cs="Arial" w:eastAsia="Arial" w:hAnsi="Arial"/>
          <w:sz w:val="18"/>
          <w:szCs w:val="18"/>
          <w:color w:val="auto"/>
        </w:rPr>
        <w:t>Subject to preferences that may be applicable to any then-outstanding shares of Preferred Stock, the holders of Common Stock are entitled to receive such dividends, if any, as may be declared from time to time by the Company’s Board of Directors out of legally available funds.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80" w:right="259"/>
        <w:spacing w:after="0" w:line="291" w:lineRule="auto"/>
        <w:rPr>
          <w:sz w:val="20"/>
          <w:szCs w:val="20"/>
          <w:color w:val="auto"/>
        </w:rPr>
      </w:pPr>
      <w:r>
        <w:rPr>
          <w:rFonts w:ascii="Arial" w:cs="Arial" w:eastAsia="Arial" w:hAnsi="Arial"/>
          <w:sz w:val="16"/>
          <w:szCs w:val="16"/>
          <w:color w:val="auto"/>
        </w:rPr>
        <w:t>Holders of Common Stock are entitled to one vote for each share held of record on all matters to be voted on by the stockholders, including the election of directors. There is no cumulative voting with respect to the election of directors. Directors are elected by a plurality of the votes cast by the holders of Common Stock. Except as otherwise required by law or the Company’s Certificate of Incorporation or By-Laws, all other matters brought to a vote of the holders of Common Stock are determined by a majority in voting power of the votes cast by the holders of all shares of stock present or represented at the stockholder meeting and, except as may be provided with respect to any other outstanding class or series of the Company’s stock, the holders of shares of Common Stock possess the exclusive voting power.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left="180" w:right="259"/>
        <w:spacing w:after="0" w:line="259" w:lineRule="auto"/>
        <w:rPr>
          <w:sz w:val="20"/>
          <w:szCs w:val="20"/>
          <w:color w:val="auto"/>
        </w:rPr>
      </w:pPr>
      <w:r>
        <w:rPr>
          <w:rFonts w:ascii="Arial" w:cs="Arial" w:eastAsia="Arial" w:hAnsi="Arial"/>
          <w:sz w:val="18"/>
          <w:szCs w:val="18"/>
          <w:color w:val="auto"/>
        </w:rPr>
        <w:t>In the event of the Company’s liquidation, dissolution or winding up, the holders of Common Stock will be entitled to share ratably in the net assets legally available for distribution to stockholders after the payment of all of the Company’s known debts and other liabilities and the satisfaction of any liquidation preference granted to the holders of any then-outstanding shares of Preferred Stock.</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ind w:left="180" w:right="199"/>
        <w:spacing w:after="0" w:line="257" w:lineRule="auto"/>
        <w:rPr>
          <w:sz w:val="20"/>
          <w:szCs w:val="20"/>
          <w:color w:val="auto"/>
        </w:rPr>
      </w:pPr>
      <w:r>
        <w:rPr>
          <w:rFonts w:ascii="Arial" w:cs="Arial" w:eastAsia="Arial" w:hAnsi="Arial"/>
          <w:sz w:val="18"/>
          <w:szCs w:val="18"/>
          <w:color w:val="auto"/>
        </w:rPr>
        <w:t>All outstanding shares of Common Stock are duly authorized, fully paid and non-assessable. 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Exchange Listing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is listed on The Nasdaq Stock Market LLC under the symbol “TTSH.”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276225</wp:posOffset>
            </wp:positionV>
            <wp:extent cx="552894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7" w:name="page68"/>
    <w:bookmarkEnd w:id="67"/>
    <w:p>
      <w:pPr>
        <w:ind w:left="18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80" w:right="199"/>
        <w:spacing w:after="0" w:line="270" w:lineRule="auto"/>
        <w:rPr>
          <w:sz w:val="20"/>
          <w:szCs w:val="20"/>
          <w:color w:val="auto"/>
        </w:rPr>
      </w:pPr>
      <w:r>
        <w:rPr>
          <w:rFonts w:ascii="Arial" w:cs="Arial" w:eastAsia="Arial" w:hAnsi="Arial"/>
          <w:sz w:val="17"/>
          <w:szCs w:val="17"/>
          <w:color w:val="auto"/>
        </w:rPr>
        <w:t>The Board of Directors has the authority, without further action by the holders of Common Stock,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the Company or other corporate action. The Company has no outstanding shares of Preferred Stock.</w:t>
      </w:r>
    </w:p>
    <w:p>
      <w:pPr>
        <w:spacing w:after="0" w:line="177" w:lineRule="exact"/>
        <w:rPr>
          <w:sz w:val="20"/>
          <w:szCs w:val="20"/>
          <w:color w:val="auto"/>
        </w:rPr>
      </w:pPr>
    </w:p>
    <w:p>
      <w:pPr>
        <w:ind w:left="180" w:right="379"/>
        <w:spacing w:after="0" w:line="282" w:lineRule="auto"/>
        <w:rPr>
          <w:sz w:val="20"/>
          <w:szCs w:val="20"/>
          <w:color w:val="auto"/>
        </w:rPr>
      </w:pPr>
      <w:r>
        <w:rPr>
          <w:rFonts w:ascii="Arial" w:cs="Arial" w:eastAsia="Arial" w:hAnsi="Arial"/>
          <w:sz w:val="18"/>
          <w:szCs w:val="18"/>
          <w:b w:val="1"/>
          <w:bCs w:val="1"/>
          <w:color w:val="auto"/>
        </w:rPr>
        <w:t>Anti-Takeover Effects of Provisions of Delaware Law and the Company’s Certificate of Incorporation and By-Laws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left="180" w:right="499"/>
        <w:spacing w:after="0" w:line="290" w:lineRule="auto"/>
        <w:rPr>
          <w:sz w:val="20"/>
          <w:szCs w:val="20"/>
          <w:color w:val="auto"/>
        </w:rPr>
      </w:pPr>
      <w:r>
        <w:rPr>
          <w:rFonts w:ascii="Arial" w:cs="Arial" w:eastAsia="Arial" w:hAnsi="Arial"/>
          <w:sz w:val="16"/>
          <w:szCs w:val="16"/>
          <w:color w:val="auto"/>
        </w:rPr>
        <w:t>The Company’s Certificate of Incorporation provides for the Company’s Board of Directors to be divided into three classes with staggered three-year terms. Only one class of directors will be elected at each annual meeting of stockholders, with the other classes continuing for the remainder of their respective three-year terms. Because the Company’s stockholders do not have cumulative voting rights, its stockholders holding a majority of the shares of Common Stock outstanding will be able to elect all of its directors. The Company’s Certificate of Incorporation and By-Laws provide that all stockholder actions must be effected at a duly called meeting of stockholders and not by a consent in writing, and that only the Company’s Board of Directors, Chairperson of the Board of Directors, Chief Executive Officer or President may call a special meeting of stockholders.</w:t>
      </w:r>
    </w:p>
    <w:p>
      <w:pPr>
        <w:spacing w:after="0" w:line="165" w:lineRule="exact"/>
        <w:rPr>
          <w:sz w:val="20"/>
          <w:szCs w:val="20"/>
          <w:color w:val="auto"/>
        </w:rPr>
      </w:pPr>
    </w:p>
    <w:p>
      <w:pPr>
        <w:ind w:left="180" w:right="219"/>
        <w:spacing w:after="0" w:line="284" w:lineRule="auto"/>
        <w:rPr>
          <w:sz w:val="20"/>
          <w:szCs w:val="20"/>
          <w:color w:val="auto"/>
        </w:rPr>
      </w:pPr>
      <w:r>
        <w:rPr>
          <w:rFonts w:ascii="Arial" w:cs="Arial" w:eastAsia="Arial" w:hAnsi="Arial"/>
          <w:sz w:val="16"/>
          <w:szCs w:val="16"/>
          <w:color w:val="auto"/>
        </w:rPr>
        <w:t>The Company’s Certificate of Incorporation provides that certain provisions of the Company’s Certificate of Incorporation, including those relating to the issuance of Preferred Stock, classification of the Board of Directors, and the inability of the stockholders to take action by written consent or call a special meeting, may only be altered, amended, repealed or replaced only with the affirmative vote of the holders of at least 75% of the voting power of all of the then-outstanding shares of capital stock of the Company entitled to vote generally in the election of directors. The Company’s Certificate of Incorporation and By-Laws further provide that the Company’s By-Laws may be altered, amended, repealed or replaced by the Board of Directors without stockholder approval, to the extent permitted by law; provided, however, that the stockholders may amend the By-Laws with the affirmative vote of the holders of at least 75% of the voting power of all of the then-outstanding shares of capital stock of the Company entitled to vote generally in the election of directors. The Company’s Certificate of Incorporation and By-Laws also provide that stockholders may only remove a director for cause and only by the affirmative vote of the holders of at least 75% of the voting power of all of the then-outstanding shares of capital stock of the Company entitled to vote generally in the election of directors. The Company’s Certificate of Incorporation and By-Laws allow the Company’s directors to establish the size of the Board of Directors and fill vacancies on the Board, including those created by an increase in the number of directors (subject to the rights of the holders of any series of Preferred Stock to elect additional directors under specified circumstances). The Company’s By-Laws establish advance notice procedures for stockholders to submit proposals and nominations of candidates for election to the Board of Directors to be brought before a stockholders’ meeting. The combination of the classification of the Board of Directors, the lack of cumulative voting or the ability of stockholders to take action by written consent or call a special meeting, the 75% stockholder voting requirements, the limitations on removing directors without cause, the ability of the Board of Directors to fill vacancies, and the advance notice provisions make it difficult for the Company’s existing stockholders to replace its Board of Directors, as well as for another party to obtain control of the Company by replacing its Board of Directors. Because the Company’s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the Company’s control.</w:t>
      </w:r>
    </w:p>
    <w:p>
      <w:pPr>
        <w:spacing w:after="0" w:line="171" w:lineRule="exact"/>
        <w:rPr>
          <w:sz w:val="20"/>
          <w:szCs w:val="20"/>
          <w:color w:val="auto"/>
        </w:rPr>
      </w:pPr>
    </w:p>
    <w:p>
      <w:pPr>
        <w:ind w:left="180" w:right="299"/>
        <w:spacing w:after="0" w:line="342" w:lineRule="auto"/>
        <w:rPr>
          <w:sz w:val="20"/>
          <w:szCs w:val="20"/>
          <w:color w:val="auto"/>
        </w:rPr>
      </w:pPr>
      <w:r>
        <w:rPr>
          <w:rFonts w:ascii="Arial" w:cs="Arial" w:eastAsia="Arial" w:hAnsi="Arial"/>
          <w:sz w:val="16"/>
          <w:szCs w:val="16"/>
          <w:color w:val="auto"/>
        </w:rPr>
        <w:t>In addition, the Certificate of Incorporation provides that, pursuant to the Stipulation of Settlement, dated as of August 7, 2020, an Independent Transaction Committee of the Board of Directors is empowered to review, assess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70485</wp:posOffset>
            </wp:positionV>
            <wp:extent cx="552894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ind w:left="180" w:right="219"/>
        <w:spacing w:after="0" w:line="269" w:lineRule="auto"/>
        <w:rPr>
          <w:sz w:val="20"/>
          <w:szCs w:val="20"/>
          <w:color w:val="auto"/>
        </w:rPr>
      </w:pPr>
      <w:r>
        <w:rPr>
          <w:rFonts w:ascii="Arial" w:cs="Arial" w:eastAsia="Arial" w:hAnsi="Arial"/>
          <w:sz w:val="17"/>
          <w:szCs w:val="17"/>
          <w:color w:val="auto"/>
        </w:rPr>
        <w:t>and negotiate certain transactions requiring approval of the Board of Directors (as further described in the Certificate of Incorporation). Requiring approval of certain transactions by the Independent Transaction Committee may deter third parties, which may include the Company’s current or former directors or officers (or parties affiliated with them), from proposing transactions covered by such approval requirements. Such approval requirements may further deter, delay, and/or make it more difficult to complete such transactions even when some or a substantial portion of the Company’s stockholders may otherwise consider them to be in their best interests and in the best interests of the Company, including transactions that might result in a premium over the market price for shares of the Common Stock. In addition, such approval requirements may deter, delay, and/or make it more difficult to complete any such transactions or certain other corporate actions, such as de-staggering of the Board of Directors, that might otherwise make a change of control easier to accomplish.</w:t>
      </w:r>
    </w:p>
    <w:p>
      <w:pPr>
        <w:spacing w:after="0" w:line="185" w:lineRule="exact"/>
        <w:rPr>
          <w:sz w:val="20"/>
          <w:szCs w:val="20"/>
          <w:color w:val="auto"/>
        </w:rPr>
      </w:pPr>
    </w:p>
    <w:p>
      <w:pPr>
        <w:ind w:left="180" w:right="1019"/>
        <w:spacing w:after="0" w:line="277" w:lineRule="auto"/>
        <w:rPr>
          <w:sz w:val="20"/>
          <w:szCs w:val="20"/>
          <w:color w:val="auto"/>
        </w:rPr>
      </w:pPr>
      <w:r>
        <w:rPr>
          <w:rFonts w:ascii="Arial" w:cs="Arial" w:eastAsia="Arial" w:hAnsi="Arial"/>
          <w:sz w:val="18"/>
          <w:szCs w:val="18"/>
          <w:color w:val="auto"/>
        </w:rPr>
        <w:t>The provisions described above may have the effect of deterring hostile takeovers or delaying changes in the Company’s control or management.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Delaware Anti-Takeover Law</w:t>
      </w:r>
    </w:p>
    <w:p>
      <w:pPr>
        <w:spacing w:after="0" w:line="225" w:lineRule="exact"/>
        <w:rPr>
          <w:sz w:val="20"/>
          <w:szCs w:val="20"/>
          <w:color w:val="auto"/>
        </w:rPr>
      </w:pPr>
    </w:p>
    <w:p>
      <w:pPr>
        <w:ind w:left="180" w:right="259"/>
        <w:spacing w:after="0" w:line="311" w:lineRule="auto"/>
        <w:rPr>
          <w:sz w:val="20"/>
          <w:szCs w:val="20"/>
          <w:color w:val="auto"/>
        </w:rPr>
      </w:pPr>
      <w:r>
        <w:rPr>
          <w:rFonts w:ascii="Arial" w:cs="Arial" w:eastAsia="Arial" w:hAnsi="Arial"/>
          <w:sz w:val="16"/>
          <w:szCs w:val="16"/>
          <w:color w:val="auto"/>
        </w:rPr>
        <w:t>The Company is subject to Section 203 of the Delaware General Corporation Law (“Section 203”), which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49" w:lineRule="exact"/>
        <w:rPr>
          <w:sz w:val="20"/>
          <w:szCs w:val="20"/>
          <w:color w:val="auto"/>
        </w:rPr>
      </w:pPr>
    </w:p>
    <w:p>
      <w:pPr>
        <w:ind w:left="840" w:right="699" w:hanging="332"/>
        <w:spacing w:after="0" w:line="342" w:lineRule="auto"/>
        <w:tabs>
          <w:tab w:leader="none" w:pos="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prior to the date of the transaction, the board of directors of the corporation approved either the business combination or the transaction that resulted in the stockholder becoming an interested stockholder;</w:t>
      </w:r>
    </w:p>
    <w:p>
      <w:pPr>
        <w:spacing w:after="0" w:line="123" w:lineRule="exact"/>
        <w:rPr>
          <w:rFonts w:ascii="Arial" w:cs="Arial" w:eastAsia="Arial" w:hAnsi="Arial"/>
          <w:sz w:val="16"/>
          <w:szCs w:val="16"/>
          <w:color w:val="auto"/>
        </w:rPr>
      </w:pPr>
    </w:p>
    <w:p>
      <w:pPr>
        <w:ind w:left="840" w:right="319" w:hanging="332"/>
        <w:spacing w:after="0" w:line="272"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7" w:lineRule="exact"/>
        <w:rPr>
          <w:rFonts w:ascii="Arial" w:cs="Arial" w:eastAsia="Arial" w:hAnsi="Arial"/>
          <w:sz w:val="17"/>
          <w:szCs w:val="17"/>
          <w:color w:val="auto"/>
        </w:rPr>
      </w:pPr>
    </w:p>
    <w:p>
      <w:pPr>
        <w:ind w:left="840" w:right="339" w:hanging="332"/>
        <w:spacing w:after="0" w:line="286"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after such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840" w:hanging="33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840" w:right="199" w:hanging="332"/>
        <w:spacing w:after="0" w:line="275"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such corporation, to or with the interested stockholder, of assets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76" w:lineRule="exact"/>
        <w:rPr>
          <w:rFonts w:ascii="Arial" w:cs="Arial" w:eastAsia="Arial" w:hAnsi="Arial"/>
          <w:sz w:val="17"/>
          <w:szCs w:val="17"/>
          <w:color w:val="auto"/>
        </w:rPr>
      </w:pPr>
    </w:p>
    <w:p>
      <w:pPr>
        <w:ind w:left="840" w:right="379" w:hanging="332"/>
        <w:spacing w:after="0" w:line="277" w:lineRule="auto"/>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840" w:right="359" w:hanging="332"/>
        <w:spacing w:after="0" w:line="286"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to certain exceptions, any transaction involving the corporation that has the effect, directly or indirectly, of increasing the interested stockholder’s proportionate share of the stock of any class or series, or securities convertible into the stock of any class or series, of the corporation; and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70485</wp:posOffset>
            </wp:positionV>
            <wp:extent cx="552894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840" w:right="659" w:hanging="332"/>
        <w:spacing w:after="0" w:line="263" w:lineRule="auto"/>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such corporation), of any loans, advances, guarantees, pledges or other financial benefits provided by or through the corporation.</w:t>
      </w:r>
    </w:p>
    <w:p>
      <w:pPr>
        <w:spacing w:after="0" w:line="184" w:lineRule="exact"/>
        <w:rPr>
          <w:sz w:val="20"/>
          <w:szCs w:val="20"/>
          <w:color w:val="auto"/>
        </w:rPr>
      </w:pPr>
    </w:p>
    <w:p>
      <w:pPr>
        <w:jc w:val="both"/>
        <w:ind w:left="180" w:right="739"/>
        <w:spacing w:after="0" w:line="286" w:lineRule="auto"/>
        <w:rPr>
          <w:sz w:val="20"/>
          <w:szCs w:val="20"/>
          <w:color w:val="auto"/>
        </w:rPr>
      </w:pPr>
      <w:r>
        <w:rPr>
          <w:rFonts w:ascii="Arial" w:cs="Arial" w:eastAsia="Arial" w:hAnsi="Arial"/>
          <w:sz w:val="17"/>
          <w:szCs w:val="17"/>
          <w:color w:val="auto"/>
        </w:rPr>
        <w:t>In general, Section 203 defines an “interested stockholder” as an entity or person that, together with the person’s affiliates and associates, beneficially owns, or within three years prior to the time of determination of interested stockholder status did own, 15% or more of the outstanding voting stock of the corporation.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Authorized and Unissued Shares</w:t>
      </w:r>
    </w:p>
    <w:p>
      <w:pPr>
        <w:spacing w:after="0" w:line="225" w:lineRule="exact"/>
        <w:rPr>
          <w:sz w:val="20"/>
          <w:szCs w:val="20"/>
          <w:color w:val="auto"/>
        </w:rPr>
      </w:pPr>
    </w:p>
    <w:p>
      <w:pPr>
        <w:ind w:left="180" w:right="199"/>
        <w:spacing w:after="0" w:line="255" w:lineRule="auto"/>
        <w:rPr>
          <w:sz w:val="20"/>
          <w:szCs w:val="20"/>
          <w:color w:val="auto"/>
        </w:rPr>
      </w:pPr>
      <w:r>
        <w:rPr>
          <w:rFonts w:ascii="Arial" w:cs="Arial" w:eastAsia="Arial" w:hAnsi="Arial"/>
          <w:sz w:val="18"/>
          <w:szCs w:val="18"/>
          <w:color w:val="auto"/>
        </w:rPr>
        <w:t>The Company’s authorized and unissued shares of Common Stock are available for future issuance without stockholder approval except as may otherwise be required by applicable regulations or Delaware law. The Company may issue additional shares for a variety of purposes, including future offerings to raise additional capital, to fund acquisitions and as employee and consultant compensation. The existence of authorized but unissued shares of Common Stock could render more difficult, or discourage an attempt, to obtain control of the Company by means of a proxy contest, tender offer, merger or otherwise.</w:t>
      </w:r>
    </w:p>
    <w:p>
      <w:pPr>
        <w:spacing w:after="0" w:line="192" w:lineRule="exact"/>
        <w:rPr>
          <w:sz w:val="20"/>
          <w:szCs w:val="20"/>
          <w:color w:val="auto"/>
        </w:rPr>
      </w:pPr>
    </w:p>
    <w:p>
      <w:pPr>
        <w:ind w:left="180" w:right="199"/>
        <w:spacing w:after="0" w:line="257" w:lineRule="auto"/>
        <w:rPr>
          <w:sz w:val="20"/>
          <w:szCs w:val="20"/>
          <w:color w:val="auto"/>
        </w:rPr>
      </w:pPr>
      <w:r>
        <w:rPr>
          <w:rFonts w:ascii="Arial" w:cs="Arial" w:eastAsia="Arial" w:hAnsi="Arial"/>
          <w:sz w:val="18"/>
          <w:szCs w:val="18"/>
          <w:color w:val="auto"/>
        </w:rPr>
        <w:t>The issuance of shares of Preferred Stock by the Company could have certain anti-takeover effects under certain circumstances, and could enable the Board of Directors to render more difficult or discourage an attempt to obtain control of the Company by means of a merger, tender offer or other business combination transaction directed at the Company by, among other things, placing shares of Preferred Stock with investors who might align themselves with the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70485</wp:posOffset>
            </wp:positionV>
            <wp:extent cx="552894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jc w:val="right"/>
        <w:ind w:right="199"/>
        <w:spacing w:after="0"/>
        <w:rPr>
          <w:sz w:val="20"/>
          <w:szCs w:val="20"/>
          <w:color w:val="auto"/>
        </w:rPr>
      </w:pPr>
      <w:r>
        <w:rPr>
          <w:rFonts w:ascii="Arial" w:cs="Arial" w:eastAsia="Arial" w:hAnsi="Arial"/>
          <w:sz w:val="20"/>
          <w:szCs w:val="20"/>
          <w:b w:val="1"/>
          <w:bCs w:val="1"/>
          <w:color w:val="auto"/>
        </w:rPr>
        <w:t>Exhibit 10.19</w:t>
      </w:r>
    </w:p>
    <w:p>
      <w:pPr>
        <w:jc w:val="center"/>
        <w:ind w:right="59"/>
        <w:spacing w:after="0" w:line="197" w:lineRule="auto"/>
        <w:rPr>
          <w:sz w:val="20"/>
          <w:szCs w:val="20"/>
          <w:color w:val="auto"/>
        </w:rPr>
      </w:pPr>
      <w:r>
        <w:rPr>
          <w:rFonts w:ascii="Arial" w:cs="Arial" w:eastAsia="Arial" w:hAnsi="Arial"/>
          <w:sz w:val="20"/>
          <w:szCs w:val="20"/>
          <w:b w:val="1"/>
          <w:bCs w:val="1"/>
          <w:color w:val="auto"/>
        </w:rPr>
        <w:t>TILE SHOP HOLDINGS, INC.</w:t>
      </w:r>
    </w:p>
    <w:p>
      <w:pPr>
        <w:jc w:val="center"/>
        <w:ind w:right="59"/>
        <w:spacing w:after="0"/>
        <w:rPr>
          <w:sz w:val="20"/>
          <w:szCs w:val="20"/>
          <w:color w:val="auto"/>
        </w:rPr>
      </w:pPr>
      <w:r>
        <w:rPr>
          <w:rFonts w:ascii="Arial" w:cs="Arial" w:eastAsia="Arial" w:hAnsi="Arial"/>
          <w:sz w:val="20"/>
          <w:szCs w:val="20"/>
          <w:b w:val="1"/>
          <w:bCs w:val="1"/>
          <w:color w:val="auto"/>
        </w:rPr>
        <w:t>FORM OF STOCK RESTRICTION AGREEMENT</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This Agreement (the “Agreement”) is made this [__] day of [_______], [202[3]] (the “Date of</w:t>
      </w:r>
    </w:p>
    <w:p>
      <w:pPr>
        <w:ind w:left="180" w:right="199"/>
        <w:spacing w:after="0" w:line="215" w:lineRule="auto"/>
        <w:rPr>
          <w:sz w:val="20"/>
          <w:szCs w:val="20"/>
          <w:color w:val="auto"/>
        </w:rPr>
      </w:pPr>
      <w:r>
        <w:rPr>
          <w:rFonts w:ascii="Arial" w:cs="Arial" w:eastAsia="Arial" w:hAnsi="Arial"/>
          <w:sz w:val="19"/>
          <w:szCs w:val="19"/>
          <w:color w:val="auto"/>
        </w:rPr>
        <w:t>Grant”), by and between Tile Shop Holdings, Inc. (the “Company”), a Delaware corporation with its principal place of business at 14000 Carlson Parkway, Plymouth, MN 55441 and [NAME], an individual</w:t>
      </w:r>
    </w:p>
    <w:p>
      <w:pPr>
        <w:ind w:left="180"/>
        <w:spacing w:after="0" w:line="234" w:lineRule="auto"/>
        <w:rPr>
          <w:sz w:val="20"/>
          <w:szCs w:val="20"/>
          <w:color w:val="auto"/>
        </w:rPr>
      </w:pPr>
      <w:r>
        <w:rPr>
          <w:rFonts w:ascii="Arial" w:cs="Arial" w:eastAsia="Arial" w:hAnsi="Arial"/>
          <w:sz w:val="18"/>
          <w:szCs w:val="18"/>
          <w:color w:val="auto"/>
        </w:rPr>
        <w:t>having an address at [ADDRESS] (the “Stockholder”). Capitalized terms used but not otherwise defined</w:t>
      </w:r>
    </w:p>
    <w:p>
      <w:pPr>
        <w:spacing w:after="0" w:line="1" w:lineRule="exact"/>
        <w:rPr>
          <w:sz w:val="20"/>
          <w:szCs w:val="20"/>
          <w:color w:val="auto"/>
        </w:rPr>
      </w:pPr>
    </w:p>
    <w:p>
      <w:pPr>
        <w:ind w:left="180" w:right="199"/>
        <w:spacing w:after="0" w:line="215" w:lineRule="auto"/>
        <w:rPr>
          <w:sz w:val="20"/>
          <w:szCs w:val="20"/>
          <w:color w:val="auto"/>
        </w:rPr>
      </w:pPr>
      <w:r>
        <w:rPr>
          <w:rFonts w:ascii="Arial" w:cs="Arial" w:eastAsia="Arial" w:hAnsi="Arial"/>
          <w:sz w:val="19"/>
          <w:szCs w:val="19"/>
          <w:color w:val="auto"/>
        </w:rPr>
        <w:t>herein shall have the meaning ascribed to such terms in the Company’s 2021 Omnibus Equity Compensation Plan (the “Plan”). To the extent that any term of this Agreement conflicts or is otherwise</w:t>
      </w:r>
    </w:p>
    <w:p>
      <w:pPr>
        <w:ind w:left="180" w:right="199"/>
        <w:spacing w:after="0" w:line="227" w:lineRule="auto"/>
        <w:rPr>
          <w:sz w:val="20"/>
          <w:szCs w:val="20"/>
          <w:color w:val="auto"/>
        </w:rPr>
      </w:pPr>
      <w:r>
        <w:rPr>
          <w:rFonts w:ascii="Arial" w:cs="Arial" w:eastAsia="Arial" w:hAnsi="Arial"/>
          <w:sz w:val="20"/>
          <w:szCs w:val="20"/>
          <w:color w:val="auto"/>
        </w:rPr>
        <w:t>inconsistent with any term of the Plan, as amended from time to time, the terms of the Plan shall take precedence and supersede any such conflict or inconsistent term contained herein.</w:t>
      </w:r>
    </w:p>
    <w:p>
      <w:pPr>
        <w:spacing w:after="0" w:line="156" w:lineRule="exact"/>
        <w:rPr>
          <w:sz w:val="20"/>
          <w:szCs w:val="20"/>
          <w:color w:val="auto"/>
        </w:rPr>
      </w:pPr>
    </w:p>
    <w:p>
      <w:pPr>
        <w:ind w:left="180" w:right="199" w:firstLine="648"/>
        <w:spacing w:after="0" w:line="236" w:lineRule="auto"/>
        <w:rPr>
          <w:sz w:val="20"/>
          <w:szCs w:val="20"/>
          <w:color w:val="auto"/>
        </w:rPr>
      </w:pPr>
      <w:r>
        <w:rPr>
          <w:rFonts w:ascii="Arial" w:cs="Arial" w:eastAsia="Arial" w:hAnsi="Arial"/>
          <w:sz w:val="20"/>
          <w:szCs w:val="20"/>
          <w:color w:val="auto"/>
        </w:rPr>
        <w:t>WHEREAS, the Stockholder is, on the date hereof, an Employee, Director or Consultant of the Company or a Subsidiary; and</w:t>
      </w:r>
    </w:p>
    <w:p>
      <w:pPr>
        <w:spacing w:after="0" w:line="169" w:lineRule="exact"/>
        <w:rPr>
          <w:sz w:val="20"/>
          <w:szCs w:val="20"/>
          <w:color w:val="auto"/>
        </w:rPr>
      </w:pPr>
    </w:p>
    <w:p>
      <w:pPr>
        <w:ind w:left="180" w:right="199" w:firstLine="648"/>
        <w:spacing w:after="0" w:line="236" w:lineRule="auto"/>
        <w:rPr>
          <w:sz w:val="20"/>
          <w:szCs w:val="20"/>
          <w:color w:val="auto"/>
        </w:rPr>
      </w:pPr>
      <w:r>
        <w:rPr>
          <w:rFonts w:ascii="Arial" w:cs="Arial" w:eastAsia="Arial" w:hAnsi="Arial"/>
          <w:sz w:val="18"/>
          <w:szCs w:val="18"/>
          <w:color w:val="auto"/>
        </w:rPr>
        <w:t>WHEREAS, pursuant to the Plan, the Company wishes to grant a restricted stock award to the Stockholder for [# of SHARES] shares (the “Restricted Shares”) of common stock, par value $0.0001 per</w:t>
      </w:r>
    </w:p>
    <w:p>
      <w:pPr>
        <w:ind w:left="180"/>
        <w:spacing w:after="0"/>
        <w:rPr>
          <w:sz w:val="20"/>
          <w:szCs w:val="20"/>
          <w:color w:val="auto"/>
        </w:rPr>
      </w:pPr>
      <w:r>
        <w:rPr>
          <w:rFonts w:ascii="Arial" w:cs="Arial" w:eastAsia="Arial" w:hAnsi="Arial"/>
          <w:sz w:val="20"/>
          <w:szCs w:val="20"/>
          <w:color w:val="auto"/>
        </w:rPr>
        <w:t>share, of the Company (“Common Stock”).</w:t>
      </w:r>
    </w:p>
    <w:p>
      <w:pPr>
        <w:spacing w:after="0" w:line="173" w:lineRule="exact"/>
        <w:rPr>
          <w:sz w:val="20"/>
          <w:szCs w:val="20"/>
          <w:color w:val="auto"/>
        </w:rPr>
      </w:pPr>
    </w:p>
    <w:p>
      <w:pPr>
        <w:ind w:left="180" w:right="199" w:firstLine="648"/>
        <w:spacing w:after="0" w:line="229" w:lineRule="auto"/>
        <w:rPr>
          <w:sz w:val="20"/>
          <w:szCs w:val="20"/>
          <w:color w:val="auto"/>
        </w:rPr>
      </w:pPr>
      <w:r>
        <w:rPr>
          <w:rFonts w:ascii="Arial" w:cs="Arial" w:eastAsia="Arial" w:hAnsi="Arial"/>
          <w:sz w:val="20"/>
          <w:szCs w:val="20"/>
          <w:color w:val="auto"/>
        </w:rPr>
        <w:t>NOW, THEREFORE, for valuable consideration, the receipt and sufficiency of which is hereby acknowledged, the Company and the Stockholder agree as follows:</w:t>
      </w:r>
    </w:p>
    <w:p>
      <w:pPr>
        <w:spacing w:after="0" w:line="169" w:lineRule="exact"/>
        <w:rPr>
          <w:sz w:val="20"/>
          <w:szCs w:val="20"/>
          <w:color w:val="auto"/>
        </w:rPr>
      </w:pPr>
    </w:p>
    <w:p>
      <w:pPr>
        <w:jc w:val="both"/>
        <w:ind w:left="180" w:right="199" w:firstLine="652"/>
        <w:spacing w:after="0" w:line="215" w:lineRule="auto"/>
        <w:tabs>
          <w:tab w:leader="none" w:pos="1026"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Restricted Shares to be Subject to Restriction</w:t>
      </w:r>
      <w:r>
        <w:rPr>
          <w:rFonts w:ascii="Arial" w:cs="Arial" w:eastAsia="Arial" w:hAnsi="Arial"/>
          <w:sz w:val="20"/>
          <w:szCs w:val="20"/>
          <w:color w:val="auto"/>
        </w:rPr>
        <w:t>. The Stockholder agrees that the Restricted Shares shall be subject to the risks of forfeiture set forth in Section 2 of this Agreement, to the restrictions on transfer set forth in Section 4 of this Agreement, and to any additional provisions of the Plan applicable to such Restricted Shares during the period that such risks of forfeiture and restrictions on transfer are applicable (the “Restriction Period”).</w:t>
      </w:r>
    </w:p>
    <w:p>
      <w:pPr>
        <w:spacing w:after="0" w:line="171" w:lineRule="exact"/>
        <w:rPr>
          <w:rFonts w:ascii="Arial" w:cs="Arial" w:eastAsia="Arial" w:hAnsi="Arial"/>
          <w:sz w:val="20"/>
          <w:szCs w:val="20"/>
          <w:color w:val="auto"/>
        </w:rPr>
      </w:pPr>
    </w:p>
    <w:p>
      <w:pPr>
        <w:ind w:left="1020" w:hanging="188"/>
        <w:spacing w:after="0"/>
        <w:tabs>
          <w:tab w:leader="none" w:pos="102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840" w:right="199" w:firstLine="648"/>
        <w:spacing w:after="0" w:line="252" w:lineRule="auto"/>
        <w:rPr>
          <w:rFonts w:ascii="Arial" w:cs="Arial" w:eastAsia="Arial" w:hAnsi="Arial"/>
          <w:sz w:val="20"/>
          <w:szCs w:val="20"/>
          <w:color w:val="auto"/>
        </w:rPr>
      </w:pPr>
      <w:r>
        <w:rPr>
          <w:rFonts w:ascii="Arial" w:cs="Arial" w:eastAsia="Arial" w:hAnsi="Arial"/>
          <w:sz w:val="18"/>
          <w:szCs w:val="18"/>
          <w:color w:val="auto"/>
        </w:rPr>
        <w:t>a. The Restricted Shares shall be forfeitable until the risks of forfeiture lapse according to the following schedule and the satisfaction of the other conditions set forth in this Section 2(a) (subject to such rounding conventions as may be employed by the Company from time to time):</w:t>
      </w:r>
    </w:p>
    <w:p>
      <w:pPr>
        <w:spacing w:after="0" w:line="157" w:lineRule="exact"/>
        <w:rPr>
          <w:rFonts w:ascii="Arial" w:cs="Arial" w:eastAsia="Arial" w:hAnsi="Arial"/>
          <w:sz w:val="20"/>
          <w:szCs w:val="20"/>
          <w:color w:val="auto"/>
        </w:rPr>
      </w:pPr>
    </w:p>
    <w:p>
      <w:pPr>
        <w:ind w:left="1480" w:right="199" w:firstLine="648"/>
        <w:spacing w:after="0" w:line="229" w:lineRule="auto"/>
        <w:tabs>
          <w:tab w:leader="none" w:pos="2385" w:val="left"/>
        </w:tabs>
        <w:numPr>
          <w:ilvl w:val="2"/>
          <w:numId w:val="34"/>
        </w:numPr>
        <w:rPr>
          <w:rFonts w:ascii="Arial" w:cs="Arial" w:eastAsia="Arial" w:hAnsi="Arial"/>
          <w:sz w:val="20"/>
          <w:szCs w:val="20"/>
          <w:color w:val="auto"/>
        </w:rPr>
      </w:pPr>
      <w:r>
        <w:rPr>
          <w:rFonts w:ascii="Arial" w:cs="Arial" w:eastAsia="Arial" w:hAnsi="Arial"/>
          <w:sz w:val="20"/>
          <w:szCs w:val="20"/>
          <w:color w:val="auto"/>
        </w:rPr>
        <w:t>[One-third] of the Restricted Shares shall vest on [the first anniversary of the Date of Grant];</w:t>
      </w:r>
    </w:p>
    <w:p>
      <w:pPr>
        <w:spacing w:after="0" w:line="168" w:lineRule="exact"/>
        <w:rPr>
          <w:rFonts w:ascii="Arial" w:cs="Arial" w:eastAsia="Arial" w:hAnsi="Arial"/>
          <w:sz w:val="20"/>
          <w:szCs w:val="20"/>
          <w:color w:val="auto"/>
        </w:rPr>
      </w:pPr>
    </w:p>
    <w:p>
      <w:pPr>
        <w:ind w:left="1480" w:right="199" w:firstLine="648"/>
        <w:spacing w:after="0" w:line="236" w:lineRule="auto"/>
        <w:tabs>
          <w:tab w:leader="none" w:pos="2400" w:val="left"/>
        </w:tabs>
        <w:numPr>
          <w:ilvl w:val="2"/>
          <w:numId w:val="34"/>
        </w:numPr>
        <w:rPr>
          <w:rFonts w:ascii="Arial" w:cs="Arial" w:eastAsia="Arial" w:hAnsi="Arial"/>
          <w:sz w:val="20"/>
          <w:szCs w:val="20"/>
          <w:color w:val="auto"/>
        </w:rPr>
      </w:pPr>
      <w:r>
        <w:rPr>
          <w:rFonts w:ascii="Arial" w:cs="Arial" w:eastAsia="Arial" w:hAnsi="Arial"/>
          <w:sz w:val="20"/>
          <w:szCs w:val="20"/>
          <w:color w:val="auto"/>
        </w:rPr>
        <w:t>[One-third] of the Restricted Shares shall vest on [the second anniversary of the Date of Grant]; and</w:t>
      </w:r>
    </w:p>
    <w:p>
      <w:pPr>
        <w:spacing w:after="0" w:line="155" w:lineRule="exact"/>
        <w:rPr>
          <w:rFonts w:ascii="Arial" w:cs="Arial" w:eastAsia="Arial" w:hAnsi="Arial"/>
          <w:sz w:val="20"/>
          <w:szCs w:val="20"/>
          <w:color w:val="auto"/>
        </w:rPr>
      </w:pPr>
    </w:p>
    <w:p>
      <w:pPr>
        <w:ind w:left="1480" w:right="199" w:firstLine="648"/>
        <w:spacing w:after="0" w:line="236" w:lineRule="auto"/>
        <w:tabs>
          <w:tab w:leader="none" w:pos="2468" w:val="left"/>
        </w:tabs>
        <w:numPr>
          <w:ilvl w:val="2"/>
          <w:numId w:val="34"/>
        </w:numPr>
        <w:rPr>
          <w:rFonts w:ascii="Arial" w:cs="Arial" w:eastAsia="Arial" w:hAnsi="Arial"/>
          <w:sz w:val="20"/>
          <w:szCs w:val="20"/>
          <w:color w:val="auto"/>
        </w:rPr>
      </w:pPr>
      <w:r>
        <w:rPr>
          <w:rFonts w:ascii="Arial" w:cs="Arial" w:eastAsia="Arial" w:hAnsi="Arial"/>
          <w:sz w:val="20"/>
          <w:szCs w:val="20"/>
          <w:color w:val="auto"/>
        </w:rPr>
        <w:t>[One-third] of the Restricted Shares shall vest on [the third anniversary of the Date of Grant];</w:t>
      </w:r>
    </w:p>
    <w:p>
      <w:pPr>
        <w:spacing w:after="0" w:line="169" w:lineRule="exact"/>
        <w:rPr>
          <w:sz w:val="20"/>
          <w:szCs w:val="20"/>
          <w:color w:val="auto"/>
        </w:rPr>
      </w:pPr>
    </w:p>
    <w:p>
      <w:pPr>
        <w:ind w:left="840" w:right="199" w:firstLine="648"/>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the Stockholder remains in continuous employment or other service with the Company or a Subsidiary (“Continuous Service”) through each such vesting date.</w:t>
      </w:r>
    </w:p>
    <w:p>
      <w:pPr>
        <w:spacing w:after="0" w:line="14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 Any Restricted Shares as to which the risks of forfeiture have not lapsed shall be forfeited</w:t>
      </w:r>
    </w:p>
    <w:p>
      <w:pPr>
        <w:spacing w:after="0" w:line="12" w:lineRule="exact"/>
        <w:rPr>
          <w:sz w:val="20"/>
          <w:szCs w:val="20"/>
          <w:color w:val="auto"/>
        </w:rPr>
      </w:pPr>
    </w:p>
    <w:p>
      <w:pPr>
        <w:ind w:left="840" w:right="199"/>
        <w:spacing w:after="0" w:line="220" w:lineRule="auto"/>
        <w:rPr>
          <w:sz w:val="20"/>
          <w:szCs w:val="20"/>
          <w:color w:val="auto"/>
        </w:rPr>
      </w:pPr>
      <w:r>
        <w:rPr>
          <w:rFonts w:ascii="Arial" w:cs="Arial" w:eastAsia="Arial" w:hAnsi="Arial"/>
          <w:sz w:val="20"/>
          <w:szCs w:val="20"/>
          <w:color w:val="auto"/>
        </w:rPr>
        <w:t>immediately if the Stockholder’s Continuous Service terminates for any reason or no reason,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706120</wp:posOffset>
            </wp:positionV>
            <wp:extent cx="552894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1" w:name="page72"/>
    <w:bookmarkEnd w:id="71"/>
    <w:p>
      <w:pPr>
        <w:ind w:left="1480"/>
        <w:spacing w:after="0"/>
        <w:rPr>
          <w:sz w:val="20"/>
          <w:szCs w:val="20"/>
          <w:color w:val="auto"/>
        </w:rPr>
      </w:pPr>
      <w:r>
        <w:rPr>
          <w:rFonts w:ascii="Arial" w:cs="Arial" w:eastAsia="Arial" w:hAnsi="Arial"/>
          <w:sz w:val="18"/>
          <w:szCs w:val="18"/>
          <w:color w:val="auto"/>
        </w:rPr>
        <w:t>c. Notwithstanding the foregoing provisions of this Section 2, in the event of a Change of</w:t>
      </w:r>
    </w:p>
    <w:p>
      <w:pPr>
        <w:spacing w:after="0" w:line="13" w:lineRule="exact"/>
        <w:rPr>
          <w:sz w:val="20"/>
          <w:szCs w:val="20"/>
          <w:color w:val="auto"/>
        </w:rPr>
      </w:pPr>
    </w:p>
    <w:p>
      <w:pPr>
        <w:ind w:left="840" w:right="199"/>
        <w:spacing w:after="0" w:line="220" w:lineRule="auto"/>
        <w:rPr>
          <w:sz w:val="20"/>
          <w:szCs w:val="20"/>
          <w:color w:val="auto"/>
        </w:rPr>
      </w:pPr>
      <w:r>
        <w:rPr>
          <w:rFonts w:ascii="Arial" w:cs="Arial" w:eastAsia="Arial" w:hAnsi="Arial"/>
          <w:sz w:val="20"/>
          <w:szCs w:val="20"/>
          <w:color w:val="auto"/>
        </w:rPr>
        <w:t>Control during the Restriction Period, the vesting schedule set forth in this Section 2 may be accelerated in whole or in part at the sole discretion of the Committee.</w:t>
      </w:r>
    </w:p>
    <w:p>
      <w:pPr>
        <w:spacing w:after="0" w:line="170" w:lineRule="exact"/>
        <w:rPr>
          <w:sz w:val="20"/>
          <w:szCs w:val="20"/>
          <w:color w:val="auto"/>
        </w:rPr>
      </w:pPr>
    </w:p>
    <w:p>
      <w:pPr>
        <w:jc w:val="both"/>
        <w:ind w:left="180" w:right="199" w:firstLine="652"/>
        <w:spacing w:after="0" w:line="234" w:lineRule="auto"/>
        <w:tabs>
          <w:tab w:leader="none" w:pos="103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The Stockholder shall have all rights as a stockholder with respect to the Restricted Shares subject to forfeiture, including the right to vote, except that, while any portion of the Restricted Shares remains unvested, any dividends paid with respect to the unvested Restricted Shares shall be automatically deferred and accumulated by the Company in a notional bookkeeping account, and shall be paid to the Stockholder in cash (without interest) only at such time(s) as the underlying Restricted Shares become vested in accordance with this Agreement, with the Stockholder’s right to payment of any such dividends being subject to the same risk of forfeiture, restrictions on transferability, and other terms of this Agreement as are the Restricted Shares with respect to which the dividends otherwise were payable. Further, any Shares received by the Stockholder in connection with any stock dividends or distributions payable with respect to unvested Restricted Shares shall be subject to the same vesting conditions and transfer restrictions as the underlying Restricted Shares and shall be subject to such adjustments as contemplated by Section 7 of this Agreement.</w:t>
      </w:r>
    </w:p>
    <w:p>
      <w:pPr>
        <w:spacing w:after="0" w:line="170" w:lineRule="exact"/>
        <w:rPr>
          <w:rFonts w:ascii="Arial" w:cs="Arial" w:eastAsia="Arial" w:hAnsi="Arial"/>
          <w:sz w:val="18"/>
          <w:szCs w:val="18"/>
          <w:color w:val="auto"/>
        </w:rPr>
      </w:pPr>
    </w:p>
    <w:p>
      <w:pPr>
        <w:jc w:val="both"/>
        <w:ind w:left="180" w:right="199" w:firstLine="652"/>
        <w:spacing w:after="0" w:line="252" w:lineRule="auto"/>
        <w:tabs>
          <w:tab w:leader="none" w:pos="102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Stockholder shall not, until the risks of forfeiture lapse, sell, assign, transfer, pledge, hypothecate or otherwise dispose of, by operation of law or otherwise, any of the Restricted Shares, or any interest therein, unless and until such are no longer subject to a risk of forfeiture.</w:t>
      </w:r>
    </w:p>
    <w:p>
      <w:pPr>
        <w:spacing w:after="0" w:line="158" w:lineRule="exact"/>
        <w:rPr>
          <w:rFonts w:ascii="Arial" w:cs="Arial" w:eastAsia="Arial" w:hAnsi="Arial"/>
          <w:sz w:val="18"/>
          <w:szCs w:val="18"/>
          <w:color w:val="auto"/>
        </w:rPr>
      </w:pPr>
    </w:p>
    <w:p>
      <w:pPr>
        <w:jc w:val="both"/>
        <w:ind w:left="180" w:right="199" w:firstLine="652"/>
        <w:spacing w:after="0" w:line="231" w:lineRule="auto"/>
        <w:tabs>
          <w:tab w:leader="none" w:pos="1026"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Effect of Prohibited Transfer</w:t>
      </w:r>
      <w:r>
        <w:rPr>
          <w:rFonts w:ascii="Arial" w:cs="Arial" w:eastAsia="Arial" w:hAnsi="Arial"/>
          <w:sz w:val="19"/>
          <w:szCs w:val="19"/>
          <w:color w:val="auto"/>
        </w:rPr>
        <w:t>. The Company will not be required (a) to transfer on its books any Restricted Shares which have been sold or transferred in violation of any of the provisions set forth in this Agreement, or (b) to treat as owner of such Restricted Shares, or to pay dividends to, any transferee to whom any such Restricted Shares have been so sold or transferred.</w:t>
      </w:r>
    </w:p>
    <w:p>
      <w:pPr>
        <w:spacing w:after="0" w:line="157" w:lineRule="exact"/>
        <w:rPr>
          <w:rFonts w:ascii="Arial" w:cs="Arial" w:eastAsia="Arial" w:hAnsi="Arial"/>
          <w:sz w:val="19"/>
          <w:szCs w:val="19"/>
          <w:color w:val="auto"/>
        </w:rPr>
      </w:pPr>
    </w:p>
    <w:p>
      <w:pPr>
        <w:jc w:val="both"/>
        <w:ind w:left="180" w:right="199" w:firstLine="652"/>
        <w:spacing w:after="0" w:line="227" w:lineRule="auto"/>
        <w:tabs>
          <w:tab w:leader="none" w:pos="1116"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Restrictive Legend</w:t>
      </w:r>
      <w:r>
        <w:rPr>
          <w:rFonts w:ascii="Arial" w:cs="Arial" w:eastAsia="Arial" w:hAnsi="Arial"/>
          <w:sz w:val="20"/>
          <w:szCs w:val="20"/>
          <w:color w:val="auto"/>
        </w:rPr>
        <w:t>. Any certificates or book entries representing Restricted Shares subject to this Agreement shall bear a legend in substantially the following form, in addition to any other legends that may be required under applicable federal or state securities laws:</w:t>
      </w:r>
    </w:p>
    <w:p>
      <w:pPr>
        <w:spacing w:after="0" w:line="157" w:lineRule="exact"/>
        <w:rPr>
          <w:sz w:val="20"/>
          <w:szCs w:val="20"/>
          <w:color w:val="auto"/>
        </w:rPr>
      </w:pPr>
    </w:p>
    <w:p>
      <w:pPr>
        <w:ind w:left="840" w:right="199"/>
        <w:spacing w:after="0" w:line="231" w:lineRule="auto"/>
        <w:rPr>
          <w:sz w:val="20"/>
          <w:szCs w:val="20"/>
          <w:color w:val="auto"/>
        </w:rPr>
      </w:pPr>
      <w:r>
        <w:rPr>
          <w:rFonts w:ascii="Arial" w:cs="Arial" w:eastAsia="Arial" w:hAnsi="Arial"/>
          <w:sz w:val="19"/>
          <w:szCs w:val="19"/>
          <w:color w:val="auto"/>
        </w:rPr>
        <w:t>“The shares represented by this certificate are subject to a risk of forfeiture and restrictions on transfer set forth in a certain Stock Restriction Agreement between the corporation and the</w:t>
      </w:r>
    </w:p>
    <w:p>
      <w:pPr>
        <w:ind w:left="840" w:right="199"/>
        <w:spacing w:after="0" w:line="220" w:lineRule="auto"/>
        <w:rPr>
          <w:sz w:val="20"/>
          <w:szCs w:val="20"/>
          <w:color w:val="auto"/>
        </w:rPr>
      </w:pPr>
      <w:r>
        <w:rPr>
          <w:rFonts w:ascii="Arial" w:cs="Arial" w:eastAsia="Arial" w:hAnsi="Arial"/>
          <w:sz w:val="20"/>
          <w:szCs w:val="20"/>
          <w:color w:val="auto"/>
        </w:rPr>
        <w:t>registered owner of this certificate, a copy of which is available for inspection at the offices of the Secretary of the corporation.”</w:t>
      </w:r>
    </w:p>
    <w:p>
      <w:pPr>
        <w:spacing w:after="0" w:line="170" w:lineRule="exact"/>
        <w:rPr>
          <w:sz w:val="20"/>
          <w:szCs w:val="20"/>
          <w:color w:val="auto"/>
        </w:rPr>
      </w:pPr>
    </w:p>
    <w:p>
      <w:pPr>
        <w:jc w:val="both"/>
        <w:ind w:left="180" w:right="199" w:firstLine="652"/>
        <w:spacing w:after="0" w:line="223" w:lineRule="auto"/>
        <w:tabs>
          <w:tab w:leader="none" w:pos="1039"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Adjustments for Stock Splits, Stock Dividends, etc.</w:t>
      </w:r>
      <w:r>
        <w:rPr>
          <w:rFonts w:ascii="Arial" w:cs="Arial" w:eastAsia="Arial" w:hAnsi="Arial"/>
          <w:sz w:val="20"/>
          <w:szCs w:val="20"/>
          <w:color w:val="auto"/>
        </w:rPr>
        <w:t xml:space="preserve"> The number and kind of shares of Common Stock granted to the Stockholder pursuant to this Agreement shall be subject to adjustment as provided in Section 16 of the Plan.</w:t>
      </w:r>
    </w:p>
    <w:p>
      <w:pPr>
        <w:spacing w:after="0" w:line="168" w:lineRule="exact"/>
        <w:rPr>
          <w:rFonts w:ascii="Arial" w:cs="Arial" w:eastAsia="Arial" w:hAnsi="Arial"/>
          <w:sz w:val="20"/>
          <w:szCs w:val="20"/>
          <w:color w:val="auto"/>
        </w:rPr>
      </w:pPr>
    </w:p>
    <w:p>
      <w:pPr>
        <w:jc w:val="both"/>
        <w:ind w:left="180" w:right="199" w:firstLine="652"/>
        <w:spacing w:after="0" w:line="223" w:lineRule="auto"/>
        <w:tabs>
          <w:tab w:leader="none" w:pos="102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will not affect the validity or enforceability of any other provision of this Agreement and each other provision of this Agreement will be severable and enforceable to the extent permitted by law.</w:t>
      </w:r>
    </w:p>
    <w:p>
      <w:pPr>
        <w:spacing w:after="0" w:line="168" w:lineRule="exact"/>
        <w:rPr>
          <w:rFonts w:ascii="Arial" w:cs="Arial" w:eastAsia="Arial" w:hAnsi="Arial"/>
          <w:sz w:val="20"/>
          <w:szCs w:val="20"/>
          <w:color w:val="auto"/>
        </w:rPr>
      </w:pPr>
    </w:p>
    <w:p>
      <w:pPr>
        <w:jc w:val="both"/>
        <w:ind w:left="180" w:right="199" w:firstLine="652"/>
        <w:spacing w:after="0" w:line="252" w:lineRule="auto"/>
        <w:tabs>
          <w:tab w:leader="none" w:pos="102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and shall inure to the benefit of the Company and the Stockholder and their respective heirs, executors, administrators, legal representatives, successors and assigns, as applicable, subject to the restrictions on transfer set forth in Section 4 herein.</w:t>
      </w:r>
    </w:p>
    <w:p>
      <w:pPr>
        <w:spacing w:after="0" w:line="157" w:lineRule="exact"/>
        <w:rPr>
          <w:rFonts w:ascii="Arial" w:cs="Arial" w:eastAsia="Arial" w:hAnsi="Arial"/>
          <w:sz w:val="18"/>
          <w:szCs w:val="18"/>
          <w:color w:val="auto"/>
        </w:rPr>
      </w:pPr>
    </w:p>
    <w:p>
      <w:pPr>
        <w:jc w:val="both"/>
        <w:ind w:left="180" w:right="199" w:firstLine="652"/>
        <w:spacing w:after="0" w:line="223" w:lineRule="auto"/>
        <w:tabs>
          <w:tab w:leader="none" w:pos="115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 Rights to Employment or Other Service</w:t>
      </w:r>
      <w:r>
        <w:rPr>
          <w:rFonts w:ascii="Arial" w:cs="Arial" w:eastAsia="Arial" w:hAnsi="Arial"/>
          <w:sz w:val="20"/>
          <w:szCs w:val="20"/>
          <w:color w:val="auto"/>
        </w:rPr>
        <w:t>. Nothing contained in this Agreement is to be construed as giving the Stockholder any right to be retained, in any position, as an Employee, Director or Consultant of the Company or a Subsidiary.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584835</wp:posOffset>
            </wp:positionV>
            <wp:extent cx="552894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jc w:val="both"/>
        <w:ind w:left="180" w:right="199" w:firstLine="652"/>
        <w:spacing w:after="0" w:line="246" w:lineRule="auto"/>
        <w:tabs>
          <w:tab w:leader="none" w:pos="117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hereunder must be in writing and are deemed effectively given upon personal delivery or upon deposit in the United States Post Office, by registered or certified mail, postage prepaid, addressed to the other party to this Agreement at the address shown above, or at such other address as one party will designate to the other in accordance with this Section 11.</w:t>
      </w:r>
    </w:p>
    <w:p>
      <w:pPr>
        <w:spacing w:after="0" w:line="165" w:lineRule="exact"/>
        <w:rPr>
          <w:rFonts w:ascii="Arial" w:cs="Arial" w:eastAsia="Arial" w:hAnsi="Arial"/>
          <w:sz w:val="18"/>
          <w:szCs w:val="18"/>
          <w:color w:val="auto"/>
        </w:rPr>
      </w:pPr>
    </w:p>
    <w:p>
      <w:pPr>
        <w:jc w:val="both"/>
        <w:ind w:left="180" w:right="199" w:firstLine="652"/>
        <w:spacing w:after="0" w:line="223" w:lineRule="auto"/>
        <w:tabs>
          <w:tab w:leader="none" w:pos="1125"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Pronouns</w:t>
      </w:r>
      <w:r>
        <w:rPr>
          <w:rFonts w:ascii="Arial" w:cs="Arial" w:eastAsia="Arial" w:hAnsi="Arial"/>
          <w:sz w:val="20"/>
          <w:szCs w:val="20"/>
          <w:color w:val="auto"/>
        </w:rPr>
        <w:t>. Whenever the context may require, any pronouns used in this Agreement are deemed to include the corresponding masculine, feminine or neuter forms, and the singular form of nouns and pronouns are deemed to include the plural, and vice versa.</w:t>
      </w:r>
    </w:p>
    <w:p>
      <w:pPr>
        <w:spacing w:after="0" w:line="168" w:lineRule="exact"/>
        <w:rPr>
          <w:rFonts w:ascii="Arial" w:cs="Arial" w:eastAsia="Arial" w:hAnsi="Arial"/>
          <w:sz w:val="20"/>
          <w:szCs w:val="20"/>
          <w:color w:val="auto"/>
        </w:rPr>
      </w:pPr>
    </w:p>
    <w:p>
      <w:pPr>
        <w:ind w:left="180" w:right="199" w:firstLine="652"/>
        <w:spacing w:after="0" w:line="269"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relating to the subject matter of this Agreement.</w:t>
      </w:r>
    </w:p>
    <w:p>
      <w:pPr>
        <w:spacing w:after="0" w:line="143" w:lineRule="exact"/>
        <w:rPr>
          <w:rFonts w:ascii="Arial" w:cs="Arial" w:eastAsia="Arial" w:hAnsi="Arial"/>
          <w:sz w:val="18"/>
          <w:szCs w:val="18"/>
          <w:color w:val="auto"/>
        </w:rPr>
      </w:pPr>
    </w:p>
    <w:p>
      <w:pPr>
        <w:ind w:left="180" w:right="199" w:firstLine="652"/>
        <w:spacing w:after="0" w:line="236" w:lineRule="auto"/>
        <w:tabs>
          <w:tab w:leader="none" w:pos="1165"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executed by both the Company and the Stockholder.</w:t>
      </w:r>
    </w:p>
    <w:p>
      <w:pPr>
        <w:spacing w:after="0" w:line="155" w:lineRule="exact"/>
        <w:rPr>
          <w:rFonts w:ascii="Arial" w:cs="Arial" w:eastAsia="Arial" w:hAnsi="Arial"/>
          <w:sz w:val="20"/>
          <w:szCs w:val="20"/>
          <w:color w:val="auto"/>
        </w:rPr>
      </w:pPr>
    </w:p>
    <w:p>
      <w:pPr>
        <w:jc w:val="both"/>
        <w:ind w:left="180" w:right="199" w:firstLine="652"/>
        <w:spacing w:after="0" w:line="231" w:lineRule="auto"/>
        <w:tabs>
          <w:tab w:leader="none" w:pos="1165"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enforced in accordance with and governed by the General Corporation Law of the State of Delaware as to matters within the scope thereof, and as to all other matters shall be governed by and construed in accordance with the internal laws of the State of Delaware, without giving effect to the principles of conflicts of laws thereof.</w:t>
      </w:r>
    </w:p>
    <w:p>
      <w:pPr>
        <w:spacing w:after="0" w:line="171" w:lineRule="exact"/>
        <w:rPr>
          <w:rFonts w:ascii="Arial" w:cs="Arial" w:eastAsia="Arial" w:hAnsi="Arial"/>
          <w:sz w:val="19"/>
          <w:szCs w:val="19"/>
          <w:color w:val="auto"/>
        </w:rPr>
      </w:pPr>
    </w:p>
    <w:p>
      <w:pPr>
        <w:jc w:val="both"/>
        <w:ind w:left="180" w:right="199" w:firstLine="652"/>
        <w:spacing w:after="0" w:line="239" w:lineRule="auto"/>
        <w:tabs>
          <w:tab w:leader="none" w:pos="112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Compensation Recovery Policy</w:t>
      </w:r>
      <w:r>
        <w:rPr>
          <w:rFonts w:ascii="Arial" w:cs="Arial" w:eastAsia="Arial" w:hAnsi="Arial"/>
          <w:sz w:val="18"/>
          <w:szCs w:val="18"/>
          <w:color w:val="auto"/>
        </w:rPr>
        <w:t>. The Restricted Shares granted pursuant to this Agreement shall be subject to forfeiture or repayment pursuant to the terms of any applicable compensation recovery policy that may be adopted or maintained by the Company from time to time, including any such policy adopted to comply with the Dodd-Frank Wall Street Reform and Consumer Protection Act or any rules or regulations issued by the Securities and Exchange Commission or applicable securities exchange.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576580</wp:posOffset>
            </wp:positionV>
            <wp:extent cx="552894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ind w:left="840"/>
        <w:spacing w:after="0"/>
        <w:rPr>
          <w:sz w:val="20"/>
          <w:szCs w:val="20"/>
          <w:color w:val="auto"/>
        </w:rPr>
      </w:pPr>
      <w:r>
        <w:rPr>
          <w:rFonts w:ascii="Arial" w:cs="Arial" w:eastAsia="Arial" w:hAnsi="Arial"/>
          <w:sz w:val="16"/>
          <w:szCs w:val="16"/>
          <w:color w:val="auto"/>
        </w:rPr>
        <w:t>IN WITNESS WHEREOF, the parties hereto have executed this Agreement as of the Date of Grant.</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TILE SHOP HOLDINGS, INC.</w:t>
      </w:r>
    </w:p>
    <w:p>
      <w:pPr>
        <w:spacing w:after="0" w:line="200" w:lineRule="exact"/>
        <w:rPr>
          <w:sz w:val="20"/>
          <w:szCs w:val="20"/>
          <w:color w:val="auto"/>
        </w:rPr>
      </w:pPr>
    </w:p>
    <w:p>
      <w:pPr>
        <w:spacing w:after="0" w:line="219"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___________________________________________</w:t>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[__________________________________________]</w:t>
      </w:r>
    </w:p>
    <w:p>
      <w:pPr>
        <w:ind w:left="3860"/>
        <w:spacing w:after="0"/>
        <w:rPr>
          <w:sz w:val="20"/>
          <w:szCs w:val="20"/>
          <w:color w:val="auto"/>
        </w:rPr>
      </w:pPr>
      <w:r>
        <w:rPr>
          <w:rFonts w:ascii="Arial" w:cs="Arial" w:eastAsia="Arial" w:hAnsi="Arial"/>
          <w:sz w:val="18"/>
          <w:szCs w:val="18"/>
          <w:color w:val="auto"/>
        </w:rPr>
        <w:t>Title: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STOCKHOLDER</w:t>
      </w:r>
    </w:p>
    <w:p>
      <w:pPr>
        <w:spacing w:after="0" w:line="200" w:lineRule="exact"/>
        <w:rPr>
          <w:sz w:val="20"/>
          <w:szCs w:val="20"/>
          <w:color w:val="auto"/>
        </w:rPr>
      </w:pPr>
    </w:p>
    <w:p>
      <w:pPr>
        <w:spacing w:after="0" w:line="23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-134620</wp:posOffset>
            </wp:positionV>
            <wp:extent cx="30175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983615</wp:posOffset>
            </wp:positionV>
            <wp:extent cx="552894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74" w:name="page75"/>
    <w:bookmarkEnd w:id="74"/>
    <w:p>
      <w:pPr>
        <w:ind w:left="7700"/>
        <w:spacing w:after="0"/>
        <w:rPr>
          <w:sz w:val="20"/>
          <w:szCs w:val="20"/>
          <w:color w:val="auto"/>
        </w:rPr>
      </w:pPr>
      <w:r>
        <w:rPr>
          <w:rFonts w:ascii="Arial" w:cs="Arial" w:eastAsia="Arial" w:hAnsi="Arial"/>
          <w:sz w:val="18"/>
          <w:szCs w:val="18"/>
          <w:b w:val="1"/>
          <w:bCs w:val="1"/>
          <w:color w:val="auto"/>
        </w:rPr>
        <w:t>Exhibit 10.20</w:t>
      </w:r>
    </w:p>
    <w:p>
      <w:pPr>
        <w:jc w:val="center"/>
        <w:ind w:right="59"/>
        <w:spacing w:after="0" w:line="215" w:lineRule="auto"/>
        <w:rPr>
          <w:sz w:val="20"/>
          <w:szCs w:val="20"/>
          <w:color w:val="auto"/>
        </w:rPr>
      </w:pPr>
      <w:r>
        <w:rPr>
          <w:rFonts w:ascii="Arial" w:cs="Arial" w:eastAsia="Arial" w:hAnsi="Arial"/>
          <w:sz w:val="20"/>
          <w:szCs w:val="20"/>
          <w:b w:val="1"/>
          <w:bCs w:val="1"/>
          <w:color w:val="auto"/>
        </w:rPr>
        <w:t>TILE SHOP HOLDINGS, INC.</w:t>
      </w:r>
    </w:p>
    <w:p>
      <w:pPr>
        <w:jc w:val="center"/>
        <w:ind w:right="59"/>
        <w:spacing w:after="0"/>
        <w:rPr>
          <w:sz w:val="20"/>
          <w:szCs w:val="20"/>
          <w:color w:val="auto"/>
        </w:rPr>
      </w:pPr>
      <w:r>
        <w:rPr>
          <w:rFonts w:ascii="Arial" w:cs="Arial" w:eastAsia="Arial" w:hAnsi="Arial"/>
          <w:sz w:val="20"/>
          <w:szCs w:val="20"/>
          <w:b w:val="1"/>
          <w:bCs w:val="1"/>
          <w:color w:val="auto"/>
        </w:rPr>
        <w:t>FORM OF PERFORMANCE-BASED STOCK RESTRICTION AGREEMENT</w:t>
      </w:r>
    </w:p>
    <w:p>
      <w:pPr>
        <w:spacing w:after="0" w:line="161" w:lineRule="exact"/>
        <w:rPr>
          <w:sz w:val="20"/>
          <w:szCs w:val="20"/>
          <w:color w:val="auto"/>
        </w:rPr>
      </w:pPr>
    </w:p>
    <w:p>
      <w:pPr>
        <w:ind w:left="840"/>
        <w:spacing w:after="0"/>
        <w:tabs>
          <w:tab w:leader="none" w:pos="6940" w:val="left"/>
        </w:tabs>
        <w:rPr>
          <w:sz w:val="20"/>
          <w:szCs w:val="20"/>
          <w:color w:val="auto"/>
        </w:rPr>
      </w:pPr>
      <w:r>
        <w:rPr>
          <w:rFonts w:ascii="Arial" w:cs="Arial" w:eastAsia="Arial" w:hAnsi="Arial"/>
          <w:sz w:val="20"/>
          <w:szCs w:val="20"/>
          <w:color w:val="auto"/>
        </w:rPr>
        <w:t>This Agreement (the “Agreement”) is made this [__] day of [______],</w:t>
        <w:tab/>
        <w:t>[202[3]] (the “Date of</w:t>
      </w:r>
    </w:p>
    <w:p>
      <w:pPr>
        <w:ind w:left="180" w:right="199"/>
        <w:spacing w:after="0" w:line="215" w:lineRule="auto"/>
        <w:rPr>
          <w:sz w:val="20"/>
          <w:szCs w:val="20"/>
          <w:color w:val="auto"/>
        </w:rPr>
      </w:pPr>
      <w:r>
        <w:rPr>
          <w:rFonts w:ascii="Arial" w:cs="Arial" w:eastAsia="Arial" w:hAnsi="Arial"/>
          <w:sz w:val="19"/>
          <w:szCs w:val="19"/>
          <w:color w:val="auto"/>
        </w:rPr>
        <w:t>Grant”), by and between Tile Shop Holdings, Inc. (the “Company”), a Delaware corporation with its principal place of business at 14000 Carlson Parkway, Plymouth, MN 55441 and [NAME], an individual</w:t>
      </w:r>
    </w:p>
    <w:p>
      <w:pPr>
        <w:ind w:left="180"/>
        <w:spacing w:after="0" w:line="234" w:lineRule="auto"/>
        <w:rPr>
          <w:sz w:val="20"/>
          <w:szCs w:val="20"/>
          <w:color w:val="auto"/>
        </w:rPr>
      </w:pPr>
      <w:r>
        <w:rPr>
          <w:rFonts w:ascii="Arial" w:cs="Arial" w:eastAsia="Arial" w:hAnsi="Arial"/>
          <w:sz w:val="18"/>
          <w:szCs w:val="18"/>
          <w:color w:val="auto"/>
        </w:rPr>
        <w:t>having an address at [ADDRESS] (the “Stockholder”). Capitalized terms used but not otherwise defined</w:t>
      </w:r>
    </w:p>
    <w:p>
      <w:pPr>
        <w:spacing w:after="0" w:line="1" w:lineRule="exact"/>
        <w:rPr>
          <w:sz w:val="20"/>
          <w:szCs w:val="20"/>
          <w:color w:val="auto"/>
        </w:rPr>
      </w:pPr>
    </w:p>
    <w:p>
      <w:pPr>
        <w:ind w:left="180" w:right="199"/>
        <w:spacing w:after="0" w:line="215" w:lineRule="auto"/>
        <w:rPr>
          <w:sz w:val="20"/>
          <w:szCs w:val="20"/>
          <w:color w:val="auto"/>
        </w:rPr>
      </w:pPr>
      <w:r>
        <w:rPr>
          <w:rFonts w:ascii="Arial" w:cs="Arial" w:eastAsia="Arial" w:hAnsi="Arial"/>
          <w:sz w:val="19"/>
          <w:szCs w:val="19"/>
          <w:color w:val="auto"/>
        </w:rPr>
        <w:t>herein shall have the meaning ascribed to such terms in the Company’s 2021 Omnibus Equity Compensation Plan (the “Plan”). To the extent that any term of this Agreement conflicts or is otherwise</w:t>
      </w:r>
    </w:p>
    <w:p>
      <w:pPr>
        <w:ind w:left="180" w:right="199"/>
        <w:spacing w:after="0" w:line="227" w:lineRule="auto"/>
        <w:rPr>
          <w:sz w:val="20"/>
          <w:szCs w:val="20"/>
          <w:color w:val="auto"/>
        </w:rPr>
      </w:pPr>
      <w:r>
        <w:rPr>
          <w:rFonts w:ascii="Arial" w:cs="Arial" w:eastAsia="Arial" w:hAnsi="Arial"/>
          <w:sz w:val="20"/>
          <w:szCs w:val="20"/>
          <w:color w:val="auto"/>
        </w:rPr>
        <w:t>inconsistent with any term of the Plan, as amended from time to time, the terms of the Plan shall take precedence and supersede any such conflict or inconsistent term contained herein.</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WHEREAS, the Stockholder is, on the date hereof, an Employee of the Company or a Subsidiary;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and</w:t>
      </w:r>
    </w:p>
    <w:p>
      <w:pPr>
        <w:spacing w:after="0" w:line="173" w:lineRule="exact"/>
        <w:rPr>
          <w:sz w:val="20"/>
          <w:szCs w:val="20"/>
          <w:color w:val="auto"/>
        </w:rPr>
      </w:pPr>
    </w:p>
    <w:p>
      <w:pPr>
        <w:ind w:left="180" w:right="199" w:firstLine="648"/>
        <w:spacing w:after="0" w:line="236" w:lineRule="auto"/>
        <w:rPr>
          <w:sz w:val="20"/>
          <w:szCs w:val="20"/>
          <w:color w:val="auto"/>
        </w:rPr>
      </w:pPr>
      <w:r>
        <w:rPr>
          <w:rFonts w:ascii="Arial" w:cs="Arial" w:eastAsia="Arial" w:hAnsi="Arial"/>
          <w:sz w:val="18"/>
          <w:szCs w:val="18"/>
          <w:color w:val="auto"/>
        </w:rPr>
        <w:t>WHEREAS, pursuant to the Plan, the Company wishes to grant a restricted stock award to the Stockholder for [# of SHARES] shares (the “Performance Shares”) of common stock, par value $0.0001 per</w:t>
      </w:r>
    </w:p>
    <w:p>
      <w:pPr>
        <w:ind w:left="180"/>
        <w:spacing w:after="0"/>
        <w:rPr>
          <w:sz w:val="20"/>
          <w:szCs w:val="20"/>
          <w:color w:val="auto"/>
        </w:rPr>
      </w:pPr>
      <w:r>
        <w:rPr>
          <w:rFonts w:ascii="Arial" w:cs="Arial" w:eastAsia="Arial" w:hAnsi="Arial"/>
          <w:sz w:val="20"/>
          <w:szCs w:val="20"/>
          <w:color w:val="auto"/>
        </w:rPr>
        <w:t>share, of the Company (“Common Stock”).</w:t>
      </w:r>
    </w:p>
    <w:p>
      <w:pPr>
        <w:spacing w:after="0" w:line="173" w:lineRule="exact"/>
        <w:rPr>
          <w:sz w:val="20"/>
          <w:szCs w:val="20"/>
          <w:color w:val="auto"/>
        </w:rPr>
      </w:pPr>
    </w:p>
    <w:p>
      <w:pPr>
        <w:ind w:left="180" w:right="199" w:firstLine="648"/>
        <w:spacing w:after="0" w:line="229" w:lineRule="auto"/>
        <w:rPr>
          <w:sz w:val="20"/>
          <w:szCs w:val="20"/>
          <w:color w:val="auto"/>
        </w:rPr>
      </w:pPr>
      <w:r>
        <w:rPr>
          <w:rFonts w:ascii="Arial" w:cs="Arial" w:eastAsia="Arial" w:hAnsi="Arial"/>
          <w:sz w:val="20"/>
          <w:szCs w:val="20"/>
          <w:color w:val="auto"/>
        </w:rPr>
        <w:t>NOW, THEREFORE, for valuable consideration, the receipt and sufficiency of which is hereby acknowledged, the Company and the Stockholder agree as follows:</w:t>
      </w:r>
    </w:p>
    <w:p>
      <w:pPr>
        <w:spacing w:after="0" w:line="169" w:lineRule="exact"/>
        <w:rPr>
          <w:sz w:val="20"/>
          <w:szCs w:val="20"/>
          <w:color w:val="auto"/>
        </w:rPr>
      </w:pPr>
    </w:p>
    <w:p>
      <w:pPr>
        <w:jc w:val="both"/>
        <w:ind w:left="180" w:right="199" w:firstLine="652"/>
        <w:spacing w:after="0" w:line="215" w:lineRule="auto"/>
        <w:tabs>
          <w:tab w:leader="none" w:pos="1039"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Performance Shares to be Subject to Restriction</w:t>
      </w:r>
      <w:r>
        <w:rPr>
          <w:rFonts w:ascii="Arial" w:cs="Arial" w:eastAsia="Arial" w:hAnsi="Arial"/>
          <w:sz w:val="20"/>
          <w:szCs w:val="20"/>
          <w:color w:val="auto"/>
        </w:rPr>
        <w:t>. The Stockholder agrees that the Performance Shares shall be subject to the risks of forfeiture set forth in Section 2 of this Agreement, to the restrictions on transfer set forth in Section 4 of this Agreement, and to any additional provisions of the Plan applicable to such Performance Shares during the period that such risks of forfeiture and restrictions on transfer are applicable (the “Restriction Period”).</w:t>
      </w:r>
    </w:p>
    <w:p>
      <w:pPr>
        <w:spacing w:after="0" w:line="171" w:lineRule="exact"/>
        <w:rPr>
          <w:rFonts w:ascii="Arial" w:cs="Arial" w:eastAsia="Arial" w:hAnsi="Arial"/>
          <w:sz w:val="20"/>
          <w:szCs w:val="20"/>
          <w:color w:val="auto"/>
        </w:rPr>
      </w:pPr>
    </w:p>
    <w:p>
      <w:pPr>
        <w:ind w:left="1020" w:hanging="188"/>
        <w:spacing w:after="0"/>
        <w:tabs>
          <w:tab w:leader="none" w:pos="102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840" w:right="199" w:firstLine="648"/>
        <w:spacing w:after="0" w:line="236" w:lineRule="auto"/>
        <w:rPr>
          <w:rFonts w:ascii="Arial" w:cs="Arial" w:eastAsia="Arial" w:hAnsi="Arial"/>
          <w:sz w:val="20"/>
          <w:szCs w:val="20"/>
          <w:color w:val="auto"/>
        </w:rPr>
      </w:pPr>
      <w:r>
        <w:rPr>
          <w:rFonts w:ascii="Arial" w:cs="Arial" w:eastAsia="Arial" w:hAnsi="Arial"/>
          <w:sz w:val="18"/>
          <w:szCs w:val="18"/>
          <w:color w:val="auto"/>
        </w:rPr>
        <w:t>a. The Performance Shares shall be forfeitable until the risks of forfeiture lapse according to the following schedule and the satisfaction of the other conditions set forth in this Section</w:t>
      </w:r>
    </w:p>
    <w:p>
      <w:pPr>
        <w:ind w:left="840"/>
        <w:spacing w:after="0"/>
        <w:rPr>
          <w:rFonts w:ascii="Arial" w:cs="Arial" w:eastAsia="Arial" w:hAnsi="Arial"/>
          <w:sz w:val="20"/>
          <w:szCs w:val="20"/>
          <w:color w:val="auto"/>
        </w:rPr>
      </w:pPr>
      <w:r>
        <w:rPr>
          <w:rFonts w:ascii="Arial" w:cs="Arial" w:eastAsia="Arial" w:hAnsi="Arial"/>
          <w:sz w:val="18"/>
          <w:szCs w:val="18"/>
          <w:color w:val="auto"/>
        </w:rPr>
        <w:t>2(a) (subject to such rounding conventions as may be employed by the Company from time to time):</w:t>
      </w:r>
    </w:p>
    <w:p>
      <w:pPr>
        <w:spacing w:after="0" w:line="384" w:lineRule="exact"/>
        <w:rPr>
          <w:rFonts w:ascii="Arial" w:cs="Arial" w:eastAsia="Arial" w:hAnsi="Arial"/>
          <w:sz w:val="20"/>
          <w:szCs w:val="20"/>
          <w:color w:val="auto"/>
        </w:rPr>
      </w:pPr>
    </w:p>
    <w:p>
      <w:pPr>
        <w:jc w:val="both"/>
        <w:ind w:left="1480" w:right="199" w:firstLine="648"/>
        <w:spacing w:after="0" w:line="227" w:lineRule="auto"/>
        <w:tabs>
          <w:tab w:leader="none" w:pos="2372" w:val="left"/>
        </w:tabs>
        <w:numPr>
          <w:ilvl w:val="2"/>
          <w:numId w:val="38"/>
        </w:numPr>
        <w:rPr>
          <w:rFonts w:ascii="Arial" w:cs="Arial" w:eastAsia="Arial" w:hAnsi="Arial"/>
          <w:sz w:val="20"/>
          <w:szCs w:val="20"/>
          <w:color w:val="auto"/>
        </w:rPr>
      </w:pPr>
      <w:r>
        <w:rPr>
          <w:rFonts w:ascii="Arial" w:cs="Arial" w:eastAsia="Arial" w:hAnsi="Arial"/>
          <w:sz w:val="20"/>
          <w:szCs w:val="20"/>
          <w:color w:val="auto"/>
        </w:rPr>
        <w:t>[30]% of the Performance Shares shall vest on the day that the Company files with the Securities and Exchange Commission its annual report for the year ended December 31, [202[3]];</w:t>
      </w:r>
    </w:p>
    <w:p>
      <w:pPr>
        <w:spacing w:after="0" w:line="157" w:lineRule="exact"/>
        <w:rPr>
          <w:rFonts w:ascii="Arial" w:cs="Arial" w:eastAsia="Arial" w:hAnsi="Arial"/>
          <w:sz w:val="20"/>
          <w:szCs w:val="20"/>
          <w:color w:val="auto"/>
        </w:rPr>
      </w:pPr>
    </w:p>
    <w:p>
      <w:pPr>
        <w:jc w:val="both"/>
        <w:ind w:left="1480" w:right="199" w:firstLine="648"/>
        <w:spacing w:after="0" w:line="227" w:lineRule="auto"/>
        <w:tabs>
          <w:tab w:leader="none" w:pos="2386" w:val="left"/>
        </w:tabs>
        <w:numPr>
          <w:ilvl w:val="2"/>
          <w:numId w:val="38"/>
        </w:numPr>
        <w:rPr>
          <w:rFonts w:ascii="Arial" w:cs="Arial" w:eastAsia="Arial" w:hAnsi="Arial"/>
          <w:sz w:val="20"/>
          <w:szCs w:val="20"/>
          <w:color w:val="auto"/>
        </w:rPr>
      </w:pPr>
      <w:r>
        <w:rPr>
          <w:rFonts w:ascii="Arial" w:cs="Arial" w:eastAsia="Arial" w:hAnsi="Arial"/>
          <w:sz w:val="20"/>
          <w:szCs w:val="20"/>
          <w:color w:val="auto"/>
        </w:rPr>
        <w:t>[30]% of the Performance Shares shall vesting on the day that the Company files with the Securities and Exchange Commission its annual report for the year ended December 31, [202[4]]; and</w:t>
      </w:r>
    </w:p>
    <w:p>
      <w:pPr>
        <w:spacing w:after="0" w:line="157" w:lineRule="exact"/>
        <w:rPr>
          <w:rFonts w:ascii="Arial" w:cs="Arial" w:eastAsia="Arial" w:hAnsi="Arial"/>
          <w:sz w:val="20"/>
          <w:szCs w:val="20"/>
          <w:color w:val="auto"/>
        </w:rPr>
      </w:pPr>
    </w:p>
    <w:p>
      <w:pPr>
        <w:jc w:val="both"/>
        <w:ind w:left="1480" w:right="199" w:firstLine="648"/>
        <w:spacing w:after="0" w:line="227" w:lineRule="auto"/>
        <w:tabs>
          <w:tab w:leader="none" w:pos="2468" w:val="left"/>
        </w:tabs>
        <w:numPr>
          <w:ilvl w:val="2"/>
          <w:numId w:val="38"/>
        </w:numPr>
        <w:rPr>
          <w:rFonts w:ascii="Arial" w:cs="Arial" w:eastAsia="Arial" w:hAnsi="Arial"/>
          <w:sz w:val="20"/>
          <w:szCs w:val="20"/>
          <w:color w:val="auto"/>
        </w:rPr>
      </w:pPr>
      <w:r>
        <w:rPr>
          <w:rFonts w:ascii="Arial" w:cs="Arial" w:eastAsia="Arial" w:hAnsi="Arial"/>
          <w:sz w:val="20"/>
          <w:szCs w:val="20"/>
          <w:color w:val="auto"/>
        </w:rPr>
        <w:t>[40]% of the Performance Shares shall vest on the day that the Company files with the Securities and Exchange Commission its annual report for the year ended December 31, [202[5]];</w:t>
      </w:r>
    </w:p>
    <w:p>
      <w:pPr>
        <w:spacing w:after="0" w:line="157" w:lineRule="exact"/>
        <w:rPr>
          <w:sz w:val="20"/>
          <w:szCs w:val="20"/>
          <w:color w:val="auto"/>
        </w:rPr>
      </w:pPr>
    </w:p>
    <w:p>
      <w:pPr>
        <w:ind w:left="840" w:right="199" w:firstLine="648"/>
        <w:spacing w:after="0" w:line="24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(x) the Stockholder remains in continuous employment with the Company or a Subsidiary through December 31 of the year preceding the applicable vesting</w:t>
      </w:r>
    </w:p>
    <w:p>
      <w:pPr>
        <w:ind w:left="840" w:right="199"/>
        <w:spacing w:after="0" w:line="226" w:lineRule="auto"/>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(y) for the applicable year, the Company achieves [15]%, [20]%, and [20]% [adjusted pre-tax return on capital employed (based on operating income before performance share expense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divided by capital employed reported in the Company’s annual report for the applicable year)],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721995</wp:posOffset>
            </wp:positionV>
            <wp:extent cx="552894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ind w:left="840"/>
        <w:spacing w:after="0"/>
        <w:rPr>
          <w:sz w:val="20"/>
          <w:szCs w:val="20"/>
          <w:color w:val="auto"/>
        </w:rPr>
      </w:pPr>
      <w:r>
        <w:rPr>
          <w:rFonts w:ascii="Arial" w:cs="Arial" w:eastAsia="Arial" w:hAnsi="Arial"/>
          <w:sz w:val="20"/>
          <w:szCs w:val="20"/>
          <w:color w:val="auto"/>
        </w:rPr>
        <w:t>the years ended December 31, [202[3], 202[4], and 202[5]], respectively.</w:t>
      </w:r>
    </w:p>
    <w:p>
      <w:pPr>
        <w:spacing w:after="0" w:line="190" w:lineRule="exact"/>
        <w:rPr>
          <w:sz w:val="20"/>
          <w:szCs w:val="20"/>
          <w:color w:val="auto"/>
        </w:rPr>
      </w:pPr>
    </w:p>
    <w:p>
      <w:pPr>
        <w:jc w:val="both"/>
        <w:ind w:left="840" w:right="199" w:firstLine="648"/>
        <w:spacing w:after="0" w:line="236" w:lineRule="auto"/>
        <w:rPr>
          <w:sz w:val="20"/>
          <w:szCs w:val="20"/>
          <w:color w:val="auto"/>
        </w:rPr>
      </w:pPr>
      <w:r>
        <w:rPr>
          <w:rFonts w:ascii="Arial" w:cs="Arial" w:eastAsia="Arial" w:hAnsi="Arial"/>
          <w:sz w:val="18"/>
          <w:szCs w:val="18"/>
          <w:color w:val="auto"/>
        </w:rPr>
        <w:t>b. Any Performance Shares as to which the risks of forfeiture have not lapsed shall be forfeited immediately if (i) the Stockholder ceases to be continuously employed by the Company or</w:t>
      </w:r>
    </w:p>
    <w:p>
      <w:pPr>
        <w:jc w:val="both"/>
        <w:ind w:left="840" w:right="199"/>
        <w:spacing w:after="0" w:line="227" w:lineRule="auto"/>
        <w:rPr>
          <w:sz w:val="20"/>
          <w:szCs w:val="20"/>
          <w:color w:val="auto"/>
        </w:rPr>
      </w:pPr>
      <w:r>
        <w:rPr>
          <w:rFonts w:ascii="Arial" w:cs="Arial" w:eastAsia="Arial" w:hAnsi="Arial"/>
          <w:sz w:val="20"/>
          <w:szCs w:val="20"/>
          <w:color w:val="auto"/>
        </w:rPr>
        <w:t>a Subsidiary for any reason or no reason, with or without cause; or (ii) the Company fails to achieve the applicable percentage of the profit metric for the applicable year.</w:t>
      </w:r>
    </w:p>
    <w:p>
      <w:pPr>
        <w:spacing w:after="0" w:line="156" w:lineRule="exact"/>
        <w:rPr>
          <w:sz w:val="20"/>
          <w:szCs w:val="20"/>
          <w:color w:val="auto"/>
        </w:rPr>
      </w:pPr>
    </w:p>
    <w:p>
      <w:pPr>
        <w:jc w:val="both"/>
        <w:ind w:left="840" w:right="199" w:firstLine="648"/>
        <w:spacing w:after="0" w:line="227" w:lineRule="auto"/>
        <w:rPr>
          <w:sz w:val="20"/>
          <w:szCs w:val="20"/>
          <w:color w:val="auto"/>
        </w:rPr>
      </w:pPr>
      <w:r>
        <w:rPr>
          <w:rFonts w:ascii="Arial" w:cs="Arial" w:eastAsia="Arial" w:hAnsi="Arial"/>
          <w:sz w:val="20"/>
          <w:szCs w:val="20"/>
          <w:color w:val="auto"/>
        </w:rPr>
        <w:t>c. Notwithstanding the foregoing provisions of this Section 2, in the event of a Change of Control during the Restriction Period, the vesting schedule set forth in this Section 2 may be accelerated in whole or in part at the sole discretion of the Committee.</w:t>
      </w:r>
    </w:p>
    <w:p>
      <w:pPr>
        <w:spacing w:after="0" w:line="157" w:lineRule="exact"/>
        <w:rPr>
          <w:sz w:val="20"/>
          <w:szCs w:val="20"/>
          <w:color w:val="auto"/>
        </w:rPr>
      </w:pPr>
    </w:p>
    <w:p>
      <w:pPr>
        <w:jc w:val="both"/>
        <w:ind w:left="180" w:right="199" w:firstLine="652"/>
        <w:spacing w:after="0" w:line="234" w:lineRule="auto"/>
        <w:tabs>
          <w:tab w:leader="none" w:pos="103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xml:space="preserve">. The Stockholder shall have all rights as a stockholder with respect to the Performance Shares subject to forfeiture, including the right to vote,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while any portion of the Performance Shares remains unvested, [any dividends paid with respect to the unvested Performance Shares shall be automatically deferred and accumulated by the Company in a notional bookkeeping account, and shall be paid to the Stockholder in cash (without interest) only at such time(s) as the underlying Performance Shares become vested in accordance with this Agreement, with the Stockholder’s right to payment of any such dividends being subject to the same risk of forfeiture, restrictions on transferability, and other terms of this Agreement as are the Performance Shares with respect to which the dividends otherwise were payable]. Further, any Shares received by the Stockholder in connection with any stock dividends or distributions payable with respect to unvested Performance Shares shall be subject to the same vesting conditions and transfer restrictions as the underlying Performance Shares and shall be subject to such adjustments as contemplated by Section 7 of this Agreement.</w:t>
      </w:r>
    </w:p>
    <w:p>
      <w:pPr>
        <w:spacing w:after="0" w:line="170" w:lineRule="exact"/>
        <w:rPr>
          <w:rFonts w:ascii="Arial" w:cs="Arial" w:eastAsia="Arial" w:hAnsi="Arial"/>
          <w:sz w:val="18"/>
          <w:szCs w:val="18"/>
          <w:color w:val="auto"/>
        </w:rPr>
      </w:pPr>
    </w:p>
    <w:p>
      <w:pPr>
        <w:jc w:val="both"/>
        <w:ind w:left="180" w:right="199" w:firstLine="652"/>
        <w:spacing w:after="0" w:line="298" w:lineRule="auto"/>
        <w:tabs>
          <w:tab w:leader="none" w:pos="102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The Stockholder shall not, until the risks of forfeiture lapse, sell, assign, transfer, pledge, hypothecate or otherwise dispose of, by operation of law or otherwise, any of the Performance Shares, or any interest therein, unless and until such are no longer subject to a risk of forfeiture.</w:t>
      </w:r>
    </w:p>
    <w:p>
      <w:pPr>
        <w:spacing w:after="0" w:line="124" w:lineRule="exact"/>
        <w:rPr>
          <w:rFonts w:ascii="Arial" w:cs="Arial" w:eastAsia="Arial" w:hAnsi="Arial"/>
          <w:sz w:val="16"/>
          <w:szCs w:val="16"/>
          <w:color w:val="auto"/>
        </w:rPr>
      </w:pPr>
    </w:p>
    <w:p>
      <w:pPr>
        <w:jc w:val="both"/>
        <w:ind w:left="180" w:right="199" w:firstLine="652"/>
        <w:spacing w:after="0" w:line="231" w:lineRule="auto"/>
        <w:tabs>
          <w:tab w:leader="none" w:pos="102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Effect of Prohibited Transfer</w:t>
      </w:r>
      <w:r>
        <w:rPr>
          <w:rFonts w:ascii="Arial" w:cs="Arial" w:eastAsia="Arial" w:hAnsi="Arial"/>
          <w:sz w:val="19"/>
          <w:szCs w:val="19"/>
          <w:color w:val="auto"/>
        </w:rPr>
        <w:t>. The Company will not be required (a) to transfer on its books any Performance Shares which have been sold or transferred in violation of any of the provisions set forth in this Agreement, or (b) to treat as owner of such Performance Shares, or to pay dividends to, any transferee to whom any such Performance Shares have been so sold or transferred.</w:t>
      </w:r>
    </w:p>
    <w:p>
      <w:pPr>
        <w:spacing w:after="0" w:line="171" w:lineRule="exact"/>
        <w:rPr>
          <w:rFonts w:ascii="Arial" w:cs="Arial" w:eastAsia="Arial" w:hAnsi="Arial"/>
          <w:sz w:val="19"/>
          <w:szCs w:val="19"/>
          <w:color w:val="auto"/>
        </w:rPr>
      </w:pPr>
    </w:p>
    <w:p>
      <w:pPr>
        <w:jc w:val="both"/>
        <w:ind w:left="180" w:right="199" w:firstLine="652"/>
        <w:spacing w:after="0" w:line="223" w:lineRule="auto"/>
        <w:tabs>
          <w:tab w:leader="none" w:pos="1089"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Restrictive Legend</w:t>
      </w:r>
      <w:r>
        <w:rPr>
          <w:rFonts w:ascii="Arial" w:cs="Arial" w:eastAsia="Arial" w:hAnsi="Arial"/>
          <w:sz w:val="20"/>
          <w:szCs w:val="20"/>
          <w:color w:val="auto"/>
        </w:rPr>
        <w:t>. Any certificates or book entries representing Performance Shares subject to this Agreement shall bear a legend in substantially the following form, in addition to any other legends that may be required under applicable federal or state securities laws:</w:t>
      </w:r>
    </w:p>
    <w:p>
      <w:pPr>
        <w:spacing w:after="0" w:line="169" w:lineRule="exact"/>
        <w:rPr>
          <w:sz w:val="20"/>
          <w:szCs w:val="20"/>
          <w:color w:val="auto"/>
        </w:rPr>
      </w:pPr>
    </w:p>
    <w:p>
      <w:pPr>
        <w:ind w:left="840" w:right="199"/>
        <w:spacing w:after="0" w:line="223" w:lineRule="auto"/>
        <w:rPr>
          <w:sz w:val="20"/>
          <w:szCs w:val="20"/>
          <w:color w:val="auto"/>
        </w:rPr>
      </w:pPr>
      <w:r>
        <w:rPr>
          <w:rFonts w:ascii="Arial" w:cs="Arial" w:eastAsia="Arial" w:hAnsi="Arial"/>
          <w:sz w:val="19"/>
          <w:szCs w:val="19"/>
          <w:color w:val="auto"/>
        </w:rPr>
        <w:t>“The shares represented by this certificate are subject to a risk of forfeiture and restrictions on transfer set forth in a certain Stock Restriction Agreement between the corporation and the</w:t>
      </w:r>
    </w:p>
    <w:p>
      <w:pPr>
        <w:spacing w:after="0" w:line="1" w:lineRule="exact"/>
        <w:rPr>
          <w:sz w:val="20"/>
          <w:szCs w:val="20"/>
          <w:color w:val="auto"/>
        </w:rPr>
      </w:pPr>
    </w:p>
    <w:p>
      <w:pPr>
        <w:ind w:left="840" w:right="199"/>
        <w:spacing w:after="0" w:line="227" w:lineRule="auto"/>
        <w:rPr>
          <w:sz w:val="20"/>
          <w:szCs w:val="20"/>
          <w:color w:val="auto"/>
        </w:rPr>
      </w:pPr>
      <w:r>
        <w:rPr>
          <w:rFonts w:ascii="Arial" w:cs="Arial" w:eastAsia="Arial" w:hAnsi="Arial"/>
          <w:sz w:val="20"/>
          <w:szCs w:val="20"/>
          <w:color w:val="auto"/>
        </w:rPr>
        <w:t>registered owner of this certificate, a copy of which is available for inspection at the offices of the Secretary of the corporation.”</w:t>
      </w:r>
    </w:p>
    <w:p>
      <w:pPr>
        <w:spacing w:after="0" w:line="156" w:lineRule="exact"/>
        <w:rPr>
          <w:sz w:val="20"/>
          <w:szCs w:val="20"/>
          <w:color w:val="auto"/>
        </w:rPr>
      </w:pPr>
    </w:p>
    <w:p>
      <w:pPr>
        <w:jc w:val="both"/>
        <w:ind w:left="180" w:right="199" w:firstLine="652"/>
        <w:spacing w:after="0" w:line="227" w:lineRule="auto"/>
        <w:tabs>
          <w:tab w:leader="none" w:pos="1039"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Adjustments for Stock Splits, Stock Dividends, etc.</w:t>
      </w:r>
      <w:r>
        <w:rPr>
          <w:rFonts w:ascii="Arial" w:cs="Arial" w:eastAsia="Arial" w:hAnsi="Arial"/>
          <w:sz w:val="20"/>
          <w:szCs w:val="20"/>
          <w:color w:val="auto"/>
        </w:rPr>
        <w:t xml:space="preserve"> The number and kind of shares of Common Stock granted to the Stockholder pursuant to this Agreement shall be subject to adjustment as provided in Section 16 of the Plan.</w:t>
      </w:r>
    </w:p>
    <w:p>
      <w:pPr>
        <w:spacing w:after="0" w:line="157" w:lineRule="exact"/>
        <w:rPr>
          <w:rFonts w:ascii="Arial" w:cs="Arial" w:eastAsia="Arial" w:hAnsi="Arial"/>
          <w:sz w:val="20"/>
          <w:szCs w:val="20"/>
          <w:color w:val="auto"/>
        </w:rPr>
      </w:pPr>
    </w:p>
    <w:p>
      <w:pPr>
        <w:jc w:val="both"/>
        <w:ind w:left="180" w:right="199" w:firstLine="652"/>
        <w:spacing w:after="0" w:line="227" w:lineRule="auto"/>
        <w:tabs>
          <w:tab w:leader="none" w:pos="1026"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will not affect the validity or enforceability of any other provision of this Agreement and each other provision of this Agreement will be severable and enforceable to the extent permitted by law.</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584835</wp:posOffset>
            </wp:positionV>
            <wp:extent cx="552894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6" w:name="page77"/>
    <w:bookmarkEnd w:id="76"/>
    <w:p>
      <w:pPr>
        <w:jc w:val="both"/>
        <w:ind w:left="180" w:right="199" w:firstLine="652"/>
        <w:spacing w:after="0" w:line="253" w:lineRule="auto"/>
        <w:tabs>
          <w:tab w:leader="none" w:pos="102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and shall inure to the benefit of the Company and the Stockholder and their respective heirs, executors, administrators, legal representatives, successors and assigns, as applicable, subject to the restrictions on transfer set forth in Section 4 herein.</w:t>
      </w:r>
    </w:p>
    <w:p>
      <w:pPr>
        <w:spacing w:after="0" w:line="157" w:lineRule="exact"/>
        <w:rPr>
          <w:rFonts w:ascii="Arial" w:cs="Arial" w:eastAsia="Arial" w:hAnsi="Arial"/>
          <w:sz w:val="18"/>
          <w:szCs w:val="18"/>
          <w:color w:val="auto"/>
        </w:rPr>
      </w:pPr>
    </w:p>
    <w:p>
      <w:pPr>
        <w:jc w:val="both"/>
        <w:ind w:left="180" w:right="199" w:firstLine="652"/>
        <w:spacing w:after="0" w:line="223" w:lineRule="auto"/>
        <w:tabs>
          <w:tab w:leader="none" w:pos="112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No Rights to Employment</w:t>
      </w:r>
      <w:r>
        <w:rPr>
          <w:rFonts w:ascii="Arial" w:cs="Arial" w:eastAsia="Arial" w:hAnsi="Arial"/>
          <w:sz w:val="20"/>
          <w:szCs w:val="20"/>
          <w:color w:val="auto"/>
        </w:rPr>
        <w:t>. Nothing contained in this Agreement is to be construed as giving the Stockholder any right to be retained, in any position, as an Employee or other service provider of the Company or a Subsidiary.</w:t>
      </w:r>
    </w:p>
    <w:p>
      <w:pPr>
        <w:spacing w:after="0" w:line="168" w:lineRule="exact"/>
        <w:rPr>
          <w:rFonts w:ascii="Arial" w:cs="Arial" w:eastAsia="Arial" w:hAnsi="Arial"/>
          <w:sz w:val="20"/>
          <w:szCs w:val="20"/>
          <w:color w:val="auto"/>
        </w:rPr>
      </w:pPr>
    </w:p>
    <w:p>
      <w:pPr>
        <w:jc w:val="both"/>
        <w:ind w:left="180" w:right="199" w:firstLine="652"/>
        <w:spacing w:after="0" w:line="246" w:lineRule="auto"/>
        <w:tabs>
          <w:tab w:leader="none" w:pos="117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hereunder must be in writing and are deemed effectively given upon personal delivery or upon deposit in the United States Post Office, by registered or certified mail, postage prepaid, addressed to the other party to this Agreement at the address shown above, or at such other address as one party will designate to the other in accordance with this Section 11.</w:t>
      </w:r>
    </w:p>
    <w:p>
      <w:pPr>
        <w:spacing w:after="0" w:line="163" w:lineRule="exact"/>
        <w:rPr>
          <w:rFonts w:ascii="Arial" w:cs="Arial" w:eastAsia="Arial" w:hAnsi="Arial"/>
          <w:sz w:val="18"/>
          <w:szCs w:val="18"/>
          <w:color w:val="auto"/>
        </w:rPr>
      </w:pPr>
    </w:p>
    <w:p>
      <w:pPr>
        <w:jc w:val="both"/>
        <w:ind w:left="180" w:right="199" w:firstLine="652"/>
        <w:spacing w:after="0" w:line="223" w:lineRule="auto"/>
        <w:tabs>
          <w:tab w:leader="none" w:pos="112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Pronouns</w:t>
      </w:r>
      <w:r>
        <w:rPr>
          <w:rFonts w:ascii="Arial" w:cs="Arial" w:eastAsia="Arial" w:hAnsi="Arial"/>
          <w:sz w:val="20"/>
          <w:szCs w:val="20"/>
          <w:color w:val="auto"/>
        </w:rPr>
        <w:t>. Whenever the context may require, any pronouns used in this Agreement are deemed to include the corresponding masculine, feminine or neuter forms, and the singular form of nouns and pronouns are deemed to include the plural, and vice versa.</w:t>
      </w:r>
    </w:p>
    <w:p>
      <w:pPr>
        <w:spacing w:after="0" w:line="168" w:lineRule="exact"/>
        <w:rPr>
          <w:rFonts w:ascii="Arial" w:cs="Arial" w:eastAsia="Arial" w:hAnsi="Arial"/>
          <w:sz w:val="20"/>
          <w:szCs w:val="20"/>
          <w:color w:val="auto"/>
        </w:rPr>
      </w:pPr>
    </w:p>
    <w:p>
      <w:pPr>
        <w:ind w:left="180" w:right="199" w:firstLine="652"/>
        <w:spacing w:after="0" w:line="269"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relating to the subject matter of this Agreement.</w:t>
      </w:r>
    </w:p>
    <w:p>
      <w:pPr>
        <w:spacing w:after="0" w:line="143" w:lineRule="exact"/>
        <w:rPr>
          <w:rFonts w:ascii="Arial" w:cs="Arial" w:eastAsia="Arial" w:hAnsi="Arial"/>
          <w:sz w:val="18"/>
          <w:szCs w:val="18"/>
          <w:color w:val="auto"/>
        </w:rPr>
      </w:pPr>
    </w:p>
    <w:p>
      <w:pPr>
        <w:ind w:left="180" w:right="199" w:firstLine="652"/>
        <w:spacing w:after="0" w:line="236" w:lineRule="auto"/>
        <w:tabs>
          <w:tab w:leader="none" w:pos="116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executed by both the Company and the Stockholder.</w:t>
      </w:r>
    </w:p>
    <w:p>
      <w:pPr>
        <w:spacing w:after="0" w:line="155" w:lineRule="exact"/>
        <w:rPr>
          <w:rFonts w:ascii="Arial" w:cs="Arial" w:eastAsia="Arial" w:hAnsi="Arial"/>
          <w:sz w:val="20"/>
          <w:szCs w:val="20"/>
          <w:color w:val="auto"/>
        </w:rPr>
      </w:pPr>
    </w:p>
    <w:p>
      <w:pPr>
        <w:jc w:val="both"/>
        <w:ind w:left="180" w:right="199" w:firstLine="652"/>
        <w:spacing w:after="0" w:line="231" w:lineRule="auto"/>
        <w:tabs>
          <w:tab w:leader="none" w:pos="1165"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enforced in accordance with and governed by the General Corporation Law of the State of Delaware as to matters within the scope thereof, and as to all other matters shall be governed by and construed in accordance with the internal laws of the State of Delaware, without giving effect to the principles of conflicts of laws thereof.</w:t>
      </w:r>
    </w:p>
    <w:p>
      <w:pPr>
        <w:spacing w:after="0" w:line="171" w:lineRule="exact"/>
        <w:rPr>
          <w:rFonts w:ascii="Arial" w:cs="Arial" w:eastAsia="Arial" w:hAnsi="Arial"/>
          <w:sz w:val="19"/>
          <w:szCs w:val="19"/>
          <w:color w:val="auto"/>
        </w:rPr>
      </w:pPr>
    </w:p>
    <w:p>
      <w:pPr>
        <w:jc w:val="both"/>
        <w:ind w:left="180" w:right="199" w:firstLine="652"/>
        <w:spacing w:after="0" w:line="239"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Compensation Recovery Policy</w:t>
      </w:r>
      <w:r>
        <w:rPr>
          <w:rFonts w:ascii="Arial" w:cs="Arial" w:eastAsia="Arial" w:hAnsi="Arial"/>
          <w:sz w:val="18"/>
          <w:szCs w:val="18"/>
          <w:color w:val="auto"/>
        </w:rPr>
        <w:t>. The Performance Shares granted pursuant to this Agreement shall be subject to forfeiture or repayment pursuant to the terms of any applicable compensation recovery policy that may be adopted or maintained by the Company from time to time, including any such policy adopted to comply with the Dodd-Frank Wall Street Reform and Consumer Protection Act or any rules or regulations issued by the Securities and Exchange Commission or applicable securities exchange.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576580</wp:posOffset>
            </wp:positionV>
            <wp:extent cx="552894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ind w:left="840"/>
        <w:spacing w:after="0"/>
        <w:rPr>
          <w:sz w:val="20"/>
          <w:szCs w:val="20"/>
          <w:color w:val="auto"/>
        </w:rPr>
      </w:pPr>
      <w:r>
        <w:rPr>
          <w:rFonts w:ascii="Arial" w:cs="Arial" w:eastAsia="Arial" w:hAnsi="Arial"/>
          <w:sz w:val="16"/>
          <w:szCs w:val="16"/>
          <w:color w:val="auto"/>
        </w:rPr>
        <w:t>IN WITNESS WHEREOF, the parties hereto have executed this Agreement as of the Date of Grant.</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TILE SHOP HOLDINGS, INC.</w:t>
      </w: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__________________________________</w:t>
      </w:r>
    </w:p>
    <w:p>
      <w:pPr>
        <w:ind w:left="4920"/>
        <w:spacing w:after="0" w:line="232" w:lineRule="auto"/>
        <w:rPr>
          <w:sz w:val="20"/>
          <w:szCs w:val="20"/>
          <w:color w:val="auto"/>
        </w:rPr>
      </w:pPr>
      <w:r>
        <w:rPr>
          <w:rFonts w:ascii="Arial" w:cs="Arial" w:eastAsia="Arial" w:hAnsi="Arial"/>
          <w:sz w:val="18"/>
          <w:szCs w:val="18"/>
          <w:color w:val="auto"/>
        </w:rPr>
        <w:t>By: [______________________________]</w:t>
      </w:r>
    </w:p>
    <w:p>
      <w:pPr>
        <w:ind w:left="4920"/>
        <w:spacing w:after="0"/>
        <w:rPr>
          <w:sz w:val="20"/>
          <w:szCs w:val="20"/>
          <w:color w:val="auto"/>
        </w:rPr>
      </w:pPr>
      <w:r>
        <w:rPr>
          <w:rFonts w:ascii="Arial" w:cs="Arial" w:eastAsia="Arial" w:hAnsi="Arial"/>
          <w:sz w:val="18"/>
          <w:szCs w:val="18"/>
          <w:color w:val="auto"/>
        </w:rPr>
        <w:t>Title: [_____________________________]</w:t>
      </w: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STOCKHOLDER</w:t>
      </w: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-134620</wp:posOffset>
            </wp:positionV>
            <wp:extent cx="23488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983615</wp:posOffset>
            </wp:positionV>
            <wp:extent cx="552894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78" w:name="page79"/>
    <w:bookmarkEnd w:id="78"/>
    <w:p>
      <w:pPr>
        <w:jc w:val="right"/>
        <w:ind w:right="199"/>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consent to the incorporation by reference in the Registration Statement (Form S-8 Nos. 333-183455, 333-190088</w:t>
      </w:r>
    </w:p>
    <w:p>
      <w:pPr>
        <w:spacing w:after="0" w:line="21" w:lineRule="exact"/>
        <w:rPr>
          <w:sz w:val="20"/>
          <w:szCs w:val="20"/>
          <w:color w:val="auto"/>
        </w:rPr>
      </w:pPr>
    </w:p>
    <w:p>
      <w:pPr>
        <w:ind w:left="180" w:right="219"/>
        <w:spacing w:after="0" w:line="234" w:lineRule="auto"/>
        <w:rPr>
          <w:sz w:val="20"/>
          <w:szCs w:val="20"/>
          <w:color w:val="auto"/>
        </w:rPr>
      </w:pPr>
      <w:r>
        <w:rPr>
          <w:rFonts w:ascii="Arial" w:cs="Arial" w:eastAsia="Arial" w:hAnsi="Arial"/>
          <w:sz w:val="16"/>
          <w:szCs w:val="16"/>
          <w:color w:val="auto"/>
        </w:rPr>
        <w:t>and 333-258070) pertaining to the 2012 Omnibus Award Plan and the 2021 Equity Compensation Plan of Tile Shop Holdings, Inc. of our reports dated March 2, 2023, with respect to the consolidated financial statements of Tile Shop Holdings, Inc. and Subsidiaries, and the effectiveness of internal control over financial reporting of Tile Shop Holdings,</w:t>
      </w:r>
    </w:p>
    <w:p>
      <w:pPr>
        <w:spacing w:after="0" w:line="2" w:lineRule="exact"/>
        <w:rPr>
          <w:sz w:val="20"/>
          <w:szCs w:val="20"/>
          <w:color w:val="auto"/>
        </w:rPr>
      </w:pPr>
    </w:p>
    <w:p>
      <w:pPr>
        <w:ind w:left="180" w:right="1239"/>
        <w:spacing w:after="0" w:line="313" w:lineRule="auto"/>
        <w:rPr>
          <w:sz w:val="20"/>
          <w:szCs w:val="20"/>
          <w:color w:val="auto"/>
        </w:rPr>
      </w:pPr>
      <w:r>
        <w:rPr>
          <w:rFonts w:ascii="Arial" w:cs="Arial" w:eastAsia="Arial" w:hAnsi="Arial"/>
          <w:sz w:val="18"/>
          <w:szCs w:val="18"/>
          <w:color w:val="auto"/>
        </w:rPr>
        <w:t>Inc. and Subsidiaries included in this Annual Report (Form 10-K) for the year ended December 31, 2022. /s/ Ernst &amp; Young LLP</w:t>
      </w:r>
    </w:p>
    <w:p>
      <w:pPr>
        <w:ind w:left="180"/>
        <w:spacing w:after="0" w:line="203" w:lineRule="auto"/>
        <w:rPr>
          <w:sz w:val="20"/>
          <w:szCs w:val="20"/>
          <w:color w:val="auto"/>
        </w:rPr>
      </w:pPr>
      <w:r>
        <w:rPr>
          <w:rFonts w:ascii="Arial" w:cs="Arial" w:eastAsia="Arial" w:hAnsi="Arial"/>
          <w:sz w:val="18"/>
          <w:szCs w:val="18"/>
          <w:color w:val="auto"/>
        </w:rPr>
        <w:t>Minneapolis, Minnesota</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231775</wp:posOffset>
            </wp:positionV>
            <wp:extent cx="552894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9" w:name="page80"/>
    <w:bookmarkEnd w:id="79"/>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180" w:right="2199" w:firstLine="1998"/>
        <w:spacing w:after="0" w:line="417"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ind w:left="500" w:hanging="316"/>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9"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500" w:right="399" w:hanging="316"/>
        <w:spacing w:after="0" w:line="267"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1" w:lineRule="exact"/>
        <w:rPr>
          <w:rFonts w:ascii="Arial" w:cs="Arial" w:eastAsia="Arial" w:hAnsi="Arial"/>
          <w:sz w:val="16"/>
          <w:szCs w:val="16"/>
          <w:color w:val="auto"/>
        </w:rPr>
      </w:pPr>
    </w:p>
    <w:p>
      <w:pPr>
        <w:ind w:left="820" w:right="239" w:hanging="312"/>
        <w:spacing w:after="0" w:line="223"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820" w:right="219" w:hanging="312"/>
        <w:spacing w:after="0" w:line="223"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820" w:right="399" w:hanging="312"/>
        <w:spacing w:after="0" w:line="22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820" w:right="319" w:hanging="312"/>
        <w:spacing w:after="0" w:line="223"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820" w:right="499" w:hanging="312"/>
        <w:spacing w:after="0" w:line="229"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8"/>
          <w:szCs w:val="18"/>
          <w:color w:val="auto"/>
        </w:rPr>
      </w:pPr>
    </w:p>
    <w:p>
      <w:pPr>
        <w:ind w:left="820" w:right="299" w:hanging="312"/>
        <w:spacing w:after="0" w:line="246"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0" w:name="page81"/>
    <w:bookmarkEnd w:id="80"/>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Karla Lunan, certify that:</w:t>
      </w:r>
    </w:p>
    <w:p>
      <w:pPr>
        <w:spacing w:after="0" w:line="158" w:lineRule="exact"/>
        <w:rPr>
          <w:sz w:val="20"/>
          <w:szCs w:val="20"/>
          <w:color w:val="auto"/>
        </w:rPr>
      </w:pPr>
    </w:p>
    <w:p>
      <w:pPr>
        <w:ind w:left="500" w:hanging="316"/>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9"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500" w:right="399" w:hanging="316"/>
        <w:spacing w:after="0" w:line="267"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1" w:lineRule="exact"/>
        <w:rPr>
          <w:rFonts w:ascii="Arial" w:cs="Arial" w:eastAsia="Arial" w:hAnsi="Arial"/>
          <w:sz w:val="16"/>
          <w:szCs w:val="16"/>
          <w:color w:val="auto"/>
        </w:rPr>
      </w:pPr>
    </w:p>
    <w:p>
      <w:pPr>
        <w:ind w:left="820" w:right="239" w:hanging="312"/>
        <w:spacing w:after="0" w:line="223"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820" w:right="219" w:hanging="312"/>
        <w:spacing w:after="0" w:line="223"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820" w:right="399" w:hanging="312"/>
        <w:spacing w:after="0" w:line="229"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820" w:right="319" w:hanging="312"/>
        <w:spacing w:after="0" w:line="223"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820" w:right="499" w:hanging="312"/>
        <w:spacing w:after="0" w:line="229"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8"/>
          <w:szCs w:val="18"/>
          <w:color w:val="auto"/>
        </w:rPr>
      </w:pPr>
    </w:p>
    <w:p>
      <w:pPr>
        <w:ind w:left="820" w:right="299" w:hanging="312"/>
        <w:spacing w:after="0" w:line="246"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1" w:name="page82"/>
    <w:bookmarkEnd w:id="81"/>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7" w:lineRule="exact"/>
        <w:rPr>
          <w:sz w:val="20"/>
          <w:szCs w:val="20"/>
          <w:color w:val="auto"/>
        </w:rPr>
      </w:pPr>
    </w:p>
    <w:p>
      <w:pPr>
        <w:jc w:val="both"/>
        <w:ind w:left="180" w:right="459" w:firstLine="648"/>
        <w:spacing w:after="0" w:line="248"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Annual</w:t>
      </w:r>
    </w:p>
    <w:p>
      <w:pPr>
        <w:jc w:val="both"/>
        <w:ind w:left="180" w:right="479"/>
        <w:spacing w:after="0" w:line="248" w:lineRule="auto"/>
        <w:rPr>
          <w:sz w:val="20"/>
          <w:szCs w:val="20"/>
          <w:color w:val="auto"/>
        </w:rPr>
      </w:pPr>
      <w:r>
        <w:rPr>
          <w:rFonts w:ascii="Arial" w:cs="Arial" w:eastAsia="Arial" w:hAnsi="Arial"/>
          <w:sz w:val="16"/>
          <w:szCs w:val="16"/>
          <w:color w:val="auto"/>
        </w:rPr>
        <w:t>Report on Form 10-K of the Company for the year ended December 31,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9"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4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2" w:name="page83"/>
    <w:bookmarkEnd w:id="82"/>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7" w:lineRule="exact"/>
        <w:rPr>
          <w:sz w:val="20"/>
          <w:szCs w:val="20"/>
          <w:color w:val="auto"/>
        </w:rPr>
      </w:pPr>
    </w:p>
    <w:p>
      <w:pPr>
        <w:ind w:left="180" w:right="259" w:firstLine="648"/>
        <w:spacing w:after="0" w:line="248" w:lineRule="auto"/>
        <w:rPr>
          <w:sz w:val="20"/>
          <w:szCs w:val="20"/>
          <w:color w:val="auto"/>
        </w:rPr>
      </w:pPr>
      <w:r>
        <w:rPr>
          <w:rFonts w:ascii="Arial" w:cs="Arial" w:eastAsia="Arial" w:hAnsi="Arial"/>
          <w:sz w:val="16"/>
          <w:szCs w:val="16"/>
          <w:color w:val="auto"/>
        </w:rPr>
        <w:t>Pursuant to 18 U.S.C. §1350 (as adopted pursuant to §906 of the Sarbanes-Oxley Act of 2002), I, Karla Lunan, the Chief Financial Officer of Tile Shop Holdings, Inc. (the “Company”), hereby certify that the Annual Report</w:t>
      </w:r>
    </w:p>
    <w:p>
      <w:pPr>
        <w:ind w:left="180" w:right="519"/>
        <w:spacing w:after="0" w:line="248" w:lineRule="auto"/>
        <w:rPr>
          <w:sz w:val="20"/>
          <w:szCs w:val="20"/>
          <w:color w:val="auto"/>
        </w:rPr>
      </w:pPr>
      <w:r>
        <w:rPr>
          <w:rFonts w:ascii="Arial" w:cs="Arial" w:eastAsia="Arial" w:hAnsi="Arial"/>
          <w:sz w:val="16"/>
          <w:szCs w:val="16"/>
          <w:color w:val="auto"/>
        </w:rPr>
        <w:t>on Form 10-K of the Company for the year ended December 31,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9"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4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
      <w:numFmt w:val="bullet"/>
      <w:start w:val="1"/>
    </w:lvl>
  </w:abstractNum>
  <w:abstractNum w:abstractNumId="3">
    <w:nsid w:val="6763845E"/>
    <w:multiLevelType w:val="hybridMultilevel"/>
    <w:lvl w:ilvl="0">
      <w:lvlJc w:val="left"/>
      <w:lvlText w:val=" "/>
      <w:numFmt w:val="bullet"/>
      <w:start w:val="1"/>
    </w:lvl>
  </w:abstractNum>
  <w:abstractNum w:abstractNumId="4">
    <w:nsid w:val="75A2A8D4"/>
    <w:multiLevelType w:val="hybridMultilevel"/>
    <w:lvl w:ilvl="0">
      <w:lvlJc w:val="left"/>
      <w:lvlText w:val=" "/>
      <w:numFmt w:val="bullet"/>
      <w:start w:val="1"/>
    </w:lvl>
  </w:abstractNum>
  <w:abstractNum w:abstractNumId="5">
    <w:nsid w:val="8EDBDAB"/>
    <w:multiLevelType w:val="hybridMultilevel"/>
    <w:lvl w:ilvl="0">
      <w:lvlJc w:val="left"/>
      <w:lvlText w:val=" "/>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4"/>
    </w:lvl>
  </w:abstractNum>
  <w:abstractNum w:abstractNumId="14">
    <w:nsid w:val="2901D82"/>
    <w:multiLevelType w:val="hybridMultilevel"/>
    <w:lvl w:ilvl="0">
      <w:lvlJc w:val="left"/>
      <w:lvlText w:val=" "/>
      <w:numFmt w:val="bullet"/>
      <w:start w:val="1"/>
    </w:lvl>
  </w:abstractNum>
  <w:abstractNum w:abstractNumId="15">
    <w:nsid w:val="3A95F874"/>
    <w:multiLevelType w:val="hybridMultilevel"/>
    <w:lvl w:ilvl="0">
      <w:lvlJc w:val="left"/>
      <w:lvlText w:val=" "/>
      <w:numFmt w:val="bullet"/>
      <w:start w:val="1"/>
    </w:lvl>
  </w:abstractNum>
  <w:abstractNum w:abstractNumId="16">
    <w:nsid w:val="8138641"/>
    <w:multiLevelType w:val="hybridMultilevel"/>
    <w:lvl w:ilvl="0">
      <w:lvlJc w:val="left"/>
      <w:lvlText w:val=" "/>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
      <w:numFmt w:val="bullet"/>
      <w:start w:val="1"/>
    </w:lvl>
  </w:abstractNum>
  <w:abstractNum w:abstractNumId="19">
    <w:nsid w:val="737B8DDC"/>
    <w:multiLevelType w:val="hybridMultilevel"/>
    <w:lvl w:ilvl="0">
      <w:lvlJc w:val="left"/>
      <w:lvlText w:val=" "/>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 "/>
      <w:numFmt w:val="bullet"/>
      <w:start w:val="1"/>
    </w:lvl>
  </w:abstractNum>
  <w:abstractNum w:abstractNumId="22">
    <w:nsid w:val="4516DDE9"/>
    <w:multiLevelType w:val="hybridMultilevel"/>
    <w:lvl w:ilvl="0">
      <w:lvlJc w:val="left"/>
      <w:lvlText w:val=" "/>
      <w:numFmt w:val="bullet"/>
      <w:start w:val="1"/>
    </w:lvl>
  </w:abstractNum>
  <w:abstractNum w:abstractNumId="23">
    <w:nsid w:val="3006C83E"/>
    <w:multiLevelType w:val="hybridMultilevel"/>
    <w:lvl w:ilvl="0">
      <w:lvlJc w:val="left"/>
      <w:lvlText w:val=" "/>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
      <w:numFmt w:val="bullet"/>
      <w:start w:val="1"/>
    </w:lvl>
  </w:abstractNum>
  <w:abstractNum w:abstractNumId="26">
    <w:nsid w:val="5577F8E1"/>
    <w:multiLevelType w:val="hybridMultilevel"/>
    <w:lvl w:ilvl="0">
      <w:lvlJc w:val="left"/>
      <w:lvlText w:val=" "/>
      <w:numFmt w:val="bullet"/>
      <w:start w:val="1"/>
    </w:lvl>
  </w:abstractNum>
  <w:abstractNum w:abstractNumId="27">
    <w:nsid w:val="440BADFC"/>
    <w:multiLevelType w:val="hybridMultilevel"/>
    <w:lvl w:ilvl="0">
      <w:lvlJc w:val="left"/>
      <w:lvlText w:val="%1"/>
      <w:numFmt w:val="decimal"/>
      <w:start w:val="10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5E884ADC"/>
    <w:multiLevelType w:val="hybridMultilevel"/>
    <w:lvl w:ilvl="0">
      <w:lvlJc w:val="left"/>
      <w:lvlText w:val="%1."/>
      <w:numFmt w:val="decimal"/>
      <w:start w:val="3"/>
    </w:lvl>
  </w:abstractNum>
  <w:abstractNum w:abstractNumId="35">
    <w:nsid w:val="51EAD36B"/>
    <w:multiLevelType w:val="hybridMultilevel"/>
    <w:lvl w:ilvl="0">
      <w:lvlJc w:val="left"/>
      <w:lvlText w:val="%1."/>
      <w:numFmt w:val="decimal"/>
      <w:start w:val="7"/>
    </w:lvl>
  </w:abstractNum>
  <w:abstractNum w:abstractNumId="36">
    <w:nsid w:val="2D517796"/>
    <w:multiLevelType w:val="hybridMultilevel"/>
    <w:lvl w:ilvl="0">
      <w:lvlJc w:val="left"/>
      <w:lvlText w:val="%1."/>
      <w:numFmt w:val="decimal"/>
      <w:start w:val="11"/>
    </w:lvl>
  </w:abstractNum>
  <w:abstractNum w:abstractNumId="37">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153EA438"/>
    <w:multiLevelType w:val="hybridMultilevel"/>
    <w:lvl w:ilvl="0">
      <w:lvlJc w:val="left"/>
      <w:lvlText w:val="%1."/>
      <w:numFmt w:val="decimal"/>
      <w:start w:val="3"/>
    </w:lvl>
  </w:abstractNum>
  <w:abstractNum w:abstractNumId="39">
    <w:nsid w:val="3855585C"/>
    <w:multiLevelType w:val="hybridMultilevel"/>
    <w:lvl w:ilvl="0">
      <w:lvlJc w:val="left"/>
      <w:lvlText w:val="%1."/>
      <w:numFmt w:val="decimal"/>
      <w:start w:val="7"/>
    </w:lvl>
  </w:abstractNum>
  <w:abstractNum w:abstractNumId="40">
    <w:nsid w:val="70A64E2A"/>
    <w:multiLevelType w:val="hybridMultilevel"/>
    <w:lvl w:ilvl="0">
      <w:lvlJc w:val="left"/>
      <w:lvlText w:val="%1."/>
      <w:numFmt w:val="decimal"/>
      <w:start w:val="9"/>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48" Type="http://schemas.openxmlformats.org/officeDocument/2006/relationships/hyperlink" Target="https://www.sec.gov/ix?doc=/Archives/edgar/data/1552800/000155280022000004/ttsh-20211231x10k.htm" TargetMode="External"/><Relationship Id="rId88" Type="http://schemas.openxmlformats.org/officeDocument/2006/relationships/hyperlink" Target="http://www.sec.gov/Archives/edgar/data/1552800/000114420412037509/v316486_ex3-1.htm" TargetMode="External"/><Relationship Id="rId89" Type="http://schemas.openxmlformats.org/officeDocument/2006/relationships/hyperlink" Target="http://www.sec.gov/Archives/edgar/data/0001552800/000110465921094416/tm2122262d1_ex3-2.htm" TargetMode="External"/><Relationship Id="rId90" Type="http://schemas.openxmlformats.org/officeDocument/2006/relationships/hyperlink" Target="http://www.sec.gov/Archives/edgar/data/1552800/000114420412037509/v316486_ex3-2.htm" TargetMode="External"/><Relationship Id="rId91" Type="http://schemas.openxmlformats.org/officeDocument/2006/relationships/hyperlink" Target="http://www.sec.gov/Archives/edgar/data/1552800/000114420412040584/v318344_ex4-1.htm" TargetMode="External"/><Relationship Id="rId92" Type="http://schemas.openxmlformats.org/officeDocument/2006/relationships/hyperlink" Target="http://www.sec.gov/Archives/edgar/data/1552800/000114420413041320/v350939_ex10-1.htm" TargetMode="External"/><Relationship Id="rId93" Type="http://schemas.openxmlformats.org/officeDocument/2006/relationships/hyperlink" Target="http://www.sec.gov/Archives/edgar/data/1552800/000114420413041320/v350939_ex10-2.htm" TargetMode="External"/><Relationship Id="rId94" Type="http://schemas.openxmlformats.org/officeDocument/2006/relationships/hyperlink" Target="http://www.sec.gov/Archives/edgar/data/1552800/000114420412040584/v318344_ex10-13.htm" TargetMode="External"/><Relationship Id="rId95" Type="http://schemas.openxmlformats.org/officeDocument/2006/relationships/hyperlink" Target="http://www.sec.gov/Archives/edgar/data/1552800/000114420413041320/v350939_ex10-3.htm" TargetMode="External"/><Relationship Id="rId96" Type="http://schemas.openxmlformats.org/officeDocument/2006/relationships/hyperlink" Target="http://www.sec.gov/Archives/edgar/data/1552800/000114420413041320/v350939_ex10-4.htm" TargetMode="External"/><Relationship Id="rId97" Type="http://schemas.openxmlformats.org/officeDocument/2006/relationships/hyperlink" Target="http://www.sec.gov/Archives/edgar/data/1552800/000114420413041320/v350939_ex10-5.htm" TargetMode="External"/><Relationship Id="rId98" Type="http://schemas.openxmlformats.org/officeDocument/2006/relationships/hyperlink" Target="http://www.sec.gov/Archives/edgar/data/1552800/000155280017000057/tts-20170930xex10_2.htm" TargetMode="External"/><Relationship Id="rId99" Type="http://schemas.openxmlformats.org/officeDocument/2006/relationships/hyperlink" Target="http://www.sec.gov/Archives/edgar/data/1552800/000155280018000003/tts-20180219xex10_1.htm" TargetMode="External"/><Relationship Id="rId100" Type="http://schemas.openxmlformats.org/officeDocument/2006/relationships/hyperlink" Target="http://www.sec.gov/Archives/edgar/data/1552800/000155280019000029/tts-20190930xex10_2.htm" TargetMode="External"/><Relationship Id="rId101" Type="http://schemas.openxmlformats.org/officeDocument/2006/relationships/hyperlink" Target="http://www.sec.gov/Archives/edgar/data/1552800/000110465920051211/tm2016895d1_ex10-1.htm" TargetMode="External"/><Relationship Id="rId102" Type="http://schemas.openxmlformats.org/officeDocument/2006/relationships/hyperlink" Target="http://www.sec.gov/Archives/edgar/data/1552800/000110465920051211/tm2016895d1_ex10-3.htm" TargetMode="External"/><Relationship Id="rId103" Type="http://schemas.openxmlformats.org/officeDocument/2006/relationships/hyperlink" Target="http://www.sec.gov/Archives/edgar/data/1552800/000155280020000027/ttsh-20200930xex10_1.htm" TargetMode="External"/><Relationship Id="rId104" Type="http://schemas.openxmlformats.org/officeDocument/2006/relationships/hyperlink" Target="http://www.sec.gov/Archives/edgar/data/0001552800/000155280021000005/ttsh-20201231xex10_20.htm" TargetMode="External"/><Relationship Id="rId105" Type="http://schemas.openxmlformats.org/officeDocument/2006/relationships/hyperlink" Target="http://www.sec.gov/Archives/edgar/data/0001552800/000110465921094416/tm2122262d1_ex10-1.htm" TargetMode="External"/><Relationship Id="rId106" Type="http://schemas.openxmlformats.org/officeDocument/2006/relationships/hyperlink" Target="http://www.sec.gov/Archives/edgar/data/0001552800/000110465921094416/tm2122262d1_ex10-2.htm" TargetMode="External"/><Relationship Id="rId107" Type="http://schemas.openxmlformats.org/officeDocument/2006/relationships/hyperlink" Target="http://www.sec.gov/Archives/edgar/data/0001552800/000110465921094416/tm2122262d1_ex10-3.htm" TargetMode="External"/><Relationship Id="rId108" Type="http://schemas.openxmlformats.org/officeDocument/2006/relationships/hyperlink" Target="http://www.sec.gov/Archives/edgar/data/0001552800/000110465921094416/tm2122262d1_ex10-4.htm" TargetMode="External"/><Relationship Id="rId109" Type="http://schemas.openxmlformats.org/officeDocument/2006/relationships/hyperlink" Target="http://www.sec.gov/Archives/edgar/data/0001552800/000110465921094416/tm2122262d1_ex10-5.htm" TargetMode="External"/><Relationship Id="rId112" Type="http://schemas.openxmlformats.org/officeDocument/2006/relationships/hyperlink" Target="http://www.sec.gov/Archives/edgar/data/0001552800/000110465921152908/tm2136188d1_ex10-1.htm" TargetMode="External"/><Relationship Id="rId113" Type="http://schemas.openxmlformats.org/officeDocument/2006/relationships/hyperlink" Target="http://www.sec.gov/Archives/edgar/data/0001552800/000110465921152908/tm2136188d1_ex10-2.htm" TargetMode="External"/><Relationship Id="rId114" Type="http://schemas.openxmlformats.org/officeDocument/2006/relationships/hyperlink" Target="http://www.sec.gov/Archives/edgar/data/1552800/000110465922104593/tm2227017d1_ex10-1.htm" TargetMode="External"/><Relationship Id="rId115" Type="http://schemas.openxmlformats.org/officeDocument/2006/relationships/hyperlink" Target="http://www.sec.gov/Archives/edgar/data/1552800/000110465922104593/tm2227017d1_ex10-2.htm" TargetMode="External"/><Relationship Id="rId116" Type="http://schemas.openxmlformats.org/officeDocument/2006/relationships/hyperlink" Target="http://www.sec.gov/Archives/edgar/data/1552800/000155280017000012/tts-20161231xex21_1.htm" TargetMode="External"/><Relationship Id="rId117" Type="http://schemas.openxmlformats.org/officeDocument/2006/relationships/hyperlink" Target="http://www.sec.gov/Archives/edgar/data/1552800/000110465920003488/tm203308d1_ex99-1.htm" TargetMode="External"/><Relationship Id="rId118" Type="http://schemas.openxmlformats.org/officeDocument/2006/relationships/hyperlink" Target="http://www.sec.gov/Archives/edgar/data/1552800/000110465920092178/tm202695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2023-03-02T17:24:44Z</dcterms:created>
  <dcterms:modified xsi:type="dcterms:W3CDTF">2023-03-02T17:24:44Z</dcterms:modified>
</cp:coreProperties>
</file>