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825"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RUCKER ROBERT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TILE SHOP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14000 CARLSON PARKWAY</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PLYMOUTH</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55441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TILE SHOP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TTS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40" w:type="dxa"/>
            <w:vAlign w:val="bottom"/>
            <w:tcBorders>
              <w:bottom w:val="single" w:sz="8" w:color="0000EE"/>
            </w:tcBorders>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840" w:type="dxa"/>
            <w:vAlign w:val="bottom"/>
            <w:gridSpan w:val="3"/>
          </w:tcPr>
          <w:p>
            <w:pPr>
              <w:ind w:left="80"/>
              <w:spacing w:after="0"/>
              <w:rPr>
                <w:sz w:val="20"/>
                <w:szCs w:val="20"/>
                <w:color w:val="auto"/>
              </w:rPr>
            </w:pPr>
            <w:r>
              <w:rPr>
                <w:rFonts w:ascii="Arial" w:cs="Arial" w:eastAsia="Arial" w:hAnsi="Arial"/>
                <w:sz w:val="18"/>
                <w:szCs w:val="18"/>
                <w:color w:val="0000FF"/>
              </w:rPr>
              <w:t>07/17/2017</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825"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jc w:val="center"/>
              <w:ind w:right="279"/>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 The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vMerge w:val="restart"/>
          </w:tcPr>
          <w:p>
            <w:pPr>
              <w:jc w:val="right"/>
              <w:ind w:right="112"/>
              <w:spacing w:after="0"/>
              <w:rPr>
                <w:sz w:val="20"/>
                <w:szCs w:val="20"/>
                <w:color w:val="auto"/>
              </w:rPr>
            </w:pPr>
            <w:r>
              <w:rPr>
                <w:rFonts w:ascii="Arial" w:cs="Arial" w:eastAsia="Arial" w:hAnsi="Arial"/>
                <w:sz w:val="18"/>
                <w:szCs w:val="18"/>
                <w:color w:val="0000FF"/>
              </w:rPr>
              <w:t>07/17/2017</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32"/>
              <w:spacing w:after="0"/>
              <w:rPr>
                <w:sz w:val="20"/>
                <w:szCs w:val="20"/>
                <w:color w:val="auto"/>
              </w:rPr>
            </w:pPr>
            <w:r>
              <w:rPr>
                <w:rFonts w:ascii="Arial" w:cs="Arial" w:eastAsia="Arial" w:hAnsi="Arial"/>
                <w:sz w:val="18"/>
                <w:szCs w:val="18"/>
                <w:color w:val="0000FF"/>
              </w:rPr>
              <w:t>100,000</w:t>
            </w:r>
          </w:p>
        </w:tc>
        <w:tc>
          <w:tcPr>
            <w:tcW w:w="1360" w:type="dxa"/>
            <w:vAlign w:val="bottom"/>
            <w:gridSpan w:val="2"/>
            <w:vMerge w:val="restart"/>
          </w:tcPr>
          <w:p>
            <w:pPr>
              <w:jc w:val="center"/>
              <w:ind w:left="90"/>
              <w:spacing w:after="0"/>
              <w:rPr>
                <w:sz w:val="20"/>
                <w:szCs w:val="20"/>
                <w:color w:val="auto"/>
              </w:rPr>
            </w:pPr>
            <w:r>
              <w:rPr>
                <w:rFonts w:ascii="Arial" w:cs="Arial" w:eastAsia="Arial" w:hAnsi="Arial"/>
                <w:sz w:val="18"/>
                <w:szCs w:val="18"/>
                <w:color w:val="0000FF"/>
              </w:rPr>
              <w:t xml:space="preserve">D   </w:t>
            </w:r>
            <w:r>
              <w:rPr>
                <w:rFonts w:ascii="Arial" w:cs="Arial" w:eastAsia="Arial" w:hAnsi="Arial"/>
                <w:sz w:val="18"/>
                <w:szCs w:val="18"/>
                <w:color w:val="000000"/>
              </w:rPr>
              <w:t>$</w:t>
            </w:r>
            <w:r>
              <w:rPr>
                <w:rFonts w:ascii="Arial" w:cs="Arial" w:eastAsia="Arial" w:hAnsi="Arial"/>
                <w:sz w:val="18"/>
                <w:szCs w:val="18"/>
                <w:color w:val="0000FF"/>
              </w:rPr>
              <w:t>20.1606</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2,652,428</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Tile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4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Shop,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Inc.</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256,425</w:t>
            </w:r>
            <w:r>
              <w:rPr>
                <w:rFonts w:ascii="Arial" w:cs="Arial" w:eastAsia="Arial" w:hAnsi="Arial"/>
                <w:sz w:val="22"/>
                <w:szCs w:val="22"/>
                <w:color w:val="008000"/>
                <w:w w:val="84"/>
                <w:vertAlign w:val="superscript"/>
              </w:rPr>
              <w:t>(3)</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Grantor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2,800,000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w w:val="97"/>
              </w:rPr>
              <w:t>Retained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Annuity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1,430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Spouse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1,430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UGMA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1,430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UGMA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1,430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UGMA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1,430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UGMA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1,430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UGMA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1,430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UGMA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1,430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UGMA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82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2"/>
                <w:szCs w:val="12"/>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2"/>
                <w:szCs w:val="12"/>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6400" w:type="dxa"/>
            <w:vAlign w:val="bottom"/>
            <w:gridSpan w:val="7"/>
          </w:tcPr>
          <w:p>
            <w:pPr>
              <w:ind w:left="40"/>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derivative</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Ownership</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92"/>
        </w:trPr>
        <w:tc>
          <w:tcPr>
            <w:tcW w:w="7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ind w:left="80"/>
              <w:spacing w:after="0" w:line="92" w:lineRule="exact"/>
              <w:rPr>
                <w:sz w:val="20"/>
                <w:szCs w:val="20"/>
                <w:color w:val="auto"/>
              </w:rPr>
            </w:pPr>
            <w:r>
              <w:rPr>
                <w:rFonts w:ascii="Arial" w:cs="Arial" w:eastAsia="Arial" w:hAnsi="Arial"/>
                <w:sz w:val="10"/>
                <w:szCs w:val="10"/>
                <w:b w:val="1"/>
                <w:bCs w:val="1"/>
                <w:color w:val="auto"/>
              </w:rPr>
              <w:t>Execution Date,</w:t>
            </w:r>
          </w:p>
        </w:tc>
        <w:tc>
          <w:tcPr>
            <w:tcW w:w="84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Transaction</w:t>
            </w:r>
          </w:p>
        </w:tc>
        <w:tc>
          <w:tcPr>
            <w:tcW w:w="780" w:type="dxa"/>
            <w:vAlign w:val="bottom"/>
          </w:tcPr>
          <w:p>
            <w:pPr>
              <w:ind w:left="80"/>
              <w:spacing w:after="0" w:line="92" w:lineRule="exact"/>
              <w:rPr>
                <w:sz w:val="20"/>
                <w:szCs w:val="20"/>
                <w:color w:val="auto"/>
              </w:rPr>
            </w:pPr>
            <w:r>
              <w:rPr>
                <w:rFonts w:ascii="Arial" w:cs="Arial" w:eastAsia="Arial" w:hAnsi="Arial"/>
                <w:sz w:val="10"/>
                <w:szCs w:val="10"/>
                <w:b w:val="1"/>
                <w:bCs w:val="1"/>
                <w:color w:val="auto"/>
              </w:rPr>
              <w:t>of</w:t>
            </w:r>
          </w:p>
        </w:tc>
        <w:tc>
          <w:tcPr>
            <w:tcW w:w="1580" w:type="dxa"/>
            <w:vAlign w:val="bottom"/>
          </w:tcPr>
          <w:p>
            <w:pPr>
              <w:ind w:left="80"/>
              <w:spacing w:after="0" w:line="92" w:lineRule="exact"/>
              <w:rPr>
                <w:sz w:val="20"/>
                <w:szCs w:val="20"/>
                <w:color w:val="auto"/>
              </w:rPr>
            </w:pPr>
            <w:r>
              <w:rPr>
                <w:rFonts w:ascii="Arial" w:cs="Arial" w:eastAsia="Arial" w:hAnsi="Arial"/>
                <w:sz w:val="10"/>
                <w:szCs w:val="10"/>
                <w:b w:val="1"/>
                <w:bCs w:val="1"/>
                <w:color w:val="auto"/>
              </w:rPr>
              <w:t>Expiration Date</w:t>
            </w:r>
          </w:p>
        </w:tc>
        <w:tc>
          <w:tcPr>
            <w:tcW w:w="110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Amount of</w:t>
            </w:r>
          </w:p>
        </w:tc>
        <w:tc>
          <w:tcPr>
            <w:tcW w:w="76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Derivative</w:t>
            </w:r>
          </w:p>
        </w:tc>
        <w:tc>
          <w:tcPr>
            <w:tcW w:w="94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spacing w:after="0"/>
              <w:rPr>
                <w:sz w:val="4"/>
                <w:szCs w:val="4"/>
                <w:color w:val="auto"/>
              </w:rPr>
            </w:pPr>
          </w:p>
        </w:tc>
        <w:tc>
          <w:tcPr>
            <w:tcW w:w="84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Code (Instr.</w:t>
            </w:r>
          </w:p>
        </w:tc>
        <w:tc>
          <w:tcPr>
            <w:tcW w:w="780" w:type="dxa"/>
            <w:vAlign w:val="bottom"/>
          </w:tcPr>
          <w:p>
            <w:pPr>
              <w:ind w:left="80"/>
              <w:spacing w:after="0" w:line="57" w:lineRule="exact"/>
              <w:rPr>
                <w:sz w:val="20"/>
                <w:szCs w:val="20"/>
                <w:color w:val="auto"/>
              </w:rPr>
            </w:pPr>
            <w:r>
              <w:rPr>
                <w:rFonts w:ascii="Arial" w:cs="Arial" w:eastAsia="Arial" w:hAnsi="Arial"/>
                <w:sz w:val="6"/>
                <w:szCs w:val="6"/>
                <w:b w:val="1"/>
                <w:bCs w:val="1"/>
                <w:color w:val="auto"/>
              </w:rPr>
              <w:t>De iv tive</w:t>
            </w:r>
          </w:p>
        </w:tc>
        <w:tc>
          <w:tcPr>
            <w:tcW w:w="1580" w:type="dxa"/>
            <w:vAlign w:val="bottom"/>
          </w:tcPr>
          <w:p>
            <w:pPr>
              <w:ind w:left="80"/>
              <w:spacing w:after="0" w:line="57" w:lineRule="exact"/>
              <w:rPr>
                <w:sz w:val="20"/>
                <w:szCs w:val="20"/>
                <w:color w:val="auto"/>
              </w:rPr>
            </w:pPr>
            <w:r>
              <w:rPr>
                <w:rFonts w:ascii="Arial" w:cs="Arial" w:eastAsia="Arial" w:hAnsi="Arial"/>
                <w:sz w:val="6"/>
                <w:szCs w:val="6"/>
                <w:b w:val="1"/>
                <w:bCs w:val="1"/>
                <w:color w:val="auto"/>
              </w:rPr>
              <w:t>(Month/Day/Year)</w:t>
            </w:r>
          </w:p>
        </w:tc>
        <w:tc>
          <w:tcPr>
            <w:tcW w:w="110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Securities</w:t>
            </w:r>
          </w:p>
        </w:tc>
        <w:tc>
          <w:tcPr>
            <w:tcW w:w="76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Security</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9"/>
        </w:trPr>
        <w:tc>
          <w:tcPr>
            <w:tcW w:w="7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5440" w:type="dxa"/>
            <w:vAlign w:val="bottom"/>
            <w:gridSpan w:val="5"/>
          </w:tcPr>
          <w:p>
            <w:pPr>
              <w:ind w:left="80"/>
              <w:spacing w:after="0" w:line="79" w:lineRule="exact"/>
              <w:rPr>
                <w:sz w:val="20"/>
                <w:szCs w:val="20"/>
                <w:color w:val="auto"/>
              </w:rPr>
            </w:pPr>
            <w:r>
              <w:rPr>
                <w:rFonts w:ascii="Arial" w:cs="Arial" w:eastAsia="Arial" w:hAnsi="Arial"/>
                <w:sz w:val="7"/>
                <w:szCs w:val="7"/>
                <w:b w:val="1"/>
                <w:bCs w:val="1"/>
                <w:color w:val="auto"/>
              </w:rPr>
              <w:t xml:space="preserve">if any   </w:t>
            </w:r>
            <w:r>
              <w:rPr>
                <w:rFonts w:ascii="Arial" w:cs="Arial" w:eastAsia="Arial" w:hAnsi="Arial"/>
                <w:sz w:val="9"/>
                <w:szCs w:val="9"/>
                <w:b w:val="1"/>
                <w:bCs w:val="1"/>
                <w:color w:val="auto"/>
              </w:rPr>
              <w:t>(e.g., puts, calls,</w:t>
            </w:r>
            <w:r>
              <w:rPr>
                <w:rFonts w:ascii="Arial" w:cs="Arial" w:eastAsia="Arial" w:hAnsi="Arial"/>
                <w:sz w:val="7"/>
                <w:szCs w:val="7"/>
                <w:b w:val="1"/>
                <w:bCs w:val="1"/>
                <w:color w:val="auto"/>
              </w:rPr>
              <w:t xml:space="preserve"> </w:t>
            </w:r>
            <w:r>
              <w:rPr>
                <w:rFonts w:ascii="Arial" w:cs="Arial" w:eastAsia="Arial" w:hAnsi="Arial"/>
                <w:sz w:val="9"/>
                <w:szCs w:val="9"/>
                <w:b w:val="1"/>
                <w:bCs w:val="1"/>
                <w:color w:val="auto"/>
              </w:rPr>
              <w:t>warrants,</w:t>
            </w:r>
            <w:r>
              <w:rPr>
                <w:rFonts w:ascii="Arial" w:cs="Arial" w:eastAsia="Arial" w:hAnsi="Arial"/>
                <w:sz w:val="7"/>
                <w:szCs w:val="7"/>
                <w:b w:val="1"/>
                <w:bCs w:val="1"/>
                <w:color w:val="auto"/>
              </w:rPr>
              <w:t xml:space="preserve"> </w:t>
            </w:r>
            <w:r>
              <w:rPr>
                <w:rFonts w:ascii="Arial" w:cs="Arial" w:eastAsia="Arial" w:hAnsi="Arial"/>
                <w:sz w:val="9"/>
                <w:szCs w:val="9"/>
                <w:b w:val="1"/>
                <w:bCs w:val="1"/>
                <w:color w:val="auto"/>
              </w:rPr>
              <w:t>options, convertible securities)</w:t>
            </w:r>
          </w:p>
        </w:tc>
        <w:tc>
          <w:tcPr>
            <w:tcW w:w="7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58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58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58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58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00" w:type="dxa"/>
            <w:vAlign w:val="bottom"/>
          </w:tcPr>
          <w:p>
            <w:pPr>
              <w:ind w:left="520"/>
              <w:spacing w:after="0" w:line="12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 Number</w:t>
            </w:r>
          </w:p>
        </w:tc>
        <w:tc>
          <w:tcPr>
            <w:tcW w:w="15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4"/>
              </w:rPr>
              <w:t>7. Title andNumber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9. Number of</w:t>
            </w:r>
          </w:p>
        </w:tc>
        <w:tc>
          <w:tcPr>
            <w:tcW w:w="3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85"/>
              </w:rPr>
              <w:t>DateExpiration DateExpiration</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Amountofof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(InstrV.</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74"/>
              </w:rPr>
              <w:t>(A)Derivative(D)</w:t>
            </w:r>
          </w:p>
        </w:tc>
        <w:tc>
          <w:tcPr>
            <w:tcW w:w="15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77"/>
              </w:rPr>
              <w:t>Exercisable(Month/Day/Year)Date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83"/>
              </w:rPr>
              <w:t>TitleSecuritiesShares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58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8"/>
        </w:trPr>
        <w:tc>
          <w:tcPr>
            <w:tcW w:w="252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 xml:space="preserve">Explanation </w:t>
            </w:r>
            <w:r>
              <w:rPr>
                <w:rFonts w:ascii="Arial" w:cs="Arial" w:eastAsia="Arial" w:hAnsi="Arial"/>
                <w:sz w:val="12"/>
                <w:szCs w:val="12"/>
                <w:b w:val="1"/>
                <w:bCs w:val="1"/>
                <w:color w:val="auto"/>
              </w:rPr>
              <w:t>Derivative</w:t>
            </w:r>
            <w:r>
              <w:rPr>
                <w:rFonts w:ascii="Arial" w:cs="Arial" w:eastAsia="Arial" w:hAnsi="Arial"/>
                <w:sz w:val="14"/>
                <w:szCs w:val="14"/>
                <w:b w:val="1"/>
                <w:bCs w:val="1"/>
                <w:color w:val="auto"/>
              </w:rPr>
              <w:t>ofResponses:</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Acquired</w:t>
            </w:r>
          </w:p>
        </w:tc>
        <w:tc>
          <w:tcPr>
            <w:tcW w:w="158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(A) or</w:t>
            </w:r>
          </w:p>
        </w:tc>
        <w:tc>
          <w:tcPr>
            <w:tcW w:w="1580" w:type="dxa"/>
            <w:vAlign w:val="bottom"/>
          </w:tcPr>
          <w:p>
            <w:pPr>
              <w:spacing w:after="0"/>
              <w:rPr>
                <w:sz w:val="10"/>
                <w:szCs w:val="10"/>
                <w:color w:val="auto"/>
              </w:rPr>
            </w:pPr>
          </w:p>
        </w:tc>
        <w:tc>
          <w:tcPr>
            <w:tcW w:w="110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0"/>
                <w:szCs w:val="10"/>
                <w:color w:val="auto"/>
              </w:rPr>
            </w:pPr>
          </w:p>
        </w:tc>
        <w:tc>
          <w:tcPr>
            <w:tcW w:w="940" w:type="dxa"/>
            <w:vAlign w:val="bottom"/>
          </w:tcPr>
          <w:p>
            <w:pPr>
              <w:ind w:left="20"/>
              <w:spacing w:after="0" w:line="122"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860" w:type="dxa"/>
            <w:vAlign w:val="bottom"/>
            <w:gridSpan w:val="5"/>
          </w:tcPr>
          <w:p>
            <w:pPr>
              <w:ind w:left="40"/>
              <w:spacing w:after="0" w:line="135" w:lineRule="exact"/>
              <w:rPr>
                <w:sz w:val="20"/>
                <w:szCs w:val="20"/>
                <w:color w:val="auto"/>
              </w:rPr>
            </w:pPr>
            <w:r>
              <w:rPr>
                <w:rFonts w:ascii="Arial" w:cs="Arial" w:eastAsia="Arial" w:hAnsi="Arial"/>
                <w:sz w:val="14"/>
                <w:szCs w:val="14"/>
                <w:color w:val="008000"/>
              </w:rPr>
              <w:t>1. These shares were sold pursuant to a 10b5-1 Plan.</w:t>
            </w:r>
          </w:p>
        </w:tc>
        <w:tc>
          <w:tcPr>
            <w:tcW w:w="84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158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0200" w:type="dxa"/>
            <w:vAlign w:val="bottom"/>
            <w:gridSpan w:val="12"/>
          </w:tcPr>
          <w:p>
            <w:pPr>
              <w:ind w:left="40"/>
              <w:spacing w:after="0" w:line="137" w:lineRule="exact"/>
              <w:rPr>
                <w:sz w:val="20"/>
                <w:szCs w:val="20"/>
                <w:color w:val="auto"/>
              </w:rPr>
            </w:pPr>
            <w:r>
              <w:rPr>
                <w:rFonts w:ascii="Arial" w:cs="Arial" w:eastAsia="Arial" w:hAnsi="Arial"/>
                <w:sz w:val="14"/>
                <w:szCs w:val="14"/>
                <w:color w:val="008000"/>
                <w:w w:val="81"/>
              </w:rPr>
              <w:t>2. These securities are owned by The Tile Shop, Inc. The reporting person is the sole director</w:t>
            </w:r>
            <w:r>
              <w:rPr>
                <w:rFonts w:ascii="Arial" w:cs="Arial" w:eastAsia="Arial" w:hAnsi="Arial"/>
                <w:sz w:val="12"/>
                <w:szCs w:val="12"/>
                <w:b w:val="1"/>
                <w:bCs w:val="1"/>
                <w:color w:val="000000"/>
                <w:w w:val="81"/>
              </w:rPr>
              <w:t>of(D)</w:t>
            </w:r>
            <w:r>
              <w:rPr>
                <w:rFonts w:ascii="Arial" w:cs="Arial" w:eastAsia="Arial" w:hAnsi="Arial"/>
                <w:sz w:val="14"/>
                <w:szCs w:val="14"/>
                <w:color w:val="008000"/>
                <w:w w:val="81"/>
              </w:rPr>
              <w:t xml:space="preserve"> of The Tile Shop, Inc. The reporting person disclaims beneficial ownership</w:t>
            </w:r>
            <w:r>
              <w:rPr>
                <w:rFonts w:ascii="Arial" w:cs="Arial" w:eastAsia="Arial" w:hAnsi="Arial"/>
                <w:sz w:val="12"/>
                <w:szCs w:val="12"/>
                <w:b w:val="1"/>
                <w:bCs w:val="1"/>
                <w:color w:val="000000"/>
                <w:w w:val="81"/>
              </w:rPr>
              <w:t>Transaction(</w:t>
            </w:r>
            <w:r>
              <w:rPr>
                <w:rFonts w:ascii="Arial" w:cs="Arial" w:eastAsia="Arial" w:hAnsi="Arial"/>
                <w:sz w:val="14"/>
                <w:szCs w:val="14"/>
                <w:color w:val="008000"/>
                <w:w w:val="81"/>
              </w:rPr>
              <w:t>ofthesesecurities</w:t>
            </w:r>
            <w:r>
              <w:rPr>
                <w:rFonts w:ascii="Arial" w:cs="Arial" w:eastAsia="Arial" w:hAnsi="Arial"/>
                <w:sz w:val="12"/>
                <w:szCs w:val="12"/>
                <w:b w:val="1"/>
                <w:bCs w:val="1"/>
                <w:color w:val="000000"/>
                <w:w w:val="81"/>
              </w:rPr>
              <w:t>)</w:t>
            </w:r>
          </w:p>
        </w:tc>
        <w:tc>
          <w:tcPr>
            <w:tcW w:w="1220" w:type="dxa"/>
            <w:vAlign w:val="bottom"/>
            <w:gridSpan w:val="2"/>
          </w:tcPr>
          <w:p>
            <w:pPr>
              <w:ind w:left="20"/>
              <w:spacing w:after="0" w:line="137" w:lineRule="exact"/>
              <w:rPr>
                <w:sz w:val="20"/>
                <w:szCs w:val="20"/>
                <w:color w:val="auto"/>
              </w:rPr>
            </w:pPr>
            <w:r>
              <w:rPr>
                <w:rFonts w:ascii="Arial" w:cs="Arial" w:eastAsia="Arial" w:hAnsi="Arial"/>
                <w:sz w:val="14"/>
                <w:szCs w:val="14"/>
                <w:color w:val="008000"/>
                <w:w w:val="96"/>
              </w:rPr>
              <w:t>except to the extent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(Instr. 3, 4</w:t>
            </w:r>
          </w:p>
        </w:tc>
        <w:tc>
          <w:tcPr>
            <w:tcW w:w="15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ind w:left="20"/>
              <w:spacing w:after="0" w:line="122"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10200" w:type="dxa"/>
            <w:vAlign w:val="bottom"/>
            <w:gridSpan w:val="12"/>
          </w:tcPr>
          <w:p>
            <w:pPr>
              <w:ind w:left="40"/>
              <w:spacing w:after="0"/>
              <w:rPr>
                <w:sz w:val="20"/>
                <w:szCs w:val="20"/>
                <w:color w:val="auto"/>
              </w:rPr>
            </w:pPr>
            <w:r>
              <w:rPr>
                <w:rFonts w:ascii="Arial" w:cs="Arial" w:eastAsia="Arial" w:hAnsi="Arial"/>
                <w:sz w:val="2"/>
                <w:szCs w:val="2"/>
                <w:color w:val="008000"/>
              </w:rPr>
              <w:t>of his pecuniary interest therein, and this report shall not be deemed an admission that the reporting person is the beneficial owner of such securities for Section 16 or any other purpose.</w:t>
            </w: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57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57683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10"/>
        </w:trPr>
        <w:tc>
          <w:tcPr>
            <w:tcW w:w="4600" w:type="dxa"/>
            <w:vAlign w:val="bottom"/>
          </w:tcPr>
          <w:p>
            <w:pPr>
              <w:spacing w:after="0"/>
              <w:rPr>
                <w:sz w:val="9"/>
                <w:szCs w:val="9"/>
                <w:color w:val="auto"/>
              </w:rPr>
            </w:pPr>
          </w:p>
        </w:tc>
        <w:tc>
          <w:tcPr>
            <w:tcW w:w="1680" w:type="dxa"/>
            <w:vAlign w:val="bottom"/>
          </w:tcPr>
          <w:p>
            <w:pPr>
              <w:ind w:left="160"/>
              <w:spacing w:after="0" w:line="110" w:lineRule="exact"/>
              <w:rPr>
                <w:sz w:val="20"/>
                <w:szCs w:val="20"/>
                <w:color w:val="auto"/>
              </w:rPr>
            </w:pPr>
            <w:r>
              <w:rPr>
                <w:rFonts w:ascii="Arial" w:cs="Arial" w:eastAsia="Arial" w:hAnsi="Arial"/>
                <w:sz w:val="12"/>
                <w:szCs w:val="12"/>
                <w:b w:val="1"/>
                <w:bCs w:val="1"/>
                <w:color w:val="auto"/>
              </w:rPr>
              <w:t>and 5)</w:t>
            </w: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1380" w:type="dxa"/>
            <w:vAlign w:val="bottom"/>
            <w:gridSpan w:val="13"/>
          </w:tcPr>
          <w:p>
            <w:pPr>
              <w:ind w:left="20"/>
              <w:spacing w:after="0" w:line="111" w:lineRule="exact"/>
              <w:rPr>
                <w:sz w:val="20"/>
                <w:szCs w:val="20"/>
                <w:color w:val="auto"/>
              </w:rPr>
            </w:pPr>
            <w:r>
              <w:rPr>
                <w:rFonts w:ascii="Arial" w:cs="Arial" w:eastAsia="Arial" w:hAnsi="Arial"/>
                <w:sz w:val="12"/>
                <w:szCs w:val="12"/>
                <w:color w:val="008000"/>
              </w:rPr>
              <w:t>3. Includes 5,038 shares of restricted stock granted pursuant to the Company's 2012 Omnibus Award Plan, which are subject to a purchase option in favor of the Company until the earlier of (a) the date of the</w:t>
            </w:r>
          </w:p>
        </w:tc>
        <w:tc>
          <w:tcPr>
            <w:tcW w:w="0" w:type="dxa"/>
            <w:vAlign w:val="bottom"/>
          </w:tcPr>
          <w:p>
            <w:pPr>
              <w:spacing w:after="0"/>
              <w:rPr>
                <w:sz w:val="1"/>
                <w:szCs w:val="1"/>
                <w:color w:val="auto"/>
              </w:rPr>
            </w:pPr>
          </w:p>
        </w:tc>
      </w:tr>
      <w:tr>
        <w:trPr>
          <w:trHeight w:val="170"/>
        </w:trPr>
        <w:tc>
          <w:tcPr>
            <w:tcW w:w="4600" w:type="dxa"/>
            <w:vAlign w:val="bottom"/>
          </w:tcPr>
          <w:p>
            <w:pPr>
              <w:ind w:left="20"/>
              <w:spacing w:after="0"/>
              <w:rPr>
                <w:sz w:val="20"/>
                <w:szCs w:val="20"/>
                <w:color w:val="auto"/>
              </w:rPr>
            </w:pPr>
            <w:r>
              <w:rPr>
                <w:rFonts w:ascii="Arial" w:cs="Arial" w:eastAsia="Arial" w:hAnsi="Arial"/>
                <w:sz w:val="14"/>
                <w:szCs w:val="14"/>
                <w:color w:val="008000"/>
              </w:rPr>
              <w:t>Company's next annual meeting of stockholders and (2) July 13, 2018.</w:t>
            </w:r>
          </w:p>
        </w:tc>
        <w:tc>
          <w:tcPr>
            <w:tcW w:w="1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ind w:left="5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Remarks:</w:t>
            </w:r>
          </w:p>
        </w:tc>
        <w:tc>
          <w:tcPr>
            <w:tcW w:w="1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60" w:type="dxa"/>
            <w:vAlign w:val="bottom"/>
            <w:gridSpan w:val="6"/>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vMerge w:val="continue"/>
          </w:tcPr>
          <w:p>
            <w:pPr>
              <w:spacing w:after="0"/>
              <w:rPr>
                <w:sz w:val="11"/>
                <w:szCs w:val="11"/>
                <w:color w:val="auto"/>
              </w:rPr>
            </w:pPr>
          </w:p>
        </w:tc>
        <w:tc>
          <w:tcPr>
            <w:tcW w:w="1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60" w:type="dxa"/>
            <w:vAlign w:val="bottom"/>
            <w:gridSpan w:val="6"/>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680" w:type="dxa"/>
            <w:vAlign w:val="bottom"/>
          </w:tcPr>
          <w:p>
            <w:pPr>
              <w:ind w:left="9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960" w:type="dxa"/>
            <w:vAlign w:val="bottom"/>
            <w:gridSpan w:val="6"/>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600" w:type="dxa"/>
            <w:vAlign w:val="bottom"/>
          </w:tcPr>
          <w:p>
            <w:pPr>
              <w:ind w:left="3900"/>
              <w:spacing w:after="0" w:line="124" w:lineRule="exact"/>
              <w:rPr>
                <w:sz w:val="20"/>
                <w:szCs w:val="20"/>
                <w:color w:val="auto"/>
              </w:rPr>
            </w:pPr>
            <w:r>
              <w:rPr>
                <w:rFonts w:ascii="Arial" w:cs="Arial" w:eastAsia="Arial" w:hAnsi="Arial"/>
                <w:sz w:val="12"/>
                <w:szCs w:val="12"/>
                <w:b w:val="1"/>
                <w:bCs w:val="1"/>
                <w:color w:val="auto"/>
              </w:rPr>
              <w:t>Code  V</w:t>
            </w:r>
          </w:p>
        </w:tc>
        <w:tc>
          <w:tcPr>
            <w:tcW w:w="1680" w:type="dxa"/>
            <w:vAlign w:val="bottom"/>
          </w:tcPr>
          <w:p>
            <w:pPr>
              <w:ind w:left="160"/>
              <w:spacing w:after="0" w:line="124" w:lineRule="exact"/>
              <w:rPr>
                <w:sz w:val="20"/>
                <w:szCs w:val="20"/>
                <w:color w:val="auto"/>
              </w:rPr>
            </w:pPr>
            <w:r>
              <w:rPr>
                <w:rFonts w:ascii="Arial" w:cs="Arial" w:eastAsia="Arial" w:hAnsi="Arial"/>
                <w:sz w:val="12"/>
                <w:szCs w:val="12"/>
                <w:b w:val="1"/>
                <w:bCs w:val="1"/>
                <w:color w:val="auto"/>
              </w:rPr>
              <w:t>(A)   (D)   Exercisable</w:t>
            </w:r>
          </w:p>
        </w:tc>
        <w:tc>
          <w:tcPr>
            <w:tcW w:w="5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0"/>
                <w:szCs w:val="10"/>
                <w:color w:val="auto"/>
              </w:rPr>
            </w:pPr>
          </w:p>
        </w:tc>
        <w:tc>
          <w:tcPr>
            <w:tcW w:w="1960" w:type="dxa"/>
            <w:vAlign w:val="bottom"/>
            <w:gridSpan w:val="6"/>
          </w:tcPr>
          <w:p>
            <w:pPr>
              <w:ind w:left="60"/>
              <w:spacing w:after="0" w:line="124" w:lineRule="exact"/>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140" w:type="dxa"/>
            <w:vAlign w:val="bottom"/>
            <w:gridSpan w:val="7"/>
          </w:tcPr>
          <w:p>
            <w:pPr>
              <w:spacing w:after="0" w:line="27" w:lineRule="exact"/>
              <w:rPr>
                <w:sz w:val="20"/>
                <w:szCs w:val="20"/>
                <w:color w:val="auto"/>
              </w:rPr>
            </w:pPr>
            <w:r>
              <w:rPr>
                <w:rFonts w:ascii="Arial" w:cs="Arial" w:eastAsia="Arial" w:hAnsi="Arial"/>
                <w:sz w:val="3"/>
                <w:szCs w:val="3"/>
                <w:color w:val="0000FF"/>
              </w:rPr>
              <w:t>/s/ John R. Houston as</w:t>
            </w: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4600" w:type="dxa"/>
            <w:vAlign w:val="bottom"/>
            <w:tcBorders>
              <w:bottom w:val="single" w:sz="8" w:color="808080"/>
            </w:tcBorders>
          </w:tcPr>
          <w:p>
            <w:pPr>
              <w:spacing w:after="0"/>
              <w:rPr>
                <w:sz w:val="2"/>
                <w:szCs w:val="2"/>
                <w:color w:val="auto"/>
              </w:rPr>
            </w:pPr>
          </w:p>
        </w:tc>
        <w:tc>
          <w:tcPr>
            <w:tcW w:w="168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1940" w:type="dxa"/>
            <w:vAlign w:val="bottom"/>
            <w:gridSpan w:val="4"/>
            <w:vMerge w:val="restart"/>
          </w:tcPr>
          <w:p>
            <w:pPr>
              <w:spacing w:after="0" w:line="196" w:lineRule="exact"/>
              <w:rPr>
                <w:sz w:val="20"/>
                <w:szCs w:val="20"/>
                <w:color w:val="auto"/>
              </w:rPr>
            </w:pPr>
            <w:r>
              <w:rPr>
                <w:rFonts w:ascii="Arial" w:cs="Arial" w:eastAsia="Arial" w:hAnsi="Arial"/>
                <w:sz w:val="18"/>
                <w:szCs w:val="18"/>
                <w:color w:val="0000FF"/>
                <w:highlight w:val="white"/>
                <w:w w:val="90"/>
              </w:rPr>
              <w:t>Attorney-in-Fact for Robert</w:t>
            </w:r>
          </w:p>
        </w:tc>
        <w:tc>
          <w:tcPr>
            <w:tcW w:w="2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4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40" w:type="dxa"/>
            <w:vAlign w:val="bottom"/>
            <w:tcBorders>
              <w:bottom w:val="single" w:sz="8" w:color="auto"/>
            </w:tcBorders>
            <w:gridSpan w:val="4"/>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gridSpan w:val="3"/>
            <w:vMerge w:val="restart"/>
          </w:tcPr>
          <w:p>
            <w:pPr>
              <w:ind w:left="140"/>
              <w:spacing w:after="0"/>
              <w:rPr>
                <w:sz w:val="20"/>
                <w:szCs w:val="20"/>
                <w:color w:val="auto"/>
              </w:rPr>
            </w:pPr>
            <w:r>
              <w:rPr>
                <w:rFonts w:ascii="Arial" w:cs="Arial" w:eastAsia="Arial" w:hAnsi="Arial"/>
                <w:sz w:val="18"/>
                <w:szCs w:val="18"/>
                <w:color w:val="0000FF"/>
              </w:rPr>
              <w:t>07/18/2017</w:t>
            </w:r>
          </w:p>
        </w:tc>
        <w:tc>
          <w:tcPr>
            <w:tcW w:w="0" w:type="dxa"/>
            <w:vAlign w:val="bottom"/>
          </w:tcPr>
          <w:p>
            <w:pPr>
              <w:spacing w:after="0"/>
              <w:rPr>
                <w:sz w:val="1"/>
                <w:szCs w:val="1"/>
                <w:color w:val="auto"/>
              </w:rPr>
            </w:pPr>
          </w:p>
        </w:tc>
      </w:tr>
      <w:tr>
        <w:trPr>
          <w:trHeight w:val="88"/>
        </w:trPr>
        <w:tc>
          <w:tcPr>
            <w:tcW w:w="46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140" w:type="dxa"/>
            <w:vAlign w:val="bottom"/>
            <w:gridSpan w:val="7"/>
            <w:vMerge w:val="restart"/>
          </w:tcPr>
          <w:p>
            <w:pPr>
              <w:spacing w:after="0" w:line="196" w:lineRule="exact"/>
              <w:rPr>
                <w:sz w:val="20"/>
                <w:szCs w:val="20"/>
                <w:color w:val="auto"/>
              </w:rPr>
            </w:pPr>
            <w:r>
              <w:rPr>
                <w:rFonts w:ascii="Arial" w:cs="Arial" w:eastAsia="Arial" w:hAnsi="Arial"/>
                <w:sz w:val="18"/>
                <w:szCs w:val="18"/>
                <w:color w:val="0000FF"/>
                <w:w w:val="92"/>
              </w:rPr>
              <w:t>Rucker pursuant to Power of</w:t>
            </w:r>
          </w:p>
        </w:tc>
        <w:tc>
          <w:tcPr>
            <w:tcW w:w="23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6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140" w:type="dxa"/>
            <w:vAlign w:val="bottom"/>
            <w:gridSpan w:val="7"/>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0000FF"/>
              </w:rPr>
              <w:t>Attorney previously filed.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4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2380" w:type="dxa"/>
            <w:vAlign w:val="bottom"/>
            <w:gridSpan w:val="3"/>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6280" w:type="dxa"/>
            <w:vAlign w:val="bottom"/>
            <w:gridSpan w:val="2"/>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5206" TargetMode="External"/><Relationship Id="rId13" Type="http://schemas.openxmlformats.org/officeDocument/2006/relationships/hyperlink" Target="http://www.sec.gov/cgi-bin/browse-edgar?action=getcompany&amp;CIK=0001552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2019-12-04T02:20:23Z</dcterms:created>
  <dcterms:modified xsi:type="dcterms:W3CDTF">2019-12-04T02:20:23Z</dcterms:modified>
</cp:coreProperties>
</file>