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214630</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64230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5"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FORM 10-Q</w:t>
      </w:r>
    </w:p>
    <w:p>
      <w:pPr>
        <w:spacing w:after="0" w:line="17"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ind w:left="4"/>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0"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58"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684" w:right="600" w:hanging="3684"/>
        <w:spacing w:after="0" w:line="422" w:lineRule="auto"/>
        <w:tabs>
          <w:tab w:leader="none" w:pos="28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 to –</w:t>
      </w:r>
    </w:p>
    <w:p>
      <w:pPr>
        <w:spacing w:after="0" w:line="1"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Commission file number: 001-35629</w:t>
      </w:r>
    </w:p>
    <w:p>
      <w:pPr>
        <w:spacing w:after="0" w:line="2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02"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TILE SHOP HOLDINGS, INC.</w:t>
      </w:r>
    </w:p>
    <w:p>
      <w:pPr>
        <w:spacing w:after="0" w:line="40"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38" w:lineRule="exact"/>
        <w:rPr>
          <w:sz w:val="24"/>
          <w:szCs w:val="24"/>
          <w:color w:val="auto"/>
        </w:rPr>
      </w:pPr>
    </w:p>
    <w:tbl>
      <w:tblPr>
        <w:tblLayout w:type="fixed"/>
        <w:tblInd w:w="824" w:type="dxa"/>
        <w:tblCellMar>
          <w:top w:w="0" w:type="dxa"/>
          <w:left w:w="0" w:type="dxa"/>
          <w:bottom w:w="0" w:type="dxa"/>
          <w:right w:w="0" w:type="dxa"/>
        </w:tblCellMar>
      </w:tblPr>
      <w:tr>
        <w:trPr>
          <w:trHeight w:val="216"/>
        </w:trPr>
        <w:tc>
          <w:tcPr>
            <w:tcW w:w="440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440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440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14000 Carlson Parkway</w:t>
            </w:r>
          </w:p>
        </w:tc>
        <w:tc>
          <w:tcPr>
            <w:tcW w:w="3740" w:type="dxa"/>
            <w:vAlign w:val="bottom"/>
          </w:tcPr>
          <w:p>
            <w:pPr>
              <w:spacing w:after="0"/>
              <w:rPr>
                <w:sz w:val="24"/>
                <w:szCs w:val="24"/>
                <w:color w:val="auto"/>
              </w:rPr>
            </w:pPr>
          </w:p>
        </w:tc>
      </w:tr>
      <w:tr>
        <w:trPr>
          <w:trHeight w:val="216"/>
        </w:trPr>
        <w:tc>
          <w:tcPr>
            <w:tcW w:w="440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Plymouth, Minnesota</w:t>
            </w:r>
          </w:p>
        </w:tc>
        <w:tc>
          <w:tcPr>
            <w:tcW w:w="3740" w:type="dxa"/>
            <w:vAlign w:val="bottom"/>
          </w:tcPr>
          <w:p>
            <w:pPr>
              <w:jc w:val="right"/>
              <w:ind w:right="1050"/>
              <w:spacing w:after="0"/>
              <w:rPr>
                <w:sz w:val="20"/>
                <w:szCs w:val="20"/>
                <w:color w:val="auto"/>
              </w:rPr>
            </w:pPr>
            <w:r>
              <w:rPr>
                <w:rFonts w:ascii="Arial" w:cs="Arial" w:eastAsia="Arial" w:hAnsi="Arial"/>
                <w:sz w:val="18"/>
                <w:szCs w:val="18"/>
                <w:b w:val="1"/>
                <w:bCs w:val="1"/>
                <w:color w:val="auto"/>
              </w:rPr>
              <w:t>55441</w:t>
            </w:r>
          </w:p>
        </w:tc>
      </w:tr>
      <w:tr>
        <w:trPr>
          <w:trHeight w:val="234"/>
        </w:trPr>
        <w:tc>
          <w:tcPr>
            <w:tcW w:w="44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(763) 852-2950</w:t>
      </w:r>
    </w:p>
    <w:p>
      <w:pPr>
        <w:spacing w:after="0" w:line="27"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9" w:lineRule="exact"/>
        <w:rPr>
          <w:sz w:val="24"/>
          <w:szCs w:val="24"/>
          <w:color w:val="auto"/>
        </w:rPr>
      </w:pPr>
    </w:p>
    <w:p>
      <w:pPr>
        <w:ind w:left="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jc w:val="both"/>
        <w:ind w:left="4" w:right="20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15" w:lineRule="exact"/>
        <w:rPr>
          <w:sz w:val="24"/>
          <w:szCs w:val="24"/>
          <w:color w:val="auto"/>
        </w:rPr>
      </w:pPr>
    </w:p>
    <w:p>
      <w:pPr>
        <w:ind w:left="4"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044"/>
          </w:cols>
          <w:pgMar w:left="896" w:top="229" w:right="959" w:bottom="1440" w:gutter="0" w:footer="0" w:header="0"/>
        </w:sectPr>
      </w:pPr>
    </w:p>
    <w:p>
      <w:pPr>
        <w:spacing w:after="0" w:line="127" w:lineRule="exact"/>
        <w:rPr>
          <w:sz w:val="24"/>
          <w:szCs w:val="24"/>
          <w:color w:val="auto"/>
        </w:rPr>
      </w:pPr>
    </w:p>
    <w:p>
      <w:pPr>
        <w:ind w:left="4"/>
        <w:spacing w:after="0" w:line="308" w:lineRule="auto"/>
        <w:rPr>
          <w:sz w:val="20"/>
          <w:szCs w:val="20"/>
          <w:color w:val="auto"/>
        </w:rPr>
      </w:pPr>
      <w:r>
        <w:rPr>
          <w:rFonts w:ascii="Arial" w:cs="Arial" w:eastAsia="Arial" w:hAnsi="Arial"/>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both"/>
        <w:ind w:right="40"/>
        <w:spacing w:after="0" w:line="250" w:lineRule="exact"/>
        <w:rPr>
          <w:sz w:val="20"/>
          <w:szCs w:val="20"/>
          <w:color w:val="auto"/>
        </w:rPr>
      </w:pPr>
      <w:r>
        <w:rPr>
          <w:rFonts w:ascii="MS PGothic" w:cs="MS PGothic" w:eastAsia="MS PGothic" w:hAnsi="MS PGothic"/>
          <w:sz w:val="16"/>
          <w:szCs w:val="16"/>
          <w:color w:val="auto"/>
        </w:rPr>
        <w:t>☐ ☐</w:t>
      </w:r>
    </w:p>
    <w:p>
      <w:pPr>
        <w:spacing w:after="0" w:line="81" w:lineRule="exact"/>
        <w:rPr>
          <w:sz w:val="24"/>
          <w:szCs w:val="24"/>
          <w:color w:val="auto"/>
        </w:rPr>
      </w:pPr>
    </w:p>
    <w:p>
      <w:pPr>
        <w:sectPr>
          <w:pgSz w:w="11900" w:h="16838" w:orient="portrait"/>
          <w:cols w:equalWidth="0" w:num="5">
            <w:col w:w="1704" w:space="300"/>
            <w:col w:w="4980" w:space="720"/>
            <w:col w:w="1320" w:space="80"/>
            <w:col w:w="660" w:space="80"/>
            <w:col w:w="200"/>
          </w:cols>
          <w:pgMar w:left="896" w:top="229" w:right="959" w:bottom="1440" w:gutter="0" w:footer="0" w:header="0"/>
          <w:type w:val="continuous"/>
        </w:sectPr>
      </w:pPr>
    </w:p>
    <w:p>
      <w:pPr>
        <w:ind w:left="4"/>
        <w:spacing w:after="0" w:line="196" w:lineRule="exact"/>
        <w:tabs>
          <w:tab w:leader="none" w:pos="8843"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02" w:lineRule="exact"/>
        <w:rPr>
          <w:sz w:val="24"/>
          <w:szCs w:val="24"/>
          <w:color w:val="auto"/>
        </w:rPr>
      </w:pPr>
    </w:p>
    <w:p>
      <w:pPr>
        <w:ind w:left="4"/>
        <w:spacing w:after="0"/>
        <w:rPr>
          <w:sz w:val="20"/>
          <w:szCs w:val="20"/>
          <w:color w:val="auto"/>
        </w:rPr>
      </w:pPr>
      <w:r>
        <w:rPr>
          <w:rFonts w:ascii="Arial" w:cs="Arial" w:eastAsia="Arial" w:hAnsi="Arial"/>
          <w:sz w:val="16"/>
          <w:szCs w:val="16"/>
          <w:color w:val="auto"/>
        </w:rPr>
        <w:t>As of October 24, 2016, there were 51,593,979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6423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934085</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4"/>
          </w:cols>
          <w:pgMar w:left="896" w:top="229" w:right="9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00" w:type="dxa"/>
            <w:vAlign w:val="bottom"/>
            <w:gridSpan w:val="2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80" w:type="dxa"/>
            <w:vAlign w:val="bottom"/>
            <w:gridSpan w:val="7"/>
          </w:tcPr>
          <w:p>
            <w:pPr>
              <w:jc w:val="center"/>
              <w:ind w:right="3000"/>
              <w:spacing w:after="0"/>
              <w:rPr>
                <w:sz w:val="20"/>
                <w:szCs w:val="20"/>
                <w:color w:val="auto"/>
              </w:rPr>
            </w:pPr>
            <w:r>
              <w:rPr>
                <w:rFonts w:ascii="Arial" w:cs="Arial" w:eastAsia="Arial" w:hAnsi="Arial"/>
                <w:sz w:val="18"/>
                <w:szCs w:val="18"/>
                <w:b w:val="1"/>
                <w:bCs w:val="1"/>
                <w:color w:val="auto"/>
              </w:rPr>
              <w:t>TILE SHOP HOLDINGS, INC.</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0" w:type="dxa"/>
            <w:vAlign w:val="bottom"/>
            <w:gridSpan w:val="6"/>
          </w:tcPr>
          <w:p>
            <w:pPr>
              <w:jc w:val="center"/>
              <w:ind w:right="3280"/>
              <w:spacing w:after="0"/>
              <w:rPr>
                <w:sz w:val="20"/>
                <w:szCs w:val="20"/>
                <w:color w:val="auto"/>
              </w:rPr>
            </w:pPr>
            <w:r>
              <w:rPr>
                <w:rFonts w:ascii="Arial" w:cs="Arial" w:eastAsia="Arial" w:hAnsi="Arial"/>
                <w:sz w:val="18"/>
                <w:szCs w:val="18"/>
                <w:b w:val="1"/>
                <w:bCs w:val="1"/>
                <w:color w:val="auto"/>
                <w:w w:val="89"/>
              </w:rPr>
              <w:t>Table of Contents</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10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80" w:type="dxa"/>
            <w:vAlign w:val="bottom"/>
            <w:gridSpan w:val="25"/>
            <w:shd w:val="clear" w:color="auto" w:fill="CCEEFF"/>
          </w:tcPr>
          <w:p>
            <w:pPr>
              <w:spacing w:after="0" w:line="15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10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240" w:type="dxa"/>
            <w:vAlign w:val="bottom"/>
            <w:tcBorders>
              <w:top w:val="single" w:sz="8" w:color="CCEEFF"/>
            </w:tcBorders>
            <w:gridSpan w:val="10"/>
          </w:tcPr>
          <w:p>
            <w:pPr>
              <w:spacing w:after="0"/>
              <w:rPr>
                <w:sz w:val="15"/>
                <w:szCs w:val="15"/>
                <w:color w:val="auto"/>
              </w:rPr>
            </w:pPr>
          </w:p>
        </w:tc>
        <w:tc>
          <w:tcPr>
            <w:tcW w:w="8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34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40" w:type="dxa"/>
            <w:vAlign w:val="bottom"/>
            <w:gridSpan w:val="21"/>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24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(Loss) Income</w:t>
              </w:r>
            </w:hyperlink>
          </w:p>
        </w:tc>
        <w:tc>
          <w:tcPr>
            <w:tcW w:w="4100" w:type="dxa"/>
            <w:vAlign w:val="bottom"/>
            <w:tcBorders>
              <w:bottom w:val="single" w:sz="8" w:color="CCEEFF"/>
            </w:tcBorders>
            <w:gridSpan w:val="4"/>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40" w:type="dxa"/>
            <w:vAlign w:val="bottom"/>
            <w:gridSpan w:val="21"/>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Stockholders’ Equity (Deficit)</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340" w:type="dxa"/>
            <w:vAlign w:val="bottom"/>
            <w:gridSpan w:val="21"/>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40" w:type="dxa"/>
            <w:vAlign w:val="bottom"/>
            <w:gridSpan w:val="21"/>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8340" w:type="dxa"/>
            <w:vAlign w:val="bottom"/>
            <w:gridSpan w:val="21"/>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8340" w:type="dxa"/>
            <w:vAlign w:val="bottom"/>
            <w:gridSpan w:val="21"/>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8340" w:type="dxa"/>
            <w:vAlign w:val="bottom"/>
            <w:gridSpan w:val="21"/>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80" w:type="dxa"/>
            <w:vAlign w:val="bottom"/>
            <w:gridSpan w:val="25"/>
          </w:tcPr>
          <w:p>
            <w:pPr>
              <w:spacing w:after="0" w:line="17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w:t>
              </w:r>
            </w:hyperlink>
          </w:p>
        </w:tc>
        <w:tc>
          <w:tcPr>
            <w:tcW w:w="8340" w:type="dxa"/>
            <w:vAlign w:val="bottom"/>
            <w:gridSpan w:val="21"/>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1A.</w:t>
              </w:r>
            </w:hyperlink>
          </w:p>
        </w:tc>
        <w:tc>
          <w:tcPr>
            <w:tcW w:w="8340" w:type="dxa"/>
            <w:vAlign w:val="bottom"/>
            <w:gridSpan w:val="21"/>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8340" w:type="dxa"/>
            <w:vAlign w:val="bottom"/>
            <w:gridSpan w:val="21"/>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8340" w:type="dxa"/>
            <w:vAlign w:val="bottom"/>
            <w:gridSpan w:val="21"/>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8340" w:type="dxa"/>
            <w:vAlign w:val="bottom"/>
            <w:gridSpan w:val="21"/>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8340" w:type="dxa"/>
            <w:vAlign w:val="bottom"/>
            <w:gridSpan w:val="21"/>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6.</w:t>
              </w:r>
            </w:hyperlink>
          </w:p>
        </w:tc>
        <w:tc>
          <w:tcPr>
            <w:tcW w:w="8340" w:type="dxa"/>
            <w:vAlign w:val="bottom"/>
            <w:gridSpan w:val="21"/>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80" w:type="dxa"/>
            <w:vAlign w:val="bottom"/>
            <w:gridSpan w:val="25"/>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 Index</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180" w:type="dxa"/>
            <w:vAlign w:val="bottom"/>
            <w:tcBorders>
              <w:top w:val="single" w:sz="8" w:color="CCEEFF"/>
            </w:tcBorders>
            <w:gridSpan w:val="15"/>
          </w:tcPr>
          <w:p>
            <w:pPr>
              <w:jc w:val="center"/>
              <w:ind w:left="3870"/>
              <w:spacing w:after="0"/>
              <w:rPr>
                <w:sz w:val="20"/>
                <w:szCs w:val="20"/>
                <w:color w:val="auto"/>
              </w:rPr>
            </w:pPr>
            <w:r>
              <w:rPr>
                <w:rFonts w:ascii="Arial" w:cs="Arial" w:eastAsia="Arial" w:hAnsi="Arial"/>
                <w:sz w:val="18"/>
                <w:szCs w:val="18"/>
                <w:color w:val="auto"/>
                <w:w w:val="99"/>
              </w:rPr>
              <w:t>2</w:t>
            </w: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100" w:type="dxa"/>
            <w:vAlign w:val="bottom"/>
            <w:tcBorders>
              <w:bottom w:val="single" w:sz="8" w:color="EEEEEE"/>
            </w:tcBorders>
          </w:tcPr>
          <w:p>
            <w:pPr>
              <w:spacing w:after="0" w:line="20" w:lineRule="exact"/>
              <w:rPr>
                <w:sz w:val="1"/>
                <w:szCs w:val="1"/>
                <w:color w:val="auto"/>
              </w:rPr>
            </w:pPr>
          </w:p>
        </w:tc>
        <w:tc>
          <w:tcPr>
            <w:tcW w:w="188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80" w:type="dxa"/>
            <w:vAlign w:val="bottom"/>
          </w:tcPr>
          <w:p>
            <w:pPr>
              <w:jc w:val="center"/>
              <w:ind w:left="135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980" w:type="dxa"/>
            <w:vAlign w:val="bottom"/>
          </w:tcPr>
          <w:p>
            <w:pPr>
              <w:jc w:val="center"/>
              <w:ind w:left="1350"/>
              <w:spacing w:after="0"/>
              <w:rPr>
                <w:sz w:val="20"/>
                <w:szCs w:val="20"/>
                <w:color w:val="auto"/>
              </w:rPr>
            </w:pPr>
            <w:r>
              <w:rPr>
                <w:rFonts w:ascii="Arial" w:cs="Arial" w:eastAsia="Arial" w:hAnsi="Arial"/>
                <w:sz w:val="18"/>
                <w:szCs w:val="18"/>
                <w:color w:val="auto"/>
                <w:w w:val="88"/>
              </w:rPr>
              <w:t>Consolidated Balance Sheets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980" w:type="dxa"/>
            <w:vAlign w:val="bottom"/>
          </w:tcPr>
          <w:p>
            <w:pPr>
              <w:jc w:val="center"/>
              <w:ind w:left="1350"/>
              <w:spacing w:after="0"/>
              <w:rPr>
                <w:sz w:val="20"/>
                <w:szCs w:val="20"/>
                <w:color w:val="auto"/>
              </w:rPr>
            </w:pPr>
            <w:r>
              <w:rPr>
                <w:rFonts w:ascii="Arial" w:cs="Arial" w:eastAsia="Arial" w:hAnsi="Arial"/>
                <w:sz w:val="18"/>
                <w:szCs w:val="18"/>
                <w:color w:val="auto"/>
                <w:w w:val="88"/>
              </w:rPr>
              <w:t>(dollars in thousands, except share and per share data)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980" w:type="dxa"/>
            <w:vAlign w:val="bottom"/>
          </w:tcPr>
          <w:p>
            <w:pPr>
              <w:jc w:val="center"/>
              <w:ind w:left="1350"/>
              <w:spacing w:after="0"/>
              <w:rPr>
                <w:sz w:val="20"/>
                <w:szCs w:val="20"/>
                <w:color w:val="auto"/>
              </w:rPr>
            </w:pPr>
            <w:r>
              <w:rPr>
                <w:rFonts w:ascii="Arial" w:cs="Arial" w:eastAsia="Arial" w:hAnsi="Arial"/>
                <w:sz w:val="18"/>
                <w:szCs w:val="18"/>
                <w:color w:val="auto"/>
                <w:w w:val="90"/>
              </w:rPr>
              <w:t>(unaudited)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4"/>
              </w:rPr>
              <w:t>(As Adjusted)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September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59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1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66,379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69,878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inventory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 net</w:t>
            </w: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137,774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19,781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7"/>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243,793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245,007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18,008</w:t>
            </w: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Capital lease obligation, net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3"/>
          </w:tcPr>
          <w:p>
            <w:pPr>
              <w:spacing w:after="0"/>
              <w:rPr>
                <w:sz w:val="20"/>
                <w:szCs w:val="20"/>
                <w:color w:val="auto"/>
              </w:rPr>
            </w:pPr>
            <w:r>
              <w:rPr>
                <w:rFonts w:ascii="Arial" w:cs="Arial" w:eastAsia="Arial" w:hAnsi="Arial"/>
                <w:sz w:val="18"/>
                <w:szCs w:val="18"/>
                <w:color w:val="auto"/>
                <w:w w:val="98"/>
              </w:rPr>
              <w:t>Common stock, par value $0.0001; authorized: 100,000,000 shares; issued and outstanding:</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3"/>
          </w:tcPr>
          <w:p>
            <w:pPr>
              <w:spacing w:after="0"/>
              <w:rPr>
                <w:sz w:val="20"/>
                <w:szCs w:val="20"/>
                <w:color w:val="auto"/>
              </w:rPr>
            </w:pPr>
            <w:r>
              <w:rPr>
                <w:rFonts w:ascii="Arial" w:cs="Arial" w:eastAsia="Arial" w:hAnsi="Arial"/>
                <w:sz w:val="18"/>
                <w:szCs w:val="18"/>
                <w:color w:val="auto"/>
              </w:rPr>
              <w:t>51,575,420 and 51,437,973 shares, respectively</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Preferred stock, par value $0.0001; authorized: 10,000,000 shares; issued and outstanding: 0 shares</w:t>
            </w: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184,893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115,201</w:t>
            </w:r>
          </w:p>
        </w:tc>
        <w:tc>
          <w:tcPr>
            <w:tcW w:w="0" w:type="dxa"/>
            <w:vAlign w:val="bottom"/>
          </w:tcPr>
          <w:p>
            <w:pPr>
              <w:spacing w:after="0"/>
              <w:rPr>
                <w:sz w:val="1"/>
                <w:szCs w:val="1"/>
                <w:color w:val="auto"/>
              </w:rPr>
            </w:pPr>
          </w:p>
        </w:tc>
      </w:tr>
      <w:tr>
        <w:trPr>
          <w:trHeight w:val="217"/>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243,793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245,007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08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140" w:type="dxa"/>
            <w:vAlign w:val="bottom"/>
            <w:gridSpan w:val="5"/>
          </w:tcPr>
          <w:p>
            <w:pPr>
              <w:jc w:val="center"/>
              <w:ind w:left="190"/>
              <w:spacing w:after="0"/>
              <w:rPr>
                <w:sz w:val="20"/>
                <w:szCs w:val="20"/>
                <w:color w:val="auto"/>
              </w:rPr>
            </w:pPr>
            <w:r>
              <w:rPr>
                <w:rFonts w:ascii="Arial" w:cs="Arial" w:eastAsia="Arial" w:hAnsi="Arial"/>
                <w:sz w:val="18"/>
                <w:szCs w:val="18"/>
                <w:color w:val="auto"/>
                <w:w w:val="89"/>
              </w:rPr>
              <w:t>Consolidated Statements of Operations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80" w:type="dxa"/>
            <w:vAlign w:val="bottom"/>
            <w:gridSpan w:val="7"/>
          </w:tcPr>
          <w:p>
            <w:pPr>
              <w:jc w:val="center"/>
              <w:ind w:right="640"/>
              <w:spacing w:after="0"/>
              <w:rPr>
                <w:sz w:val="20"/>
                <w:szCs w:val="20"/>
                <w:color w:val="auto"/>
              </w:rPr>
            </w:pPr>
            <w:r>
              <w:rPr>
                <w:rFonts w:ascii="Arial" w:cs="Arial" w:eastAsia="Arial" w:hAnsi="Arial"/>
                <w:sz w:val="18"/>
                <w:szCs w:val="18"/>
                <w:color w:val="auto"/>
                <w:w w:val="88"/>
              </w:rPr>
              <w:t>(dollars in thousands, except per share data)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80" w:type="dxa"/>
            <w:vAlign w:val="bottom"/>
            <w:gridSpan w:val="4"/>
          </w:tcPr>
          <w:p>
            <w:pPr>
              <w:jc w:val="center"/>
              <w:ind w:left="550"/>
              <w:spacing w:after="0"/>
              <w:rPr>
                <w:sz w:val="20"/>
                <w:szCs w:val="20"/>
                <w:color w:val="auto"/>
              </w:rPr>
            </w:pPr>
            <w:r>
              <w:rPr>
                <w:rFonts w:ascii="Arial" w:cs="Arial" w:eastAsia="Arial" w:hAnsi="Arial"/>
                <w:sz w:val="18"/>
                <w:szCs w:val="18"/>
                <w:color w:val="auto"/>
                <w:w w:val="90"/>
              </w:rPr>
              <w:t>(unaudited)</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5"/>
          </w:tcPr>
          <w:p>
            <w:pPr>
              <w:jc w:val="right"/>
              <w:ind w:right="51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right"/>
              <w:ind w:right="86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5"/>
          </w:tcPr>
          <w:p>
            <w:pPr>
              <w:jc w:val="right"/>
              <w:ind w:right="71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8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247,543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1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23,400</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73,980</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2"/>
              </w:rPr>
              <w:t>Selling, general and administrative expenses</w:t>
            </w:r>
          </w:p>
        </w:tc>
        <w:tc>
          <w:tcPr>
            <w:tcW w:w="1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47,361</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44,047</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142,300</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3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(1,382)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7,469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29,983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(11,793)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w:t>
            </w:r>
          </w:p>
        </w:tc>
        <w:tc>
          <w:tcPr>
            <w:tcW w:w="0" w:type="dxa"/>
            <w:vAlign w:val="bottom"/>
          </w:tcPr>
          <w:p>
            <w:pPr>
              <w:spacing w:after="0"/>
              <w:rPr>
                <w:sz w:val="1"/>
                <w:szCs w:val="1"/>
                <w:color w:val="auto"/>
              </w:rPr>
            </w:pPr>
          </w:p>
        </w:tc>
      </w:tr>
      <w:tr>
        <w:trPr>
          <w:trHeight w:val="217"/>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42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Income per common share: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9"/>
                <w:szCs w:val="19"/>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51,426,104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51,161,348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51,388,058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51,137,650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51,929,226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51,424,979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51,817,588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51,254,547</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ind w:left="28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jc w:val="right"/>
              <w:ind w:right="510"/>
              <w:spacing w:after="0"/>
              <w:rPr>
                <w:sz w:val="20"/>
                <w:szCs w:val="20"/>
                <w:color w:val="auto"/>
              </w:rPr>
            </w:pPr>
            <w:r>
              <w:rPr>
                <w:rFonts w:ascii="Arial" w:cs="Arial" w:eastAsia="Arial" w:hAnsi="Arial"/>
                <w:sz w:val="18"/>
                <w:szCs w:val="18"/>
                <w:color w:val="auto"/>
              </w:rPr>
              <w:t>Nine Months Ended</w:t>
            </w:r>
          </w:p>
        </w:tc>
      </w:tr>
      <w:tr>
        <w:trPr>
          <w:trHeight w:val="230"/>
        </w:trPr>
        <w:tc>
          <w:tcPr>
            <w:tcW w:w="4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52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right"/>
              <w:ind w:right="710"/>
              <w:spacing w:after="0"/>
              <w:rPr>
                <w:sz w:val="20"/>
                <w:szCs w:val="20"/>
                <w:color w:val="auto"/>
              </w:rPr>
            </w:pPr>
            <w:r>
              <w:rPr>
                <w:rFonts w:ascii="Arial" w:cs="Arial" w:eastAsia="Arial" w:hAnsi="Arial"/>
                <w:sz w:val="18"/>
                <w:szCs w:val="18"/>
                <w:color w:val="auto"/>
              </w:rPr>
              <w:t>September 30,</w:t>
            </w:r>
          </w:p>
        </w:tc>
      </w:tr>
      <w:tr>
        <w:trPr>
          <w:trHeight w:val="210"/>
        </w:trPr>
        <w:tc>
          <w:tcPr>
            <w:tcW w:w="47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4,583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7"/>
        </w:trPr>
        <w:tc>
          <w:tcPr>
            <w:tcW w:w="47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3"/>
              </w:rPr>
              <w:t>4,581</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18,180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11,904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80" w:type="dxa"/>
            <w:vAlign w:val="bottom"/>
          </w:tcPr>
          <w:p>
            <w:pPr>
              <w:spacing w:after="0"/>
              <w:rPr>
                <w:sz w:val="14"/>
                <w:szCs w:val="14"/>
                <w:color w:val="auto"/>
              </w:rPr>
            </w:pPr>
          </w:p>
        </w:tc>
        <w:tc>
          <w:tcPr>
            <w:tcW w:w="2040" w:type="dxa"/>
            <w:vAlign w:val="bottom"/>
            <w:gridSpan w:val="5"/>
          </w:tcPr>
          <w:p>
            <w:pPr>
              <w:ind w:left="54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6"/>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08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Additional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Retained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paid-in</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0"/>
              </w:rPr>
              <w:t>Treasury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earnings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comprehensive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80" w:type="dxa"/>
            <w:vAlign w:val="bottom"/>
          </w:tcPr>
          <w:p>
            <w:pPr>
              <w:spacing w:after="0"/>
              <w:rPr>
                <w:sz w:val="14"/>
                <w:szCs w:val="14"/>
                <w:color w:val="auto"/>
              </w:rPr>
            </w:pPr>
          </w:p>
        </w:tc>
        <w:tc>
          <w:tcPr>
            <w:tcW w:w="1200" w:type="dxa"/>
            <w:vAlign w:val="bottom"/>
          </w:tcPr>
          <w:p>
            <w:pPr>
              <w:jc w:val="right"/>
              <w:ind w:right="332"/>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capital</w:t>
            </w:r>
          </w:p>
        </w:tc>
        <w:tc>
          <w:tcPr>
            <w:tcW w:w="120" w:type="dxa"/>
            <w:vAlign w:val="bottom"/>
          </w:tcPr>
          <w:p>
            <w:pPr>
              <w:spacing w:after="0"/>
              <w:rPr>
                <w:sz w:val="14"/>
                <w:szCs w:val="14"/>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color w:val="auto"/>
              </w:rPr>
              <w:t>units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rPr>
              <w:t>(deficit)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income (loss)</w:t>
            </w:r>
          </w:p>
        </w:tc>
        <w:tc>
          <w:tcPr>
            <w:tcW w:w="180" w:type="dxa"/>
            <w:vAlign w:val="bottom"/>
          </w:tcPr>
          <w:p>
            <w:pPr>
              <w:spacing w:after="0"/>
              <w:rPr>
                <w:sz w:val="14"/>
                <w:szCs w:val="14"/>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51,314,005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center"/>
              <w:ind w:left="291"/>
              <w:spacing w:after="0"/>
              <w:rPr>
                <w:sz w:val="20"/>
                <w:szCs w:val="20"/>
                <w:color w:val="auto"/>
              </w:rPr>
            </w:pPr>
            <w:r>
              <w:rPr>
                <w:rFonts w:ascii="Arial" w:cs="Arial" w:eastAsia="Arial" w:hAnsi="Arial"/>
                <w:sz w:val="18"/>
                <w:szCs w:val="18"/>
                <w:color w:val="auto"/>
                <w:w w:val="79"/>
              </w:rPr>
              <w:t>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174,371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(80,681)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93,695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54,036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Stock option exercises</w:t>
            </w:r>
          </w:p>
        </w:tc>
        <w:tc>
          <w:tcPr>
            <w:tcW w:w="1200" w:type="dxa"/>
            <w:vAlign w:val="bottom"/>
          </w:tcPr>
          <w:p>
            <w:pPr>
              <w:jc w:val="right"/>
              <w:spacing w:after="0"/>
              <w:rPr>
                <w:sz w:val="20"/>
                <w:szCs w:val="20"/>
                <w:color w:val="auto"/>
              </w:rPr>
            </w:pPr>
            <w:r>
              <w:rPr>
                <w:rFonts w:ascii="Arial" w:cs="Arial" w:eastAsia="Arial" w:hAnsi="Arial"/>
                <w:sz w:val="18"/>
                <w:szCs w:val="18"/>
                <w:color w:val="auto"/>
              </w:rPr>
              <w:t>69,932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4"/>
              </w:rPr>
              <w:t>Foreign currency translation adjustments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15,696</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15,696</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51,437,973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center"/>
              <w:ind w:left="291"/>
              <w:spacing w:after="0"/>
              <w:rPr>
                <w:sz w:val="20"/>
                <w:szCs w:val="20"/>
                <w:color w:val="auto"/>
              </w:rPr>
            </w:pPr>
            <w:r>
              <w:rPr>
                <w:rFonts w:ascii="Arial" w:cs="Arial" w:eastAsia="Arial" w:hAnsi="Arial"/>
                <w:sz w:val="18"/>
                <w:szCs w:val="18"/>
                <w:color w:val="auto"/>
                <w:w w:val="79"/>
              </w:rPr>
              <w:t>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180,192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(64,985)</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115,201</w:t>
            </w:r>
          </w:p>
        </w:tc>
        <w:tc>
          <w:tcPr>
            <w:tcW w:w="0" w:type="dxa"/>
            <w:vAlign w:val="bottom"/>
          </w:tcPr>
          <w:p>
            <w:pPr>
              <w:spacing w:after="0"/>
              <w:rPr>
                <w:sz w:val="1"/>
                <w:szCs w:val="1"/>
                <w:color w:val="auto"/>
              </w:rPr>
            </w:pPr>
          </w:p>
        </w:tc>
      </w:tr>
      <w:tr>
        <w:trPr>
          <w:trHeight w:val="175"/>
        </w:trPr>
        <w:tc>
          <w:tcPr>
            <w:tcW w:w="3080" w:type="dxa"/>
            <w:vAlign w:val="bottom"/>
          </w:tcPr>
          <w:p>
            <w:pPr>
              <w:spacing w:after="0" w:line="176" w:lineRule="exact"/>
              <w:rPr>
                <w:sz w:val="20"/>
                <w:szCs w:val="20"/>
                <w:color w:val="auto"/>
              </w:rPr>
            </w:pPr>
            <w:r>
              <w:rPr>
                <w:rFonts w:ascii="Arial" w:cs="Arial" w:eastAsia="Arial" w:hAnsi="Arial"/>
                <w:sz w:val="18"/>
                <w:szCs w:val="18"/>
                <w:color w:val="auto"/>
                <w:w w:val="96"/>
              </w:rPr>
              <w:t>Reclassification of impact of ASU 2016-</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09 (see Note 1)</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51,437,973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79"/>
              </w:rPr>
              <w:t>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180,879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(65,672)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115,201</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Issuance of restricted shares</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73,384</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center"/>
              <w:ind w:left="311"/>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Stock option exercises</w:t>
            </w:r>
          </w:p>
        </w:tc>
        <w:tc>
          <w:tcPr>
            <w:tcW w:w="1200" w:type="dxa"/>
            <w:vAlign w:val="bottom"/>
          </w:tcPr>
          <w:p>
            <w:pPr>
              <w:jc w:val="right"/>
              <w:spacing w:after="0"/>
              <w:rPr>
                <w:sz w:val="20"/>
                <w:szCs w:val="20"/>
                <w:color w:val="auto"/>
              </w:rPr>
            </w:pPr>
            <w:r>
              <w:rPr>
                <w:rFonts w:ascii="Arial" w:cs="Arial" w:eastAsia="Arial" w:hAnsi="Arial"/>
                <w:sz w:val="18"/>
                <w:szCs w:val="18"/>
                <w:color w:val="auto"/>
              </w:rPr>
              <w:t>64,063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4"/>
              </w:rPr>
              <w:t>Foreign currency translation adjustments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18,190</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18,190</w:t>
            </w:r>
          </w:p>
        </w:tc>
        <w:tc>
          <w:tcPr>
            <w:tcW w:w="0" w:type="dxa"/>
            <w:vAlign w:val="bottom"/>
          </w:tcPr>
          <w:p>
            <w:pPr>
              <w:spacing w:after="0"/>
              <w:rPr>
                <w:sz w:val="1"/>
                <w:szCs w:val="1"/>
                <w:color w:val="auto"/>
              </w:rPr>
            </w:pPr>
          </w:p>
        </w:tc>
      </w:tr>
      <w:tr>
        <w:trPr>
          <w:trHeight w:val="217"/>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51,575,420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center"/>
              <w:ind w:left="291"/>
              <w:spacing w:after="0"/>
              <w:rPr>
                <w:sz w:val="20"/>
                <w:szCs w:val="20"/>
                <w:color w:val="auto"/>
              </w:rPr>
            </w:pPr>
            <w:r>
              <w:rPr>
                <w:rFonts w:ascii="Arial" w:cs="Arial" w:eastAsia="Arial" w:hAnsi="Arial"/>
                <w:sz w:val="18"/>
                <w:szCs w:val="18"/>
                <w:color w:val="auto"/>
                <w:w w:val="79"/>
              </w:rPr>
              <w:t>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184,893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(47,482)</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510"/>
              <w:spacing w:after="0"/>
              <w:rPr>
                <w:sz w:val="20"/>
                <w:szCs w:val="20"/>
                <w:color w:val="auto"/>
              </w:rPr>
            </w:pPr>
            <w:r>
              <w:rPr>
                <w:rFonts w:ascii="Arial" w:cs="Arial" w:eastAsia="Arial" w:hAnsi="Arial"/>
                <w:sz w:val="18"/>
                <w:szCs w:val="18"/>
                <w:color w:val="auto"/>
              </w:rPr>
              <w:t>Nine Months Ended</w:t>
            </w:r>
          </w:p>
        </w:tc>
      </w:tr>
      <w:tr>
        <w:trPr>
          <w:trHeight w:val="230"/>
        </w:trPr>
        <w:tc>
          <w:tcPr>
            <w:tcW w:w="7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710"/>
              <w:spacing w:after="0"/>
              <w:rPr>
                <w:sz w:val="20"/>
                <w:szCs w:val="20"/>
                <w:color w:val="auto"/>
              </w:rPr>
            </w:pPr>
            <w:r>
              <w:rPr>
                <w:rFonts w:ascii="Arial" w:cs="Arial" w:eastAsia="Arial" w:hAnsi="Arial"/>
                <w:sz w:val="18"/>
                <w:szCs w:val="18"/>
                <w:color w:val="auto"/>
              </w:rPr>
              <w:t>September 30,</w:t>
            </w:r>
          </w:p>
        </w:tc>
      </w:tr>
      <w:tr>
        <w:trPr>
          <w:trHeight w:val="210"/>
        </w:trPr>
        <w:tc>
          <w:tcPr>
            <w:tcW w:w="7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18,190</w:t>
            </w:r>
          </w:p>
        </w:tc>
        <w:tc>
          <w:tcPr>
            <w:tcW w:w="80" w:type="dxa"/>
            <w:vAlign w:val="bottom"/>
          </w:tcPr>
          <w:p>
            <w:pPr>
              <w:spacing w:after="0"/>
              <w:rPr>
                <w:sz w:val="18"/>
                <w:szCs w:val="18"/>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11,910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280" w:type="dxa"/>
            <w:vAlign w:val="bottom"/>
          </w:tcPr>
          <w:p>
            <w:pPr>
              <w:ind w:left="420"/>
              <w:spacing w:after="0"/>
              <w:rPr>
                <w:sz w:val="20"/>
                <w:szCs w:val="20"/>
                <w:color w:val="auto"/>
              </w:rPr>
            </w:pPr>
            <w:r>
              <w:rPr>
                <w:rFonts w:ascii="Arial" w:cs="Arial" w:eastAsia="Arial" w:hAnsi="Arial"/>
                <w:sz w:val="18"/>
                <w:szCs w:val="18"/>
                <w:color w:val="auto"/>
              </w:rPr>
              <w:t>Depreciation &amp; amortization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16,954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16,597</w:t>
            </w:r>
          </w:p>
        </w:tc>
      </w:tr>
      <w:tr>
        <w:trPr>
          <w:trHeight w:val="216"/>
        </w:trPr>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7280" w:type="dxa"/>
            <w:vAlign w:val="bottom"/>
          </w:tcPr>
          <w:p>
            <w:pPr>
              <w:ind w:left="420"/>
              <w:spacing w:after="0"/>
              <w:rPr>
                <w:sz w:val="20"/>
                <w:szCs w:val="20"/>
                <w:color w:val="auto"/>
              </w:rPr>
            </w:pPr>
            <w:r>
              <w:rPr>
                <w:rFonts w:ascii="Arial" w:cs="Arial" w:eastAsia="Arial" w:hAnsi="Arial"/>
                <w:sz w:val="18"/>
                <w:szCs w:val="18"/>
                <w:color w:val="auto"/>
              </w:rPr>
              <w:t>Debt issuance cost writeoff</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disposals of property, plant and equipment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7280" w:type="dxa"/>
            <w:vAlign w:val="bottom"/>
          </w:tcPr>
          <w:p>
            <w:pPr>
              <w:ind w:left="42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2,156</w:t>
            </w:r>
          </w:p>
        </w:tc>
      </w:tr>
      <w:tr>
        <w:trPr>
          <w:trHeight w:val="216"/>
        </w:trPr>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r>
      <w:tr>
        <w:trPr>
          <w:trHeight w:val="216"/>
        </w:trPr>
        <w:tc>
          <w:tcPr>
            <w:tcW w:w="72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954</w:t>
            </w:r>
          </w:p>
        </w:tc>
      </w:tr>
      <w:tr>
        <w:trPr>
          <w:trHeight w:val="216"/>
        </w:trPr>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280" w:type="dxa"/>
            <w:vAlign w:val="bottom"/>
          </w:tcPr>
          <w:p>
            <w:pPr>
              <w:ind w:left="640"/>
              <w:spacing w:after="0"/>
              <w:rPr>
                <w:sz w:val="20"/>
                <w:szCs w:val="20"/>
                <w:color w:val="auto"/>
              </w:rPr>
            </w:pPr>
            <w:r>
              <w:rPr>
                <w:rFonts w:ascii="Arial" w:cs="Arial" w:eastAsia="Arial" w:hAnsi="Arial"/>
                <w:sz w:val="18"/>
                <w:szCs w:val="18"/>
                <w:color w:val="auto"/>
              </w:rPr>
              <w:t>Trade receivables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16"/>
        </w:trPr>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w:t>
            </w:r>
          </w:p>
        </w:tc>
      </w:tr>
      <w:tr>
        <w:trPr>
          <w:trHeight w:val="216"/>
        </w:trPr>
        <w:tc>
          <w:tcPr>
            <w:tcW w:w="728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(1,634)</w:t>
            </w:r>
          </w:p>
        </w:tc>
      </w:tr>
      <w:tr>
        <w:trPr>
          <w:trHeight w:val="216"/>
        </w:trPr>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16"/>
        </w:trPr>
        <w:tc>
          <w:tcPr>
            <w:tcW w:w="7280" w:type="dxa"/>
            <w:vAlign w:val="bottom"/>
          </w:tcPr>
          <w:p>
            <w:pPr>
              <w:ind w:left="640"/>
              <w:spacing w:after="0"/>
              <w:rPr>
                <w:sz w:val="20"/>
                <w:szCs w:val="20"/>
                <w:color w:val="auto"/>
              </w:rPr>
            </w:pPr>
            <w:r>
              <w:rPr>
                <w:rFonts w:ascii="Arial" w:cs="Arial" w:eastAsia="Arial" w:hAnsi="Arial"/>
                <w:sz w:val="18"/>
                <w:szCs w:val="18"/>
                <w:color w:val="auto"/>
              </w:rPr>
              <w:t>Income tax receivable/payable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(1,188)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7,369</w:t>
            </w:r>
          </w:p>
        </w:tc>
      </w:tr>
      <w:tr>
        <w:trPr>
          <w:trHeight w:val="216"/>
        </w:trPr>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r>
      <w:tr>
        <w:trPr>
          <w:trHeight w:val="210"/>
        </w:trPr>
        <w:tc>
          <w:tcPr>
            <w:tcW w:w="728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50,678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51,381</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(19,645)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(12,196)</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sale of property, plant and equipment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728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(12,187)</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Payments of long-term debt and capital lease obligations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(32,132)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(39,662)</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on line of credit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w:t>
            </w: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Security deposits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7280" w:type="dxa"/>
            <w:vAlign w:val="bottom"/>
            <w:tcBorders>
              <w:top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(30,304)</w:t>
            </w:r>
          </w:p>
        </w:tc>
      </w:tr>
      <w:tr>
        <w:trPr>
          <w:trHeight w:val="210"/>
        </w:trPr>
        <w:tc>
          <w:tcPr>
            <w:tcW w:w="72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cash</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r>
      <w:tr>
        <w:trPr>
          <w:trHeight w:val="216"/>
        </w:trPr>
        <w:tc>
          <w:tcPr>
            <w:tcW w:w="7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5,759</w:t>
            </w:r>
          </w:p>
        </w:tc>
      </w:tr>
      <w:tr>
        <w:trPr>
          <w:trHeight w:val="230"/>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14,644</w:t>
            </w:r>
          </w:p>
        </w:tc>
      </w:tr>
      <w:tr>
        <w:trPr>
          <w:trHeight w:val="203"/>
        </w:trPr>
        <w:tc>
          <w:tcPr>
            <w:tcW w:w="7280" w:type="dxa"/>
            <w:vAlign w:val="bottom"/>
          </w:tcPr>
          <w:p>
            <w:pPr>
              <w:spacing w:after="0" w:line="203" w:lineRule="exact"/>
              <w:rPr>
                <w:sz w:val="20"/>
                <w:szCs w:val="20"/>
                <w:color w:val="auto"/>
              </w:rPr>
            </w:pPr>
            <w:r>
              <w:rPr>
                <w:rFonts w:ascii="Arial" w:cs="Arial" w:eastAsia="Arial" w:hAnsi="Arial"/>
                <w:sz w:val="18"/>
                <w:szCs w:val="18"/>
                <w:color w:val="auto"/>
              </w:rPr>
              <w:t>Supplemental disclosure of cash flow information</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Purchases of property, plant and equipment included in accounts payable and accrued expenses</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2,310</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 net of refunds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Tile Shop, LLC (“The Tile Shop”) was formed on December 30, 2002, as a Delaware limited liability company and began operations on January 1, 2003. Tile Shop Holdings, Inc. (“Holdings,” and together with its wholly owned subsidiaries, the “Company”) was incorporated under the laws of the state of Delaware in June 2012 to become the parent company of The Tile Shop, LLC.</w:t>
      </w:r>
    </w:p>
    <w:p>
      <w:pPr>
        <w:spacing w:after="0" w:line="166"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 is a specialty retailer of manufactured and natural stone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September 30, 2016, the Company had 120 stores in 31 states and an on-line retail operation. The Company also has distribution centers located in Michigan, New Jersey, Oklahoma, Virginia, and Wisconsin. The Company has a sourcing operation located in China.</w:t>
      </w:r>
    </w:p>
    <w:p>
      <w:pPr>
        <w:spacing w:after="0" w:line="173"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w:t>
      </w:r>
      <w:r>
        <w:rPr>
          <w:rFonts w:ascii="MS PGothic" w:cs="MS PGothic" w:eastAsia="MS PGothic" w:hAnsi="MS PGothic"/>
          <w:sz w:val="17"/>
          <w:szCs w:val="17"/>
          <w:color w:val="auto"/>
        </w:rPr>
        <w:t>‑</w:t>
      </w:r>
      <w:r>
        <w:rPr>
          <w:rFonts w:ascii="Arial" w:cs="Arial" w:eastAsia="Arial" w:hAnsi="Arial"/>
          <w:sz w:val="17"/>
          <w:szCs w:val="17"/>
          <w:color w:val="auto"/>
        </w:rPr>
        <w:t>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nine months ended September 30, 2016 are not necessarily indicative of the results that may be expected for the fiscal year ending December 31, 2016.</w:t>
      </w:r>
    </w:p>
    <w:p>
      <w:pPr>
        <w:spacing w:after="0" w:line="20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These statements should be read in conjunction with the Consolidated Financial Statements and footnotes included in our Annual Report on Form 10-K for the fiscal year ended December 31, 2015. The accounting policies used in preparing these Consolidated Financial Statements are the same as those described in Note 1 to the Consolidated Financial Statements in such Form 10-K. Debt issuance costs presented in the prior year Consolidated Balance Sheet have been reclassified to conform to current year presentation.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February 2015, the Financial Accounting Standards Board (“FASB”) issued a new accounting standard that will modify current consolidation guidance. The standard makes changes to both the variable interest entity model and the voting interest entity model, including modifying the evaluation of whether limited partnerships or similar legal entities are variable interest entities or voting interest entities and amending the guidance for assessing how relationships of related parties affect the consolidation analysis of variable interest entities. The standard was effective for the Company as of the beginning of fiscal 2016. The adoption of this new standard did not have a material effect on the Company’s financial statements.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April 2015, the FASB issued a standard that requires debt issuance costs related to a recognized debt liability be presented in the Consolidated Balance Sheet as a direct deduction from the carrying amount of that debt liability. The Company adopted the provisions of this statement in the first quarter of 2016 and prior periods have been retrospectively adjusted. The adoption of this standard resulted in a $0.1 million reduction of other current assets, net, a $0.3 million reduction of other assets, a $0.3 million reduction of the current portion of long term debt, and a $0.1 million reduction of long term debt in the Consolidated Balance Sheet for the period ended December 31, 2015.</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In March 2016, the FASB issued a standard that amends and simplifies the accounting for stock compensation. The guidance addresses various stock compensation aspects including accounting for income taxes, classification of excess tax benefits on the statement of cash flows, forfeitures, minimum statutory tax withholding requirements, and classification of employee taxes paid on the statement of cash flows when an employer withholds shares for tax withholding purposes, among other things. In order to simplify the accounting for stock-based compensation, the Company made a change in accounting policy to account for forfeitures when they occur, and as a result, the Company recognized a $0.7 million cumulative-effect reduction to retained earnings under the modified retrospective approach. During the three months ended September 30, 2016, the Company recognized an adjustment to reduce additional paid-in capital and share-based compensation by $0.1 million to account for current year forfeiture activity.</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elected prospective transition for the requirement to classify excess tax benefits as an operating activity in the Consolidated Statement of Cash Flows. The adoption did not have a material impact on the amounts reported in the Consolidated Statement of Cash Flows for the nine months ended September 30, 2016. Additionally, the Company will prospectively recognize all excess tax benefits and tax deficiencies as income tax expense or benefit in the Consolidated Statement of Operations as a discrete item in the period in which awards vest. The adoption did not have a material impact on the amounts reported in the Consolidated Statement of Operations for the three and nine months ended September 30, 2016. The Company applied the modified retrospective method to recognize the cumulative effect of previously unrecognized excess tax benefits in opening retained earnings. The adoption did not have a material impact on the amounts reported in the Consolidated Balance Sheet for the year ended December 31, 2015.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also retrospectively applied the requirement to present employee taxes paid when an employer withholds shares for tax-withholding purposes as a financing activity in the Consolidated Statement of Cash Flows. The adoption did not have a material impact on the amounts reported in the Consolidated Statement of Cash Flows for the nine months ended September 30, 2016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May 2014, the FASB issued a final standard on revenue from contracts with customers. The new standard sets forth a single comprehensive model for recognizing and reporting revenue. The new standard is effective for the Company in fiscal year 2018 and permits the use of either a retrospective or a cumulative effect transition method. The Company is currently assessing the impact of implementing the new guidance on its consolidated financial statements.</w:t>
      </w:r>
    </w:p>
    <w:p>
      <w:pPr>
        <w:spacing w:after="0" w:line="18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August 2014, the FASB issued a standard requiring an entity’s management to evaluate whether there is substantial doubt about an entity’s ability to continue as a going concern within one year after the date of the financial statements. The guidance also sets forth a series of disclosures that are required in the event the entity’s management concludes that there is substantial doubt about the entity’s ability to continue as a going concern. The new standard becomes effective for the Company in the annual financial statements for fiscal 2016 and requires an ongoing evaluation at each interim and annual period thereafter. The Company is currently assessing the effect the new standard will have on its consolidated financial statements.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July 2015, the FASB issued a standard which simplifies the subsequent measurement of inventory. Currently, an entity is required to measure inventory at the lower of cost or market, whereby market can be replacement cost, net realizable value, or net realizable value less an approximately normal profit margin. The changes require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Currently, the Company applies the net realizable value market option to measure inventories at the lower of cost or market. These changes become effective for the Company in fiscal 2017. The Company is currently assessing the effect the new standard will have on its consolidated financial statements.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2016, the FASB issued a standard that primarily requires organizations that lease assets to recognize the rights and obligations created by those leases on the Consolidated Balance Sheet. The standard is effective in 2019, with early adoption permitted. The Company is currently assessing the effect the new standard will have on its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Inventories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Inventories are stated at the lower of cost (determined on the weighted average cost method) or market. Inventories consist primarily of merchandise held for sale. Inventories were comprised of the following as of September 30, 2016 and December 31, 2015: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5"/>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7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75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59,503</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Raw materials</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2,681</w:t>
            </w: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 transit</w:t>
            </w: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7,694</w:t>
            </w:r>
          </w:p>
        </w:tc>
      </w:tr>
      <w:tr>
        <w:trPr>
          <w:trHeight w:val="217"/>
        </w:trPr>
        <w:tc>
          <w:tcPr>
            <w:tcW w:w="750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66,379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records provisions for losses related to shrinkage and other amounts that are otherwise not expected to be fully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are calculated based on historical shrinkage, selling price, margin and current business trends.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Income taxes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effective tax rate on net income before income taxes for the three months ended September 30, 2016 and 2015 was 38.6% and 39.3%, respectively. The Company's effective tax rate on net income before income taxes for the nine months ended September 30, 2016 and 2015 was 39.3% and 41.3%, respectively. The improvement in the effective tax rate in 2016 was due to an increase in incentive stock option exercise activity classified as a disqualifying disposition to the option holder that gives rise to a deduction for the Company. The Company’s tax rate also benefitted from a decrease in non-deductible incentive stock-based compensation expense in 2016 combined with a reduction in the level of state tax rate changes that triggered unfavorable deferred tax adjustments in 2015. For the three months ended September 30, 2016 and 2015, the Company recorded a provision for income taxes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$2.9 million and $2.4 million, respectively. For the nine months ended September 30, 2016 and 2015, the Company recorded a provision for income taxes of $11.8 million and $8.4 million, respectively.</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records interest and penalties relating to uncertain tax positions in income tax expense. As of September 30, 2016 and 2015, the Company has not recognized any liabilities for uncertain tax positions nor have interest and penalties related to uncertain tax positions been accrued.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4"/>
          </w:tcPr>
          <w:p>
            <w:pPr>
              <w:jc w:val="right"/>
              <w:ind w:right="210"/>
              <w:spacing w:after="0"/>
              <w:rPr>
                <w:sz w:val="20"/>
                <w:szCs w:val="20"/>
                <w:color w:val="auto"/>
              </w:rPr>
            </w:pPr>
            <w:r>
              <w:rPr>
                <w:rFonts w:ascii="Arial" w:cs="Arial" w:eastAsia="Arial" w:hAnsi="Arial"/>
                <w:sz w:val="18"/>
                <w:szCs w:val="18"/>
                <w:color w:val="auto"/>
                <w:w w:val="92"/>
              </w:rPr>
              <w:t>For the three months ended</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5"/>
          </w:tcPr>
          <w:p>
            <w:pPr>
              <w:jc w:val="center"/>
              <w:ind w:right="10"/>
              <w:spacing w:after="0"/>
              <w:rPr>
                <w:sz w:val="20"/>
                <w:szCs w:val="20"/>
                <w:color w:val="auto"/>
              </w:rPr>
            </w:pPr>
            <w:r>
              <w:rPr>
                <w:rFonts w:ascii="Arial" w:cs="Arial" w:eastAsia="Arial" w:hAnsi="Arial"/>
                <w:sz w:val="18"/>
                <w:szCs w:val="18"/>
                <w:color w:val="auto"/>
                <w:w w:val="89"/>
              </w:rPr>
              <w:t>For the nine months ended</w:t>
            </w:r>
          </w:p>
        </w:tc>
      </w:tr>
      <w:tr>
        <w:trPr>
          <w:trHeight w:val="230"/>
        </w:trPr>
        <w:tc>
          <w:tcPr>
            <w:tcW w:w="4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10"/>
              <w:spacing w:after="0"/>
              <w:rPr>
                <w:sz w:val="20"/>
                <w:szCs w:val="20"/>
                <w:color w:val="auto"/>
              </w:rPr>
            </w:pPr>
            <w:r>
              <w:rPr>
                <w:rFonts w:ascii="Arial" w:cs="Arial" w:eastAsia="Arial" w:hAnsi="Arial"/>
                <w:sz w:val="18"/>
                <w:szCs w:val="18"/>
                <w:color w:val="auto"/>
                <w:w w:val="88"/>
              </w:rPr>
              <w:t>September 30,</w:t>
            </w:r>
          </w:p>
        </w:tc>
      </w:tr>
      <w:tr>
        <w:trPr>
          <w:trHeight w:val="210"/>
        </w:trPr>
        <w:tc>
          <w:tcPr>
            <w:tcW w:w="4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Weighted average basic shares outstanding</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51,426,104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51,161,348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51,388,058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51,137,650</w:t>
            </w:r>
          </w:p>
        </w:tc>
      </w:tr>
      <w:tr>
        <w:trPr>
          <w:trHeight w:val="202"/>
        </w:trPr>
        <w:tc>
          <w:tcPr>
            <w:tcW w:w="47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Effect of dilutive securities attributable to stock-based</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awards</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503,122</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263,631</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429,530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116,897</w:t>
            </w:r>
          </w:p>
        </w:tc>
      </w:tr>
      <w:tr>
        <w:trPr>
          <w:trHeight w:val="21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diluted shares outstanding</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51,929,226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51,424,979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51,817,588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51,254,547</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02"/>
        </w:trPr>
        <w:tc>
          <w:tcPr>
            <w:tcW w:w="4760" w:type="dxa"/>
            <w:vAlign w:val="bottom"/>
          </w:tcPr>
          <w:p>
            <w:pPr>
              <w:spacing w:after="0" w:line="201" w:lineRule="exact"/>
              <w:rPr>
                <w:sz w:val="20"/>
                <w:szCs w:val="20"/>
                <w:color w:val="auto"/>
              </w:rPr>
            </w:pPr>
            <w:r>
              <w:rPr>
                <w:rFonts w:ascii="Arial" w:cs="Arial" w:eastAsia="Arial" w:hAnsi="Arial"/>
                <w:sz w:val="18"/>
                <w:szCs w:val="18"/>
                <w:color w:val="auto"/>
              </w:rPr>
              <w:t>Anti-dilutive securities excluded from earnings per share</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calculation</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347,699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769,778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409,599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1,021,033</w:t>
            </w:r>
          </w:p>
        </w:tc>
      </w:tr>
      <w:tr>
        <w:trPr>
          <w:trHeight w:val="648"/>
        </w:trPr>
        <w:tc>
          <w:tcPr>
            <w:tcW w:w="4760" w:type="dxa"/>
            <w:vAlign w:val="bottom"/>
          </w:tcPr>
          <w:p>
            <w:pPr>
              <w:spacing w:after="0"/>
              <w:rPr>
                <w:sz w:val="20"/>
                <w:szCs w:val="20"/>
                <w:color w:val="auto"/>
              </w:rPr>
            </w:pPr>
            <w:r>
              <w:rPr>
                <w:rFonts w:ascii="Arial" w:cs="Arial" w:eastAsia="Arial" w:hAnsi="Arial"/>
                <w:sz w:val="18"/>
                <w:szCs w:val="18"/>
                <w:b w:val="1"/>
                <w:bCs w:val="1"/>
                <w:color w:val="auto"/>
              </w:rPr>
              <w:t>Note 5: Other Accrued Liabilities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3"/>
        </w:trPr>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5"/>
          </w:tcPr>
          <w:p>
            <w:pPr>
              <w:jc w:val="center"/>
              <w:ind w:right="10"/>
              <w:spacing w:after="0"/>
              <w:rPr>
                <w:sz w:val="20"/>
                <w:szCs w:val="20"/>
                <w:color w:val="auto"/>
              </w:rPr>
            </w:pPr>
            <w:r>
              <w:rPr>
                <w:rFonts w:ascii="Arial" w:cs="Arial" w:eastAsia="Arial" w:hAnsi="Arial"/>
                <w:sz w:val="18"/>
                <w:szCs w:val="18"/>
                <w:color w:val="auto"/>
                <w:w w:val="91"/>
              </w:rPr>
              <w:t>(in thousands)</w:t>
            </w:r>
          </w:p>
        </w:tc>
      </w:tr>
      <w:tr>
        <w:trPr>
          <w:trHeight w:val="230"/>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86"/>
              </w:rPr>
              <w:t>September 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47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Accrued wages and salaries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5,629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4,336</w:t>
            </w: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Sales return reserve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Taxes (other than income taxes)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3,043</w:t>
            </w: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r>
      <w:tr>
        <w:trPr>
          <w:trHeight w:val="217"/>
        </w:trPr>
        <w:tc>
          <w:tcPr>
            <w:tcW w:w="4760" w:type="dxa"/>
            <w:vAlign w:val="bottom"/>
          </w:tcPr>
          <w:p>
            <w:pPr>
              <w:ind w:left="220"/>
              <w:spacing w:after="0"/>
              <w:rPr>
                <w:sz w:val="20"/>
                <w:szCs w:val="20"/>
                <w:color w:val="auto"/>
              </w:rPr>
            </w:pPr>
            <w:r>
              <w:rPr>
                <w:rFonts w:ascii="Arial" w:cs="Arial" w:eastAsia="Arial" w:hAnsi="Arial"/>
                <w:sz w:val="18"/>
                <w:szCs w:val="18"/>
                <w:color w:val="auto"/>
              </w:rPr>
              <w:t>Total other accrued liabilities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19,327</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 2015, Holdings and its operating subsidiary, The Tile Shop, LLC, as well as certain other subsidiaries of Holdings, entered into a credit agreement with Fifth Third Bank, Bank of America, N.A., and Huntington National Bank (the “Credit Agreement”). The Credit Agreement provides the Company with a $125.0 million senior secured credit facility, comprised of a five-year $50.0 million term loan and a $75.0 million revolving line of credit. The Credit Agreement is secured by virtually all of the assets of the Company, including but not limited to, inventory, receivables, equipment and real property. Borrowings pursuant to the Credit Agreement bear interest at either a base rate or a LIBOR-based rate, at the option of the Company. The LIBOR-based rate will range from LIBOR plus 1.50% to 2.00%, depending on The Tile Shop’s leverage ratio. The base rate is equal to the greatest of: (a) the Federal funds rate plus 0.50%, (b) the Fifth Third Bank “prime rate,” and (c) the Eurodollar rate plus 1.00%, in each case plus 0.50% to 1.00% depending 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Tile Shop’s leverage ratio. At September 30, 2016 the base interest rate was 4.00% and the LIBOR-based interest rate was 2.03%. Borrowings outstanding consisted of $23.4 million on the term loan as of September 30, 2016. The Company can elect to prepay the term loan without incurring a penalty. Additional borrowings pursuant to the Credit Agreement may be used to support the Company’s growth and for working capital purposes. The Company incurred $1.0 million of debt issuance costs in connection with the Credit Agreement, which will be amortized over the five-year life of the Credit Agreement. Debt issuance costs attributable to the term loan are classified as a reduction of debt in the Consolidated Balance Sheet. Debt issuance costs attributable to the revolving line of credit are classified as assets in the Consolidated Balance Sheet. The term loan requires quarterly principal payments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 to June 30, 2017</w:t>
            </w:r>
          </w:p>
        </w:tc>
        <w:tc>
          <w:tcPr>
            <w:tcW w:w="3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September 30, 2017 to June 30, 2018</w:t>
            </w:r>
          </w:p>
        </w:tc>
        <w:tc>
          <w:tcPr>
            <w:tcW w:w="3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2018 to March 31, 2020</w:t>
            </w:r>
          </w:p>
        </w:tc>
        <w:tc>
          <w:tcPr>
            <w:tcW w:w="3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Credit Agreement contains customary events of default, conditions to borrowings, and restrictive covenants, including restrictions on the Company’s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In addition, except with respect to pro rata payments made by The Tile Shop or other subsidiaries to Holdings or any other equity owner of such entity, the Credit Agreement prohibits the payments of cash dividends. The Company was in compliance with the covenants as of September 30, 2016.</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Long-term debt, net of debt issuance costs, consisted of the following at September 30, 2016 and December 31, 2015 (in thousands):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r>
      <w:tr>
        <w:trPr>
          <w:trHeight w:val="230"/>
        </w:trPr>
        <w:tc>
          <w:tcPr>
            <w:tcW w:w="7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r>
      <w:tr>
        <w:trPr>
          <w:trHeight w:val="182"/>
        </w:trPr>
        <w:tc>
          <w:tcPr>
            <w:tcW w:w="7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Term note payable - interest at 2.03% and 2.18% at September 30, 2016 and December 31, 2015,</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23,264</w:t>
            </w:r>
          </w:p>
        </w:tc>
        <w:tc>
          <w:tcPr>
            <w:tcW w:w="16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47,022</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Commercial bank credit facility</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02"/>
        </w:trPr>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Variable interest rate bonds (0.35% at both September 30, 2016 and December 31, 2015), which</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mature April 1, 2023, collateralized by buildings and equipment</w:t>
            </w: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10"/>
        </w:trPr>
        <w:tc>
          <w:tcPr>
            <w:tcW w:w="7240" w:type="dxa"/>
            <w:vAlign w:val="bottom"/>
          </w:tcPr>
          <w:p>
            <w:pPr>
              <w:spacing w:after="0"/>
              <w:rPr>
                <w:sz w:val="20"/>
                <w:szCs w:val="20"/>
                <w:color w:val="auto"/>
              </w:rPr>
            </w:pPr>
            <w:r>
              <w:rPr>
                <w:rFonts w:ascii="Arial" w:cs="Arial" w:eastAsia="Arial" w:hAnsi="Arial"/>
                <w:sz w:val="18"/>
                <w:szCs w:val="18"/>
                <w:color w:val="auto"/>
              </w:rPr>
              <w:t>Total debt obligations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55,922</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r>
      <w:tr>
        <w:trPr>
          <w:trHeight w:val="217"/>
        </w:trPr>
        <w:tc>
          <w:tcPr>
            <w:tcW w:w="724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51,178</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Consolidated Financial Statements include the following financial instruments: cash and cash equivalents, trade receivables, accounts payable, accrued expenses, capital leases, notes payable, and debt. At September 30, 2016 and December 31, 2015, the carrying amount of the Company’s cash and cash equivalents, trade receivables, accounts payable and accrued expenses approximated their fair values due to their short-term maturities. The carrying value of the Company’s borrowings and capital lease obligation approximates fair value based upon the market interest rates available to the Company for debt and capital lease obligations with similar risk and maturities.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Level 1 – Unadjusted quoted prices that are available in active markets for the identical assets or liabilities at the measurement date.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27" w:lineRule="exact"/>
        <w:rPr>
          <w:sz w:val="20"/>
          <w:szCs w:val="20"/>
          <w:color w:val="auto"/>
        </w:rPr>
      </w:pPr>
    </w:p>
    <w:p>
      <w:pPr>
        <w:ind w:left="900" w:hanging="580"/>
        <w:spacing w:after="0"/>
        <w:tabs>
          <w:tab w:leader="none" w:pos="9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Quoted prices for similar assets or liabilities in active markets;</w:t>
      </w:r>
    </w:p>
    <w:p>
      <w:pPr>
        <w:spacing w:after="0" w:line="139" w:lineRule="exact"/>
        <w:rPr>
          <w:rFonts w:ascii="Arial" w:cs="Arial" w:eastAsia="Arial" w:hAnsi="Arial"/>
          <w:sz w:val="29"/>
          <w:szCs w:val="29"/>
          <w:color w:val="auto"/>
          <w:vertAlign w:val="superscript"/>
        </w:rPr>
      </w:pPr>
    </w:p>
    <w:p>
      <w:pPr>
        <w:ind w:left="880" w:hanging="560"/>
        <w:spacing w:after="0" w:line="181" w:lineRule="auto"/>
        <w:tabs>
          <w:tab w:leader="none" w:pos="88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Quoted prices for identical or similar assets in non-active markets;</w:t>
      </w:r>
    </w:p>
    <w:p>
      <w:pPr>
        <w:spacing w:after="0" w:line="140" w:lineRule="exact"/>
        <w:rPr>
          <w:rFonts w:ascii="Arial" w:cs="Arial" w:eastAsia="Arial" w:hAnsi="Arial"/>
          <w:sz w:val="29"/>
          <w:szCs w:val="29"/>
          <w:color w:val="auto"/>
          <w:vertAlign w:val="superscript"/>
        </w:rPr>
      </w:pPr>
    </w:p>
    <w:p>
      <w:pPr>
        <w:ind w:left="800" w:hanging="480"/>
        <w:spacing w:after="0" w:line="181" w:lineRule="auto"/>
        <w:tabs>
          <w:tab w:leader="none" w:pos="8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Inputs other than quoted prices that are observable for the asset or liability; and</w:t>
      </w:r>
    </w:p>
    <w:p>
      <w:pPr>
        <w:spacing w:after="0" w:line="140" w:lineRule="exact"/>
        <w:rPr>
          <w:rFonts w:ascii="Arial" w:cs="Arial" w:eastAsia="Arial" w:hAnsi="Arial"/>
          <w:sz w:val="29"/>
          <w:szCs w:val="29"/>
          <w:color w:val="auto"/>
          <w:vertAlign w:val="superscript"/>
        </w:rPr>
      </w:pPr>
    </w:p>
    <w:p>
      <w:pPr>
        <w:ind w:left="740" w:hanging="420"/>
        <w:spacing w:after="0" w:line="181" w:lineRule="auto"/>
        <w:tabs>
          <w:tab w:leader="none" w:pos="7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Inputs that are derived principally from or corroborated by other observable market data.</w:t>
      </w:r>
    </w:p>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 These values are generally determined using pricing models for which the assumptions utilize management’s estimates of market participant assumptions.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measures and recognizes compensation expense for all stock-based awards at fair value. The financial statements for the three and nine months ended September 30, 2016 and 2015 include compensation cost for the portion of outstanding awards that vested during those periods. The Company recognizes stock-based compensation costs on a straight-line basis over the requisite service period of the award, which is generally the option vesting term. Total stock-based compensation expense related to stock options was $0.6 million and $1.1 million for the three months ended September 30, 2016 and 2015. Total stock-based compensation expense related to stock options was $2.6 million and $2.7 million for the nine months ended September 30, 2016 and 2015, respectively. Stock-based compensation expense is included in selling, general and administrative expenses in the accompanying Consolidated Statements of Operations.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2016, the Company had outstanding stock options to purchase 2,348,777 shares of common stock at a weighted average exercise price of $13.69.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The Company awards restricted common shares to selected employees and to non-employee directors. Recipients are not required to provide any consideration other than continued service. Restricted share awards are subject to certain restrictions on transfer, and all or part of the shares awarded may be subject to forfeiture upon the occurrence of certain events, including employment termination. The restricted stock is valued at its grant date fair value and expensed over the requisite service period or the vesting term of the awards. Total stock-based compensation expense related to restricted stock was $0.3 million and $0.5 million for the three months ended September 30, 2016 and 2015, respectively. Total stock-based compensation expense related to restricted stock was $0.8 million and $1.5 million for the nine months ended September 30, 2016 and 2015, respectively. Stock-based compensation expense is included in selling, general and administrative expenses in the accompanying Consolidated Statements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the Company had 98,384 outstanding restricted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New Market Tax Credit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2013, the Company entered into a financing transaction with Chase Community Equity (“Chase”), and U.S. Bank Community, LLC (“U.S. Bank”, and, collectively with Chase, the “investors”) related to a $19.1 million acquisition, rehabilitation and construction of the Company’s new distribution and manufacturing center in Durant, Oklahoma. The investors made a capital contribution to, and Tile Shop Lending made a loan to, Chase New Market Tax Credit, The Tile Shop of Oklahoma Investment Fund, LLC, and The Tile Shop Investment Fund LLC (the “Investment Funds”)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2013, Tile Shop Lending loaned $13.5 million to the Investment Funds at an interest rate of 1.35% per year and with a maturity of September 30, 2043. The Investment Funds then contributed the loan to certain CDEs, which, in turn, loaned the funds on similar terms to Tile Shop of Oklahoma, LLC, an indirect, wholly-owned subsidiary of Holdings. The proceeds of the loans from the CDEs (including loans representing the capital contribution made by the investors, net of syndication fees) were used to partially fund the new manufacturing and distribution center project.</w:t>
      </w:r>
    </w:p>
    <w:p>
      <w:pPr>
        <w:spacing w:after="0" w:line="188"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In July 2013, the investors also contributed $5.6 million to the Investment Funds and, by virtue of such contribution, are entitled to substantially all of the tax benefits derived from the NMTCs, while the Company effectively received net loan proceeds equal to the investors’ contributions to the Investment Fund. This transaction includes a put/call provision whereby the Company may 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determined that the financing arrangement with the Investment Funds and CDEs contains a variable interest entity (“VIE”). The ongoing activities of the Investment Funds – collecting and remitting interest and fees and NMTC compliance – were all considered in the initial design and are not expected to significantly affect economic performance throughout the life of the Investment Funds. Management considered the contractual arrangements that obligate the Company to deliver tax benefits and provide various other guarantees to the structure; Chase’s and U.S. Bank’s lack of a material interest in the underling economics of the project; and the fact that the Company is obligated to absorb losses of the Investment Fund. The Company concluded that it is the primary beneficiary of the VIE and consolidated the Investment Funds, as a VIE, in accordance with the accounting standards for consolidation. Chase’s and U.S. Bank’s contributions of $4.4 million, net of syndication fees, are included in cash and other long-term liabilities in the accompanying Consolidated Balance Sheet. The benefit of this net $4.4 million contribution is recognized as a decrease in depreciation expense as the Company amortizes the contribution liability over the seven-year compliance period as it is being earned through the on-going compliance with the conditions of the NMTC program. As of September 30, 2016, the balance of the contribution liability was $2.6 million and is classified as other long-term liabilities on the Consolidated Balance Sheet.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two of its former executive officers, five of its outside directors, and certain companies affiliated with the directors, are defendants in a consolidated class action brought under the federal securities laws and now pending in the United States District Court for the District of Minnesota under the caption Beaver County Employees’ Retirement Fund, et al. v. Tile Shop Holdings, Inc., et al. Several related actions were filed in 2013 and subsequently consolidated. The plaintiffs are three investors who represent classes consisting of (1) all purchasers of Tile Shop common stock between August 22, 2012 and January 28, 2014 (the “class period”), seeking to pursue remedies under the Securities Exchange Act of 1934; and (2) all purchasers of Tile Shop common stock pursuant and/or traceable to the Company’s December 2012 registration statement, seeking to pursue remedies under the Securities Act of 1933. Six firms who were underwriters in the December 2012 secondary public offering are also named as defendants. The plaintiffs allege that during the class period, defendants failed to disclose certain related party transactions in the Company’s SEC filings and press releases. The plaintiffs assert claims under Sections 11, 12(a)(2), and 15 of the Securities Act of 1933, and under Sections 10(b) and 20(a) of the Securities Exchange Act of 1934. In addition to attorneys’ fees and costs, the plaintiffs seek to recover damages on behalf of class members. Discovery has closed, and the parties are in the process of briefing and arguing dispositive motions.</w:t>
      </w:r>
    </w:p>
    <w:p>
      <w:pPr>
        <w:spacing w:after="0" w:line="18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also is a Defendant in three actions brought derivatively on behalf of the Company by three shareholders in the Court of Chancery for the State of Delaware (“Delaware Chancery Court”). Two of the actions were filed in 2015 and then consolidated (the “Consolidated Actions”). On July 31, 2015, the plaintiff-shareholders in the Consolidated Actions filed a consolidated complaint. The consolidated complaint names as defendants six members of the Company’s Board of Directors and a former employee of the Company. The third action (the “Third Action”) was filed on or about September 28, 2016 against seven members of the Company’s Board of Directors, a former officer, and a former employee. All of the complaints track many of the same factual allegations as have been made in the above-described federal securities class action. They allege that the defendant-directors and/or officer breached their fiduciary duties by failing to adopt adequate internal controls for the Company, by approving false and misleading statements issued by the Company, by causing the Company to violate generally accepted accounting principles and SEC regulations, by engaging in or approving alleged insider trading, and by permitting the Company’s primary product to contain illegal amounts of lead. The complaints also allege claims for insider trading and/or unjust enrichment. The complaints seek damages, disgorgement, an award of attorneys’ fees and other expenses, and an order compelling changes to the Company’s corporate governance and internal procedures. In 2015, the defendants moved to dismiss the Consolidated Actions, or in the alternative, to stay the Consolidated Actions pending resolution of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Beaver County Employees’ Retirement Fund action described above. Subsequently, upon agreement of the parties, the Court entered an Order staying the Consolidated Actions. Recently the Company moved to dismiss the newly-filed Third Action, or in the alternative, to stay the Third Action until resolution of the Beaver County Employees’ Retirement Fund action described above, or until the Company’s Board of Directors takes action on the demand described below. That motion has not yet been decided.</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By letter dated May 19, 2016, a shareholder of the Company, through his attorney and prior to filing the Third Action,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 the Company with respect to the matters raised in the demand letter.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uncertainty of litigation and the preliminary stage of these cases, the Company cannot reasonably estimate the possible loss or range of loss that may result from these actions. The Company maintains directors and officers liability insurance policies that may reduce the Company’s exposure, if any. In the event the Company incurs a loss, the Company will pursue recoveries to the maximum extent available under these policies.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Annual Report on Form 10-K for the year ended December 31, 2015 and our consolidated financial statements and related notes appearing elsewhere in this Quarterly Report on Form 10-Q .</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or Securities Act, and Section 21E of the Securities Exchange Act of 1934, as amended, or Exchange Act. Forward-looking statements are often identified by the use of words such as, but not limited to, “anticipate,” “believe,” “can,” “continue,” “could,” “estimate,” “expect,” “intend,” “may,” “might,” “plan,” “project,” “seek,” “should,” “target,” “will,” “will likely result,”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unexpected delays or expenses related to opening new stores and maintaining, renovating or relocating existing stores, changes to economic conditions and customer preferences, disruptions in our supply chain, or inventory management, competitive factors, increases to interest rates or other impacts on our ability to obtain or maintain financing, unanticipated expenses related to operating as a public company including but not limited to litigation-related expenses, and those factors disclosed in the section captioned “Risk Factors” in our Annual Report for the fiscal year ended December 31, 2015, filed with the Securities and Exchange Commission.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a specialty retailer of manufactured and natural stone tiles, setting and maintenance materials, and related accessories in the United States. We offer a wide selection of products, attractive prices, and exceptional customer service in an extensive showroom setting. As of September 30, 2016, we operated 120 stores in 31 states, with an average size of 21,400 square feet. We also sell our products on our website.</w:t>
      </w:r>
    </w:p>
    <w:p>
      <w:pPr>
        <w:spacing w:after="0" w:line="187"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manufactured and natural stone tiles, accessories, and related materials in the United States.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the highly-fragmented United States retail tile market provides us with a significant opportunity to expand our store base. We opened seven new stores during the nine months ended September 30, 2016, including one relocation, while we opened four new stores during the nine months ended September 30, 2015. We plan to open an additional four new stores and relocate one additional store during the remainder of 2016. We believe that there will continue to be additional expansion opportunities in the United States and Canada. We expect store base growth will drive productivity and operational efficiencies. Our growth plans also require us to maintain significant inventory on-hand in order to fulfill transactions at these new locations.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nine months ended September 30, 2016, we reported net sales of $78.6 million and $247.5 million, respectively, and income from operations of $7.8 million and $31.3 million respectively. For the three and nine months ended September 30, 2015, we reported net sales of $72.4 million and $221.1 million, respectively, and income from operations of $6.7 million and $22.3 million, respectively. The increase in net sales and income from operations was primarily due to same store sales growth of 5.7% and 9.7% for the three months ended September 30, 2016 and 2015, respectively.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$50.7 million and $51.4 million for the nine months ended September 30, 2016 and 2015, respectively, which was used to fund operations, new store construction activities and debt repayments. We expect to continue to fund our capital expenditures and daily operations from our operating cash flows. As of September 30, 2016, we had cash of $9.8 million and working capital of $37.7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represents total charges to customers, net of returns, and includes freight charged to customers. We recognize sales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time that the customer takes possession of the merchandise or final delivery of the product has occurred.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Comparable store sales for the three months ended September 30, 2016 increased $4.1 million, compared to the three months ended September 30, 2015. Comparable store sales for the nine months ended September 30, 2016 increased $19.9 million, compared to the nine months ended September 30, 2015. The table below sets forth information about our same store sales growth for the three and nine months ended September 30, 2016 and 2015.</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270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For the three months ended</w:t>
            </w:r>
          </w:p>
        </w:tc>
        <w:tc>
          <w:tcPr>
            <w:tcW w:w="2540" w:type="dxa"/>
            <w:vAlign w:val="bottom"/>
            <w:gridSpan w:val="3"/>
          </w:tcPr>
          <w:p>
            <w:pPr>
              <w:jc w:val="center"/>
              <w:spacing w:after="0"/>
              <w:rPr>
                <w:sz w:val="20"/>
                <w:szCs w:val="20"/>
                <w:color w:val="auto"/>
              </w:rPr>
            </w:pPr>
            <w:r>
              <w:rPr>
                <w:rFonts w:ascii="Arial" w:cs="Arial" w:eastAsia="Arial" w:hAnsi="Arial"/>
                <w:sz w:val="18"/>
                <w:szCs w:val="18"/>
                <w:color w:val="auto"/>
                <w:w w:val="89"/>
              </w:rPr>
              <w:t>For the nine months ended</w:t>
            </w:r>
          </w:p>
        </w:tc>
      </w:tr>
      <w:tr>
        <w:trPr>
          <w:trHeight w:val="230"/>
        </w:trPr>
        <w:tc>
          <w:tcPr>
            <w:tcW w:w="4880" w:type="dxa"/>
            <w:vAlign w:val="bottom"/>
          </w:tcPr>
          <w:p>
            <w:pPr>
              <w:spacing w:after="0"/>
              <w:rPr>
                <w:sz w:val="20"/>
                <w:szCs w:val="20"/>
                <w:color w:val="auto"/>
              </w:rPr>
            </w:pPr>
          </w:p>
        </w:tc>
        <w:tc>
          <w:tcPr>
            <w:tcW w:w="270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September 30,</w:t>
            </w:r>
          </w:p>
        </w:tc>
        <w:tc>
          <w:tcPr>
            <w:tcW w:w="254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r>
      <w:tr>
        <w:trPr>
          <w:trHeight w:val="210"/>
        </w:trPr>
        <w:tc>
          <w:tcPr>
            <w:tcW w:w="48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Same store sales growth</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5.7 %</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9.7 %</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9.0 %</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6.6 %</w:t>
            </w: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increase in same store sales growth is primarily attributable to an increase in the volume of transactions, as well as increases in average transaction size. Same store sale amounts include total charges to customers less any actual returns, and the change in the returns provision related to comparable stores. In general, we include a new or relocated store in the comparable store sales calculation on the first day of the 13th full month of operation.</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Between October 1, 2015 and September 30, 2016, we opened nine new store locations. Incremental net sales of $2.1 million and $6.6 million occurred in the three and nine months ended September 30, 2016 respectively, from stores not included in the comparable store base.</w:t>
      </w:r>
    </w:p>
    <w:p>
      <w:pPr>
        <w:spacing w:after="0" w:line="181"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Cost of sales consists primarily of material costs, freight, duties, and storage and delivery of product to the customers, as well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costs associated with manufacturing of setting and maintenance materials. For the three months ended September 30, 2016 and 2015, our cost of sales as a percentage of net sales was 29.8% and 30.0%, respectively. The decrease was primarily attributable to decreases in shrink, damage and other inventory control process improvements. For the nine months ended September 30, 2016 and 2015, our cost of sales as a percentage of net sales was 29.9% and 30.8% respectively. The decrease was primarily attributable to fewer discounts, improved freight collection, and inventory control process improvements.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consists of general operating expenses.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months ended September 30, 2016 and 2015, our selling, general, and administrative expenses as percentage of net sales were 60.3% and 60.8%, respectively. The decrease was primarily attributable to an increase in same store sales, which outpaced the growth of selling, general, and administrative expenses for the three months ended September 30, 2016. For the nine months ended September 30, 2016 and 2015, our selling, general, and administrative expenses as a percentage of net sales were 57.5% and 59.1%, respectively. The decrease was primarily attributable to an increase in same store sales, which outpaced the growth of selling, general, and administrative expense for the nine months ended September 30, 2016.</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We are subject to income tax in the United States as well as in other tax jurisdictions in which we conduct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Our effective tax rate for the three months ended September 30, 2016 and 2015 was 38.6% and 39.3%, respectively. Our effective tax rate for the nine months ended September 30, 2016 and 2015 was 39.3% and 41.3%, respectively. The improvement in the three and nine months effective tax rate is due to an increase in incentive stock option exercise activity classified as a disqualifying disposition to the option holder that gives rise to a deduction for the Company. The Company’s tax rate also benefitted from a decrease in non-deductible incentive stock-based compensation expense in 2016 combined with a reduction in the level of state tax rate changes that triggered unfavorable deferred tax adjustments in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calculate Adjusted EBITDA by taking net income calculated in accordance with accounting principles generally accepted in the United States (“GAAP”), and adjusting for interest expense, income taxes, depreciation and amortization, stock based compensation expense, and special charges, which consist of shareholder and other litigation costs, and losses incurred with the renegotiation of debt. Adjusted EBITDA margin is equal to Adjusted EBITDA divided by net sales. Free cash flows is calculated by taking net cash provided by operating activities and subtracting net cash used for the purchase of property, plant and equipment. Non-GAAP net income excludes the special charges, which consist of shareholder and other litigation costs, and losses incurred in connection with the renegotiation of debt, and is net of tax.</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and for budgeting and planning purposes.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Adjusted EBITDA to net income for the three and nine months ended September 30, 2016 and 2015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4"/>
          </w:tcPr>
          <w:p>
            <w:pPr>
              <w:jc w:val="right"/>
              <w:ind w:right="45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4"/>
          </w:tcPr>
          <w:p>
            <w:pPr>
              <w:jc w:val="right"/>
              <w:ind w:right="510"/>
              <w:spacing w:after="0"/>
              <w:rPr>
                <w:sz w:val="20"/>
                <w:szCs w:val="20"/>
                <w:color w:val="auto"/>
              </w:rPr>
            </w:pPr>
            <w:r>
              <w:rPr>
                <w:rFonts w:ascii="Arial" w:cs="Arial" w:eastAsia="Arial" w:hAnsi="Arial"/>
                <w:sz w:val="18"/>
                <w:szCs w:val="18"/>
                <w:color w:val="auto"/>
              </w:rPr>
              <w:t>Nine Months Ended</w:t>
            </w:r>
          </w:p>
        </w:tc>
      </w:tr>
      <w:tr>
        <w:trPr>
          <w:trHeight w:val="230"/>
        </w:trPr>
        <w:tc>
          <w:tcPr>
            <w:tcW w:w="4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September 30,</w:t>
            </w:r>
          </w:p>
        </w:tc>
      </w:tr>
      <w:tr>
        <w:trPr>
          <w:trHeight w:val="210"/>
        </w:trPr>
        <w:tc>
          <w:tcPr>
            <w:tcW w:w="47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2,101</w:t>
            </w: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5,770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16,954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16,597</w:t>
            </w: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r>
              <w:rPr>
                <w:rFonts w:ascii="Arial" w:cs="Arial" w:eastAsia="Arial" w:hAnsi="Arial"/>
                <w:sz w:val="8"/>
                <w:szCs w:val="8"/>
                <w:color w:val="auto"/>
              </w:rPr>
              <w:t>(1)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3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w:t>
            </w:r>
          </w:p>
        </w:tc>
      </w:tr>
      <w:tr>
        <w:trPr>
          <w:trHeight w:val="217"/>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15,257</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53,540</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44,171</w:t>
            </w:r>
          </w:p>
        </w:tc>
      </w:tr>
    </w:tbl>
    <w:p>
      <w:pPr>
        <w:ind w:left="160" w:hanging="141"/>
        <w:spacing w:after="0"/>
        <w:tabs>
          <w:tab w:leader="none" w:pos="160" w:val="left"/>
        </w:tabs>
        <w:numPr>
          <w:ilvl w:val="0"/>
          <w:numId w:val="4"/>
        </w:numPr>
        <w:rPr>
          <w:rFonts w:ascii="Arial" w:cs="Arial" w:eastAsia="Arial" w:hAnsi="Arial"/>
          <w:sz w:val="9"/>
          <w:szCs w:val="9"/>
          <w:color w:val="auto"/>
        </w:rPr>
      </w:pPr>
      <w:r>
        <w:rPr>
          <w:rFonts w:ascii="Arial" w:cs="Arial" w:eastAsia="Arial" w:hAnsi="Arial"/>
          <w:sz w:val="18"/>
          <w:szCs w:val="18"/>
          <w:color w:val="auto"/>
        </w:rPr>
        <w:t>Shareholder and other litigation costs.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reconciliation of free cash flows to net cash provided by operating activities for the three and nine months ended September 30, 2016 and 2015 is as follows:</w:t>
      </w:r>
    </w:p>
    <w:p>
      <w:pPr>
        <w:spacing w:after="0" w:line="22"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Nine Months Ended</w:t>
      </w:r>
    </w:p>
    <w:p>
      <w:pPr>
        <w:spacing w:after="0" w:line="2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September 30,</w:t>
      </w:r>
    </w:p>
    <w:p>
      <w:pPr>
        <w:spacing w:after="0" w:line="23" w:lineRule="exact"/>
        <w:rPr>
          <w:sz w:val="20"/>
          <w:szCs w:val="20"/>
          <w:color w:val="auto"/>
        </w:rPr>
      </w:pPr>
    </w:p>
    <w:p>
      <w:pPr>
        <w:ind w:left="7920"/>
        <w:spacing w:after="0"/>
        <w:tabs>
          <w:tab w:leader="none" w:pos="9300" w:val="left"/>
        </w:tabs>
        <w:rPr>
          <w:sz w:val="20"/>
          <w:szCs w:val="20"/>
          <w:color w:val="auto"/>
        </w:rPr>
      </w:pPr>
      <w:r>
        <w:rPr>
          <w:rFonts w:ascii="Arial" w:cs="Arial" w:eastAsia="Arial" w:hAnsi="Arial"/>
          <w:sz w:val="18"/>
          <w:szCs w:val="18"/>
          <w:color w:val="auto"/>
        </w:rPr>
        <w:t>2016</w:t>
      </w:r>
      <w:r>
        <w:rPr>
          <w:sz w:val="20"/>
          <w:szCs w:val="20"/>
          <w:color w:val="auto"/>
        </w:rPr>
        <w:tab/>
      </w: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-130810</wp:posOffset>
            </wp:positionV>
            <wp:extent cx="1663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26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192"/>
        </w:trPr>
        <w:tc>
          <w:tcPr>
            <w:tcW w:w="526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Net cash provided by operating activities</w:t>
            </w:r>
          </w:p>
        </w:tc>
        <w:tc>
          <w:tcPr>
            <w:tcW w:w="2580" w:type="dxa"/>
            <w:vAlign w:val="bottom"/>
            <w:gridSpan w:val="2"/>
            <w:shd w:val="clear" w:color="auto" w:fill="CCEEFF"/>
          </w:tcPr>
          <w:p>
            <w:pPr>
              <w:jc w:val="right"/>
              <w:ind w:right="185"/>
              <w:spacing w:after="0" w:line="19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ind w:left="210"/>
              <w:spacing w:after="0" w:line="192" w:lineRule="exact"/>
              <w:rPr>
                <w:sz w:val="20"/>
                <w:szCs w:val="20"/>
                <w:color w:val="auto"/>
              </w:rPr>
            </w:pPr>
            <w:r>
              <w:rPr>
                <w:rFonts w:ascii="Arial" w:cs="Arial" w:eastAsia="Arial" w:hAnsi="Arial"/>
                <w:sz w:val="18"/>
                <w:szCs w:val="18"/>
                <w:color w:val="auto"/>
                <w:w w:val="90"/>
              </w:rPr>
              <w:t>50,678</w:t>
            </w:r>
          </w:p>
        </w:tc>
        <w:tc>
          <w:tcPr>
            <w:tcW w:w="14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right"/>
              <w:ind w:right="170"/>
              <w:spacing w:after="0" w:line="19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210"/>
              <w:spacing w:after="0" w:line="192" w:lineRule="exact"/>
              <w:rPr>
                <w:sz w:val="20"/>
                <w:szCs w:val="20"/>
                <w:color w:val="auto"/>
              </w:rPr>
            </w:pPr>
            <w:r>
              <w:rPr>
                <w:rFonts w:ascii="Arial" w:cs="Arial" w:eastAsia="Arial" w:hAnsi="Arial"/>
                <w:sz w:val="18"/>
                <w:szCs w:val="18"/>
                <w:color w:val="auto"/>
                <w:w w:val="87"/>
              </w:rPr>
              <w:t>51,381</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(19,645)</w:t>
            </w:r>
          </w:p>
        </w:tc>
        <w:tc>
          <w:tcPr>
            <w:tcW w:w="360" w:type="dxa"/>
            <w:vAlign w:val="bottom"/>
          </w:tcPr>
          <w:p>
            <w:pPr>
              <w:spacing w:after="0"/>
              <w:rPr>
                <w:sz w:val="19"/>
                <w:szCs w:val="19"/>
                <w:color w:val="auto"/>
              </w:rPr>
            </w:pPr>
          </w:p>
        </w:tc>
        <w:tc>
          <w:tcPr>
            <w:tcW w:w="900" w:type="dxa"/>
            <w:vAlign w:val="bottom"/>
          </w:tcPr>
          <w:p>
            <w:pPr>
              <w:jc w:val="center"/>
              <w:ind w:left="190"/>
              <w:spacing w:after="0"/>
              <w:rPr>
                <w:sz w:val="20"/>
                <w:szCs w:val="20"/>
                <w:color w:val="auto"/>
              </w:rPr>
            </w:pPr>
            <w:r>
              <w:rPr>
                <w:rFonts w:ascii="Arial" w:cs="Arial" w:eastAsia="Arial" w:hAnsi="Arial"/>
                <w:sz w:val="18"/>
                <w:szCs w:val="18"/>
                <w:color w:val="auto"/>
                <w:w w:val="92"/>
              </w:rPr>
              <w:t>(12,196)</w:t>
            </w:r>
          </w:p>
        </w:tc>
      </w:tr>
      <w:tr>
        <w:trPr>
          <w:trHeight w:val="217"/>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flows</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31,033</w:t>
            </w: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87"/>
              </w:rPr>
              <w:t>39,185</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reconciliation of Non-GAAP net income to GAAP net income for the three and nine months ended September 30, 2016 and 2015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jc w:val="center"/>
              <w:ind w:right="9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gridSpan w:val="7"/>
          </w:tcPr>
          <w:p>
            <w:pPr>
              <w:jc w:val="center"/>
              <w:ind w:right="9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color w:val="auto"/>
                <w:w w:val="88"/>
              </w:rPr>
              <w:t>September 30, 2016</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8"/>
                <w:szCs w:val="18"/>
                <w:color w:val="auto"/>
                <w:w w:val="88"/>
              </w:rPr>
              <w:t>September 30,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w w:val="83"/>
              </w:rPr>
              <w:t>Per Share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6"/>
              </w:rPr>
              <w:t>Per Share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(in thousands, except share and per share data)</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Pretax</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Net of Tax</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Amounts</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Pretax</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Net of Tax</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Amounts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GAAP income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Special charges: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Shareholder and other litigation costs</w:t>
            </w:r>
          </w:p>
        </w:tc>
        <w:tc>
          <w:tcPr>
            <w:tcW w:w="16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0"/>
                <w:szCs w:val="20"/>
                <w:color w:val="auto"/>
              </w:rPr>
            </w:pPr>
            <w:r>
              <w:rPr>
                <w:rFonts w:ascii="Arial" w:cs="Arial" w:eastAsia="Arial" w:hAnsi="Arial"/>
                <w:sz w:val="18"/>
                <w:szCs w:val="18"/>
                <w:color w:val="auto"/>
              </w:rPr>
              <w:t>Non-GAAP income</w:t>
            </w:r>
            <w:r>
              <w:rPr>
                <w:rFonts w:ascii="Arial" w:cs="Arial" w:eastAsia="Arial" w:hAnsi="Arial"/>
                <w:sz w:val="8"/>
                <w:szCs w:val="8"/>
                <w:color w:val="auto"/>
              </w:rPr>
              <w:t>(1)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may not foot due to rounding.</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35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573"/>
        </w:trPr>
        <w:tc>
          <w:tcPr>
            <w:tcW w:w="134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6"/>
          </w:tcPr>
          <w:p>
            <w:pPr>
              <w:ind w:left="660"/>
              <w:spacing w:after="0"/>
              <w:rPr>
                <w:sz w:val="20"/>
                <w:szCs w:val="20"/>
                <w:color w:val="auto"/>
              </w:rPr>
            </w:pPr>
            <w:r>
              <w:rPr>
                <w:rFonts w:ascii="Arial" w:cs="Arial" w:eastAsia="Arial" w:hAnsi="Arial"/>
                <w:sz w:val="18"/>
                <w:szCs w:val="18"/>
                <w:color w:val="auto"/>
                <w:w w:val="91"/>
              </w:rPr>
              <w:t>Nine Months Ended</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6"/>
          </w:tcPr>
          <w:p>
            <w:pPr>
              <w:jc w:val="right"/>
              <w:spacing w:after="0"/>
              <w:rPr>
                <w:sz w:val="20"/>
                <w:szCs w:val="20"/>
                <w:color w:val="auto"/>
              </w:rPr>
            </w:pPr>
            <w:r>
              <w:rPr>
                <w:rFonts w:ascii="Arial" w:cs="Arial" w:eastAsia="Arial" w:hAnsi="Arial"/>
                <w:sz w:val="18"/>
                <w:szCs w:val="18"/>
                <w:color w:val="auto"/>
              </w:rPr>
              <w:t>Nine Months Ended</w:t>
            </w:r>
          </w:p>
        </w:tc>
        <w:tc>
          <w:tcPr>
            <w:tcW w:w="82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ind w:left="660"/>
              <w:spacing w:after="0"/>
              <w:rPr>
                <w:sz w:val="20"/>
                <w:szCs w:val="20"/>
                <w:color w:val="auto"/>
              </w:rPr>
            </w:pPr>
            <w:r>
              <w:rPr>
                <w:rFonts w:ascii="Arial" w:cs="Arial" w:eastAsia="Arial" w:hAnsi="Arial"/>
                <w:sz w:val="18"/>
                <w:szCs w:val="18"/>
                <w:color w:val="auto"/>
                <w:w w:val="88"/>
              </w:rPr>
              <w:t>September 30, 2016</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September 30, 2015</w:t>
            </w:r>
          </w:p>
        </w:tc>
        <w:tc>
          <w:tcPr>
            <w:tcW w:w="820" w:type="dxa"/>
            <w:vAlign w:val="bottom"/>
            <w:tcBorders>
              <w:bottom w:val="single" w:sz="8" w:color="auto"/>
            </w:tcBorders>
          </w:tcPr>
          <w:p>
            <w:pPr>
              <w:spacing w:after="0"/>
              <w:rPr>
                <w:sz w:val="20"/>
                <w:szCs w:val="20"/>
                <w:color w:val="auto"/>
              </w:rPr>
            </w:pPr>
          </w:p>
        </w:tc>
      </w:tr>
      <w:tr>
        <w:trPr>
          <w:trHeight w:val="290"/>
        </w:trPr>
        <w:tc>
          <w:tcPr>
            <w:tcW w:w="1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w w:val="83"/>
              </w:rPr>
              <w:t>Per Share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Per Share</w:t>
            </w:r>
          </w:p>
        </w:tc>
      </w:tr>
      <w:tr>
        <w:trPr>
          <w:trHeight w:val="230"/>
        </w:trPr>
        <w:tc>
          <w:tcPr>
            <w:tcW w:w="3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1"/>
              </w:rPr>
              <w:t>(in thousands, except share and per share data)</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Pretax</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Net of Tax</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Amounts</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Pretax</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Net of Tax</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Amounts</w:t>
            </w:r>
          </w:p>
        </w:tc>
      </w:tr>
      <w:tr>
        <w:trPr>
          <w:trHeight w:val="21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 income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Special charges: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Shareholder and other litigation costs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35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Write-off of debt issuance costs</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r>
      <w:tr>
        <w:trPr>
          <w:trHeight w:val="27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income</w:t>
            </w:r>
            <w:r>
              <w:rPr>
                <w:rFonts w:ascii="Arial" w:cs="Arial" w:eastAsia="Arial" w:hAnsi="Arial"/>
                <w:sz w:val="8"/>
                <w:szCs w:val="8"/>
                <w:color w:val="auto"/>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04"/>
        </w:trPr>
        <w:tc>
          <w:tcPr>
            <w:tcW w:w="3520" w:type="dxa"/>
            <w:vAlign w:val="bottom"/>
            <w:tcBorders>
              <w:top w:val="single" w:sz="8" w:color="CCEEFF"/>
            </w:tcBorders>
            <w:gridSpan w:val="2"/>
          </w:tcPr>
          <w:p>
            <w:pPr>
              <w:spacing w:after="0" w:line="204" w:lineRule="exact"/>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may not foot due to rounding.</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bl>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three months ended September 30, 2016 to the three months ended September 30,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1760" w:type="dxa"/>
            <w:vAlign w:val="bottom"/>
            <w:gridSpan w:val="3"/>
          </w:tcPr>
          <w:p>
            <w:pPr>
              <w:jc w:val="right"/>
              <w:ind w:right="665"/>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2015</w:t>
            </w:r>
          </w:p>
        </w:tc>
        <w:tc>
          <w:tcPr>
            <w:tcW w:w="16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 of sales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78,559</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72,404</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23,400</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21,691</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70.2 %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50,713</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70.0 %</w:t>
            </w: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47,361</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60.3 %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44,047</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60.8 %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9.2 %</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7,469</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9.5 %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6,197</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8.6 %</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(2,886)</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(2,436)</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5.2 %</w:t>
            </w:r>
          </w:p>
        </w:tc>
      </w:tr>
      <w:tr>
        <w:trPr>
          <w:trHeight w:val="216"/>
        </w:trPr>
        <w:tc>
          <w:tcPr>
            <w:tcW w:w="4000" w:type="dxa"/>
            <w:vAlign w:val="bottom"/>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may not foot due to rounding.</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for the third quarter of 2016 increased $6.2 million, or 8.5%, over the third quarter of 2015. Comparable store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$4.1 million due to an increase in the volume of transactions, as well as an increase in the average transaction size. Net sales for the nine new stores open less than twelve months were $2.1 million during the third quarter of 2016.</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third quarter of 2016 increased $4.4 million, or 8.8%, compared to the third quarter of 2015,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increase in net sales. The gross margin rate increased from 70.0% for the third quarter of 2015 to 70.2% for the third quarter of 2016. The increase in the gross margin rate was primarily attributable to improvements in shrink, damage, and other inventory control process improvements.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for the third quarter of 2016 increased $3.3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7.5%, compared to the third quarter of 2015. The increase in selling, general, and administrative expenses was primarily due to an increase in occupancy costs of $1.2 million, compensation and benefit costs of $0.6 million, advertising costs of $0.4 million, and shipping and transportation costs of $0.3 million as a result of opening nine new stores during the period from October 1, 2015 through September 30, 2016, and an increase in variable compensation associated with an 5.7% increase in comparable store sales for the third quarter of 2016. Selling, general, and administrative expenses as a percentage of net sales decreased to 60.3% for the third quarter of 2016 compared to 60.8% for the third quarter of 2015. The decrease in selling, general, and administrative expenses as a percentage of net sales was primarily due to a maturing store base that has higher net sales levels, which outpaced the growth of selling, general, and administrative expenses.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expenses include special charges of $0.7 million and $0.2 million for the third quarter of 2016 and 2015, respectively, which consists of shareholder and other litigation expenses.</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 xml:space="preserve">Pre-opening Costs </w:t>
      </w:r>
      <w:r>
        <w:rPr>
          <w:rFonts w:ascii="Arial" w:cs="Arial" w:eastAsia="Arial" w:hAnsi="Arial"/>
          <w:sz w:val="16"/>
          <w:szCs w:val="16"/>
          <w:color w:val="auto"/>
        </w:rPr>
        <w:t>Our pre-opening costs are those typically associated with the opening of a new store and generally include rent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payroll costs and promotional costs. We expense pre-opening costs as incurred and include these costs in selling, general and administrative expenses. During the third quarter of 2016 and 2015, we incurred pre-opening costs of $0.2 million and $0.1 million, respectively.</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$0.1 million for the third quarter of 2016 compared to the third quarter of 2015. The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primarily due to the decrease in the debt balance over the last twelve months.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Income tax provision increased $0.5 million for the third quarter of 2016 compared to the third quarter of 2015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to higher income before income taxes in the third quarter of 2016. Our effective tax rate for the third quarter of 2016 and 2015 was 38.6% and 39.3%, respectively. The improvement in the three month effective tax rate is due to an increase in incentive stock option exercise activity classified as a disqualifying disposition to the option holder that gives rise to a deduction for us. Our tax rate also benefitted from a decrease in non-deductible incentive stock-based compensation expense in 2016 combined with a reduction in the level of state tax rate changes that triggered unfavorable deferred tax adjustments in 2015.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nine months ended September 30, 2016 to the nine months ended September 30, 2015</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4"/>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4"/>
                <w:szCs w:val="24"/>
                <w:color w:val="auto"/>
              </w:rPr>
            </w:pPr>
          </w:p>
        </w:tc>
        <w:tc>
          <w:tcPr>
            <w:tcW w:w="1760" w:type="dxa"/>
            <w:vAlign w:val="bottom"/>
            <w:gridSpan w:val="3"/>
          </w:tcPr>
          <w:p>
            <w:pPr>
              <w:jc w:val="right"/>
              <w:ind w:right="665"/>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2015</w:t>
            </w: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 of sales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247,543</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221,073</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73,980</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68,096</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30.8 %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173,563</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70.1 %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152,977</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69.2 %</w:t>
            </w: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142,300</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57.5 %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130,678</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31,263</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22,299</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10.1 %</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(1,382)</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(2,101)</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(0.9)%</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29,983</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12.1 %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20,295</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9.2 %</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(8,385)</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18,190</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11,910</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5.4 %</w:t>
            </w:r>
          </w:p>
        </w:tc>
      </w:tr>
      <w:tr>
        <w:trPr>
          <w:trHeight w:val="216"/>
        </w:trPr>
        <w:tc>
          <w:tcPr>
            <w:tcW w:w="4000" w:type="dxa"/>
            <w:vAlign w:val="bottom"/>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may not foot due to rounding.</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1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nine months ended September 30, 2016 increased $26.5 million, or 12.0%, over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2015. Comparable store sales increased $19.9 million during the nine months ended September 30, 2016 due to an increase in the volume of transactions, as well as an increase in the average transaction size. Net sales for the nine new stores open less than twelve months were $6.6 million during the nine months ended September 30, 2016.</w:t>
      </w:r>
    </w:p>
    <w:p>
      <w:pPr>
        <w:spacing w:after="0" w:line="18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nine months ended September 30, 2016 increased $20.6 million, or 13.5%, compared to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2015, primarily due to the increase in net sales. The gross margin rate increased from 69.2% for the nine months ended September 30, 2015 to 70.1% for nine months ended September 30, 2016. The increase in the gross margin rate was primarily attributable to improved collection of customer delivery revenue, a decrease in the level of discounting, and inventory control process improvements.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increased $11.6 million, or 8.9%, compared to the nine months ended September 30, 2015. The increase in selling, general, and administrative expenses was primarily due to an increase in compensation and benefit costs of $5.9 million, occupancy costs of $2.5 million, and shipping and transportation costs of $1.2 million as a result of opening nine new stores during the period from October 1, 2015 through September 30, 2016, and an increase in variable compensation associated with a 9.0% increase in comparable store sales for the nine months ended September 30, 2016. Selling, general, and administrative expenses as a percentage of net sales decreased to 57.5% for the nine months ended September 30, 2016 compared to 59.1% for the nine months ended September 30, 2015. The decrease in selling, general, and administrative expenses as a percentage of net sales was primarily due to a maturing store base that has higher net sales levels, which outpaced the growth of selling, general, and administrative expenses.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expenses include special charges of $1.8 million and $1.0 million for the nine months ended September 30, 2016 and 2015, respectively, which consists of shareholder and other litigation expenses.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Our pre-opening costs are those typically associated with the opening of a new store and generally include rent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payroll costs and promotional costs. We expense pre-opening costs as incurred and include these costs in selling, general and administrative expenses. In the nine months ended September 30, 2016 and 2015, we incurred pre-opening costs of $0.6 million and $0.3 million,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$0.7 million for the nine months ended September 30, 2016 compared to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2015. The decrease is primarily due to the decrease in the debt balance in 2016.</w:t>
      </w:r>
    </w:p>
    <w:p>
      <w:pPr>
        <w:spacing w:after="0" w:line="17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Income tax provision increased $3.4 million for the nine months ended September 30, 2016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2015 due to higher income before income taxes in the nine months ended September 30, 2016. Our effective tax rate for the nine months ended September 30, 2016 and 2015 was 39.3% and 41.3%, respectively. The improvement in the nine month effective tax rate is due to an increase in incentive stock option exercise activity classified as a disqualifying disposition to the option holder that gives rise to a deduction for us. Our tax rate also benefitted from a decrease in non-deductible incentive stock-based compensation expense in 2016 combined with a reduction in the level of state tax rate changes that triggered unfavorable deferred tax adjustments in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uses of liquidity have been investments in working capital and capital expenditures. Our principal sources of liquidity are $9.8 million of cash and cash equivalents at September 30, 2016, our cash flow from operations, and borrowings available under our credit facility. We expect to use this liquidity for opening new stores, purchasing additional merchandise inventory, maintaining our existing stores, reducing outstanding debt, and general corporate purposes.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2, 2015, we and our operating subsidiary, The Tile Shop, LLC, as well as certain other of our subsidiaries, entered into a credit agreement with Fifth Third Bank, Bank of America, N.A., and Huntington National Bank (the “Credit Agreement”). The Credit Agreement provides us with a $125.0 million senior secured credit facility, comprised of a five-year $50.0 million term loan and a $75.0 million revolving line of credit. The Credit Agreement is secured by virtually all of our assets, including but not limited to, inventory, receivables, equipment and real property. Borrowings pursuant to the Credit Agreement bear interest at either a base rate or a LIBOR-based rate, at our option. The LIBOR-based rate will range from LIBOR plus 1.50% to 2.00%, depending on The Tile Shop’s leverage ratio. The base rate is equal to the greatest of: (a) the Federal funds rate plus 0.50%, (b) the Fifth Third Bank “prime rate,” and (c) the Eurodollar rate plus 1.00%, in each case plus 0.50% to 1.00% depending on The Tile Shop’s leverage ratio. At September 30, 2016 the base interest rate was 4.00% and the LIBOR-based interest rate was 2.03%. Borrowings outstanding were $23.4 million on the term loan as of September 30, 2016. We can elect to prepay the term loan without incurring a penalty. The term loan requires quarterly principal payments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4280" w:type="dxa"/>
            <w:vAlign w:val="bottom"/>
          </w:tcPr>
          <w:p>
            <w:pPr>
              <w:spacing w:after="0"/>
              <w:rPr>
                <w:sz w:val="20"/>
                <w:szCs w:val="20"/>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 to June 30, 2017</w:t>
            </w:r>
          </w:p>
        </w:tc>
        <w:tc>
          <w:tcPr>
            <w:tcW w:w="42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$ 1,250</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September 30, 2017 to June 30, 2018</w:t>
            </w:r>
          </w:p>
        </w:tc>
        <w:tc>
          <w:tcPr>
            <w:tcW w:w="4280" w:type="dxa"/>
            <w:vAlign w:val="bottom"/>
          </w:tcPr>
          <w:p>
            <w:pPr>
              <w:jc w:val="right"/>
              <w:ind w:right="590"/>
              <w:spacing w:after="0"/>
              <w:rPr>
                <w:sz w:val="20"/>
                <w:szCs w:val="20"/>
                <w:color w:val="auto"/>
              </w:rPr>
            </w:pPr>
            <w:r>
              <w:rPr>
                <w:rFonts w:ascii="Arial" w:cs="Arial" w:eastAsia="Arial" w:hAnsi="Arial"/>
                <w:sz w:val="18"/>
                <w:szCs w:val="18"/>
                <w:color w:val="auto"/>
              </w:rPr>
              <w:t>1,875</w:t>
            </w: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2018 to March 31, 2020</w:t>
            </w:r>
          </w:p>
        </w:tc>
        <w:tc>
          <w:tcPr>
            <w:tcW w:w="42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2,500</w:t>
            </w: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Credit Agreement contains customary events of default, conditions to borrowings, and restrictive covenants, including restrictions on our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In addition, except with respect to pro rata payments made by The Tile Shop or other subsidiaries to Holdings or any other equity owner of such entity, the Credit Agreement prohibits the payments of cash dividends. We were in compliance with the covenants as of September 30, 2016.</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believe that our cash flow from operations, together with our existing cash and cash equivalents, and borrowings available under our credit facility will be sufficient to fund our operations and anticipated capital expenditures over at least the next 12 months.</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Capital expenditures paid in the nine months ended September 30, 2016 were $19.6 million. Approximately $13.1 million was for new store build-out, remodels of existing stores, and merchandising projects, and approximately $4.5 million was for our information technology infrastructure in stores. The remainder was for distribution facilities and other general corporate purposes.</w:t>
      </w:r>
    </w:p>
    <w:p>
      <w:pPr>
        <w:spacing w:after="0" w:line="166"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Our future capital requirements will vary based on the number of additional stores, distribution centers, and manufacturing facilities that we open and the number of stores that we choose to renovate. Our decisions regarding opening, relocating, or renovating stores, and whether to engage in strategic acquisitions, will be based in part on macroeconomic factors and the general state of the U.S. economy, as well as the local economies in the markets in which our stores are located. We plan to open an additional four new stores and relocate one additional store during the remainder of 2016. Total capital expenditures are expected to be approximately $30 million in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nine months ended September 30, 2016 and 2015.</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(in thousands)</w:t>
            </w:r>
          </w:p>
        </w:tc>
      </w:tr>
      <w:tr>
        <w:trPr>
          <w:trHeight w:val="230"/>
        </w:trPr>
        <w:tc>
          <w:tcPr>
            <w:tcW w:w="7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7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color w:val="auto"/>
                <w:w w:val="88"/>
              </w:rPr>
              <w:t>September 30,</w:t>
            </w:r>
          </w:p>
        </w:tc>
      </w:tr>
      <w:tr>
        <w:trPr>
          <w:trHeight w:val="210"/>
        </w:trPr>
        <w:tc>
          <w:tcPr>
            <w:tcW w:w="75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50,678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7"/>
              </w:rPr>
              <w:t>51,381</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(19,645)</w:t>
            </w:r>
          </w:p>
        </w:tc>
        <w:tc>
          <w:tcPr>
            <w:tcW w:w="300" w:type="dxa"/>
            <w:vAlign w:val="bottom"/>
          </w:tcPr>
          <w:p>
            <w:pPr>
              <w:spacing w:after="0"/>
              <w:rPr>
                <w:sz w:val="19"/>
                <w:szCs w:val="19"/>
                <w:color w:val="auto"/>
              </w:rPr>
            </w:pPr>
          </w:p>
        </w:tc>
        <w:tc>
          <w:tcPr>
            <w:tcW w:w="960" w:type="dxa"/>
            <w:vAlign w:val="bottom"/>
          </w:tcPr>
          <w:p>
            <w:pPr>
              <w:jc w:val="center"/>
              <w:ind w:left="250"/>
              <w:spacing w:after="0"/>
              <w:rPr>
                <w:sz w:val="20"/>
                <w:szCs w:val="20"/>
                <w:color w:val="auto"/>
              </w:rPr>
            </w:pPr>
            <w:r>
              <w:rPr>
                <w:rFonts w:ascii="Arial" w:cs="Arial" w:eastAsia="Arial" w:hAnsi="Arial"/>
                <w:sz w:val="18"/>
                <w:szCs w:val="18"/>
                <w:color w:val="auto"/>
                <w:w w:val="92"/>
              </w:rPr>
              <w:t>(12,187)</w:t>
            </w: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(31,518)</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(30,304)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Cash provided by operating activities during the nine months ended September 30, 2016 was $50.7 million, compared to $51.4 million during the nine months ended September 30, 2015. The decrease is primarily attributable to an $8.6 million decrease in cash flows attributable to the change in income tax receivable/payable balances, partially offset by a $6.3 million increase in net income, compared to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Net cash used in investing activities totaled $19.6 million for the nine months ended September 30, 2016, compared to $12.2 million for the nine months ended September 30, 2015. Net cash used in investing activities in each period was primarily for capital purchases for new store build-outs, remodels of existing stores, merchandising projects, information technology in stores, distribution facilities, and other general corporate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financing activities was $31.5 million for the nine months ended September 30, 2016, compared to $30.3 million for the nine months ended September 30, 2015. Cash used in financing activities during the nine months ended September 30, 2016 was primarily for payments of long-term debt and capital lease obligations of $32.1 million. At September 30, 2016, we were in compliance with our debt covenants. We intend to make principal payments due in future periods using cash from operations.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and cash equivalents totaled $9.8 million at September 30, 2016, versus $10.3 million at December 31, 2015. The Company had working capital of $37.7 million at September 30, 2016, compared to working capital of $47.5 million at December 31,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2016 and December 31, 2015,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2016, there were no material changes to our contractual obligations outside the ordinary course of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February 2015, the Financial Accounting Standards Board (“FASB”) issued a new accounting standard that will modify current consolidation guidance. The standard makes changes to both the variable interest entity model and the voting interest entity model, including modifying the evaluation of whether limited partnerships or similar legal entities are variable interest entities or voting interest entities and amending the guidance for assessing how relationships of related parties affect the consolidation analysis of variable interest entities. The standard was effective for us as of the beginning of fiscal 2016. The adoption of this new standard did not have a material effect on our financial statements.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April 2015, the FASB issued a standard that requires debt issuance costs related to a recognized debt liability be presented in the Consolidated Balance Sheet as a direct deduction from the carrying amount of that debt liability. We adopted the provisions of this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statement in the first quarter of 2016 and prior periods have been retrospectively adjusted. The adoption of this standard resulted in a $0.1 million reduction of other current assets, net, a $0.3 million reduction of other assets, a $0.3 million reduction of the current portion of long term debt, and a $0.1 million reduction of long term debt in the Consolidated Balance Sheet for the period ended December 31, 2015.</w:t>
      </w:r>
    </w:p>
    <w:p>
      <w:pPr>
        <w:spacing w:after="0" w:line="14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March 2016, the FASB issued a standard that amends and simplifies the accounting for stock compensation. The guidance addresses various stock compensation aspects including accounting for income taxes, classification of excess tax benefits on the statement of cash flows, forfeitures, minimum statutory tax withholding requirements, and classification of employee taxes paid on the statement of cash flows when an employer withholds shares for tax withholding purposes, among other things. In order to simplify the accounting for stock-based compensation, we made a change in accounting policy to account for forfeitures when they occur, and as a result, we recognized a $0.7 million cumulative-effect reduction to retained earnings under the modified retrospective approach. During the three months ended September 30, 2016, we recognized an adjustment to reduce additional paid-in capital and share-based compensation by $0.1 million to account for current year forfeiture activity.</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elected prospective transition for the requirement to classify excess tax benefits as an operating activity in the Consolidated Statement of Cash Flows. The adoption did not have a material impact on the amounts reported in the Consolidated Statement of Cash Flows for the nine months ended September 30, 2016. Additionally, we will prospectively recognize all excess tax benefits and tax deficiencies as income tax expense or benefit in the Consolidated Statement of Operations as a discrete item in the period in which awards vest. The adoption did not have a material impact on the amounts reported in the Consolidated Statement of Operations for the three and nine months ended September 30, 2016. We applied the modified retrospective method to recognize the cumulative effect of previously unrecognized excess tax benefits in opening retained earnings. The adoption did not have a material impact on the amounts reported in the Consolidated Balance Sheet for the year ended December 31, 2015. We also retrospectively applied the requirement to present employee taxes paid when an employer withholds shares for tax-withholding purposes as a financing activity in the Consolidated Statement of Cash Flows. The adoption did not have a material impact on the amounts reported in the Consolidated Statement of Cash Flows for the nine months ended September 30, 2016 and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May 2014, the FASB issued a final standard on revenue from contracts with customers. The new standard sets forth a single comprehensive model for recognizing and reporting revenue. The new standard is effective for us in fiscal year 2018 and permits the use of either a retrospective or a cumulative effect transition method. We are currently assessing the impact of implementing the new guidance on our consolidated financial statements.</w:t>
      </w:r>
    </w:p>
    <w:p>
      <w:pPr>
        <w:spacing w:after="0" w:line="18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August 2014, the FASB issued a standard requiring an entity’s management to evaluate whether there is substantial doubt about an entity’s ability to continue as a going concern within one year after the date of the financial statements. The guidance also sets forth a series of disclosures that are required in the event the entity’s management concludes that there is substantial doubt about the entity’s ability to continue as a going concern. The new standard becomes effective for us in the annual financial statements for fiscal 2016 and requires an ongoing evaluation at each interim and annual period thereafter. We are currently assessing the effect the new standard will have on our consolidated financial statements.</w:t>
      </w:r>
    </w:p>
    <w:p>
      <w:pPr>
        <w:spacing w:after="0" w:line="193"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July 2015, the FASB issued a standard which simplifies the subsequent measurement of inventory. Currently, an entity is required to measure inventory at the lower of cost or market, whereby market can be replacement cost, net realizable value, or net realizable value less an approximately normal profit margin. The changes require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Currently, we apply the net realizable value market option to measure inventories at the lower of cost or market. These changes become effective for us in fiscal 2017. We are currently assessing the effect the new standard will have on our consolidated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2016, the FASB issued a standard that primarily requires organizations that lease assets to recognize the rights and obligations created by those leases on the Consolidated Balance Sheet. The standard is effective in 2019, with early adoption permitted. We are currently assessing the effect the new standard will have on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Form 10-K for the fiscal year ended December 31, 2015.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Securities and Exchange Commission,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September 30, 2016 and have concluded that such disclosure controls and procedures were effective as of the end of the period covered by this Quarterly Report on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changes to our internal control over financial reporting occurred during the quarter ended September 30, 2016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two of its former executive officers, five of its outside directors, and certain companies affiliated with the directors, are defendants in a consolidated class action brought under the federal securities laws and now pending in the United States District Court for the District of Minnesota under the caption Beaver County Employees’ Retirement Fund, et al. v. Tile Shop Holdings, Inc., et al. Several related actions were filed in 2013 and subsequently consolidated. The plaintiffs are three investors who represent classes consisting of (1) all purchasers of Tile Shop common stock between August 22, 2012 and January 28, 2014 (the “class period”), seeking to pursue remedies under the Securities Exchange Act of 1934; and (2) all purchasers of Tile Shop common stock pursuant and/or traceable to the Company’s December 2012 registration statement, seeking to pursue remedies under the Securities Act of 1933. Six firms who were underwriters in the December 2012 secondary public offering are also named as defendants. The plaintiffs allege that during the class period, defendants failed to disclose certain related party transactions in the Company’s SEC filings and press releases. The plaintiffs assert claims under Sections 11, 12(a)(2), and 15 of the Securities Act of 1933, and under Sections 10(b) and 20(a) of the Securities Exchange Act of 1934. In addition to attorneys’ fees and costs, the plaintiffs seek to recover damages on behalf of class members. Discovery has closed, and the parties are in the process of briefing and arguing dispositive motions.</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also is a Defendant in three actions brought derivatively on behalf of the Company by three shareholders in the Court of Chancery for the State of Delaware (“Delaware Chancery Court”). Two of the actions were filed in 2015 and then consolidated (the “Consolidated Actions”). On July 31, 2015, the plaintiff-shareholders in the Consolidated Actions filed a consolidated complaint. The consolidated complaint names as defendants six members of the Company’s Board of Directors and a former employee of the Company. The third action (the “Third Action”) was filed on or about September 28, 2016 against seven members of the Company’s Board of Directors, a former officer, and a former employee. All of the complaints track many of the same factual allegations as have been made in the above-described federal securities class action. They allege that the defendant-directors and/or officer breached their fiduciary duties by failing to adopt adequate internal controls for the Company, by approving false and misleading statements issued by the Company, by causing the Company to violate generally accepted accounting principles and SEC regulations, by engaging in or approving alleged insider trading, and by permitting the Company’s primary product to contain illegal amounts of lead. The complaints also allege claims for insider trading and/or unjust enrichment. The complaints seek damages, disgorgement, an award of attorneys’ fees and other expenses, and an order compelling changes to the Company’s corporate governance and internal procedures. In 2015, the defendants moved to dismiss the Consolidated Actions, or in the alternative, to stay the Consolidated Actions pending resolution of the Beaver County Employees’ Retirement Fund action described above. Subsequently, upon agreement of the parties, the Court entered an Order staying the Consolidated Actions. Recently the Company moved to dismiss the newly-filed Third Action, or in the alternative, to stay the Third Action until resolution of the Beaver County Employees’ Retirement Fund action described above, or until the Company’s Board of Directors takes action on the demand described below. That motion has not yet been decided.</w:t>
      </w:r>
    </w:p>
    <w:p>
      <w:pPr>
        <w:spacing w:after="0" w:line="17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By letter dated May 19, 2016, a shareholder of the Company, through his attorney and prior to filing the Third Action,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 the Company with respect to the matters raised in the demand letter.</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Given the uncertainty of litigation and the preliminary stage of these cases, the Company cannot reasonably estimate the possible loss or range of loss that may result from these actions. The Company maintains directors and officers liability insurance policies that may reduce the Company’s exposure, if any. In the event the Company incurs a loss, the Company will pursue recoveries to the maximum extent available under these policies.</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90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3.1</w:t>
            </w:r>
          </w:p>
        </w:tc>
        <w:tc>
          <w:tcPr>
            <w:tcW w:w="800" w:type="dxa"/>
            <w:vAlign w:val="bottom"/>
            <w:shd w:val="clear" w:color="auto" w:fill="CCEEFF"/>
          </w:tcPr>
          <w:p>
            <w:pPr>
              <w:spacing w:after="0"/>
              <w:rPr>
                <w:sz w:val="17"/>
                <w:szCs w:val="17"/>
                <w:color w:val="auto"/>
              </w:rPr>
            </w:pPr>
          </w:p>
        </w:tc>
        <w:tc>
          <w:tcPr>
            <w:tcW w:w="9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Certificate of Incorporation of Tile Shop Holdings, Inc. (incorporated by reference to Exhibit 3.1 to the Company’s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Registration Statement on Form S-4 filed with the Securities and Exchange Commission on July 2,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0" w:type="dxa"/>
            <w:vAlign w:val="bottom"/>
          </w:tcPr>
          <w:p>
            <w:pPr>
              <w:spacing w:after="0" w:line="201" w:lineRule="exact"/>
              <w:rPr>
                <w:sz w:val="20"/>
                <w:szCs w:val="20"/>
                <w:color w:val="auto"/>
              </w:rPr>
            </w:pPr>
            <w:r>
              <w:rPr>
                <w:rFonts w:ascii="Arial" w:cs="Arial" w:eastAsia="Arial" w:hAnsi="Arial"/>
                <w:sz w:val="18"/>
                <w:szCs w:val="18"/>
                <w:color w:val="auto"/>
                <w:w w:val="79"/>
              </w:rPr>
              <w:t>3.2</w:t>
            </w:r>
          </w:p>
        </w:tc>
        <w:tc>
          <w:tcPr>
            <w:tcW w:w="800" w:type="dxa"/>
            <w:vAlign w:val="bottom"/>
          </w:tcPr>
          <w:p>
            <w:pPr>
              <w:spacing w:after="0"/>
              <w:rPr>
                <w:sz w:val="17"/>
                <w:szCs w:val="17"/>
                <w:color w:val="auto"/>
              </w:rPr>
            </w:pPr>
          </w:p>
        </w:tc>
        <w:tc>
          <w:tcPr>
            <w:tcW w:w="9080" w:type="dxa"/>
            <w:vAlign w:val="bottom"/>
            <w:gridSpan w:val="2"/>
          </w:tcPr>
          <w:p>
            <w:pPr>
              <w:spacing w:after="0" w:line="201" w:lineRule="exact"/>
              <w:rPr>
                <w:sz w:val="20"/>
                <w:szCs w:val="20"/>
                <w:color w:val="auto"/>
              </w:rPr>
            </w:pPr>
            <w:r>
              <w:rPr>
                <w:rFonts w:ascii="Arial" w:cs="Arial" w:eastAsia="Arial" w:hAnsi="Arial"/>
                <w:sz w:val="18"/>
                <w:szCs w:val="18"/>
                <w:color w:val="auto"/>
                <w:w w:val="93"/>
              </w:rPr>
              <w:t>By-Laws of Tile Shop Holdings, Inc. (incorporated by reference to Exhibit 3.2 to the Company’s Registration Statement 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Form S-4 filed with the Securities and Exchange Commission on July 2,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02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31.1*</w:t>
            </w: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Certification of Chief Executive Officer Pursuant to Section 302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31.2*</w:t>
            </w:r>
          </w:p>
        </w:tc>
        <w:tc>
          <w:tcPr>
            <w:tcW w:w="908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Section 302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32.1**</w:t>
            </w: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Certifications of Chief Executive Officer Pursuant to Section 906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32.2**</w:t>
            </w:r>
          </w:p>
        </w:tc>
        <w:tc>
          <w:tcPr>
            <w:tcW w:w="9080" w:type="dxa"/>
            <w:vAlign w:val="bottom"/>
            <w:gridSpan w:val="2"/>
          </w:tcPr>
          <w:p>
            <w:pPr>
              <w:spacing w:after="0"/>
              <w:rPr>
                <w:sz w:val="20"/>
                <w:szCs w:val="20"/>
                <w:color w:val="auto"/>
              </w:rPr>
            </w:pPr>
            <w:r>
              <w:rPr>
                <w:rFonts w:ascii="Arial" w:cs="Arial" w:eastAsia="Arial" w:hAnsi="Arial"/>
                <w:sz w:val="18"/>
                <w:szCs w:val="18"/>
                <w:color w:val="auto"/>
              </w:rPr>
              <w:t>Certifications of Chief Financial Officer Pursuant to Section 906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0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0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0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9"/>
        </w:trPr>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880" w:type="dxa"/>
            <w:vAlign w:val="bottom"/>
            <w:gridSpan w:val="3"/>
          </w:tcPr>
          <w:p>
            <w:pPr>
              <w:ind w:left="20"/>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880" w:type="dxa"/>
            <w:vAlign w:val="bottom"/>
            <w:gridSpan w:val="3"/>
          </w:tcPr>
          <w:p>
            <w:pPr>
              <w:ind w:left="20"/>
              <w:spacing w:after="0"/>
              <w:rPr>
                <w:sz w:val="20"/>
                <w:szCs w:val="20"/>
                <w:color w:val="auto"/>
              </w:rPr>
            </w:pPr>
            <w:r>
              <w:rPr>
                <w:rFonts w:ascii="Arial" w:cs="Arial" w:eastAsia="Arial" w:hAnsi="Arial"/>
                <w:sz w:val="18"/>
                <w:szCs w:val="18"/>
                <w:color w:val="auto"/>
              </w:rPr>
              <w:t>Furnished herewith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80" w:type="dxa"/>
            <w:vAlign w:val="bottom"/>
            <w:gridSpan w:val="2"/>
          </w:tcPr>
          <w:p>
            <w:pPr>
              <w:ind w:left="39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2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20" w:type="dxa"/>
            <w:vAlign w:val="bottom"/>
          </w:tcPr>
          <w:p>
            <w:pPr>
              <w:ind w:left="380"/>
              <w:spacing w:after="0"/>
              <w:rPr>
                <w:sz w:val="20"/>
                <w:szCs w:val="20"/>
                <w:color w:val="auto"/>
              </w:rPr>
            </w:pPr>
            <w:r>
              <w:rPr>
                <w:rFonts w:ascii="Arial" w:cs="Arial" w:eastAsia="Arial" w:hAnsi="Arial"/>
                <w:sz w:val="18"/>
                <w:szCs w:val="18"/>
                <w:b w:val="1"/>
                <w:bCs w:val="1"/>
                <w:color w:val="auto"/>
              </w:rPr>
              <w:t>TILE SHOP HOLDINGS, INC.</w:t>
            </w:r>
          </w:p>
        </w:tc>
        <w:tc>
          <w:tcPr>
            <w:tcW w:w="124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Dated: October 27, 2016</w:t>
            </w:r>
          </w:p>
        </w:tc>
        <w:tc>
          <w:tcPr>
            <w:tcW w:w="5540" w:type="dxa"/>
            <w:vAlign w:val="bottom"/>
            <w:gridSpan w:val="2"/>
          </w:tcPr>
          <w:p>
            <w:pPr>
              <w:ind w:left="1700"/>
              <w:spacing w:after="0"/>
              <w:rPr>
                <w:sz w:val="20"/>
                <w:szCs w:val="20"/>
                <w:color w:val="auto"/>
              </w:rPr>
            </w:pPr>
            <w:r>
              <w:rPr>
                <w:rFonts w:ascii="Arial" w:cs="Arial" w:eastAsia="Arial" w:hAnsi="Arial"/>
                <w:sz w:val="18"/>
                <w:szCs w:val="18"/>
                <w:color w:val="auto"/>
              </w:rPr>
              <w:t>By: /s/ CHRIS R. HOMEISTER</w:t>
            </w:r>
          </w:p>
        </w:tc>
        <w:tc>
          <w:tcPr>
            <w:tcW w:w="124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Chris R. Homeister</w:t>
            </w:r>
          </w:p>
        </w:tc>
        <w:tc>
          <w:tcPr>
            <w:tcW w:w="1240" w:type="dxa"/>
            <w:vAlign w:val="bottom"/>
          </w:tcPr>
          <w:p>
            <w:pPr>
              <w:spacing w:after="0"/>
              <w:rPr>
                <w:sz w:val="16"/>
                <w:szCs w:val="16"/>
                <w:color w:val="auto"/>
              </w:rPr>
            </w:pPr>
          </w:p>
        </w:tc>
      </w:tr>
      <w:tr>
        <w:trPr>
          <w:trHeight w:val="230"/>
        </w:trPr>
        <w:tc>
          <w:tcPr>
            <w:tcW w:w="3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Executive Officer</w:t>
            </w:r>
          </w:p>
        </w:tc>
        <w:tc>
          <w:tcPr>
            <w:tcW w:w="1240" w:type="dxa"/>
            <w:vAlign w:val="bottom"/>
          </w:tcPr>
          <w:p>
            <w:pPr>
              <w:spacing w:after="0"/>
              <w:rPr>
                <w:sz w:val="20"/>
                <w:szCs w:val="20"/>
                <w:color w:val="auto"/>
              </w:rPr>
            </w:pPr>
          </w:p>
        </w:tc>
      </w:tr>
      <w:tr>
        <w:trPr>
          <w:trHeight w:val="662"/>
        </w:trPr>
        <w:tc>
          <w:tcPr>
            <w:tcW w:w="3360" w:type="dxa"/>
            <w:vAlign w:val="bottom"/>
          </w:tcPr>
          <w:p>
            <w:pPr>
              <w:spacing w:after="0"/>
              <w:rPr>
                <w:sz w:val="20"/>
                <w:szCs w:val="20"/>
                <w:color w:val="auto"/>
              </w:rPr>
            </w:pPr>
            <w:r>
              <w:rPr>
                <w:rFonts w:ascii="Arial" w:cs="Arial" w:eastAsia="Arial" w:hAnsi="Arial"/>
                <w:sz w:val="18"/>
                <w:szCs w:val="18"/>
                <w:color w:val="auto"/>
              </w:rPr>
              <w:t>Dated: October 27, 2016</w:t>
            </w:r>
          </w:p>
        </w:tc>
        <w:tc>
          <w:tcPr>
            <w:tcW w:w="5540" w:type="dxa"/>
            <w:vAlign w:val="bottom"/>
            <w:gridSpan w:val="2"/>
          </w:tcPr>
          <w:p>
            <w:pPr>
              <w:ind w:left="1700"/>
              <w:spacing w:after="0"/>
              <w:rPr>
                <w:sz w:val="20"/>
                <w:szCs w:val="20"/>
                <w:color w:val="auto"/>
              </w:rPr>
            </w:pPr>
            <w:r>
              <w:rPr>
                <w:rFonts w:ascii="Arial" w:cs="Arial" w:eastAsia="Arial" w:hAnsi="Arial"/>
                <w:sz w:val="18"/>
                <w:szCs w:val="18"/>
                <w:color w:val="auto"/>
              </w:rPr>
              <w:t>By: /s/ KIRK L. GEADELMANN</w:t>
            </w:r>
          </w:p>
        </w:tc>
        <w:tc>
          <w:tcPr>
            <w:tcW w:w="124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Kirk L. Geadelmann</w:t>
            </w:r>
          </w:p>
        </w:tc>
        <w:tc>
          <w:tcPr>
            <w:tcW w:w="1240" w:type="dxa"/>
            <w:vAlign w:val="bottom"/>
          </w:tcPr>
          <w:p>
            <w:pPr>
              <w:spacing w:after="0"/>
              <w:rPr>
                <w:sz w:val="16"/>
                <w:szCs w:val="16"/>
                <w:color w:val="auto"/>
              </w:rPr>
            </w:pPr>
          </w:p>
        </w:tc>
      </w:tr>
      <w:tr>
        <w:trPr>
          <w:trHeight w:val="230"/>
        </w:trPr>
        <w:tc>
          <w:tcPr>
            <w:tcW w:w="3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Financial Officer</w:t>
            </w:r>
          </w:p>
        </w:tc>
        <w:tc>
          <w:tcPr>
            <w:tcW w:w="1240" w:type="dxa"/>
            <w:vAlign w:val="bottom"/>
          </w:tcPr>
          <w:p>
            <w:pPr>
              <w:spacing w:after="0"/>
              <w:rPr>
                <w:sz w:val="20"/>
                <w:szCs w:val="20"/>
                <w:color w:val="auto"/>
              </w:rPr>
            </w:pPr>
          </w:p>
        </w:tc>
      </w:tr>
      <w:tr>
        <w:trPr>
          <w:trHeight w:val="864"/>
        </w:trPr>
        <w:tc>
          <w:tcPr>
            <w:tcW w:w="3360" w:type="dxa"/>
            <w:vAlign w:val="bottom"/>
          </w:tcPr>
          <w:p>
            <w:pPr>
              <w:spacing w:after="0"/>
              <w:rPr>
                <w:sz w:val="24"/>
                <w:szCs w:val="24"/>
                <w:color w:val="auto"/>
              </w:rPr>
            </w:pPr>
          </w:p>
        </w:tc>
        <w:tc>
          <w:tcPr>
            <w:tcW w:w="202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3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33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r>
        <w:trPr>
          <w:trHeight w:val="20"/>
        </w:trPr>
        <w:tc>
          <w:tcPr>
            <w:tcW w:w="3360" w:type="dxa"/>
            <w:vAlign w:val="bottom"/>
            <w:tcBorders>
              <w:bottom w:val="single" w:sz="8" w:color="EEEEEE"/>
            </w:tcBorders>
          </w:tcPr>
          <w:p>
            <w:pPr>
              <w:spacing w:after="0" w:line="20" w:lineRule="exact"/>
              <w:rPr>
                <w:sz w:val="1"/>
                <w:szCs w:val="1"/>
                <w:color w:val="auto"/>
              </w:rPr>
            </w:pPr>
          </w:p>
        </w:tc>
        <w:tc>
          <w:tcPr>
            <w:tcW w:w="2020" w:type="dxa"/>
            <w:vAlign w:val="bottom"/>
            <w:tcBorders>
              <w:bottom w:val="single" w:sz="8" w:color="EEEEEE"/>
            </w:tcBorders>
          </w:tcPr>
          <w:p>
            <w:pPr>
              <w:spacing w:after="0" w:line="20" w:lineRule="exact"/>
              <w:rPr>
                <w:sz w:val="1"/>
                <w:szCs w:val="1"/>
                <w:color w:val="auto"/>
              </w:rPr>
            </w:pPr>
          </w:p>
        </w:tc>
        <w:tc>
          <w:tcPr>
            <w:tcW w:w="35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00" w:type="dxa"/>
            <w:vAlign w:val="bottom"/>
          </w:tcPr>
          <w:p>
            <w:pPr>
              <w:jc w:val="center"/>
              <w:ind w:right="1730"/>
              <w:spacing w:after="0"/>
              <w:rPr>
                <w:sz w:val="20"/>
                <w:szCs w:val="20"/>
                <w:color w:val="auto"/>
              </w:rPr>
            </w:pPr>
            <w:r>
              <w:rPr>
                <w:rFonts w:ascii="Arial" w:cs="Arial" w:eastAsia="Arial" w:hAnsi="Arial"/>
                <w:sz w:val="18"/>
                <w:szCs w:val="18"/>
                <w:b w:val="1"/>
                <w:bCs w:val="1"/>
                <w:color w:val="auto"/>
              </w:rPr>
              <w:t>TILE SHOP HOLDINGS, INC.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300" w:type="dxa"/>
            <w:vAlign w:val="bottom"/>
          </w:tcPr>
          <w:p>
            <w:pPr>
              <w:jc w:val="center"/>
              <w:ind w:right="173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28"/>
        </w:trPr>
        <w:tc>
          <w:tcPr>
            <w:tcW w:w="9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14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89"/>
        </w:trPr>
        <w:tc>
          <w:tcPr>
            <w:tcW w:w="20" w:type="dxa"/>
            <w:vAlign w:val="bottom"/>
            <w:tcBorders>
              <w:top w:val="single" w:sz="8" w:color="auto"/>
            </w:tcBorders>
            <w:vMerge w:val="restart"/>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w:t>
            </w:r>
          </w:p>
        </w:tc>
        <w:tc>
          <w:tcPr>
            <w:tcW w:w="9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Certificate of Incorporation of Tile Shop Holdings, Inc. (incorporated by reference to Exhibit 3.1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Registration Statement on Form S-4 filed with the Securities and Exchange Commission on July 2, 2012).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tcPr>
          <w:p>
            <w:pPr>
              <w:spacing w:after="0" w:line="201" w:lineRule="exact"/>
              <w:rPr>
                <w:sz w:val="20"/>
                <w:szCs w:val="20"/>
                <w:color w:val="auto"/>
              </w:rPr>
            </w:pPr>
            <w:r>
              <w:rPr>
                <w:rFonts w:ascii="Arial" w:cs="Arial" w:eastAsia="Arial" w:hAnsi="Arial"/>
                <w:sz w:val="18"/>
                <w:szCs w:val="18"/>
                <w:color w:val="auto"/>
              </w:rPr>
              <w:t>3.2</w:t>
            </w:r>
          </w:p>
        </w:tc>
        <w:tc>
          <w:tcPr>
            <w:tcW w:w="9140" w:type="dxa"/>
            <w:vAlign w:val="bottom"/>
            <w:gridSpan w:val="2"/>
          </w:tcPr>
          <w:p>
            <w:pPr>
              <w:spacing w:after="0" w:line="201" w:lineRule="exact"/>
              <w:rPr>
                <w:sz w:val="20"/>
                <w:szCs w:val="20"/>
                <w:color w:val="auto"/>
              </w:rPr>
            </w:pPr>
            <w:r>
              <w:rPr>
                <w:rFonts w:ascii="Arial" w:cs="Arial" w:eastAsia="Arial" w:hAnsi="Arial"/>
                <w:sz w:val="18"/>
                <w:szCs w:val="18"/>
                <w:color w:val="auto"/>
                <w:w w:val="94"/>
              </w:rPr>
              <w:t>By-Laws of Tile Shop Holdings, Inc. (incorporated by reference to Exhibit 3.2 to the Company’s Registration Statement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Form S-4 filed with the Securities and Exchange Commission on July 2, 2012).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Certification of Chief Executive Officer Pursuant to Section 302 of the Sarbanes Oxley Act of 2002.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914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Section 302 of the Sarbanes Oxley Act of 2002.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32.1**</w:t>
            </w: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Certifications of Chief Executive Officer Pursuant to Section 906 of the Sarbanes Oxley Act of 2002.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9140" w:type="dxa"/>
            <w:vAlign w:val="bottom"/>
            <w:gridSpan w:val="2"/>
          </w:tcPr>
          <w:p>
            <w:pPr>
              <w:spacing w:after="0"/>
              <w:rPr>
                <w:sz w:val="20"/>
                <w:szCs w:val="20"/>
                <w:color w:val="auto"/>
              </w:rPr>
            </w:pPr>
            <w:r>
              <w:rPr>
                <w:rFonts w:ascii="Arial" w:cs="Arial" w:eastAsia="Arial" w:hAnsi="Arial"/>
                <w:sz w:val="18"/>
                <w:szCs w:val="18"/>
                <w:color w:val="auto"/>
              </w:rPr>
              <w:t>Certifications of Chief Financial Officer Pursuant to Section 906 of the Sarbanes Oxley Act of 2002.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91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91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91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363"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7" w:name="page28"/>
    <w:bookmarkEnd w:id="27"/>
    <w:p>
      <w:pPr>
        <w:jc w:val="right"/>
        <w:ind w:right="99"/>
        <w:spacing w:after="0"/>
        <w:rPr>
          <w:sz w:val="20"/>
          <w:szCs w:val="20"/>
          <w:color w:val="auto"/>
        </w:rPr>
      </w:pPr>
      <w:r>
        <w:rPr>
          <w:rFonts w:ascii="Arial" w:cs="Arial" w:eastAsia="Arial" w:hAnsi="Arial"/>
          <w:sz w:val="18"/>
          <w:szCs w:val="18"/>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Chris R. Homeister, certify that:</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 I have reviewed this quarterly report on Form 10-Q of Tile Shop Holdings, Inc.;</w:t>
      </w:r>
    </w:p>
    <w:p>
      <w:pPr>
        <w:spacing w:after="0" w:line="144" w:lineRule="exact"/>
        <w:rPr>
          <w:sz w:val="20"/>
          <w:szCs w:val="20"/>
          <w:color w:val="auto"/>
        </w:rPr>
      </w:pPr>
    </w:p>
    <w:p>
      <w:pPr>
        <w:jc w:val="both"/>
        <w:ind w:left="240" w:right="239" w:hanging="134"/>
        <w:spacing w:after="0" w:line="22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sz w:val="20"/>
          <w:szCs w:val="20"/>
          <w:color w:val="auto"/>
        </w:rPr>
      </w:pPr>
    </w:p>
    <w:p>
      <w:pPr>
        <w:ind w:left="240" w:right="199" w:hanging="134"/>
        <w:spacing w:after="0" w:line="22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sz w:val="20"/>
          <w:szCs w:val="20"/>
          <w:color w:val="auto"/>
        </w:rPr>
      </w:pPr>
    </w:p>
    <w:p>
      <w:pPr>
        <w:ind w:left="240" w:right="139" w:hanging="134"/>
        <w:spacing w:after="0" w:line="238"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1" w:lineRule="exact"/>
        <w:rPr>
          <w:sz w:val="20"/>
          <w:szCs w:val="20"/>
          <w:color w:val="auto"/>
        </w:rPr>
      </w:pPr>
    </w:p>
    <w:p>
      <w:pPr>
        <w:ind w:left="580" w:right="479" w:hanging="148"/>
        <w:spacing w:after="0" w:line="21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sz w:val="20"/>
          <w:szCs w:val="20"/>
          <w:color w:val="auto"/>
        </w:rPr>
      </w:pPr>
    </w:p>
    <w:p>
      <w:pPr>
        <w:jc w:val="both"/>
        <w:ind w:left="600" w:right="179" w:hanging="161"/>
        <w:spacing w:after="0" w:line="219"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left="580" w:right="319" w:hanging="148"/>
        <w:spacing w:after="0" w:line="22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sz w:val="20"/>
          <w:szCs w:val="20"/>
          <w:color w:val="auto"/>
        </w:rPr>
      </w:pPr>
    </w:p>
    <w:p>
      <w:pPr>
        <w:ind w:left="600" w:right="199" w:hanging="161"/>
        <w:spacing w:after="0" w:line="21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jc w:val="both"/>
        <w:ind w:left="240" w:right="439" w:hanging="134"/>
        <w:spacing w:after="0" w:line="22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580" w:right="259" w:hanging="148"/>
        <w:spacing w:after="0" w:line="22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sz w:val="20"/>
          <w:szCs w:val="20"/>
          <w:color w:val="auto"/>
        </w:rPr>
      </w:pPr>
    </w:p>
    <w:p>
      <w:pPr>
        <w:ind w:left="600" w:right="339" w:hanging="161"/>
        <w:spacing w:after="0" w:line="235"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October 27, 2016</w:t>
      </w:r>
    </w:p>
    <w:p>
      <w:pPr>
        <w:ind w:left="4800"/>
        <w:spacing w:after="0" w:line="219" w:lineRule="auto"/>
        <w:rPr>
          <w:sz w:val="20"/>
          <w:szCs w:val="20"/>
          <w:color w:val="auto"/>
        </w:rPr>
      </w:pPr>
      <w:r>
        <w:rPr>
          <w:rFonts w:ascii="Arial" w:cs="Arial" w:eastAsia="Arial" w:hAnsi="Arial"/>
          <w:sz w:val="18"/>
          <w:szCs w:val="18"/>
          <w:color w:val="auto"/>
        </w:rPr>
        <w:t>/s/ CHRIS R. HOMEISTER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Chris R. Homeister</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jc w:val="right"/>
        <w:ind w:right="99"/>
        <w:spacing w:after="0"/>
        <w:rPr>
          <w:sz w:val="20"/>
          <w:szCs w:val="20"/>
          <w:color w:val="auto"/>
        </w:rPr>
      </w:pPr>
      <w:r>
        <w:rPr>
          <w:rFonts w:ascii="Arial" w:cs="Arial" w:eastAsia="Arial" w:hAnsi="Arial"/>
          <w:sz w:val="18"/>
          <w:szCs w:val="18"/>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Kirk L. Geadelmann, certify that:</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 I have reviewed this quarterly report on Form 10-Q of Tile Shop Holdings, Inc.;</w:t>
      </w:r>
    </w:p>
    <w:p>
      <w:pPr>
        <w:spacing w:after="0" w:line="144" w:lineRule="exact"/>
        <w:rPr>
          <w:sz w:val="20"/>
          <w:szCs w:val="20"/>
          <w:color w:val="auto"/>
        </w:rPr>
      </w:pPr>
    </w:p>
    <w:p>
      <w:pPr>
        <w:jc w:val="both"/>
        <w:ind w:left="240" w:right="239" w:hanging="134"/>
        <w:spacing w:after="0" w:line="22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sz w:val="20"/>
          <w:szCs w:val="20"/>
          <w:color w:val="auto"/>
        </w:rPr>
      </w:pPr>
    </w:p>
    <w:p>
      <w:pPr>
        <w:ind w:left="240" w:right="199" w:hanging="134"/>
        <w:spacing w:after="0" w:line="22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sz w:val="20"/>
          <w:szCs w:val="20"/>
          <w:color w:val="auto"/>
        </w:rPr>
      </w:pPr>
    </w:p>
    <w:p>
      <w:pPr>
        <w:ind w:left="240" w:right="139" w:hanging="134"/>
        <w:spacing w:after="0" w:line="238"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1" w:lineRule="exact"/>
        <w:rPr>
          <w:sz w:val="20"/>
          <w:szCs w:val="20"/>
          <w:color w:val="auto"/>
        </w:rPr>
      </w:pPr>
    </w:p>
    <w:p>
      <w:pPr>
        <w:ind w:left="580" w:right="479" w:hanging="148"/>
        <w:spacing w:after="0" w:line="21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sz w:val="20"/>
          <w:szCs w:val="20"/>
          <w:color w:val="auto"/>
        </w:rPr>
      </w:pPr>
    </w:p>
    <w:p>
      <w:pPr>
        <w:jc w:val="both"/>
        <w:ind w:left="600" w:right="179" w:hanging="161"/>
        <w:spacing w:after="0" w:line="219"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left="580" w:right="319" w:hanging="148"/>
        <w:spacing w:after="0" w:line="22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sz w:val="20"/>
          <w:szCs w:val="20"/>
          <w:color w:val="auto"/>
        </w:rPr>
      </w:pPr>
    </w:p>
    <w:p>
      <w:pPr>
        <w:ind w:left="600" w:right="199" w:hanging="161"/>
        <w:spacing w:after="0" w:line="21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jc w:val="both"/>
        <w:ind w:left="240" w:right="439" w:hanging="134"/>
        <w:spacing w:after="0" w:line="22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580" w:right="259" w:hanging="148"/>
        <w:spacing w:after="0" w:line="22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sz w:val="20"/>
          <w:szCs w:val="20"/>
          <w:color w:val="auto"/>
        </w:rPr>
      </w:pPr>
    </w:p>
    <w:p>
      <w:pPr>
        <w:ind w:left="600" w:right="339" w:hanging="161"/>
        <w:spacing w:after="0" w:line="235"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October 27, 2016</w:t>
      </w:r>
    </w:p>
    <w:p>
      <w:pPr>
        <w:ind w:left="4800"/>
        <w:spacing w:after="0" w:line="219" w:lineRule="auto"/>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Kirk L. Geadelmann</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jc w:val="right"/>
        <w:ind w:right="99"/>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September 30, 2016 as filed with the Securities and Exchange Commission on the date hereof (the “Report”), I, Chris R. Homeister, Chief Executive Officer of the Company, certify, pursuant to 18 U.S.C. Section 1350, as adopted pursuant to Section 906 of the Sarbanes-Oxley Act of 2002, that:</w:t>
      </w:r>
    </w:p>
    <w:p>
      <w:pPr>
        <w:spacing w:after="0" w:line="298" w:lineRule="exact"/>
        <w:rPr>
          <w:sz w:val="20"/>
          <w:szCs w:val="20"/>
          <w:color w:val="auto"/>
        </w:rPr>
      </w:pPr>
    </w:p>
    <w:p>
      <w:pPr>
        <w:ind w:left="760" w:right="459" w:hanging="331"/>
        <w:spacing w:after="0" w:line="23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CHRIS R. HOMEISTER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Chris R. Homeister</w:t>
      </w:r>
    </w:p>
    <w:p>
      <w:pPr>
        <w:ind w:left="300"/>
        <w:spacing w:after="0"/>
        <w:rPr>
          <w:sz w:val="20"/>
          <w:szCs w:val="20"/>
          <w:color w:val="auto"/>
        </w:rPr>
      </w:pPr>
      <w:r>
        <w:rPr>
          <w:rFonts w:ascii="Arial" w:cs="Arial" w:eastAsia="Arial" w:hAnsi="Arial"/>
          <w:sz w:val="18"/>
          <w:szCs w:val="18"/>
          <w:color w:val="auto"/>
        </w:rPr>
        <w:t>Chief Executive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October 27, 2016</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195580</wp:posOffset>
            </wp:positionV>
            <wp:extent cx="564261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jc w:val="right"/>
        <w:ind w:right="99"/>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September 30, 2016 as filed with the Securities and Exchange Commission on the date hereof (the “Report”), I, Kirk L. Geadelmann,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760" w:right="459" w:hanging="331"/>
        <w:spacing w:after="0" w:line="235"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Kirk L. Geadelmann</w:t>
      </w:r>
    </w:p>
    <w:p>
      <w:pPr>
        <w:ind w:left="300"/>
        <w:spacing w:after="0"/>
        <w:rPr>
          <w:sz w:val="20"/>
          <w:szCs w:val="20"/>
          <w:color w:val="auto"/>
        </w:rPr>
      </w:pPr>
      <w:r>
        <w:rPr>
          <w:rFonts w:ascii="Arial" w:cs="Arial" w:eastAsia="Arial" w:hAnsi="Arial"/>
          <w:sz w:val="18"/>
          <w:szCs w:val="18"/>
          <w:color w:val="auto"/>
        </w:rPr>
        <w:t>Chief Financial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October 27, 2016</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306705</wp:posOffset>
            </wp:positionV>
            <wp:extent cx="564261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2019-12-29T11:00:33Z</dcterms:created>
  <dcterms:modified xsi:type="dcterms:W3CDTF">2019-12-29T11:00:33Z</dcterms:modified>
</cp:coreProperties>
</file>