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bidi w:val="0"/>
        <w:spacing w:lineRule="auto" w:line="259"/>
        <w:rPr>
          <w:caps w:val="false"/>
          <w:smallCaps w:val="false"/>
        </w:rPr>
      </w:pPr>
      <w:bookmarkStart w:id="0" w:name="ttsh-20230331x10q.htm"/>
      <w:bookmarkStart w:id="1" w:name="ksttsh20230331x10q"/>
      <w:bookmarkEnd w:id="0"/>
      <w:bookmarkEnd w:id="1"/>
      <w:r>
        <w:rPr>
          <w:caps w:val="false"/>
          <w:smallCaps w:val="false"/>
        </w:rPr>
        <w:t> </w:t>
      </w:r>
    </w:p>
    <w:tbl>
      <w:tblPr>
        <w:tblW w:w="169" w:type="dxa"/>
        <w:jc w:val="left"/>
        <w:tblInd w:w="0" w:type="dxa"/>
        <w:tblCellMar>
          <w:top w:w="28" w:type="dxa"/>
          <w:left w:w="0" w:type="dxa"/>
          <w:bottom w:w="0" w:type="dxa"/>
          <w:right w:w="0" w:type="dxa"/>
        </w:tblCellMar>
      </w:tblPr>
      <w:tblGrid>
        <w:gridCol w:w="169"/>
      </w:tblGrid>
      <w:tr>
        <w:trPr/>
        <w:tc>
          <w:tcPr>
            <w:tcW w:w="169" w:type="dxa"/>
            <w:tcBorders>
              <w:top w:val="single" w:sz="12"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8" w:space="0" w:color="000000"/>
            </w:tcBorders>
            <w:shd w:fill="auto" w:val="clear"/>
            <w:tcMar>
              <w:top w:w="0" w:type="dxa"/>
              <w:bottom w:w="28" w:type="dxa"/>
            </w:tcMar>
            <w:vAlign w:val="center"/>
          </w:tcPr>
          <w:p>
            <w:pPr>
              <w:pStyle w:val="TableContents"/>
              <w:spacing w:before="0" w:after="283"/>
              <w:rPr>
                <w:sz w:val="4"/>
                <w:szCs w:val="4"/>
              </w:rPr>
            </w:pPr>
            <w:r>
              <w:rPr>
                <w:sz w:val="4"/>
                <w:szCs w:val="4"/>
              </w:rPr>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SECURITIES AND EXCHANGE COMMISSION</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10-Q</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rPr>
                <w:sz w:val="4"/>
                <w:szCs w:val="4"/>
              </w:rPr>
            </w:pPr>
            <w:r>
              <w:rPr>
                <w:sz w:val="4"/>
                <w:szCs w:val="4"/>
              </w:rPr>
            </w:r>
          </w:p>
        </w:tc>
        <w:tc>
          <w:tcPr>
            <w:tcW w:w="9964"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c>
          <w:tcPr>
            <w:tcW w:w="9964"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QUARTERLY REPORT PURSUANT TO SECTION 13 OR 15(d) OF THE SECURITIES EXCHANGE ACT OF 1934</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quarterly period ended March 31, 2023</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w:t>
      </w:r>
    </w:p>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w:t>
            </w:r>
          </w:p>
        </w:tc>
        <w:tc>
          <w:tcPr>
            <w:tcW w:w="9874"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TRANSITION REPORT PURSUANT TO SECTION 13 OR 15(d) OF THE SECURITIES EXCHANGE ACT OF 1934</w:t>
            </w:r>
          </w:p>
        </w:tc>
      </w:tr>
    </w:tbl>
    <w:p>
      <w:pPr>
        <w:pStyle w:val="TextBody"/>
        <w:bidi w:val="0"/>
        <w:spacing w:lineRule="auto" w:line="259"/>
        <w:rPr/>
      </w:pPr>
      <w:r>
        <w:rPr>
          <w:caps w:val="false"/>
          <w:smallCaps w:val="false"/>
        </w:rPr>
        <w:t> </w:t>
      </w:r>
      <w:r>
        <w:rPr>
          <w:rFonts w:ascii="Times New Roman;serif" w:hAnsi="Times New Roman;serif"/>
          <w:b/>
          <w:i w:val="false"/>
          <w:caps w:val="false"/>
          <w:smallCaps w:val="false"/>
          <w:sz w:val="20"/>
        </w:rPr>
        <w:t xml:space="preserve">For the transition period from – to –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number: 001-35629</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TILE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(Exact name of registrant as specified in its charter)</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tbl>
      <w:tblPr>
        <w:tblW w:w="8372" w:type="dxa"/>
        <w:jc w:val="left"/>
        <w:tblInd w:w="0" w:type="dxa"/>
        <w:tblCellMar>
          <w:top w:w="0" w:type="dxa"/>
          <w:left w:w="0" w:type="dxa"/>
          <w:bottom w:w="0" w:type="dxa"/>
          <w:right w:w="0" w:type="dxa"/>
        </w:tblCellMar>
      </w:tblPr>
      <w:tblGrid>
        <w:gridCol w:w="5236"/>
        <w:gridCol w:w="3136"/>
      </w:tblGrid>
      <w:tr>
        <w:trPr/>
        <w:tc>
          <w:tcPr>
            <w:tcW w:w="5236" w:type="dxa"/>
            <w:tcBorders/>
            <w:shd w:fill="auto" w:val="clear"/>
            <w:vAlign w:val="center"/>
          </w:tcPr>
          <w:p>
            <w:pPr>
              <w:pStyle w:val="TableContents"/>
              <w:spacing w:before="0" w:after="283"/>
              <w:rPr>
                <w:sz w:val="4"/>
                <w:szCs w:val="4"/>
              </w:rPr>
            </w:pPr>
            <w:r>
              <w:rPr>
                <w:sz w:val="4"/>
                <w:szCs w:val="4"/>
              </w:rPr>
            </w:r>
          </w:p>
        </w:tc>
        <w:tc>
          <w:tcPr>
            <w:tcW w:w="3136" w:type="dxa"/>
            <w:tcBorders/>
            <w:shd w:fill="auto" w:val="clear"/>
            <w:vAlign w:val="center"/>
          </w:tcPr>
          <w:p>
            <w:pPr>
              <w:pStyle w:val="TableContents"/>
              <w:spacing w:before="0" w:after="283"/>
              <w:rPr>
                <w:sz w:val="4"/>
                <w:szCs w:val="4"/>
              </w:rPr>
            </w:pPr>
            <w:r>
              <w:rPr>
                <w:sz w:val="4"/>
                <w:szCs w:val="4"/>
              </w:rPr>
            </w:r>
          </w:p>
        </w:tc>
      </w:tr>
      <w:tr>
        <w:trPr/>
        <w:tc>
          <w:tcPr>
            <w:tcW w:w="5236"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Delaware</w:t>
            </w:r>
            <w:r>
              <w:rPr>
                <w:rFonts w:ascii="Times New Roman;serif" w:hAnsi="Times New Roman;serif"/>
                <w:caps w:val="false"/>
                <w:smallCaps w:val="false"/>
                <w:sz w:val="20"/>
              </w:rPr>
              <w:t>  </w:t>
            </w:r>
          </w:p>
        </w:tc>
        <w:tc>
          <w:tcPr>
            <w:tcW w:w="313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45-5538095</w:t>
            </w:r>
          </w:p>
        </w:tc>
      </w:tr>
      <w:tr>
        <w:trPr/>
        <w:tc>
          <w:tcPr>
            <w:tcW w:w="523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(State or other jurisdiction of incorporation or organization)</w:t>
            </w:r>
          </w:p>
        </w:tc>
        <w:tc>
          <w:tcPr>
            <w:tcW w:w="313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(I.R.S. Employer Identification No.)</w:t>
            </w:r>
          </w:p>
        </w:tc>
      </w:tr>
    </w:tbl>
    <w:tbl>
      <w:tblPr>
        <w:tblW w:w="4517" w:type="dxa"/>
        <w:jc w:val="left"/>
        <w:tblInd w:w="0" w:type="dxa"/>
        <w:tblCellMar>
          <w:top w:w="0" w:type="dxa"/>
          <w:left w:w="0" w:type="dxa"/>
          <w:bottom w:w="0" w:type="dxa"/>
          <w:right w:w="0" w:type="dxa"/>
        </w:tblCellMar>
      </w:tblPr>
      <w:tblGrid>
        <w:gridCol w:w="3466"/>
        <w:gridCol w:w="1051"/>
      </w:tblGrid>
      <w:tr>
        <w:trPr/>
        <w:tc>
          <w:tcPr>
            <w:tcW w:w="346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346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14000 Carlson Parkway</w:t>
            </w:r>
          </w:p>
        </w:tc>
        <w:tc>
          <w:tcPr>
            <w:tcW w:w="105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3466" w:type="dxa"/>
            <w:tcBorders/>
            <w:shd w:fill="auto"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Plymouth, Minnesota</w:t>
            </w:r>
            <w:r>
              <w:rPr>
                <w:rFonts w:ascii="Times New Roman;serif" w:hAnsi="Times New Roman;serif"/>
                <w:caps w:val="false"/>
                <w:smallCaps w:val="false"/>
                <w:sz w:val="20"/>
              </w:rPr>
              <w:t> </w:t>
            </w:r>
          </w:p>
        </w:tc>
        <w:tc>
          <w:tcPr>
            <w:tcW w:w="105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55441</w:t>
            </w:r>
          </w:p>
        </w:tc>
      </w:tr>
      <w:tr>
        <w:trPr/>
        <w:tc>
          <w:tcPr>
            <w:tcW w:w="3466"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(Address of principal executive offices)  </w:t>
            </w:r>
          </w:p>
        </w:tc>
        <w:tc>
          <w:tcPr>
            <w:tcW w:w="105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(Zip Code)</w:t>
            </w:r>
          </w:p>
        </w:tc>
      </w:tr>
    </w:tbl>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(763) 852-2950</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(Registrant’s telephone number, including area code)</w:t>
      </w:r>
    </w:p>
    <w:p>
      <w:pPr>
        <w:pStyle w:val="TextBody"/>
        <w:bidi w:val="0"/>
        <w:spacing w:lineRule="auto" w:line="259"/>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Securities registered pursuant to Section 12(b) of the Act:</w:t>
      </w:r>
    </w:p>
    <w:tbl>
      <w:tblPr>
        <w:tblW w:w="7968" w:type="dxa"/>
        <w:jc w:val="left"/>
        <w:tblInd w:w="0" w:type="dxa"/>
        <w:tblCellMar>
          <w:top w:w="0" w:type="dxa"/>
          <w:left w:w="0" w:type="dxa"/>
          <w:bottom w:w="0" w:type="dxa"/>
          <w:right w:w="0" w:type="dxa"/>
        </w:tblCellMar>
      </w:tblPr>
      <w:tblGrid>
        <w:gridCol w:w="2641"/>
        <w:gridCol w:w="1621"/>
        <w:gridCol w:w="3706"/>
      </w:tblGrid>
      <w:tr>
        <w:trPr/>
        <w:tc>
          <w:tcPr>
            <w:tcW w:w="2641"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3706"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each class</w:t>
            </w:r>
          </w:p>
        </w:tc>
        <w:tc>
          <w:tcPr>
            <w:tcW w:w="162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Trading Symbol(s)</w:t>
            </w:r>
          </w:p>
        </w:tc>
        <w:tc>
          <w:tcPr>
            <w:tcW w:w="370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 of each exchange on which registered</w:t>
            </w:r>
          </w:p>
        </w:tc>
      </w:tr>
      <w:tr>
        <w:trPr/>
        <w:tc>
          <w:tcPr>
            <w:tcW w:w="264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Common Stock, $0.0001 par value</w:t>
            </w:r>
          </w:p>
        </w:tc>
        <w:tc>
          <w:tcPr>
            <w:tcW w:w="1621" w:type="dxa"/>
            <w:tcBorders/>
            <w:shd w:fill="auto" w:val="cle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TTSH</w:t>
            </w:r>
          </w:p>
        </w:tc>
        <w:tc>
          <w:tcPr>
            <w:tcW w:w="3706" w:type="dxa"/>
            <w:tcBorders/>
            <w:shd w:fill="auto" w:val="clear"/>
            <w:vAlign w:val="center"/>
          </w:tcPr>
          <w:p>
            <w:pPr>
              <w:pStyle w:val="TableContents"/>
              <w:bidi w:val="0"/>
              <w:spacing w:lineRule="auto" w:line="259" w:before="0" w:after="283"/>
              <w:rPr>
                <w:rFonts w:ascii="Times New Roman;serif" w:hAnsi="Times New Roman;serif"/>
                <w:sz w:val="16"/>
              </w:rPr>
            </w:pPr>
            <w:r>
              <w:rPr>
                <w:rFonts w:ascii="Times New Roman;serif" w:hAnsi="Times New Roman;serif"/>
                <w:b/>
                <w:i w:val="false"/>
                <w:caps w:val="false"/>
                <w:smallCaps w:val="false"/>
                <w:sz w:val="16"/>
              </w:rPr>
              <w:t>The Nasdaq</w:t>
            </w:r>
            <w:r>
              <w:rPr>
                <w:rFonts w:ascii="Times New Roman;serif" w:hAnsi="Times New Roman;serif"/>
                <w:caps w:val="false"/>
                <w:smallCaps w:val="false"/>
                <w:sz w:val="16"/>
              </w:rPr>
              <w:t xml:space="preserve"> </w:t>
            </w:r>
            <w:r>
              <w:rPr>
                <w:rFonts w:ascii="Times New Roman;serif" w:hAnsi="Times New Roman;serif"/>
                <w:b/>
                <w:i w:val="false"/>
                <w:caps w:val="false"/>
                <w:smallCaps w:val="false"/>
                <w:sz w:val="16"/>
              </w:rPr>
              <w:t>Stock Market LLC</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09" w:type="dxa"/>
        <w:jc w:val="left"/>
        <w:tblInd w:w="0" w:type="dxa"/>
        <w:tblCellMar>
          <w:top w:w="0" w:type="dxa"/>
          <w:left w:w="0" w:type="dxa"/>
          <w:bottom w:w="0" w:type="dxa"/>
          <w:right w:w="0" w:type="dxa"/>
        </w:tblCellMar>
      </w:tblPr>
      <w:tblGrid>
        <w:gridCol w:w="1921"/>
        <w:gridCol w:w="316"/>
        <w:gridCol w:w="2311"/>
        <w:gridCol w:w="361"/>
      </w:tblGrid>
      <w:tr>
        <w:trPr/>
        <w:tc>
          <w:tcPr>
            <w:tcW w:w="19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Large accelerated filer</w:t>
            </w:r>
          </w:p>
        </w:tc>
        <w:tc>
          <w:tcPr>
            <w:tcW w:w="31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Accelerated filer</w:t>
            </w:r>
          </w:p>
        </w:tc>
        <w:tc>
          <w:tcPr>
            <w:tcW w:w="361" w:type="dxa"/>
            <w:tcBorders/>
            <w:shd w:fill="auto" w:val="clear"/>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192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Non-accelerated filer</w:t>
            </w:r>
          </w:p>
        </w:tc>
        <w:tc>
          <w:tcPr>
            <w:tcW w:w="31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w:t>
            </w:r>
          </w:p>
        </w:tc>
        <w:tc>
          <w:tcPr>
            <w:tcW w:w="23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Smaller reporting company</w:t>
            </w:r>
          </w:p>
        </w:tc>
        <w:tc>
          <w:tcPr>
            <w:tcW w:w="361" w:type="dxa"/>
            <w:tcBorders/>
            <w:shd w:fill="auto" w:val="clear"/>
            <w:vAlign w:val="center"/>
          </w:tcPr>
          <w:p>
            <w:pPr>
              <w:pStyle w:val="TableContents"/>
              <w:bidi w:val="0"/>
              <w:spacing w:lineRule="auto" w:line="259"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x</w:t>
            </w:r>
          </w:p>
        </w:tc>
      </w:tr>
      <w:tr>
        <w:trPr/>
        <w:tc>
          <w:tcPr>
            <w:tcW w:w="2237" w:type="dxa"/>
            <w:gridSpan w:val="2"/>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Emerging growth company</w:t>
            </w:r>
          </w:p>
        </w:tc>
        <w:tc>
          <w:tcPr>
            <w:tcW w:w="36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Act).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Wingdings" w:hAnsi="Wingdings"/>
          <w:b w:val="false"/>
          <w:i w:val="false"/>
          <w:caps w:val="false"/>
          <w:smallCaps w:val="false"/>
          <w:sz w:val="20"/>
        </w:rPr>
        <w:t>x</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May 1, 2023, there were 44,606,293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the registrant’s common stock, par value $0.0001 per share, outstanding.</w:t>
      </w:r>
    </w:p>
    <w:tbl>
      <w:tblPr>
        <w:tblW w:w="169" w:type="dxa"/>
        <w:jc w:val="left"/>
        <w:tblInd w:w="0" w:type="dxa"/>
        <w:tblCellMar>
          <w:top w:w="28" w:type="dxa"/>
          <w:left w:w="0" w:type="dxa"/>
          <w:bottom w:w="0" w:type="dxa"/>
          <w:right w:w="0" w:type="dxa"/>
        </w:tblCellMar>
      </w:tblPr>
      <w:tblGrid>
        <w:gridCol w:w="169"/>
      </w:tblGrid>
      <w:tr>
        <w:trPr/>
        <w:tc>
          <w:tcPr>
            <w:tcW w:w="169" w:type="dxa"/>
            <w:tcBorders>
              <w:top w:val="single" w:sz="8"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12" w:space="0" w:color="000000"/>
            </w:tcBorders>
            <w:shd w:fill="auto" w:val="clear"/>
            <w:tcMar>
              <w:top w:w="0" w:type="dxa"/>
              <w:bottom w:w="28" w:type="dxa"/>
            </w:tcMar>
            <w:vAlign w:val="center"/>
          </w:tcPr>
          <w:p>
            <w:pPr>
              <w:pStyle w:val="TableContents"/>
              <w:spacing w:before="0" w:after="283"/>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w:t>
      </w:r>
      <w:bookmarkStart w:id="2" w:name="TableOfContents"/>
      <w:bookmarkEnd w:id="2"/>
      <w:r>
        <w:rPr>
          <w:rFonts w:ascii="Times New Roman;serif" w:hAnsi="Times New Roman;serif"/>
          <w:b/>
          <w:i w:val="false"/>
          <w:caps w:val="false"/>
          <w:smallCaps w:val="false"/>
          <w:sz w:val="20"/>
        </w:rPr>
        <w:t>E SHOP HOLDINGS, INC.</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p>
      <w:pPr>
        <w:pStyle w:val="TextBody"/>
        <w:bidi w:val="0"/>
        <w:spacing w:lineRule="auto" w:line="259"/>
        <w:rPr>
          <w:caps w:val="false"/>
          <w:smallCaps w:val="false"/>
        </w:rPr>
      </w:pPr>
      <w:r>
        <w:rPr>
          <w:caps w:val="false"/>
          <w:smallCaps w:val="false"/>
        </w:rPr>
        <w:t> </w:t>
      </w:r>
    </w:p>
    <w:tbl>
      <w:tblPr>
        <w:tblW w:w="8857" w:type="dxa"/>
        <w:jc w:val="left"/>
        <w:tblInd w:w="0" w:type="dxa"/>
        <w:tblCellMar>
          <w:top w:w="0" w:type="dxa"/>
          <w:left w:w="0" w:type="dxa"/>
          <w:bottom w:w="0" w:type="dxa"/>
          <w:right w:w="0" w:type="dxa"/>
        </w:tblCellMar>
      </w:tblPr>
      <w:tblGrid>
        <w:gridCol w:w="811"/>
        <w:gridCol w:w="7366"/>
        <w:gridCol w:w="109"/>
        <w:gridCol w:w="571"/>
      </w:tblGrid>
      <w:tr>
        <w:trPr/>
        <w:tc>
          <w:tcPr>
            <w:tcW w:w="811" w:type="dxa"/>
            <w:tcBorders/>
            <w:shd w:fill="FFFFFF" w:val="clear"/>
            <w:vAlign w:val="center"/>
          </w:tcPr>
          <w:p>
            <w:pPr>
              <w:pStyle w:val="TableContents"/>
              <w:spacing w:before="0" w:after="283"/>
              <w:rPr>
                <w:sz w:val="4"/>
                <w:szCs w:val="4"/>
              </w:rPr>
            </w:pPr>
            <w:r>
              <w:rPr>
                <w:sz w:val="4"/>
                <w:szCs w:val="4"/>
              </w:rPr>
            </w:r>
          </w:p>
        </w:tc>
        <w:tc>
          <w:tcPr>
            <w:tcW w:w="7366" w:type="dxa"/>
            <w:tcBorders/>
            <w:shd w:fill="FFFFFF"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r>
      <w:tr>
        <w:trPr/>
        <w:tc>
          <w:tcPr>
            <w:tcW w:w="811" w:type="dxa"/>
            <w:tcBorders/>
            <w:shd w:fill="FFFFFF" w:val="clear"/>
            <w:vAlign w:val="center"/>
          </w:tcPr>
          <w:p>
            <w:pPr>
              <w:pStyle w:val="TableContents"/>
              <w:spacing w:before="0" w:after="283"/>
              <w:rPr>
                <w:sz w:val="4"/>
                <w:szCs w:val="4"/>
              </w:rPr>
            </w:pPr>
            <w:r>
              <w:rPr>
                <w:sz w:val="4"/>
                <w:szCs w:val="4"/>
              </w:rPr>
            </w:r>
          </w:p>
        </w:tc>
        <w:tc>
          <w:tcPr>
            <w:tcW w:w="7366" w:type="dxa"/>
            <w:tcBorders/>
            <w:shd w:fill="FFFFFF"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Page</w:t>
            </w:r>
          </w:p>
        </w:tc>
      </w:tr>
      <w:tr>
        <w:trPr/>
        <w:tc>
          <w:tcPr>
            <w:tcW w:w="8177" w:type="dxa"/>
            <w:gridSpan w:val="2"/>
            <w:tcBorders/>
            <w:shd w:fill="CCEEFF" w:val="clear"/>
            <w:vAlign w:val="center"/>
          </w:tcPr>
          <w:p>
            <w:pPr>
              <w:pStyle w:val="TableContents"/>
              <w:bidi w:val="0"/>
              <w:spacing w:lineRule="auto" w:line="259" w:before="0" w:after="283"/>
              <w:jc w:val="left"/>
              <w:rPr/>
            </w:pPr>
            <w:hyperlink w:anchor="PartI">
              <w:r>
                <w:rPr>
                  <w:rStyle w:val="InternetLink"/>
                  <w:rFonts w:ascii="Times New Roman;serif" w:hAnsi="Times New Roman;serif"/>
                  <w:b/>
                  <w:i w:val="false"/>
                  <w:caps w:val="false"/>
                  <w:smallCaps w:val="false"/>
                  <w:color w:val="0563C1"/>
                  <w:sz w:val="20"/>
                  <w:u w:val="single"/>
                </w:rPr>
                <w:t>PART I. FINANCIAL INFORMATION</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811" w:type="dxa"/>
            <w:tcBorders/>
            <w:shd w:fill="auto" w:val="clear"/>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color w:val="0563C1"/>
                  <w:sz w:val="20"/>
                  <w:u w:val="single"/>
                </w:rPr>
                <w:t>Item 1.</w:t>
              </w:r>
            </w:hyperlink>
          </w:p>
        </w:tc>
        <w:tc>
          <w:tcPr>
            <w:tcW w:w="7366" w:type="dxa"/>
            <w:tcBorders/>
            <w:shd w:fill="auto" w:val="clear"/>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563C1"/>
                  <w:sz w:val="20"/>
                  <w:u w:val="single"/>
                  <w:effect w:val="none"/>
                </w:rPr>
                <w:t>Financial Statements</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shd w:fill="CCEEFF" w:val="clear"/>
            <w:vAlign w:val="center"/>
          </w:tcPr>
          <w:p>
            <w:pPr>
              <w:pStyle w:val="TableContents"/>
              <w:spacing w:before="0" w:after="283"/>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563C1"/>
                  <w:sz w:val="20"/>
                  <w:u w:val="single"/>
                  <w:effect w:val="none"/>
                </w:rPr>
                <w:t xml:space="preserve">Consolidated Balance Sheets </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811"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bidi w:val="0"/>
              <w:spacing w:lineRule="auto" w:line="259" w:before="0" w:after="283"/>
              <w:jc w:val="left"/>
              <w:rPr/>
            </w:pPr>
            <w:hyperlink w:anchor="IS">
              <w:r>
                <w:rPr>
                  <w:rStyle w:val="InternetLink"/>
                  <w:rFonts w:ascii="Times New Roman;serif" w:hAnsi="Times New Roman;serif"/>
                  <w:b w:val="false"/>
                  <w:i w:val="false"/>
                  <w:caps w:val="false"/>
                  <w:smallCaps w:val="false"/>
                  <w:strike w:val="false"/>
                  <w:dstrike w:val="false"/>
                  <w:color w:val="0563C1"/>
                  <w:sz w:val="20"/>
                  <w:u w:val="single"/>
                  <w:effect w:val="none"/>
                </w:rPr>
                <w:t xml:space="preserve">Consolidated Statements of Operations </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811" w:type="dxa"/>
            <w:tcBorders/>
            <w:shd w:fill="CCEEFF" w:val="clear"/>
            <w:vAlign w:val="center"/>
          </w:tcPr>
          <w:p>
            <w:pPr>
              <w:pStyle w:val="TableContents"/>
              <w:spacing w:before="0" w:after="283"/>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I">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Comprehensive Income</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811"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Stockholders’ Equity</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811" w:type="dxa"/>
            <w:tcBorders/>
            <w:shd w:fill="CCEEFF" w:val="clear"/>
            <w:vAlign w:val="center"/>
          </w:tcPr>
          <w:p>
            <w:pPr>
              <w:pStyle w:val="TableContents"/>
              <w:spacing w:before="0" w:after="283"/>
              <w:rPr>
                <w:sz w:val="4"/>
                <w:szCs w:val="4"/>
              </w:rPr>
            </w:pPr>
            <w:r>
              <w:rPr>
                <w:sz w:val="4"/>
                <w:szCs w:val="4"/>
              </w:rPr>
            </w:r>
          </w:p>
        </w:tc>
        <w:tc>
          <w:tcPr>
            <w:tcW w:w="7366" w:type="dxa"/>
            <w:tcBorders/>
            <w:shd w:fill="CCEEFF" w:val="clear"/>
            <w:vAlign w:val="center"/>
          </w:tcPr>
          <w:p>
            <w:pPr>
              <w:pStyle w:val="TableContents"/>
              <w:bidi w:val="0"/>
              <w:spacing w:lineRule="auto" w:line="259" w:before="0" w:after="283"/>
              <w:jc w:val="left"/>
              <w:rPr/>
            </w:pPr>
            <w:hyperlink w:anchor="CF">
              <w:r>
                <w:rPr>
                  <w:rStyle w:val="InternetLink"/>
                  <w:rFonts w:ascii="Times New Roman;serif" w:hAnsi="Times New Roman;serif"/>
                  <w:b w:val="false"/>
                  <w:i w:val="false"/>
                  <w:caps w:val="false"/>
                  <w:smallCaps w:val="false"/>
                  <w:strike w:val="false"/>
                  <w:dstrike w:val="false"/>
                  <w:color w:val="0563C1"/>
                  <w:sz w:val="20"/>
                  <w:u w:val="single"/>
                  <w:effect w:val="none"/>
                </w:rPr>
                <w:t>Consolidated Statements of Cash Flows</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r>
      <w:tr>
        <w:trPr/>
        <w:tc>
          <w:tcPr>
            <w:tcW w:w="811"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strike w:val="false"/>
                  <w:dstrike w:val="false"/>
                  <w:color w:val="0563C1"/>
                  <w:sz w:val="20"/>
                  <w:u w:val="single"/>
                  <w:effect w:val="none"/>
                </w:rPr>
                <w:t>Notes to Consolidated Financial Statements</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811"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563C1"/>
                  <w:sz w:val="20"/>
                  <w:u w:val="single"/>
                  <w:effect w:val="none"/>
                </w:rPr>
                <w:t>Management’s Discussion and Analysis of Financial Condition and Results of Operations</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811" w:type="dxa"/>
            <w:tcBorders/>
            <w:shd w:fill="auto" w:val="clear"/>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shd w:fill="auto" w:val="clear"/>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563C1"/>
                  <w:sz w:val="20"/>
                  <w:u w:val="single"/>
                  <w:effect w:val="none"/>
                </w:rPr>
                <w:t>Quantitative and Qualitative Disclosures About Market Risk</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811"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Item4">
              <w:r>
                <w:rPr>
                  <w:rStyle w:val="InternetLink"/>
                  <w:rFonts w:ascii="Times New Roman;serif" w:hAnsi="Times New Roman;serif"/>
                  <w:b w:val="false"/>
                  <w:i w:val="false"/>
                  <w:caps w:val="false"/>
                  <w:smallCaps w:val="false"/>
                  <w:strike w:val="false"/>
                  <w:dstrike w:val="false"/>
                  <w:color w:val="0563C1"/>
                  <w:sz w:val="20"/>
                  <w:u w:val="single"/>
                  <w:effect w:val="none"/>
                </w:rPr>
                <w:t>Controls and Procedures</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8177" w:type="dxa"/>
            <w:gridSpan w:val="2"/>
            <w:tcBorders/>
            <w:shd w:fill="auto" w:val="clear"/>
            <w:vAlign w:val="center"/>
          </w:tcPr>
          <w:p>
            <w:pPr>
              <w:pStyle w:val="TableContents"/>
              <w:bidi w:val="0"/>
              <w:spacing w:lineRule="auto" w:line="259" w:before="0" w:after="283"/>
              <w:jc w:val="left"/>
              <w:rPr/>
            </w:pPr>
            <w:hyperlink w:anchor="PartII">
              <w:r>
                <w:rPr>
                  <w:rStyle w:val="InternetLink"/>
                  <w:rFonts w:ascii="Times New Roman;serif" w:hAnsi="Times New Roman;serif"/>
                  <w:b/>
                  <w:i w:val="false"/>
                  <w:caps w:val="false"/>
                  <w:smallCaps w:val="false"/>
                  <w:strike w:val="false"/>
                  <w:dstrike w:val="false"/>
                  <w:color w:val="0563C1"/>
                  <w:sz w:val="20"/>
                  <w:u w:val="single"/>
                  <w:effect w:val="none"/>
                </w:rPr>
                <w:t>PART II. OTHER INFORMATION</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811"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Item 1.</w:t>
              </w:r>
            </w:hyperlink>
          </w:p>
        </w:tc>
        <w:tc>
          <w:tcPr>
            <w:tcW w:w="7366"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563C1"/>
                  <w:sz w:val="20"/>
                  <w:u w:val="single"/>
                  <w:effect w:val="none"/>
                </w:rPr>
                <w:t>Legal Proceedings</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811" w:type="dxa"/>
            <w:tcBorders/>
            <w:shd w:fill="auto" w:val="clear"/>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Item 1A.</w:t>
              </w:r>
            </w:hyperlink>
          </w:p>
        </w:tc>
        <w:tc>
          <w:tcPr>
            <w:tcW w:w="7366" w:type="dxa"/>
            <w:tcBorders/>
            <w:shd w:fill="auto" w:val="clear"/>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563C1"/>
                  <w:sz w:val="20"/>
                  <w:u w:val="single"/>
                  <w:effect w:val="none"/>
                </w:rPr>
                <w:t>Risk Factors</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Item 2.</w:t>
              </w:r>
            </w:hyperlink>
          </w:p>
        </w:tc>
        <w:tc>
          <w:tcPr>
            <w:tcW w:w="7366" w:type="dxa"/>
            <w:tcBorders/>
            <w:shd w:fill="CCEEFF" w:val="clear"/>
            <w:vAlign w:val="center"/>
          </w:tcPr>
          <w:p>
            <w:pPr>
              <w:pStyle w:val="TableContents"/>
              <w:bidi w:val="0"/>
              <w:spacing w:lineRule="auto" w:line="259" w:before="0" w:after="283"/>
              <w:jc w:val="left"/>
              <w:rPr/>
            </w:pPr>
            <w:hyperlink w:anchor="UnregisteredSales">
              <w:r>
                <w:rPr>
                  <w:rStyle w:val="InternetLink"/>
                  <w:rFonts w:ascii="Times New Roman;serif" w:hAnsi="Times New Roman;serif"/>
                  <w:b w:val="false"/>
                  <w:i w:val="false"/>
                  <w:caps w:val="false"/>
                  <w:smallCaps w:val="false"/>
                  <w:strike w:val="false"/>
                  <w:dstrike w:val="false"/>
                  <w:color w:val="0563C1"/>
                  <w:sz w:val="20"/>
                  <w:u w:val="single"/>
                  <w:effect w:val="none"/>
                </w:rPr>
                <w:t>Unregistered Sales of Equity Securities and Use of Proceeds</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shd w:fill="auto" w:val="clear"/>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Item 3.</w:t>
              </w:r>
            </w:hyperlink>
          </w:p>
        </w:tc>
        <w:tc>
          <w:tcPr>
            <w:tcW w:w="7366" w:type="dxa"/>
            <w:tcBorders/>
            <w:shd w:fill="auto" w:val="clear"/>
            <w:vAlign w:val="center"/>
          </w:tcPr>
          <w:p>
            <w:pPr>
              <w:pStyle w:val="TableContents"/>
              <w:bidi w:val="0"/>
              <w:spacing w:lineRule="auto" w:line="259" w:before="0" w:after="283"/>
              <w:jc w:val="left"/>
              <w:rPr/>
            </w:pPr>
            <w:hyperlink w:anchor="DefaultUponSeniorSecurities">
              <w:r>
                <w:rPr>
                  <w:rStyle w:val="InternetLink"/>
                  <w:rFonts w:ascii="Times New Roman;serif" w:hAnsi="Times New Roman;serif"/>
                  <w:b w:val="false"/>
                  <w:i w:val="false"/>
                  <w:caps w:val="false"/>
                  <w:smallCaps w:val="false"/>
                  <w:strike w:val="false"/>
                  <w:dstrike w:val="false"/>
                  <w:color w:val="0563C1"/>
                  <w:sz w:val="20"/>
                  <w:u w:val="single"/>
                  <w:effect w:val="none"/>
                </w:rPr>
                <w:t>Defaults Upon Senior Securities</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Item 4.</w:t>
              </w:r>
            </w:hyperlink>
          </w:p>
        </w:tc>
        <w:tc>
          <w:tcPr>
            <w:tcW w:w="7366" w:type="dxa"/>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563C1"/>
                  <w:sz w:val="20"/>
                  <w:u w:val="single"/>
                  <w:effect w:val="none"/>
                </w:rPr>
                <w:t>Mine Safety Disclosures</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shd w:fill="auto" w:val="clear"/>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Item 5.</w:t>
              </w:r>
            </w:hyperlink>
          </w:p>
        </w:tc>
        <w:tc>
          <w:tcPr>
            <w:tcW w:w="7366" w:type="dxa"/>
            <w:tcBorders/>
            <w:shd w:fill="auto" w:val="clear"/>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563C1"/>
                  <w:sz w:val="20"/>
                  <w:u w:val="single"/>
                  <w:effect w:val="none"/>
                </w:rPr>
                <w:t>Other Information</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81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Item 6.</w:t>
              </w:r>
            </w:hyperlink>
          </w:p>
        </w:tc>
        <w:tc>
          <w:tcPr>
            <w:tcW w:w="7366"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563C1"/>
                  <w:sz w:val="20"/>
                  <w:u w:val="single"/>
                  <w:effect w:val="none"/>
                </w:rPr>
                <w:t>Exhibits</w:t>
              </w:r>
            </w:hyperlink>
          </w:p>
        </w:tc>
        <w:tc>
          <w:tcPr>
            <w:tcW w:w="109" w:type="dxa"/>
            <w:tcBorders/>
            <w:shd w:fill="CCEEFF" w:val="clear"/>
            <w:vAlign w:val="center"/>
          </w:tcPr>
          <w:p>
            <w:pPr>
              <w:pStyle w:val="TableContents"/>
              <w:spacing w:before="0" w:after="283"/>
              <w:rPr>
                <w:sz w:val="4"/>
                <w:szCs w:val="4"/>
              </w:rPr>
            </w:pPr>
            <w:r>
              <w:rPr>
                <w:sz w:val="4"/>
                <w:szCs w:val="4"/>
              </w:rPr>
            </w:r>
          </w:p>
        </w:tc>
        <w:tc>
          <w:tcPr>
            <w:tcW w:w="57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r>
      <w:tr>
        <w:trPr/>
        <w:tc>
          <w:tcPr>
            <w:tcW w:w="8177" w:type="dxa"/>
            <w:gridSpan w:val="2"/>
            <w:tcBorders/>
            <w:shd w:fill="auto"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563C1"/>
                  <w:sz w:val="20"/>
                  <w:u w:val="single"/>
                  <w:effect w:val="none"/>
                </w:rPr>
                <w:t>Signatures</w:t>
              </w:r>
            </w:hyperlink>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w:t>
            </w:r>
          </w:p>
        </w:tc>
      </w:tr>
    </w:tbl>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3" w:name="_contentSection_f6d62fdb_2fd5_4672_b950_"/>
      <w:bookmarkEnd w:id="3"/>
      <w:r>
        <w:rPr>
          <w:rFonts w:ascii="Times New Roman;serif" w:hAnsi="Times New Roman;serif"/>
          <w:b w:val="false"/>
          <w:i w:val="false"/>
          <w:caps w:val="false"/>
          <w:smallCaps w:val="false"/>
          <w:sz w:val="20"/>
        </w:rPr>
        <w:t>2</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 FINANCIAL INFORMATION</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4" w:name="FinancialStatements"/>
      <w:bookmarkStart w:id="5" w:name="FS"/>
      <w:bookmarkEnd w:id="4"/>
      <w:bookmarkEnd w:id="5"/>
      <w:r>
        <w:rPr>
          <w:rFonts w:ascii="Times New Roman;serif" w:hAnsi="Times New Roman;serif"/>
          <w:b/>
          <w:i w:val="false"/>
          <w:caps w:val="false"/>
          <w:smallCaps w:val="false"/>
          <w:sz w:val="20"/>
        </w:rPr>
        <w:t>EM 1.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Tile S</w:t>
      </w:r>
      <w:bookmarkStart w:id="6" w:name="BS"/>
      <w:bookmarkEnd w:id="6"/>
      <w:r>
        <w:rPr>
          <w:rFonts w:ascii="Times New Roman;serif" w:hAnsi="Times New Roman;serif"/>
          <w:b/>
          <w:i w:val="false"/>
          <w:caps w:val="false"/>
          <w:smallCaps w:val="false"/>
          <w:sz w:val="20"/>
        </w:rPr>
        <w:t>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tbl>
      <w:tblPr>
        <w:tblW w:w="10205" w:type="dxa"/>
        <w:jc w:val="left"/>
        <w:tblInd w:w="0" w:type="dxa"/>
        <w:tblCellMar>
          <w:top w:w="0" w:type="dxa"/>
          <w:left w:w="0" w:type="dxa"/>
          <w:bottom w:w="0" w:type="dxa"/>
          <w:right w:w="0" w:type="dxa"/>
        </w:tblCellMar>
      </w:tblPr>
      <w:tblGrid>
        <w:gridCol w:w="7780"/>
        <w:gridCol w:w="109"/>
        <w:gridCol w:w="216"/>
        <w:gridCol w:w="811"/>
        <w:gridCol w:w="109"/>
        <w:gridCol w:w="236"/>
        <w:gridCol w:w="944"/>
      </w:tblGrid>
      <w:tr>
        <w:trPr/>
        <w:tc>
          <w:tcPr>
            <w:tcW w:w="77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6" w:type="dxa"/>
            <w:tcBorders/>
            <w:shd w:fill="FFFFFF" w:val="clear"/>
            <w:vAlign w:val="center"/>
          </w:tcPr>
          <w:p>
            <w:pPr>
              <w:pStyle w:val="TableContents"/>
              <w:spacing w:before="0" w:after="283"/>
              <w:rPr>
                <w:sz w:val="4"/>
                <w:szCs w:val="4"/>
              </w:rPr>
            </w:pPr>
            <w:r>
              <w:rPr>
                <w:sz w:val="4"/>
                <w:szCs w:val="4"/>
              </w:rPr>
            </w:r>
          </w:p>
        </w:tc>
        <w:tc>
          <w:tcPr>
            <w:tcW w:w="944" w:type="dxa"/>
            <w:tcBorders/>
            <w:shd w:fill="FFFFFF" w:val="clear"/>
            <w:vAlign w:val="center"/>
          </w:tcPr>
          <w:p>
            <w:pPr>
              <w:pStyle w:val="TableContents"/>
              <w:spacing w:before="0" w:after="283"/>
              <w:rPr>
                <w:sz w:val="4"/>
                <w:szCs w:val="4"/>
              </w:rPr>
            </w:pPr>
            <w:r>
              <w:rPr>
                <w:sz w:val="4"/>
                <w:szCs w:val="4"/>
              </w:rPr>
            </w:r>
          </w:p>
        </w:tc>
      </w:tr>
      <w:tr>
        <w:trPr/>
        <w:tc>
          <w:tcPr>
            <w:tcW w:w="77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6" w:type="dxa"/>
            <w:tcBorders/>
            <w:shd w:fill="FFFFFF" w:val="clear"/>
            <w:vAlign w:val="center"/>
          </w:tcPr>
          <w:p>
            <w:pPr>
              <w:pStyle w:val="TableContents"/>
              <w:spacing w:before="0" w:after="283"/>
              <w:rPr>
                <w:sz w:val="4"/>
                <w:szCs w:val="4"/>
              </w:rPr>
            </w:pPr>
            <w:r>
              <w:rPr>
                <w:sz w:val="4"/>
                <w:szCs w:val="4"/>
              </w:rPr>
            </w:r>
          </w:p>
        </w:tc>
        <w:tc>
          <w:tcPr>
            <w:tcW w:w="8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6" w:type="dxa"/>
            <w:tcBorders/>
            <w:shd w:fill="FFFFFF" w:val="clear"/>
            <w:vAlign w:val="center"/>
          </w:tcPr>
          <w:p>
            <w:pPr>
              <w:pStyle w:val="TableContents"/>
              <w:spacing w:before="0" w:after="283"/>
              <w:rPr>
                <w:sz w:val="4"/>
                <w:szCs w:val="4"/>
              </w:rPr>
            </w:pPr>
            <w:r>
              <w:rPr>
                <w:sz w:val="4"/>
                <w:szCs w:val="4"/>
              </w:rPr>
            </w:r>
          </w:p>
        </w:tc>
        <w:tc>
          <w:tcPr>
            <w:tcW w:w="944" w:type="dxa"/>
            <w:tcBorders/>
            <w:shd w:fill="FFFFFF" w:val="clear"/>
            <w:vAlign w:val="center"/>
          </w:tcPr>
          <w:p>
            <w:pPr>
              <w:pStyle w:val="TableContents"/>
              <w:spacing w:before="0" w:after="283"/>
              <w:rPr>
                <w:sz w:val="4"/>
                <w:szCs w:val="4"/>
              </w:rPr>
            </w:pPr>
            <w:r>
              <w:rPr>
                <w:sz w:val="4"/>
                <w:szCs w:val="4"/>
              </w:rPr>
            </w:r>
          </w:p>
        </w:tc>
      </w:tr>
      <w:tr>
        <w:trPr/>
        <w:tc>
          <w:tcPr>
            <w:tcW w:w="77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27"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spacing w:before="0" w:after="283"/>
              <w:rPr>
                <w:sz w:val="4"/>
                <w:szCs w:val="4"/>
              </w:rPr>
            </w:pPr>
            <w:r>
              <w:rPr>
                <w:sz w:val="4"/>
                <w:szCs w:val="4"/>
              </w:rPr>
            </w:r>
          </w:p>
        </w:tc>
        <w:tc>
          <w:tcPr>
            <w:tcW w:w="118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77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27"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spacing w:before="0" w:after="283"/>
              <w:rPr>
                <w:sz w:val="4"/>
                <w:szCs w:val="4"/>
              </w:rPr>
            </w:pPr>
            <w:r>
              <w:rPr>
                <w:sz w:val="4"/>
                <w:szCs w:val="4"/>
              </w:rPr>
            </w:r>
          </w:p>
        </w:tc>
        <w:tc>
          <w:tcPr>
            <w:tcW w:w="118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778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2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(unaudited)</w:t>
            </w:r>
          </w:p>
        </w:tc>
        <w:tc>
          <w:tcPr>
            <w:tcW w:w="109" w:type="dxa"/>
            <w:tcBorders/>
            <w:shd w:fill="FFFFFF" w:val="clear"/>
            <w:vAlign w:val="center"/>
          </w:tcPr>
          <w:p>
            <w:pPr>
              <w:pStyle w:val="TableContents"/>
              <w:spacing w:before="0" w:after="283"/>
              <w:rPr>
                <w:sz w:val="4"/>
                <w:szCs w:val="4"/>
              </w:rPr>
            </w:pPr>
            <w:r>
              <w:rPr>
                <w:sz w:val="4"/>
                <w:szCs w:val="4"/>
              </w:rPr>
            </w:r>
          </w:p>
        </w:tc>
        <w:tc>
          <w:tcPr>
            <w:tcW w:w="118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(audited)</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4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assets:</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8,624</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5,948</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766</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3,823</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shd w:fill="CCEEFF" w:val="clear"/>
            <w:vAlign w:val="center"/>
          </w:tcPr>
          <w:p>
            <w:pPr>
              <w:pStyle w:val="TableContents"/>
              <w:spacing w:before="0" w:after="283"/>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3,411</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115,480</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120,952</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shd w:fill="CCEEFF" w:val="clear"/>
            <w:vAlign w:val="center"/>
          </w:tcPr>
          <w:p>
            <w:pPr>
              <w:pStyle w:val="TableContents"/>
              <w:spacing w:before="0" w:after="283"/>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3,859</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10,462</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4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10,422</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Assets</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1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139,250</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146,403</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net</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68,377</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71,095</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 of use asset</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118,038</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shd w:fill="CCEEFF" w:val="clear"/>
            <w:vAlign w:val="center"/>
          </w:tcPr>
          <w:p>
            <w:pPr>
              <w:pStyle w:val="TableContents"/>
              <w:spacing w:before="0" w:after="283"/>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118,501</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5,943</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6,536</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assets</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3,095</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3,287</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334,703</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345,822</w:t>
            </w:r>
          </w:p>
        </w:tc>
      </w:tr>
      <w:tr>
        <w:trPr/>
        <w:tc>
          <w:tcPr>
            <w:tcW w:w="778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44"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Stockholders&amp;apos; Equity</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shd w:fill="CCEEFF" w:val="clear"/>
            <w:vAlign w:val="center"/>
          </w:tcPr>
          <w:p>
            <w:pPr>
              <w:pStyle w:val="TableContents"/>
              <w:spacing w:before="0" w:after="283"/>
              <w:rPr>
                <w:sz w:val="4"/>
                <w:szCs w:val="4"/>
              </w:rPr>
            </w:pPr>
            <w:r>
              <w:rPr>
                <w:sz w:val="4"/>
                <w:szCs w:val="4"/>
              </w:rPr>
            </w:r>
          </w:p>
        </w:tc>
        <w:tc>
          <w:tcPr>
            <w:tcW w:w="944" w:type="dxa"/>
            <w:tcBorders/>
            <w:shd w:fill="CCEEFF" w:val="clear"/>
            <w:vAlign w:val="center"/>
          </w:tcPr>
          <w:p>
            <w:pPr>
              <w:pStyle w:val="TableContents"/>
              <w:spacing w:before="0" w:after="283"/>
              <w:rPr>
                <w:sz w:val="4"/>
                <w:szCs w:val="4"/>
              </w:rPr>
            </w:pPr>
            <w:r>
              <w:rPr>
                <w:sz w:val="4"/>
                <w:szCs w:val="4"/>
              </w:rPr>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25,562</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23,506</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payable</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743</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shd w:fill="CCEEFF" w:val="clear"/>
            <w:vAlign w:val="center"/>
          </w:tcPr>
          <w:p>
            <w:pPr>
              <w:pStyle w:val="TableContents"/>
              <w:spacing w:before="0" w:after="283"/>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portion of lease liability</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27,354</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27,866</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accrued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37,511</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31,916</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Current Liabilities</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11"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91,170</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944"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83,291</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25,000</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shd w:fill="CCEEFF" w:val="clear"/>
            <w:vAlign w:val="center"/>
          </w:tcPr>
          <w:p>
            <w:pPr>
              <w:pStyle w:val="TableContents"/>
              <w:spacing w:before="0" w:after="283"/>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45,400</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Long-term lease liability, net </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102,788</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103,353</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4,481</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5,009</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1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223,439</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944"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237,053</w:t>
            </w:r>
          </w:p>
        </w:tc>
      </w:tr>
      <w:tr>
        <w:trPr/>
        <w:tc>
          <w:tcPr>
            <w:tcW w:w="7780"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94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Common stock, par value $0.0001; authorized: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44,608,983</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44,377,445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respectively</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shd w:fill="CCEEFF" w:val="clear"/>
            <w:vAlign w:val="center"/>
          </w:tcPr>
          <w:p>
            <w:pPr>
              <w:pStyle w:val="TableContents"/>
              <w:spacing w:before="0" w:after="283"/>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Preferred stock, par value $0.0001; authorized: 10,000,000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issued and outstanding: 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shd w:fill="CCEEFF" w:val="clear"/>
            <w:vAlign w:val="center"/>
          </w:tcPr>
          <w:p>
            <w:pPr>
              <w:pStyle w:val="TableContents"/>
              <w:spacing w:before="0" w:after="283"/>
              <w:rPr>
                <w:sz w:val="4"/>
                <w:szCs w:val="4"/>
              </w:rPr>
            </w:pPr>
            <w:r>
              <w:rPr>
                <w:sz w:val="4"/>
                <w:szCs w:val="4"/>
              </w:rPr>
            </w:r>
          </w:p>
        </w:tc>
        <w:tc>
          <w:tcPr>
            <w:tcW w:w="81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127,975</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shd w:fill="CCEEFF" w:val="clear"/>
            <w:vAlign w:val="center"/>
          </w:tcPr>
          <w:p>
            <w:pPr>
              <w:pStyle w:val="TableContents"/>
              <w:spacing w:before="0" w:after="283"/>
              <w:rPr>
                <w:sz w:val="4"/>
                <w:szCs w:val="4"/>
              </w:rPr>
            </w:pPr>
            <w:r>
              <w:rPr>
                <w:sz w:val="4"/>
                <w:szCs w:val="4"/>
              </w:rPr>
            </w:r>
          </w:p>
        </w:tc>
        <w:tc>
          <w:tcPr>
            <w:tcW w:w="9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127,997</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deficit</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(16,668)</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(19,180)</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loss</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1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r>
      <w:tr>
        <w:trPr/>
        <w:tc>
          <w:tcPr>
            <w:tcW w:w="7780"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Stockholders&amp;apos; Equity</w:t>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1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111,264</w:t>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944"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108,769</w:t>
            </w:r>
          </w:p>
        </w:tc>
      </w:tr>
      <w:tr>
        <w:trPr/>
        <w:tc>
          <w:tcPr>
            <w:tcW w:w="77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Stockholders&amp;apos; Equity</w:t>
            </w:r>
          </w:p>
        </w:tc>
        <w:tc>
          <w:tcPr>
            <w:tcW w:w="109" w:type="dxa"/>
            <w:tcBorders/>
            <w:shd w:fill="CCEEFF" w:val="clear"/>
            <w:vAlign w:val="center"/>
          </w:tcPr>
          <w:p>
            <w:pPr>
              <w:pStyle w:val="TableContents"/>
              <w:spacing w:before="0" w:after="283"/>
              <w:rPr>
                <w:sz w:val="4"/>
                <w:szCs w:val="4"/>
              </w:rPr>
            </w:pPr>
            <w:r>
              <w:rPr>
                <w:sz w:val="4"/>
                <w:szCs w:val="4"/>
              </w:rPr>
            </w:r>
          </w:p>
        </w:tc>
        <w:tc>
          <w:tcPr>
            <w:tcW w:w="2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334,703</w:t>
            </w:r>
          </w:p>
        </w:tc>
        <w:tc>
          <w:tcPr>
            <w:tcW w:w="109" w:type="dxa"/>
            <w:tcBorders/>
            <w:shd w:fill="CCEEFF" w:val="clear"/>
            <w:vAlign w:val="center"/>
          </w:tcPr>
          <w:p>
            <w:pPr>
              <w:pStyle w:val="TableContents"/>
              <w:spacing w:before="0" w:after="283"/>
              <w:rPr>
                <w:sz w:val="4"/>
                <w:szCs w:val="4"/>
              </w:rPr>
            </w:pPr>
            <w:r>
              <w:rPr>
                <w:sz w:val="4"/>
                <w:szCs w:val="4"/>
              </w:rPr>
            </w:r>
          </w:p>
        </w:tc>
        <w:tc>
          <w:tcPr>
            <w:tcW w:w="2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345,822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w:t>
      </w:r>
      <w:bookmarkStart w:id="7" w:name="IS"/>
      <w:bookmarkEnd w:id="7"/>
      <w:r>
        <w:rPr>
          <w:rFonts w:ascii="Times New Roman;serif" w:hAnsi="Times New Roman;serif"/>
          <w:b/>
          <w:i w:val="false"/>
          <w:caps w:val="false"/>
          <w:smallCaps w:val="false"/>
          <w:sz w:val="20"/>
        </w:rPr>
        <w: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except per share data)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6493" w:type="dxa"/>
        <w:jc w:val="left"/>
        <w:tblInd w:w="0" w:type="dxa"/>
        <w:tblCellMar>
          <w:top w:w="0" w:type="dxa"/>
          <w:left w:w="0" w:type="dxa"/>
          <w:bottom w:w="0" w:type="dxa"/>
          <w:right w:w="0" w:type="dxa"/>
        </w:tblCellMar>
      </w:tblPr>
      <w:tblGrid>
        <w:gridCol w:w="3736"/>
        <w:gridCol w:w="109"/>
        <w:gridCol w:w="211"/>
        <w:gridCol w:w="1036"/>
        <w:gridCol w:w="109"/>
        <w:gridCol w:w="211"/>
        <w:gridCol w:w="1081"/>
      </w:tblGrid>
      <w:tr>
        <w:trPr/>
        <w:tc>
          <w:tcPr>
            <w:tcW w:w="3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0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081" w:type="dxa"/>
            <w:tcBorders/>
            <w:shd w:fill="FFFFFF" w:val="clear"/>
            <w:vAlign w:val="center"/>
          </w:tcPr>
          <w:p>
            <w:pPr>
              <w:pStyle w:val="TableContents"/>
              <w:spacing w:before="0" w:after="283"/>
              <w:rPr>
                <w:sz w:val="4"/>
                <w:szCs w:val="4"/>
              </w:rPr>
            </w:pPr>
            <w:r>
              <w:rPr>
                <w:sz w:val="4"/>
                <w:szCs w:val="4"/>
              </w:rPr>
            </w:r>
          </w:p>
        </w:tc>
      </w:tr>
      <w:tr>
        <w:trPr/>
        <w:tc>
          <w:tcPr>
            <w:tcW w:w="3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0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081" w:type="dxa"/>
            <w:tcBorders/>
            <w:shd w:fill="FFFFFF" w:val="clear"/>
            <w:vAlign w:val="center"/>
          </w:tcPr>
          <w:p>
            <w:pPr>
              <w:pStyle w:val="TableContents"/>
              <w:spacing w:before="0" w:after="283"/>
              <w:rPr>
                <w:sz w:val="4"/>
                <w:szCs w:val="4"/>
              </w:rPr>
            </w:pPr>
            <w:r>
              <w:rPr>
                <w:sz w:val="4"/>
                <w:szCs w:val="4"/>
              </w:rPr>
            </w:r>
          </w:p>
        </w:tc>
      </w:tr>
      <w:tr>
        <w:trPr/>
        <w:tc>
          <w:tcPr>
            <w:tcW w:w="3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4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3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64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3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102,019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102,471</w:t>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3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36,481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35,626</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Gross profit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65,538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66,845</w:t>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3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61,413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62,109</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4,736</w:t>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3,327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4,470</w:t>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3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(957)</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3,513</w:t>
            </w:r>
          </w:p>
        </w:tc>
      </w:tr>
      <w:tr>
        <w:trPr/>
        <w:tc>
          <w:tcPr>
            <w:tcW w:w="3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3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8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081" w:type="dxa"/>
            <w:tcBorders/>
            <w:shd w:fill="CCEEFF"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r>
      <w:tr>
        <w:trPr/>
        <w:tc>
          <w:tcPr>
            <w:tcW w:w="3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081" w:type="dxa"/>
            <w:tcBorders/>
            <w:shd w:fill="CCEEFF"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43,237,856</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50,713,809</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43,509,993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51,162,891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bookmarkStart w:id="8" w:name="_contentSection_fb74ad03_c2e9_48b4_8313_"/>
      <w:bookmarkEnd w:id="8"/>
      <w:r>
        <w:rPr>
          <w:rFonts w:ascii="Times New Roman;serif" w:hAnsi="Times New Roman;serif"/>
          <w:b w:val="false"/>
          <w:i w:val="false"/>
          <w:caps w:val="false"/>
          <w:smallCaps w:val="false"/>
          <w:sz w:val="20"/>
        </w:rPr>
        <w:t>4</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9" w:name="CI"/>
      <w:bookmarkEnd w:id="9"/>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Comprehensive Income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(dollars in thousands)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4699" w:type="dxa"/>
        <w:jc w:val="left"/>
        <w:tblInd w:w="0" w:type="dxa"/>
        <w:tblCellMar>
          <w:top w:w="0" w:type="dxa"/>
          <w:left w:w="0" w:type="dxa"/>
          <w:bottom w:w="0" w:type="dxa"/>
          <w:right w:w="0" w:type="dxa"/>
        </w:tblCellMar>
      </w:tblPr>
      <w:tblGrid>
        <w:gridCol w:w="2731"/>
        <w:gridCol w:w="109"/>
        <w:gridCol w:w="228"/>
        <w:gridCol w:w="618"/>
        <w:gridCol w:w="118"/>
        <w:gridCol w:w="228"/>
        <w:gridCol w:w="667"/>
      </w:tblGrid>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618" w:type="dxa"/>
            <w:tcBorders/>
            <w:shd w:fill="FFFFFF" w:val="clear"/>
            <w:vAlign w:val="center"/>
          </w:tcPr>
          <w:p>
            <w:pPr>
              <w:pStyle w:val="TableContents"/>
              <w:spacing w:before="0" w:after="283"/>
              <w:rPr>
                <w:sz w:val="4"/>
                <w:szCs w:val="4"/>
              </w:rPr>
            </w:pPr>
            <w:r>
              <w:rPr>
                <w:sz w:val="4"/>
                <w:szCs w:val="4"/>
              </w:rPr>
            </w:r>
          </w:p>
        </w:tc>
        <w:tc>
          <w:tcPr>
            <w:tcW w:w="118"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667" w:type="dxa"/>
            <w:tcBorders/>
            <w:shd w:fill="FFFFFF" w:val="clear"/>
            <w:vAlign w:val="center"/>
          </w:tcPr>
          <w:p>
            <w:pPr>
              <w:pStyle w:val="TableContents"/>
              <w:spacing w:before="0" w:after="283"/>
              <w:rPr>
                <w:sz w:val="4"/>
                <w:szCs w:val="4"/>
              </w:rPr>
            </w:pPr>
            <w:r>
              <w:rPr>
                <w:sz w:val="4"/>
                <w:szCs w:val="4"/>
              </w:rPr>
            </w:r>
          </w:p>
        </w:tc>
      </w:tr>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618" w:type="dxa"/>
            <w:tcBorders/>
            <w:shd w:fill="FFFFFF" w:val="clear"/>
            <w:vAlign w:val="center"/>
          </w:tcPr>
          <w:p>
            <w:pPr>
              <w:pStyle w:val="TableContents"/>
              <w:spacing w:before="0" w:after="283"/>
              <w:rPr>
                <w:sz w:val="4"/>
                <w:szCs w:val="4"/>
              </w:rPr>
            </w:pPr>
            <w:r>
              <w:rPr>
                <w:sz w:val="4"/>
                <w:szCs w:val="4"/>
              </w:rPr>
            </w:r>
          </w:p>
        </w:tc>
        <w:tc>
          <w:tcPr>
            <w:tcW w:w="118" w:type="dxa"/>
            <w:tcBorders/>
            <w:shd w:fill="FFFFFF" w:val="clear"/>
            <w:vAlign w:val="center"/>
          </w:tcPr>
          <w:p>
            <w:pPr>
              <w:pStyle w:val="TableContents"/>
              <w:spacing w:before="0" w:after="283"/>
              <w:rPr>
                <w:sz w:val="4"/>
                <w:szCs w:val="4"/>
              </w:rPr>
            </w:pPr>
            <w:r>
              <w:rPr>
                <w:sz w:val="4"/>
                <w:szCs w:val="4"/>
              </w:rPr>
            </w:r>
          </w:p>
        </w:tc>
        <w:tc>
          <w:tcPr>
            <w:tcW w:w="228" w:type="dxa"/>
            <w:tcBorders/>
            <w:shd w:fill="FFFFFF" w:val="clear"/>
            <w:vAlign w:val="center"/>
          </w:tcPr>
          <w:p>
            <w:pPr>
              <w:pStyle w:val="TableContents"/>
              <w:spacing w:before="0" w:after="283"/>
              <w:rPr>
                <w:sz w:val="4"/>
                <w:szCs w:val="4"/>
              </w:rPr>
            </w:pPr>
            <w:r>
              <w:rPr>
                <w:sz w:val="4"/>
                <w:szCs w:val="4"/>
              </w:rPr>
            </w:r>
          </w:p>
        </w:tc>
        <w:tc>
          <w:tcPr>
            <w:tcW w:w="667" w:type="dxa"/>
            <w:tcBorders/>
            <w:shd w:fill="FFFFFF" w:val="clear"/>
            <w:vAlign w:val="center"/>
          </w:tcPr>
          <w:p>
            <w:pPr>
              <w:pStyle w:val="TableContents"/>
              <w:spacing w:before="0" w:after="283"/>
              <w:rPr>
                <w:sz w:val="4"/>
                <w:szCs w:val="4"/>
              </w:rPr>
            </w:pPr>
            <w:r>
              <w:rPr>
                <w:sz w:val="4"/>
                <w:szCs w:val="4"/>
              </w:rPr>
            </w:r>
          </w:p>
        </w:tc>
      </w:tr>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5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5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46"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18"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9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18" w:type="dxa"/>
            <w:tcBorders/>
            <w:shd w:fill="CCEEFF" w:val="cle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6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3,513</w:t>
            </w:r>
          </w:p>
        </w:tc>
      </w:tr>
      <w:tr>
        <w:trPr/>
        <w:tc>
          <w:tcPr>
            <w:tcW w:w="273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18"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18" w:type="dxa"/>
            <w:tcBorders/>
            <w:shd w:fill="auto" w:val="clear"/>
            <w:vAlign w:val="center"/>
          </w:tcPr>
          <w:p>
            <w:pPr>
              <w:pStyle w:val="TableContents"/>
              <w:spacing w:before="0" w:after="283"/>
              <w:rPr>
                <w:sz w:val="4"/>
                <w:szCs w:val="4"/>
              </w:rPr>
            </w:pPr>
            <w:r>
              <w:rPr>
                <w:sz w:val="4"/>
                <w:szCs w:val="4"/>
              </w:rPr>
            </w:r>
          </w:p>
        </w:tc>
        <w:tc>
          <w:tcPr>
            <w:tcW w:w="22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6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Other comprehensive income </w:t>
            </w:r>
          </w:p>
        </w:tc>
        <w:tc>
          <w:tcPr>
            <w:tcW w:w="109" w:type="dxa"/>
            <w:tcBorders/>
            <w:shd w:fill="CCEEFF" w:val="clear"/>
            <w:vAlign w:val="center"/>
          </w:tcPr>
          <w:p>
            <w:pPr>
              <w:pStyle w:val="TableContents"/>
              <w:spacing w:before="0" w:after="283"/>
              <w:rPr>
                <w:sz w:val="4"/>
                <w:szCs w:val="4"/>
              </w:rPr>
            </w:pPr>
            <w:r>
              <w:rPr>
                <w:sz w:val="4"/>
                <w:szCs w:val="4"/>
              </w:rPr>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1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18" w:type="dxa"/>
            <w:tcBorders/>
            <w:shd w:fill="CCEEFF" w:val="clear"/>
            <w:vAlign w:val="center"/>
          </w:tcPr>
          <w:p>
            <w:pPr>
              <w:pStyle w:val="TableContents"/>
              <w:spacing w:before="0" w:after="283"/>
              <w:rPr>
                <w:sz w:val="4"/>
                <w:szCs w:val="4"/>
              </w:rPr>
            </w:pPr>
            <w:r>
              <w:rPr>
                <w:sz w:val="4"/>
                <w:szCs w:val="4"/>
              </w:rPr>
            </w:r>
          </w:p>
        </w:tc>
        <w:tc>
          <w:tcPr>
            <w:tcW w:w="228"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6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273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8"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2,517</w:t>
            </w:r>
          </w:p>
        </w:tc>
        <w:tc>
          <w:tcPr>
            <w:tcW w:w="118" w:type="dxa"/>
            <w:tcBorders/>
            <w:shd w:fill="auto" w:val="clear"/>
            <w:vAlign w:val="center"/>
          </w:tcPr>
          <w:p>
            <w:pPr>
              <w:pStyle w:val="TableContents"/>
              <w:spacing w:before="0" w:after="283"/>
              <w:rPr>
                <w:sz w:val="4"/>
                <w:szCs w:val="4"/>
              </w:rPr>
            </w:pPr>
            <w:r>
              <w:rPr>
                <w:sz w:val="4"/>
                <w:szCs w:val="4"/>
              </w:rPr>
            </w:r>
          </w:p>
        </w:tc>
        <w:tc>
          <w:tcPr>
            <w:tcW w:w="228"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67"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10" w:name="SE"/>
      <w:bookmarkEnd w:id="10"/>
      <w:r>
        <w:rPr>
          <w:rFonts w:ascii="Times New Roman;serif" w:hAnsi="Times New Roman;serif"/>
          <w:b w:val="false"/>
          <w:i w:val="false"/>
          <w:caps w:val="false"/>
          <w:smallCaps w:val="false"/>
          <w:sz w:val="20"/>
        </w:rPr>
        <w:t>5</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p>
      <w:pPr>
        <w:pStyle w:val="TextBody"/>
        <w:bidi w:val="0"/>
        <w:spacing w:lineRule="auto" w:line="259"/>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632"/>
        <w:gridCol w:w="109"/>
        <w:gridCol w:w="1036"/>
        <w:gridCol w:w="109"/>
        <w:gridCol w:w="338"/>
        <w:gridCol w:w="338"/>
        <w:gridCol w:w="109"/>
        <w:gridCol w:w="211"/>
        <w:gridCol w:w="781"/>
        <w:gridCol w:w="109"/>
        <w:gridCol w:w="227"/>
        <w:gridCol w:w="794"/>
        <w:gridCol w:w="109"/>
        <w:gridCol w:w="415"/>
        <w:gridCol w:w="741"/>
        <w:gridCol w:w="109"/>
        <w:gridCol w:w="211"/>
        <w:gridCol w:w="827"/>
      </w:tblGrid>
      <w:tr>
        <w:trPr/>
        <w:tc>
          <w:tcPr>
            <w:tcW w:w="363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8" w:type="dxa"/>
            <w:tcBorders/>
            <w:shd w:fill="FFFFFF" w:val="clear"/>
            <w:vAlign w:val="center"/>
          </w:tcPr>
          <w:p>
            <w:pPr>
              <w:pStyle w:val="TableContents"/>
              <w:spacing w:before="0" w:after="283"/>
              <w:rPr>
                <w:sz w:val="4"/>
                <w:szCs w:val="4"/>
              </w:rPr>
            </w:pPr>
            <w:r>
              <w:rPr>
                <w:sz w:val="4"/>
                <w:szCs w:val="4"/>
              </w:rPr>
            </w:r>
          </w:p>
        </w:tc>
        <w:tc>
          <w:tcPr>
            <w:tcW w:w="33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7" w:type="dxa"/>
            <w:tcBorders/>
            <w:shd w:fill="FFFFFF" w:val="clear"/>
            <w:vAlign w:val="center"/>
          </w:tcPr>
          <w:p>
            <w:pPr>
              <w:pStyle w:val="TableContents"/>
              <w:spacing w:before="0" w:after="283"/>
              <w:rPr>
                <w:sz w:val="4"/>
                <w:szCs w:val="4"/>
              </w:rPr>
            </w:pPr>
            <w:r>
              <w:rPr>
                <w:sz w:val="4"/>
                <w:szCs w:val="4"/>
              </w:rPr>
            </w:r>
          </w:p>
        </w:tc>
        <w:tc>
          <w:tcPr>
            <w:tcW w:w="79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15" w:type="dxa"/>
            <w:tcBorders/>
            <w:shd w:fill="FFFFFF" w:val="clear"/>
            <w:vAlign w:val="center"/>
          </w:tcPr>
          <w:p>
            <w:pPr>
              <w:pStyle w:val="TableContents"/>
              <w:spacing w:before="0" w:after="283"/>
              <w:rPr>
                <w:sz w:val="4"/>
                <w:szCs w:val="4"/>
              </w:rPr>
            </w:pPr>
            <w:r>
              <w:rPr>
                <w:sz w:val="4"/>
                <w:szCs w:val="4"/>
              </w:rPr>
            </w:r>
          </w:p>
        </w:tc>
        <w:tc>
          <w:tcPr>
            <w:tcW w:w="7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27" w:type="dxa"/>
            <w:tcBorders/>
            <w:shd w:fill="FFFFFF" w:val="clear"/>
            <w:vAlign w:val="center"/>
          </w:tcPr>
          <w:p>
            <w:pPr>
              <w:pStyle w:val="TableContents"/>
              <w:spacing w:before="0" w:after="283"/>
              <w:rPr>
                <w:sz w:val="4"/>
                <w:szCs w:val="4"/>
              </w:rPr>
            </w:pPr>
            <w:r>
              <w:rPr>
                <w:sz w:val="4"/>
                <w:szCs w:val="4"/>
              </w:rPr>
            </w:r>
          </w:p>
        </w:tc>
      </w:tr>
      <w:tr>
        <w:trPr/>
        <w:tc>
          <w:tcPr>
            <w:tcW w:w="363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8" w:type="dxa"/>
            <w:tcBorders/>
            <w:shd w:fill="FFFFFF" w:val="clear"/>
            <w:vAlign w:val="center"/>
          </w:tcPr>
          <w:p>
            <w:pPr>
              <w:pStyle w:val="TableContents"/>
              <w:spacing w:before="0" w:after="283"/>
              <w:rPr>
                <w:sz w:val="4"/>
                <w:szCs w:val="4"/>
              </w:rPr>
            </w:pPr>
            <w:r>
              <w:rPr>
                <w:sz w:val="4"/>
                <w:szCs w:val="4"/>
              </w:rPr>
            </w:r>
          </w:p>
        </w:tc>
        <w:tc>
          <w:tcPr>
            <w:tcW w:w="33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7" w:type="dxa"/>
            <w:tcBorders/>
            <w:shd w:fill="FFFFFF" w:val="clear"/>
            <w:vAlign w:val="center"/>
          </w:tcPr>
          <w:p>
            <w:pPr>
              <w:pStyle w:val="TableContents"/>
              <w:spacing w:before="0" w:after="283"/>
              <w:rPr>
                <w:sz w:val="4"/>
                <w:szCs w:val="4"/>
              </w:rPr>
            </w:pPr>
            <w:r>
              <w:rPr>
                <w:sz w:val="4"/>
                <w:szCs w:val="4"/>
              </w:rPr>
            </w:r>
          </w:p>
        </w:tc>
        <w:tc>
          <w:tcPr>
            <w:tcW w:w="79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15" w:type="dxa"/>
            <w:tcBorders/>
            <w:shd w:fill="FFFFFF" w:val="clear"/>
            <w:vAlign w:val="center"/>
          </w:tcPr>
          <w:p>
            <w:pPr>
              <w:pStyle w:val="TableContents"/>
              <w:spacing w:before="0" w:after="283"/>
              <w:rPr>
                <w:sz w:val="4"/>
                <w:szCs w:val="4"/>
              </w:rPr>
            </w:pPr>
            <w:r>
              <w:rPr>
                <w:sz w:val="4"/>
                <w:szCs w:val="4"/>
              </w:rPr>
            </w:r>
          </w:p>
        </w:tc>
        <w:tc>
          <w:tcPr>
            <w:tcW w:w="7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27" w:type="dxa"/>
            <w:tcBorders/>
            <w:shd w:fill="FFFFFF" w:val="clear"/>
            <w:vAlign w:val="center"/>
          </w:tcPr>
          <w:p>
            <w:pPr>
              <w:pStyle w:val="TableContents"/>
              <w:spacing w:before="0" w:after="283"/>
              <w:rPr>
                <w:sz w:val="4"/>
                <w:szCs w:val="4"/>
              </w:rPr>
            </w:pPr>
            <w:r>
              <w:rPr>
                <w:sz w:val="4"/>
                <w:szCs w:val="4"/>
              </w:rPr>
            </w:r>
          </w:p>
        </w:tc>
      </w:tr>
      <w:tr>
        <w:trPr/>
        <w:tc>
          <w:tcPr>
            <w:tcW w:w="363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821" w:type="dxa"/>
            <w:gridSpan w:val="4"/>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Common stock</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7" w:type="dxa"/>
            <w:tcBorders/>
            <w:shd w:fill="FFFFFF" w:val="clear"/>
            <w:vAlign w:val="center"/>
          </w:tcPr>
          <w:p>
            <w:pPr>
              <w:pStyle w:val="TableContents"/>
              <w:spacing w:before="0" w:after="283"/>
              <w:rPr>
                <w:sz w:val="4"/>
                <w:szCs w:val="4"/>
              </w:rPr>
            </w:pPr>
            <w:r>
              <w:rPr>
                <w:sz w:val="4"/>
                <w:szCs w:val="4"/>
              </w:rPr>
            </w:r>
          </w:p>
        </w:tc>
        <w:tc>
          <w:tcPr>
            <w:tcW w:w="794"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15" w:type="dxa"/>
            <w:tcBorders/>
            <w:shd w:fill="FFFFFF" w:val="clear"/>
            <w:vAlign w:val="center"/>
          </w:tcPr>
          <w:p>
            <w:pPr>
              <w:pStyle w:val="TableContents"/>
              <w:spacing w:before="0" w:after="283"/>
              <w:rPr>
                <w:sz w:val="4"/>
                <w:szCs w:val="4"/>
              </w:rPr>
            </w:pPr>
            <w:r>
              <w:rPr>
                <w:sz w:val="4"/>
                <w:szCs w:val="4"/>
              </w:rPr>
            </w:r>
          </w:p>
        </w:tc>
        <w:tc>
          <w:tcPr>
            <w:tcW w:w="74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27" w:type="dxa"/>
            <w:tcBorders/>
            <w:shd w:fill="FFFFFF" w:val="clear"/>
            <w:vAlign w:val="center"/>
          </w:tcPr>
          <w:p>
            <w:pPr>
              <w:pStyle w:val="TableContents"/>
              <w:spacing w:before="0" w:after="283"/>
              <w:rPr>
                <w:sz w:val="4"/>
                <w:szCs w:val="4"/>
              </w:rPr>
            </w:pPr>
            <w:r>
              <w:rPr>
                <w:sz w:val="4"/>
                <w:szCs w:val="4"/>
              </w:rPr>
            </w:r>
          </w:p>
        </w:tc>
      </w:tr>
      <w:tr>
        <w:trPr/>
        <w:tc>
          <w:tcPr>
            <w:tcW w:w="363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Shares</w:t>
            </w:r>
          </w:p>
        </w:tc>
        <w:tc>
          <w:tcPr>
            <w:tcW w:w="109" w:type="dxa"/>
            <w:tcBorders/>
            <w:shd w:fill="FFFFFF" w:val="clear"/>
            <w:vAlign w:val="center"/>
          </w:tcPr>
          <w:p>
            <w:pPr>
              <w:pStyle w:val="TableContents"/>
              <w:spacing w:before="0" w:after="283"/>
              <w:rPr>
                <w:sz w:val="4"/>
                <w:szCs w:val="4"/>
              </w:rPr>
            </w:pPr>
            <w:r>
              <w:rPr>
                <w:sz w:val="4"/>
                <w:szCs w:val="4"/>
              </w:rPr>
            </w:r>
          </w:p>
        </w:tc>
        <w:tc>
          <w:tcPr>
            <w:tcW w:w="67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Amount</w:t>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Additional</w:t>
              <w:br/>
              <w:t>‎paid-in</w:t>
              <w:br/>
              <w:t>‎capital</w:t>
            </w:r>
          </w:p>
        </w:tc>
        <w:tc>
          <w:tcPr>
            <w:tcW w:w="109" w:type="dxa"/>
            <w:tcBorders/>
            <w:shd w:fill="FFFFFF" w:val="clear"/>
            <w:vAlign w:val="center"/>
          </w:tcPr>
          <w:p>
            <w:pPr>
              <w:pStyle w:val="TableContents"/>
              <w:spacing w:before="0" w:after="283"/>
              <w:rPr>
                <w:sz w:val="4"/>
                <w:szCs w:val="4"/>
              </w:rPr>
            </w:pPr>
            <w:r>
              <w:rPr>
                <w:sz w:val="4"/>
                <w:szCs w:val="4"/>
              </w:rPr>
            </w:r>
          </w:p>
        </w:tc>
        <w:tc>
          <w:tcPr>
            <w:tcW w:w="102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‎deficit</w:t>
            </w:r>
          </w:p>
        </w:tc>
        <w:tc>
          <w:tcPr>
            <w:tcW w:w="109" w:type="dxa"/>
            <w:tcBorders/>
            <w:shd w:fill="FFFFFF" w:val="clear"/>
            <w:vAlign w:val="center"/>
          </w:tcPr>
          <w:p>
            <w:pPr>
              <w:pStyle w:val="TableContents"/>
              <w:spacing w:before="0" w:after="283"/>
              <w:rPr>
                <w:sz w:val="4"/>
                <w:szCs w:val="4"/>
              </w:rPr>
            </w:pPr>
            <w:r>
              <w:rPr>
                <w:sz w:val="4"/>
                <w:szCs w:val="4"/>
              </w:rPr>
            </w:r>
          </w:p>
        </w:tc>
        <w:tc>
          <w:tcPr>
            <w:tcW w:w="115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Accumulated</w:t>
              <w:br/>
              <w:t>‎other</w:t>
              <w:br/>
              <w:t>‎comprehensive</w:t>
              <w:br/>
              <w:t>‎income (loss)</w:t>
            </w:r>
          </w:p>
        </w:tc>
        <w:tc>
          <w:tcPr>
            <w:tcW w:w="109" w:type="dxa"/>
            <w:tcBorders/>
            <w:shd w:fill="FFFFFF" w:val="clear"/>
            <w:vAlign w:val="center"/>
          </w:tcPr>
          <w:p>
            <w:pPr>
              <w:pStyle w:val="TableContents"/>
              <w:spacing w:before="0" w:after="283"/>
              <w:rPr>
                <w:sz w:val="4"/>
                <w:szCs w:val="4"/>
              </w:rPr>
            </w:pPr>
            <w:r>
              <w:rPr>
                <w:sz w:val="4"/>
                <w:szCs w:val="4"/>
              </w:rPr>
            </w:r>
          </w:p>
        </w:tc>
        <w:tc>
          <w:tcPr>
            <w:tcW w:w="1038"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2021</w:t>
            </w:r>
          </w:p>
        </w:tc>
        <w:tc>
          <w:tcPr>
            <w:tcW w:w="109" w:type="dxa"/>
            <w:tcBorders/>
            <w:shd w:fill="CCEEFF" w:val="clear"/>
            <w:vAlign w:val="center"/>
          </w:tcPr>
          <w:p>
            <w:pPr>
              <w:pStyle w:val="TableContents"/>
              <w:spacing w:before="0" w:after="283"/>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51,963,377</w:t>
            </w:r>
          </w:p>
        </w:tc>
        <w:tc>
          <w:tcPr>
            <w:tcW w:w="109" w:type="dxa"/>
            <w:tcBorders/>
            <w:shd w:fill="CCEEFF" w:val="clear"/>
            <w:vAlign w:val="center"/>
          </w:tcPr>
          <w:p>
            <w:pPr>
              <w:pStyle w:val="TableContents"/>
              <w:spacing w:before="0" w:after="283"/>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126,920</w:t>
            </w:r>
          </w:p>
        </w:tc>
        <w:tc>
          <w:tcPr>
            <w:tcW w:w="109" w:type="dxa"/>
            <w:tcBorders/>
            <w:shd w:fill="CCEEFF" w:val="clear"/>
            <w:vAlign w:val="center"/>
          </w:tcPr>
          <w:p>
            <w:pPr>
              <w:pStyle w:val="TableContents"/>
              <w:spacing w:before="0" w:after="283"/>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(4,713)</w:t>
            </w:r>
          </w:p>
        </w:tc>
        <w:tc>
          <w:tcPr>
            <w:tcW w:w="109" w:type="dxa"/>
            <w:tcBorders/>
            <w:shd w:fill="CCEEFF" w:val="clear"/>
            <w:vAlign w:val="center"/>
          </w:tcPr>
          <w:p>
            <w:pPr>
              <w:pStyle w:val="TableContents"/>
              <w:spacing w:before="0" w:after="283"/>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122,224</w:t>
            </w:r>
          </w:p>
        </w:tc>
      </w:tr>
      <w:tr>
        <w:trPr/>
        <w:tc>
          <w:tcPr>
            <w:tcW w:w="36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shd w:fill="auto" w:val="clear"/>
            <w:vAlign w:val="center"/>
          </w:tcPr>
          <w:p>
            <w:pPr>
              <w:pStyle w:val="TableContents"/>
              <w:spacing w:before="0" w:after="283"/>
              <w:rPr>
                <w:sz w:val="4"/>
                <w:szCs w:val="4"/>
              </w:rPr>
            </w:pPr>
            <w:r>
              <w:rPr>
                <w:sz w:val="4"/>
                <w:szCs w:val="4"/>
              </w:rPr>
            </w:r>
          </w:p>
        </w:tc>
        <w:tc>
          <w:tcPr>
            <w:tcW w:w="1036" w:type="dxa"/>
            <w:tcBorders>
              <w:top w:val="single" w:sz="12"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419,967</w:t>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338" w:type="dxa"/>
            <w:tcBorders>
              <w:top w:val="single" w:sz="12"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81" w:type="dxa"/>
            <w:tcBorders>
              <w:top w:val="single" w:sz="12"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94" w:type="dxa"/>
            <w:tcBorders>
              <w:top w:val="single" w:sz="12"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741" w:type="dxa"/>
            <w:tcBorders>
              <w:top w:val="single" w:sz="12"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auto" w:val="clear"/>
            <w:tcMar>
              <w:top w:w="28" w:type="dxa"/>
            </w:tcMar>
            <w:vAlign w:val="center"/>
          </w:tcPr>
          <w:p>
            <w:pPr>
              <w:pStyle w:val="TableContents"/>
              <w:spacing w:before="0" w:after="283"/>
              <w:rPr>
                <w:sz w:val="4"/>
                <w:szCs w:val="4"/>
              </w:rPr>
            </w:pPr>
            <w:r>
              <w:rPr>
                <w:sz w:val="4"/>
                <w:szCs w:val="4"/>
              </w:rPr>
            </w:r>
          </w:p>
        </w:tc>
        <w:tc>
          <w:tcPr>
            <w:tcW w:w="827" w:type="dxa"/>
            <w:tcBorders>
              <w:top w:val="single" w:sz="8" w:space="0" w:color="000000"/>
            </w:tcBorders>
            <w:shd w:fill="auto"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(177,828)</w:t>
            </w:r>
          </w:p>
        </w:tc>
        <w:tc>
          <w:tcPr>
            <w:tcW w:w="109" w:type="dxa"/>
            <w:tcBorders/>
            <w:shd w:fill="CCEEFF" w:val="clear"/>
            <w:vAlign w:val="center"/>
          </w:tcPr>
          <w:p>
            <w:pPr>
              <w:pStyle w:val="TableContents"/>
              <w:spacing w:before="0" w:after="283"/>
              <w:rPr>
                <w:sz w:val="4"/>
                <w:szCs w:val="4"/>
              </w:rPr>
            </w:pPr>
            <w:r>
              <w:rPr>
                <w:sz w:val="4"/>
                <w:szCs w:val="4"/>
              </w:rPr>
            </w:r>
          </w:p>
        </w:tc>
        <w:tc>
          <w:tcPr>
            <w:tcW w:w="338" w:type="dxa"/>
            <w:tcBorders/>
            <w:shd w:fill="CCEEFF" w:val="clear"/>
            <w:vAlign w:val="center"/>
          </w:tcPr>
          <w:p>
            <w:pPr>
              <w:pStyle w:val="TableContents"/>
              <w:spacing w:before="0" w:after="283"/>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27" w:type="dxa"/>
            <w:tcBorders/>
            <w:shd w:fill="CCEEFF" w:val="clear"/>
            <w:vAlign w:val="center"/>
          </w:tcPr>
          <w:p>
            <w:pPr>
              <w:pStyle w:val="TableContents"/>
              <w:spacing w:before="0" w:after="283"/>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415" w:type="dxa"/>
            <w:tcBorders/>
            <w:shd w:fill="CCEEFF" w:val="clear"/>
            <w:vAlign w:val="center"/>
          </w:tcPr>
          <w:p>
            <w:pPr>
              <w:pStyle w:val="TableContents"/>
              <w:spacing w:before="0" w:after="283"/>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492</w:t>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492</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(92,949)</w:t>
            </w:r>
          </w:p>
        </w:tc>
        <w:tc>
          <w:tcPr>
            <w:tcW w:w="109" w:type="dxa"/>
            <w:tcBorders/>
            <w:shd w:fill="CCEEFF" w:val="clear"/>
            <w:vAlign w:val="center"/>
          </w:tcPr>
          <w:p>
            <w:pPr>
              <w:pStyle w:val="TableContents"/>
              <w:spacing w:before="0" w:after="283"/>
              <w:rPr>
                <w:sz w:val="4"/>
                <w:szCs w:val="4"/>
              </w:rPr>
            </w:pPr>
            <w:r>
              <w:rPr>
                <w:sz w:val="4"/>
                <w:szCs w:val="4"/>
              </w:rPr>
            </w:r>
          </w:p>
        </w:tc>
        <w:tc>
          <w:tcPr>
            <w:tcW w:w="338" w:type="dxa"/>
            <w:tcBorders/>
            <w:shd w:fill="CCEEFF" w:val="clear"/>
            <w:vAlign w:val="center"/>
          </w:tcPr>
          <w:p>
            <w:pPr>
              <w:pStyle w:val="TableContents"/>
              <w:spacing w:before="0" w:after="283"/>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(607)</w:t>
            </w:r>
          </w:p>
        </w:tc>
        <w:tc>
          <w:tcPr>
            <w:tcW w:w="109" w:type="dxa"/>
            <w:tcBorders/>
            <w:shd w:fill="CCEEFF" w:val="clear"/>
            <w:vAlign w:val="center"/>
          </w:tcPr>
          <w:p>
            <w:pPr>
              <w:pStyle w:val="TableContents"/>
              <w:spacing w:before="0" w:after="283"/>
              <w:rPr>
                <w:sz w:val="4"/>
                <w:szCs w:val="4"/>
              </w:rPr>
            </w:pPr>
            <w:r>
              <w:rPr>
                <w:sz w:val="4"/>
                <w:szCs w:val="4"/>
              </w:rPr>
            </w:r>
          </w:p>
        </w:tc>
        <w:tc>
          <w:tcPr>
            <w:tcW w:w="227" w:type="dxa"/>
            <w:tcBorders/>
            <w:shd w:fill="CCEEFF" w:val="clear"/>
            <w:vAlign w:val="center"/>
          </w:tcPr>
          <w:p>
            <w:pPr>
              <w:pStyle w:val="TableContents"/>
              <w:spacing w:before="0" w:after="283"/>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415" w:type="dxa"/>
            <w:tcBorders/>
            <w:shd w:fill="CCEEFF" w:val="clear"/>
            <w:vAlign w:val="center"/>
          </w:tcPr>
          <w:p>
            <w:pPr>
              <w:pStyle w:val="TableContents"/>
              <w:spacing w:before="0" w:after="283"/>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(607)</w:t>
            </w:r>
          </w:p>
        </w:tc>
      </w:tr>
      <w:tr>
        <w:trPr/>
        <w:tc>
          <w:tcPr>
            <w:tcW w:w="36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spacing w:before="0" w:after="283"/>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33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27"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3,513</w:t>
            </w:r>
          </w:p>
        </w:tc>
        <w:tc>
          <w:tcPr>
            <w:tcW w:w="109" w:type="dxa"/>
            <w:tcBorders/>
            <w:shd w:fill="CCEEFF" w:val="clear"/>
            <w:vAlign w:val="center"/>
          </w:tcPr>
          <w:p>
            <w:pPr>
              <w:pStyle w:val="TableContents"/>
              <w:spacing w:before="0" w:after="283"/>
              <w:rPr>
                <w:sz w:val="4"/>
                <w:szCs w:val="4"/>
              </w:rPr>
            </w:pPr>
            <w:r>
              <w:rPr>
                <w:sz w:val="4"/>
                <w:szCs w:val="4"/>
              </w:rPr>
            </w:r>
          </w:p>
        </w:tc>
        <w:tc>
          <w:tcPr>
            <w:tcW w:w="41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3,513</w:t>
            </w:r>
          </w:p>
        </w:tc>
      </w:tr>
      <w:tr>
        <w:trPr/>
        <w:tc>
          <w:tcPr>
            <w:tcW w:w="3632"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3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52,112,567</w:t>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126,805</w:t>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(1,200)</w:t>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125,625</w:t>
            </w:r>
          </w:p>
        </w:tc>
      </w:tr>
      <w:tr>
        <w:trPr/>
        <w:tc>
          <w:tcPr>
            <w:tcW w:w="3632"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1036"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338"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81"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27"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94"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415"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41"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27"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r>
      <w:tr>
        <w:trPr/>
        <w:tc>
          <w:tcPr>
            <w:tcW w:w="3632"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36"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44,377,445</w:t>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127,997</w:t>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(19,180)</w:t>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108,769</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Issuance of restricted shares</w:t>
            </w:r>
          </w:p>
        </w:tc>
        <w:tc>
          <w:tcPr>
            <w:tcW w:w="109" w:type="dxa"/>
            <w:tcBorders/>
            <w:shd w:fill="CCEEFF" w:val="clear"/>
            <w:vAlign w:val="center"/>
          </w:tcPr>
          <w:p>
            <w:pPr>
              <w:pStyle w:val="TableContents"/>
              <w:spacing w:before="0" w:after="283"/>
              <w:rPr>
                <w:sz w:val="4"/>
                <w:szCs w:val="4"/>
              </w:rPr>
            </w:pPr>
            <w:r>
              <w:rPr>
                <w:sz w:val="4"/>
                <w:szCs w:val="4"/>
              </w:rPr>
            </w:r>
          </w:p>
        </w:tc>
        <w:tc>
          <w:tcPr>
            <w:tcW w:w="1036"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495,402</w:t>
            </w:r>
          </w:p>
        </w:tc>
        <w:tc>
          <w:tcPr>
            <w:tcW w:w="109" w:type="dxa"/>
            <w:tcBorders/>
            <w:shd w:fill="CCEEFF" w:val="clear"/>
            <w:vAlign w:val="center"/>
          </w:tcPr>
          <w:p>
            <w:pPr>
              <w:pStyle w:val="TableContents"/>
              <w:spacing w:before="0" w:after="283"/>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338"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8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27"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4"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415"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41" w:type="dxa"/>
            <w:tcBorders>
              <w:top w:val="single" w:sz="12"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2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Cancellation of restricted shares</w:t>
            </w:r>
          </w:p>
        </w:tc>
        <w:tc>
          <w:tcPr>
            <w:tcW w:w="10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(175,784)</w:t>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338" w:type="dxa"/>
            <w:tcBorders/>
            <w:shd w:fill="CCEEFF" w:val="clear"/>
            <w:vAlign w:val="center"/>
          </w:tcPr>
          <w:p>
            <w:pPr>
              <w:pStyle w:val="TableContents"/>
              <w:spacing w:before="0" w:after="283"/>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405</w:t>
            </w:r>
          </w:p>
        </w:tc>
        <w:tc>
          <w:tcPr>
            <w:tcW w:w="109" w:type="dxa"/>
            <w:tcBorders/>
            <w:shd w:fill="CCEEFF" w:val="clear"/>
            <w:vAlign w:val="center"/>
          </w:tcPr>
          <w:p>
            <w:pPr>
              <w:pStyle w:val="TableContents"/>
              <w:spacing w:before="0" w:after="283"/>
              <w:rPr>
                <w:sz w:val="4"/>
                <w:szCs w:val="4"/>
              </w:rPr>
            </w:pPr>
            <w:r>
              <w:rPr>
                <w:sz w:val="4"/>
                <w:szCs w:val="4"/>
              </w:rPr>
            </w:r>
          </w:p>
        </w:tc>
        <w:tc>
          <w:tcPr>
            <w:tcW w:w="227" w:type="dxa"/>
            <w:tcBorders/>
            <w:shd w:fill="CCEEFF" w:val="clear"/>
            <w:vAlign w:val="center"/>
          </w:tcPr>
          <w:p>
            <w:pPr>
              <w:pStyle w:val="TableContents"/>
              <w:spacing w:before="0" w:after="283"/>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415" w:type="dxa"/>
            <w:tcBorders/>
            <w:shd w:fill="CCEEFF" w:val="clear"/>
            <w:vAlign w:val="center"/>
          </w:tcPr>
          <w:p>
            <w:pPr>
              <w:pStyle w:val="TableContents"/>
              <w:spacing w:before="0" w:after="283"/>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r>
      <w:tr>
        <w:trPr/>
        <w:tc>
          <w:tcPr>
            <w:tcW w:w="36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 withholdings related to net share settlements of stock based compensation awards</w:t>
            </w:r>
          </w:p>
        </w:tc>
        <w:tc>
          <w:tcPr>
            <w:tcW w:w="10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(88,080)</w:t>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w:t>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adjustments</w:t>
            </w:r>
          </w:p>
        </w:tc>
        <w:tc>
          <w:tcPr>
            <w:tcW w:w="109" w:type="dxa"/>
            <w:tcBorders/>
            <w:shd w:fill="CCEEFF" w:val="clear"/>
            <w:vAlign w:val="center"/>
          </w:tcPr>
          <w:p>
            <w:pPr>
              <w:pStyle w:val="TableContents"/>
              <w:spacing w:before="0" w:after="283"/>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338" w:type="dxa"/>
            <w:tcBorders/>
            <w:shd w:fill="CCEEFF" w:val="clear"/>
            <w:vAlign w:val="center"/>
          </w:tcPr>
          <w:p>
            <w:pPr>
              <w:pStyle w:val="TableContents"/>
              <w:spacing w:before="0" w:after="283"/>
              <w:rPr>
                <w:sz w:val="4"/>
                <w:szCs w:val="4"/>
              </w:rPr>
            </w:pPr>
            <w:r>
              <w:rPr>
                <w:sz w:val="4"/>
                <w:szCs w:val="4"/>
              </w:rPr>
            </w:r>
          </w:p>
        </w:tc>
        <w:tc>
          <w:tcPr>
            <w:tcW w:w="33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27" w:type="dxa"/>
            <w:tcBorders/>
            <w:shd w:fill="CCEEFF" w:val="clear"/>
            <w:vAlign w:val="center"/>
          </w:tcPr>
          <w:p>
            <w:pPr>
              <w:pStyle w:val="TableContents"/>
              <w:spacing w:before="0" w:after="283"/>
              <w:rPr>
                <w:sz w:val="4"/>
                <w:szCs w:val="4"/>
              </w:rPr>
            </w:pPr>
            <w:r>
              <w:rPr>
                <w:sz w:val="4"/>
                <w:szCs w:val="4"/>
              </w:rPr>
            </w:r>
          </w:p>
        </w:tc>
        <w:tc>
          <w:tcPr>
            <w:tcW w:w="79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415" w:type="dxa"/>
            <w:tcBorders/>
            <w:shd w:fill="CCEEFF" w:val="clear"/>
            <w:vAlign w:val="center"/>
          </w:tcPr>
          <w:p>
            <w:pPr>
              <w:pStyle w:val="TableContents"/>
              <w:spacing w:before="0" w:after="283"/>
              <w:rPr>
                <w:sz w:val="4"/>
                <w:szCs w:val="4"/>
              </w:rPr>
            </w:pPr>
            <w:r>
              <w:rPr>
                <w:sz w:val="4"/>
                <w:szCs w:val="4"/>
              </w:rPr>
            </w:r>
          </w:p>
        </w:tc>
        <w:tc>
          <w:tcPr>
            <w:tcW w:w="7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2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w:t>
            </w:r>
          </w:p>
        </w:tc>
      </w:tr>
      <w:tr>
        <w:trPr/>
        <w:tc>
          <w:tcPr>
            <w:tcW w:w="363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3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338"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4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27"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r>
      <w:tr>
        <w:trPr/>
        <w:tc>
          <w:tcPr>
            <w:tcW w:w="363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March 31, 2023</w:t>
            </w:r>
          </w:p>
        </w:tc>
        <w:tc>
          <w:tcPr>
            <w:tcW w:w="109" w:type="dxa"/>
            <w:tcBorders/>
            <w:shd w:fill="CCEEFF" w:val="clear"/>
            <w:vAlign w:val="center"/>
          </w:tcPr>
          <w:p>
            <w:pPr>
              <w:pStyle w:val="TableContents"/>
              <w:spacing w:before="0" w:after="283"/>
              <w:rPr>
                <w:sz w:val="4"/>
                <w:szCs w:val="4"/>
              </w:rPr>
            </w:pPr>
            <w:r>
              <w:rPr>
                <w:sz w:val="4"/>
                <w:szCs w:val="4"/>
              </w:rPr>
            </w:r>
          </w:p>
        </w:tc>
        <w:tc>
          <w:tcPr>
            <w:tcW w:w="10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44,608,983</w:t>
            </w:r>
          </w:p>
        </w:tc>
        <w:tc>
          <w:tcPr>
            <w:tcW w:w="109" w:type="dxa"/>
            <w:tcBorders/>
            <w:shd w:fill="CCEEFF" w:val="clear"/>
            <w:vAlign w:val="center"/>
          </w:tcPr>
          <w:p>
            <w:pPr>
              <w:pStyle w:val="TableContents"/>
              <w:spacing w:before="0" w:after="283"/>
              <w:rPr>
                <w:sz w:val="4"/>
                <w:szCs w:val="4"/>
              </w:rPr>
            </w:pPr>
            <w:r>
              <w:rPr>
                <w:sz w:val="4"/>
                <w:szCs w:val="4"/>
              </w:rPr>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127,975</w:t>
            </w:r>
          </w:p>
        </w:tc>
        <w:tc>
          <w:tcPr>
            <w:tcW w:w="109" w:type="dxa"/>
            <w:tcBorders/>
            <w:shd w:fill="CCEEFF" w:val="clear"/>
            <w:vAlign w:val="center"/>
          </w:tcPr>
          <w:p>
            <w:pPr>
              <w:pStyle w:val="TableContents"/>
              <w:spacing w:before="0" w:after="283"/>
              <w:rPr>
                <w:sz w:val="4"/>
                <w:szCs w:val="4"/>
              </w:rPr>
            </w:pPr>
            <w:r>
              <w:rPr>
                <w:sz w:val="4"/>
                <w:szCs w:val="4"/>
              </w:rPr>
            </w:r>
          </w:p>
        </w:tc>
        <w:tc>
          <w:tcPr>
            <w:tcW w:w="2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(16,668)</w:t>
            </w:r>
          </w:p>
        </w:tc>
        <w:tc>
          <w:tcPr>
            <w:tcW w:w="109" w:type="dxa"/>
            <w:tcBorders/>
            <w:shd w:fill="CCEEFF" w:val="clear"/>
            <w:vAlign w:val="center"/>
          </w:tcPr>
          <w:p>
            <w:pPr>
              <w:pStyle w:val="TableContents"/>
              <w:spacing w:before="0" w:after="283"/>
              <w:rPr>
                <w:sz w:val="4"/>
                <w:szCs w:val="4"/>
              </w:rPr>
            </w:pPr>
            <w:r>
              <w:rPr>
                <w:sz w:val="4"/>
                <w:szCs w:val="4"/>
              </w:rPr>
            </w:r>
          </w:p>
        </w:tc>
        <w:tc>
          <w:tcPr>
            <w:tcW w:w="4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2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111,264</w:t>
            </w:r>
          </w:p>
        </w:tc>
      </w:tr>
    </w:tbl>
    <w:p>
      <w:pPr>
        <w:pStyle w:val="TextBody"/>
        <w:bidi w:val="0"/>
        <w:spacing w:lineRule="auto" w:line="259"/>
        <w:rPr>
          <w:rFonts w:ascii="Times New Roman;serif" w:hAnsi="Times New Roman;serif"/>
          <w:b w:val="false"/>
          <w:i w:val="false"/>
          <w:caps w:val="false"/>
          <w:smallCaps w:val="false"/>
          <w:sz w:val="20"/>
        </w:rPr>
      </w:pPr>
      <w:bookmarkStart w:id="11" w:name="_Hlk109139678"/>
      <w:bookmarkEnd w:id="11"/>
      <w:r>
        <w:rPr>
          <w:rFonts w:ascii="Times New Roman;serif" w:hAnsi="Times New Roman;serif"/>
          <w:b w:val="false"/>
          <w:i w:val="false"/>
          <w:caps w:val="false"/>
          <w:smallCaps w:val="false"/>
          <w:sz w:val="20"/>
        </w:rPr>
        <w:t>See accompanying Notes to Consolidated Financial Statements.</w:t>
      </w:r>
    </w:p>
    <w:p>
      <w:pPr>
        <w:pStyle w:val="TextBody"/>
        <w:bidi w:val="0"/>
        <w:spacing w:lineRule="auto" w:line="259"/>
        <w:rPr>
          <w:rFonts w:ascii="Times New Roman;serif" w:hAnsi="Times New Roman;serif"/>
          <w:b w:val="false"/>
          <w:i w:val="false"/>
          <w:caps w:val="false"/>
          <w:smallCaps w:val="false"/>
          <w:sz w:val="20"/>
        </w:rPr>
      </w:pPr>
      <w:bookmarkStart w:id="12" w:name="_contentSection_1e870f59_feb6_48b8_8b91_"/>
      <w:bookmarkEnd w:id="12"/>
      <w:r>
        <w:rPr>
          <w:rFonts w:ascii="Times New Roman;serif" w:hAnsi="Times New Roman;serif"/>
          <w:b w:val="false"/>
          <w:i w:val="false"/>
          <w:caps w:val="false"/>
          <w:smallCaps w:val="false"/>
          <w:sz w:val="20"/>
        </w:rPr>
        <w:t>6</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Ti</w:t>
      </w:r>
      <w:bookmarkStart w:id="13" w:name="CF"/>
      <w:bookmarkEnd w:id="13"/>
      <w:r>
        <w:rPr>
          <w:rFonts w:ascii="Times New Roman;serif" w:hAnsi="Times New Roman;serif"/>
          <w:b/>
          <w:i w:val="false"/>
          <w:caps w:val="false"/>
          <w:smallCaps w:val="false"/>
          <w:sz w:val="20"/>
        </w:rPr>
        <w:t>le Shop Holdings, Inc.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Statements of Cash Flows </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 xml:space="preserve">(dollars in thousands)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(unaudited)</w:t>
      </w:r>
    </w:p>
    <w:tbl>
      <w:tblPr>
        <w:tblW w:w="10138" w:type="dxa"/>
        <w:jc w:val="left"/>
        <w:tblInd w:w="0" w:type="dxa"/>
        <w:tblCellMar>
          <w:top w:w="0" w:type="dxa"/>
          <w:left w:w="0" w:type="dxa"/>
          <w:bottom w:w="0" w:type="dxa"/>
          <w:right w:w="0" w:type="dxa"/>
        </w:tblCellMar>
      </w:tblPr>
      <w:tblGrid>
        <w:gridCol w:w="7861"/>
        <w:gridCol w:w="109"/>
        <w:gridCol w:w="211"/>
        <w:gridCol w:w="796"/>
        <w:gridCol w:w="109"/>
        <w:gridCol w:w="211"/>
        <w:gridCol w:w="841"/>
      </w:tblGrid>
      <w:tr>
        <w:trPr/>
        <w:tc>
          <w:tcPr>
            <w:tcW w:w="78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78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r>
      <w:tr>
        <w:trPr/>
        <w:tc>
          <w:tcPr>
            <w:tcW w:w="78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78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68"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786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Adjustments to reconcile net income to net cash provided by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spacing w:before="0" w:after="283"/>
              <w:rPr>
                <w:sz w:val="4"/>
                <w:szCs w:val="4"/>
              </w:rPr>
            </w:pPr>
            <w:r>
              <w:rPr>
                <w:sz w:val="4"/>
                <w:szCs w:val="4"/>
              </w:rPr>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5,783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6,439</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debt issuance costs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on disposals of property, plant and equipment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charges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Non-cash lease expense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6,385</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492</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income taxes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Changes in operating assets and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spacing w:before="0" w:after="283"/>
              <w:rPr>
                <w:sz w:val="4"/>
                <w:szCs w:val="4"/>
              </w:rPr>
            </w:pPr>
            <w:r>
              <w:rPr>
                <w:sz w:val="4"/>
                <w:szCs w:val="4"/>
              </w:rPr>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 net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5,472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(7,526)</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 net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2,125</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(2,845)</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receivable / payable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4,503</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expenses and other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79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25,822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4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7,634</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Investing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(2,933)</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investing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spacing w:before="0" w:after="283"/>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(2,933)</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From 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796"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of long-term debt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(30,400)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Advances on line of credit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Employee taxes paid for shares withheld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(607)</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used in financing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79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841"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exchange rate changes on cash</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in cash, cash equivalents and 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1,631</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4,097</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cash equivalents and restricted cash beginning of period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7,759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10,013</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cash equivalents and restricted cash end of period</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9,390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14,110</w:t>
            </w:r>
          </w:p>
        </w:tc>
      </w:tr>
      <w:tr>
        <w:trPr/>
        <w:tc>
          <w:tcPr>
            <w:tcW w:w="78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8,624</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13,455</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cash equivalents and restricted cash end of period</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9,390</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14,110</w:t>
            </w:r>
          </w:p>
        </w:tc>
      </w:tr>
      <w:tr>
        <w:trPr/>
        <w:tc>
          <w:tcPr>
            <w:tcW w:w="786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96"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c>
          <w:tcPr>
            <w:tcW w:w="841" w:type="dxa"/>
            <w:tcBorders>
              <w:top w:val="double" w:sz="6"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 of cash flow information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property, plant and equipment included in accounts payable and accrued expenses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646</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566</w:t>
            </w:r>
          </w:p>
        </w:tc>
      </w:tr>
      <w:tr>
        <w:trPr/>
        <w:tc>
          <w:tcPr>
            <w:tcW w:w="78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interest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339</w:t>
            </w:r>
          </w:p>
        </w:tc>
      </w:tr>
      <w:tr>
        <w:trPr/>
        <w:tc>
          <w:tcPr>
            <w:tcW w:w="78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(received) paid for income taxes, net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8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accompanying Notes to Consolidated Financial Statements.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No</w:t>
      </w:r>
      <w:bookmarkStart w:id="14" w:name="Notes"/>
      <w:bookmarkEnd w:id="14"/>
      <w:r>
        <w:rPr>
          <w:rFonts w:ascii="Times New Roman;serif" w:hAnsi="Times New Roman;serif"/>
          <w:b/>
          <w:i w:val="false"/>
          <w:caps w:val="false"/>
          <w:smallCaps w:val="false"/>
          <w:sz w:val="20"/>
        </w:rPr>
        <w:t>te 1: Background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Tile Shop Holdings, Inc. (“Holdings,” and together with its wholly owned subsidiaries, the “Company”) was incorporated in Delaware in June 2012.</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March 31, 2023, the Company had 142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stores in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states and the District of Columbia, with an average size of approximately 20,000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feet. The Company has distribution centers located in Michigan, New Jersey, Oklahoma, Virginia and Wisconsin. The Company also has a sourcing office located in China.</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accompanying Consolidated Financial Statements of the Company have been prepared in accordance with accounting principles generally accepted in the United States for interim financial information and with the rules and regulations for reporting on Form 10</w:t>
      </w:r>
      <w:r>
        <w:rPr>
          <w:rFonts w:ascii="Cambria Math" w:hAnsi="Cambria Math"/>
          <w:b w:val="false"/>
          <w:i w:val="false"/>
          <w:caps w:val="false"/>
          <w:smallCaps w:val="false"/>
          <w:sz w:val="20"/>
        </w:rPr>
        <w:t>-</w:t>
      </w:r>
      <w:r>
        <w:rPr>
          <w:rFonts w:ascii="Times New Roman;serif" w:hAnsi="Times New Roman;serif"/>
          <w:b w:val="false"/>
          <w:i w:val="false"/>
          <w:caps w:val="false"/>
          <w:smallCaps w:val="false"/>
          <w:sz w:val="20"/>
        </w:rPr>
        <w:t>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2023 are not necessarily indicative of the results that may be expected for the fiscal year ending December 31,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statements should be read in conjunction with the Consolidated Financial Statements and footnotes included in the Company’s Annual Report on Form 10-K for the fiscal year ended December 31, 2022. The accounting policies used in preparing these Consolidated Financial Statements are the same as those described in Note 1 to the Consolidated Financial Statements in such Form 10-K.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2: Revenues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Revenues are recognized when control of the promised goods or services is transferred to the Company’s customers, in an amount that reflects the consideration received in exchange for those goods or services. Sales taxes are excluded from revenues.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revenues disaggregated by product category:</w:t>
      </w:r>
    </w:p>
    <w:tbl>
      <w:tblPr>
        <w:tblW w:w="5373" w:type="dxa"/>
        <w:jc w:val="left"/>
        <w:tblInd w:w="0" w:type="dxa"/>
        <w:tblCellMar>
          <w:top w:w="0" w:type="dxa"/>
          <w:left w:w="0" w:type="dxa"/>
          <w:bottom w:w="0" w:type="dxa"/>
          <w:right w:w="0" w:type="dxa"/>
        </w:tblCellMar>
      </w:tblPr>
      <w:tblGrid>
        <w:gridCol w:w="2911"/>
        <w:gridCol w:w="109"/>
        <w:gridCol w:w="644"/>
        <w:gridCol w:w="415"/>
        <w:gridCol w:w="166"/>
        <w:gridCol w:w="644"/>
        <w:gridCol w:w="484"/>
      </w:tblGrid>
      <w:tr>
        <w:trPr/>
        <w:tc>
          <w:tcPr>
            <w:tcW w:w="29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415"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484" w:type="dxa"/>
            <w:tcBorders/>
            <w:shd w:fill="FFFFFF" w:val="clear"/>
            <w:vAlign w:val="center"/>
          </w:tcPr>
          <w:p>
            <w:pPr>
              <w:pStyle w:val="TableContents"/>
              <w:spacing w:before="0" w:after="283"/>
              <w:rPr>
                <w:sz w:val="4"/>
                <w:szCs w:val="4"/>
              </w:rPr>
            </w:pPr>
            <w:r>
              <w:rPr>
                <w:sz w:val="4"/>
                <w:szCs w:val="4"/>
              </w:rPr>
            </w:r>
          </w:p>
        </w:tc>
      </w:tr>
      <w:tr>
        <w:trPr/>
        <w:tc>
          <w:tcPr>
            <w:tcW w:w="29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415"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644" w:type="dxa"/>
            <w:tcBorders/>
            <w:shd w:fill="FFFFFF" w:val="clear"/>
            <w:vAlign w:val="center"/>
          </w:tcPr>
          <w:p>
            <w:pPr>
              <w:pStyle w:val="TableContents"/>
              <w:spacing w:before="0" w:after="283"/>
              <w:rPr>
                <w:sz w:val="4"/>
                <w:szCs w:val="4"/>
              </w:rPr>
            </w:pPr>
            <w:r>
              <w:rPr>
                <w:sz w:val="4"/>
                <w:szCs w:val="4"/>
              </w:rPr>
            </w:r>
          </w:p>
        </w:tc>
        <w:tc>
          <w:tcPr>
            <w:tcW w:w="484" w:type="dxa"/>
            <w:tcBorders/>
            <w:shd w:fill="FFFFFF" w:val="clear"/>
            <w:vAlign w:val="center"/>
          </w:tcPr>
          <w:p>
            <w:pPr>
              <w:pStyle w:val="TableContents"/>
              <w:spacing w:before="0" w:after="283"/>
              <w:rPr>
                <w:sz w:val="4"/>
                <w:szCs w:val="4"/>
              </w:rPr>
            </w:pPr>
            <w:r>
              <w:rPr>
                <w:sz w:val="4"/>
                <w:szCs w:val="4"/>
              </w:rPr>
            </w:r>
          </w:p>
        </w:tc>
      </w:tr>
      <w:tr>
        <w:trPr/>
        <w:tc>
          <w:tcPr>
            <w:tcW w:w="29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5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r>
      <w:tr>
        <w:trPr/>
        <w:tc>
          <w:tcPr>
            <w:tcW w:w="29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5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29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5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6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Man-made tiles</w:t>
            </w:r>
          </w:p>
        </w:tc>
        <w:tc>
          <w:tcPr>
            <w:tcW w:w="109" w:type="dxa"/>
            <w:tcBorders/>
            <w:shd w:fill="CCEEFF" w:val="cle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w:t>
            </w:r>
          </w:p>
        </w:tc>
        <w:tc>
          <w:tcPr>
            <w:tcW w:w="41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6" w:type="dxa"/>
            <w:tcBorders/>
            <w:shd w:fill="CCEEFF" w:val="clear"/>
            <w:vAlign w:val="center"/>
          </w:tcPr>
          <w:p>
            <w:pPr>
              <w:pStyle w:val="TableContents"/>
              <w:spacing w:before="0" w:after="283"/>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c>
        <w:tc>
          <w:tcPr>
            <w:tcW w:w="4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9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Natural stone tiles</w:t>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w:t>
            </w:r>
          </w:p>
        </w:tc>
        <w:tc>
          <w:tcPr>
            <w:tcW w:w="41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484"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Setting and maintenance materials</w:t>
            </w:r>
          </w:p>
        </w:tc>
        <w:tc>
          <w:tcPr>
            <w:tcW w:w="109"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w:t>
            </w:r>
          </w:p>
        </w:tc>
        <w:tc>
          <w:tcPr>
            <w:tcW w:w="415" w:type="dxa"/>
            <w:tcBorders/>
            <w:shd w:fill="CCEEFF" w:val="clear"/>
            <w:vAlign w:val="center"/>
          </w:tcPr>
          <w:p>
            <w:pPr>
              <w:pStyle w:val="TableContents"/>
              <w:spacing w:before="0" w:after="283"/>
              <w:rPr>
                <w:sz w:val="4"/>
                <w:szCs w:val="4"/>
              </w:rPr>
            </w:pPr>
            <w:r>
              <w:rPr>
                <w:sz w:val="4"/>
                <w:szCs w:val="4"/>
              </w:rPr>
            </w:r>
          </w:p>
        </w:tc>
        <w:tc>
          <w:tcPr>
            <w:tcW w:w="166" w:type="dxa"/>
            <w:tcBorders/>
            <w:shd w:fill="CCEEFF" w:val="clear"/>
            <w:vAlign w:val="center"/>
          </w:tcPr>
          <w:p>
            <w:pPr>
              <w:pStyle w:val="TableContents"/>
              <w:spacing w:before="0" w:after="283"/>
              <w:rPr>
                <w:sz w:val="4"/>
                <w:szCs w:val="4"/>
              </w:rPr>
            </w:pPr>
            <w:r>
              <w:rPr>
                <w:sz w:val="4"/>
                <w:szCs w:val="4"/>
              </w:rPr>
            </w:r>
          </w:p>
        </w:tc>
        <w:tc>
          <w:tcPr>
            <w:tcW w:w="6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c>
          <w:tcPr>
            <w:tcW w:w="484" w:type="dxa"/>
            <w:tcBorders/>
            <w:shd w:fill="CCEEFF"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Accessories</w:t>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1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484"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Delivery service</w:t>
            </w:r>
          </w:p>
        </w:tc>
        <w:tc>
          <w:tcPr>
            <w:tcW w:w="109" w:type="dxa"/>
            <w:tcBorders/>
            <w:shd w:fill="CCEEFF" w:val="clear"/>
            <w:vAlign w:val="center"/>
          </w:tcPr>
          <w:p>
            <w:pPr>
              <w:pStyle w:val="TableContents"/>
              <w:spacing w:before="0" w:after="283"/>
              <w:rPr>
                <w:sz w:val="4"/>
                <w:szCs w:val="4"/>
              </w:rPr>
            </w:pPr>
            <w:r>
              <w:rPr>
                <w:sz w:val="4"/>
                <w:szCs w:val="4"/>
              </w:rPr>
            </w:r>
          </w:p>
        </w:tc>
        <w:tc>
          <w:tcPr>
            <w:tcW w:w="6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1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66" w:type="dxa"/>
            <w:tcBorders/>
            <w:shd w:fill="CCEEFF" w:val="clear"/>
            <w:vAlign w:val="center"/>
          </w:tcPr>
          <w:p>
            <w:pPr>
              <w:pStyle w:val="TableContents"/>
              <w:spacing w:before="0" w:after="283"/>
              <w:rPr>
                <w:sz w:val="4"/>
                <w:szCs w:val="4"/>
              </w:rPr>
            </w:pPr>
            <w:r>
              <w:rPr>
                <w:sz w:val="4"/>
                <w:szCs w:val="4"/>
              </w:rPr>
            </w:r>
          </w:p>
        </w:tc>
        <w:tc>
          <w:tcPr>
            <w:tcW w:w="6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484"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1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66" w:type="dxa"/>
            <w:tcBorders/>
            <w:shd w:fill="auto" w:val="clear"/>
            <w:vAlign w:val="center"/>
          </w:tcPr>
          <w:p>
            <w:pPr>
              <w:pStyle w:val="TableContents"/>
              <w:spacing w:before="0" w:after="283"/>
              <w:rPr>
                <w:sz w:val="4"/>
                <w:szCs w:val="4"/>
              </w:rPr>
            </w:pPr>
            <w:r>
              <w:rPr>
                <w:sz w:val="4"/>
                <w:szCs w:val="4"/>
              </w:rPr>
            </w:r>
          </w:p>
        </w:tc>
        <w:tc>
          <w:tcPr>
            <w:tcW w:w="64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w:t>
            </w:r>
          </w:p>
        </w:tc>
        <w:tc>
          <w:tcPr>
            <w:tcW w:w="48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Revenue recognized when an order is placed – If a customer places an order in a store and the contents of their order are available, the Company recognizes revenue concurrent with the exchange of goods for consideration from the customer. </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$14.1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March 31, 2023 and December 31, 2022, respectively. Revenues recognized during the three months ended March 31, 2023 that were included in the customer deposit balance as of the beginning of the period were $8.6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extends financing to qualified professional customers who apply for credit. Customers who qualify for an account receive 30-day payment terms. The accounts receivable balance was $3.8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r>
        <w:rPr>
          <w:rFonts w:ascii="Times New Roman;serif" w:hAnsi="Times New Roman;serif"/>
          <w:b w:val="false"/>
          <w:i w:val="false"/>
          <w:caps w:val="false"/>
          <w:smallCaps w:val="false"/>
          <w:color w:val="000000"/>
          <w:sz w:val="20"/>
        </w:rPr>
        <w:t>and $3.4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at March 31, 2023 and December 31, 2022, respectively.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Company expects that the customer will pay for the goods and services ordered within one year from the date the order is placed. Accordingly, the Company does not adjust the promised amount of consideration for the effects of the financing component.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Sheets as of March 31, 2023 and December 31, 2022 were as follows:</w:t>
      </w:r>
    </w:p>
    <w:tbl>
      <w:tblPr>
        <w:tblW w:w="5094" w:type="dxa"/>
        <w:jc w:val="left"/>
        <w:tblInd w:w="0" w:type="dxa"/>
        <w:tblCellMar>
          <w:top w:w="0" w:type="dxa"/>
          <w:left w:w="0" w:type="dxa"/>
          <w:bottom w:w="0" w:type="dxa"/>
          <w:right w:w="0" w:type="dxa"/>
        </w:tblCellMar>
      </w:tblPr>
      <w:tblGrid>
        <w:gridCol w:w="2686"/>
        <w:gridCol w:w="109"/>
        <w:gridCol w:w="251"/>
        <w:gridCol w:w="679"/>
        <w:gridCol w:w="109"/>
        <w:gridCol w:w="321"/>
        <w:gridCol w:w="939"/>
      </w:tblGrid>
      <w:tr>
        <w:trPr/>
        <w:tc>
          <w:tcPr>
            <w:tcW w:w="26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1" w:type="dxa"/>
            <w:tcBorders/>
            <w:shd w:fill="FFFFFF" w:val="clear"/>
            <w:vAlign w:val="center"/>
          </w:tcPr>
          <w:p>
            <w:pPr>
              <w:pStyle w:val="TableContents"/>
              <w:spacing w:before="0" w:after="283"/>
              <w:rPr>
                <w:sz w:val="4"/>
                <w:szCs w:val="4"/>
              </w:rPr>
            </w:pPr>
            <w:r>
              <w:rPr>
                <w:sz w:val="4"/>
                <w:szCs w:val="4"/>
              </w:rPr>
            </w:r>
          </w:p>
        </w:tc>
        <w:tc>
          <w:tcPr>
            <w:tcW w:w="67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1" w:type="dxa"/>
            <w:tcBorders/>
            <w:shd w:fill="FFFFFF" w:val="clear"/>
            <w:vAlign w:val="center"/>
          </w:tcPr>
          <w:p>
            <w:pPr>
              <w:pStyle w:val="TableContents"/>
              <w:spacing w:before="0" w:after="283"/>
              <w:rPr>
                <w:sz w:val="4"/>
                <w:szCs w:val="4"/>
              </w:rPr>
            </w:pPr>
            <w:r>
              <w:rPr>
                <w:sz w:val="4"/>
                <w:szCs w:val="4"/>
              </w:rPr>
            </w:r>
          </w:p>
        </w:tc>
        <w:tc>
          <w:tcPr>
            <w:tcW w:w="939" w:type="dxa"/>
            <w:tcBorders/>
            <w:shd w:fill="FFFFFF" w:val="clear"/>
            <w:vAlign w:val="center"/>
          </w:tcPr>
          <w:p>
            <w:pPr>
              <w:pStyle w:val="TableContents"/>
              <w:spacing w:before="0" w:after="283"/>
              <w:rPr>
                <w:sz w:val="4"/>
                <w:szCs w:val="4"/>
              </w:rPr>
            </w:pPr>
            <w:r>
              <w:rPr>
                <w:sz w:val="4"/>
                <w:szCs w:val="4"/>
              </w:rPr>
            </w:r>
          </w:p>
        </w:tc>
      </w:tr>
      <w:tr>
        <w:trPr/>
        <w:tc>
          <w:tcPr>
            <w:tcW w:w="26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9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6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spacing w:before="0" w:after="283"/>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68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spacing w:before="0" w:after="283"/>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accrued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5,418</w:t>
            </w:r>
          </w:p>
        </w:tc>
        <w:tc>
          <w:tcPr>
            <w:tcW w:w="109" w:type="dxa"/>
            <w:tcBorders/>
            <w:shd w:fill="CCEEFF" w:val="cle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4,993</w:t>
            </w:r>
          </w:p>
        </w:tc>
      </w:tr>
      <w:tr>
        <w:trPr/>
        <w:tc>
          <w:tcPr>
            <w:tcW w:w="268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assets</w:t>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67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1,864</w:t>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39"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1,687</w:t>
            </w:r>
          </w:p>
        </w:tc>
      </w:tr>
      <w:tr>
        <w:trPr/>
        <w:tc>
          <w:tcPr>
            <w:tcW w:w="26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 net</w:t>
            </w:r>
          </w:p>
        </w:tc>
        <w:tc>
          <w:tcPr>
            <w:tcW w:w="109" w:type="dxa"/>
            <w:tcBorders/>
            <w:shd w:fill="CCEEFF" w:val="clear"/>
            <w:vAlign w:val="center"/>
          </w:tcPr>
          <w:p>
            <w:pPr>
              <w:pStyle w:val="TableContents"/>
              <w:spacing w:before="0" w:after="283"/>
              <w:rPr>
                <w:sz w:val="4"/>
                <w:szCs w:val="4"/>
              </w:rPr>
            </w:pPr>
            <w:r>
              <w:rPr>
                <w:sz w:val="4"/>
                <w:szCs w:val="4"/>
              </w:rPr>
            </w:r>
          </w:p>
        </w:tc>
        <w:tc>
          <w:tcPr>
            <w:tcW w:w="2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3,554</w:t>
            </w:r>
          </w:p>
        </w:tc>
        <w:tc>
          <w:tcPr>
            <w:tcW w:w="109" w:type="dxa"/>
            <w:tcBorders/>
            <w:shd w:fill="CCEEFF" w:val="clear"/>
            <w:vAlign w:val="center"/>
          </w:tcPr>
          <w:p>
            <w:pPr>
              <w:pStyle w:val="TableContents"/>
              <w:spacing w:before="0" w:after="283"/>
              <w:rPr>
                <w:sz w:val="4"/>
                <w:szCs w:val="4"/>
              </w:rPr>
            </w:pPr>
            <w:r>
              <w:rPr>
                <w:sz w:val="4"/>
                <w:szCs w:val="4"/>
              </w:rPr>
            </w:r>
          </w:p>
        </w:tc>
        <w:tc>
          <w:tcPr>
            <w:tcW w:w="3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3: Inventories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are stated at the lower of cost (determined using the moving average cost method) or net realizable value. Inventories consist primarily of merchandise held for sale. Inventories were comprised of the following as of March 31, 2023 and December 31, 2022:</w:t>
      </w:r>
    </w:p>
    <w:tbl>
      <w:tblPr>
        <w:tblW w:w="3836" w:type="dxa"/>
        <w:jc w:val="left"/>
        <w:tblInd w:w="0" w:type="dxa"/>
        <w:tblCellMar>
          <w:top w:w="0" w:type="dxa"/>
          <w:left w:w="0" w:type="dxa"/>
          <w:bottom w:w="0" w:type="dxa"/>
          <w:right w:w="0" w:type="dxa"/>
        </w:tblCellMar>
      </w:tblPr>
      <w:tblGrid>
        <w:gridCol w:w="1366"/>
        <w:gridCol w:w="109"/>
        <w:gridCol w:w="211"/>
        <w:gridCol w:w="781"/>
        <w:gridCol w:w="109"/>
        <w:gridCol w:w="256"/>
        <w:gridCol w:w="1004"/>
      </w:tblGrid>
      <w:tr>
        <w:trPr/>
        <w:tc>
          <w:tcPr>
            <w:tcW w:w="13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vAlign w:val="center"/>
          </w:tcPr>
          <w:p>
            <w:pPr>
              <w:pStyle w:val="TableContents"/>
              <w:spacing w:before="0" w:after="283"/>
              <w:rPr>
                <w:sz w:val="4"/>
                <w:szCs w:val="4"/>
              </w:rPr>
            </w:pPr>
            <w:r>
              <w:rPr>
                <w:sz w:val="4"/>
                <w:szCs w:val="4"/>
              </w:rPr>
            </w:r>
          </w:p>
        </w:tc>
        <w:tc>
          <w:tcPr>
            <w:tcW w:w="1004" w:type="dxa"/>
            <w:tcBorders/>
            <w:shd w:fill="FFFFFF" w:val="clear"/>
            <w:vAlign w:val="center"/>
          </w:tcPr>
          <w:p>
            <w:pPr>
              <w:pStyle w:val="TableContents"/>
              <w:spacing w:before="0" w:after="283"/>
              <w:rPr>
                <w:sz w:val="4"/>
                <w:szCs w:val="4"/>
              </w:rPr>
            </w:pPr>
            <w:r>
              <w:rPr>
                <w:sz w:val="4"/>
                <w:szCs w:val="4"/>
              </w:rPr>
            </w:r>
          </w:p>
        </w:tc>
      </w:tr>
      <w:tr>
        <w:trPr/>
        <w:tc>
          <w:tcPr>
            <w:tcW w:w="13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6" w:type="dxa"/>
            <w:tcBorders/>
            <w:shd w:fill="FFFFFF" w:val="clear"/>
            <w:vAlign w:val="center"/>
          </w:tcPr>
          <w:p>
            <w:pPr>
              <w:pStyle w:val="TableContents"/>
              <w:spacing w:before="0" w:after="283"/>
              <w:rPr>
                <w:sz w:val="4"/>
                <w:szCs w:val="4"/>
              </w:rPr>
            </w:pPr>
            <w:r>
              <w:rPr>
                <w:sz w:val="4"/>
                <w:szCs w:val="4"/>
              </w:rPr>
            </w:r>
          </w:p>
        </w:tc>
        <w:tc>
          <w:tcPr>
            <w:tcW w:w="1004" w:type="dxa"/>
            <w:tcBorders/>
            <w:shd w:fill="FFFFFF" w:val="clear"/>
            <w:vAlign w:val="center"/>
          </w:tcPr>
          <w:p>
            <w:pPr>
              <w:pStyle w:val="TableContents"/>
              <w:spacing w:before="0" w:after="283"/>
              <w:rPr>
                <w:sz w:val="4"/>
                <w:szCs w:val="4"/>
              </w:rPr>
            </w:pPr>
            <w:r>
              <w:rPr>
                <w:sz w:val="4"/>
                <w:szCs w:val="4"/>
              </w:rPr>
            </w:r>
          </w:p>
        </w:tc>
      </w:tr>
      <w:tr>
        <w:trPr/>
        <w:tc>
          <w:tcPr>
            <w:tcW w:w="13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361"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13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spacing w:before="0" w:after="283"/>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13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spacing w:before="0" w:after="283"/>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Finished goods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114,002</w:t>
            </w:r>
          </w:p>
        </w:tc>
        <w:tc>
          <w:tcPr>
            <w:tcW w:w="109" w:type="dxa"/>
            <w:tcBorders/>
            <w:shd w:fill="CCEEFF" w:val="cle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119,517</w:t>
            </w:r>
          </w:p>
        </w:tc>
      </w:tr>
      <w:tr>
        <w:trPr/>
        <w:tc>
          <w:tcPr>
            <w:tcW w:w="13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Raw materials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1,478</w:t>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04"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1,435</w:t>
            </w:r>
          </w:p>
        </w:tc>
      </w:tr>
      <w:tr>
        <w:trPr/>
        <w:tc>
          <w:tcPr>
            <w:tcW w:w="1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Total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115,480</w:t>
            </w:r>
          </w:p>
        </w:tc>
        <w:tc>
          <w:tcPr>
            <w:tcW w:w="109" w:type="dxa"/>
            <w:tcBorders/>
            <w:shd w:fill="CCEEFF" w:val="clear"/>
            <w:vAlign w:val="center"/>
          </w:tcPr>
          <w:p>
            <w:pPr>
              <w:pStyle w:val="TableContents"/>
              <w:spacing w:before="0" w:after="283"/>
              <w:rPr>
                <w:sz w:val="4"/>
                <w:szCs w:val="4"/>
              </w:rPr>
            </w:pPr>
            <w:r>
              <w:rPr>
                <w:sz w:val="4"/>
                <w:szCs w:val="4"/>
              </w:rPr>
            </w:r>
          </w:p>
        </w:tc>
        <w:tc>
          <w:tcPr>
            <w:tcW w:w="2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120,952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March 31, 2023 and December 31, 2022, respectively. </w:t>
      </w:r>
    </w:p>
    <w:p>
      <w:pPr>
        <w:pStyle w:val="TextBody"/>
        <w:bidi w:val="0"/>
        <w:spacing w:lineRule="auto" w:line="259"/>
        <w:rPr>
          <w:rFonts w:ascii="Times New Roman;serif" w:hAnsi="Times New Roman;serif"/>
          <w:b/>
          <w:i w:val="false"/>
          <w:caps w:val="false"/>
          <w:smallCaps w:val="false"/>
          <w:sz w:val="20"/>
        </w:rPr>
      </w:pPr>
      <w:bookmarkStart w:id="15" w:name="_Hlk116897468"/>
      <w:bookmarkEnd w:id="15"/>
      <w:r>
        <w:rPr>
          <w:rFonts w:ascii="Times New Roman;serif" w:hAnsi="Times New Roman;serif"/>
          <w:b/>
          <w:i w:val="false"/>
          <w:caps w:val="false"/>
          <w:smallCaps w:val="false"/>
          <w:sz w:val="20"/>
        </w:rPr>
        <w:t>Note 4: Income Taxes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the three months ended March 31, 2023 and 2022, the provision for income taxes was $0.8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The decrease in the provision for income taxes was due to a decrease in pretax income. The Company’s effective tax rate was 24.5% and 21.4% during the three months ended March 31, 2023 and 2022, respectively. The increase in the effective tax rate was largely due to a decrease in the tax benefit associated with employee equity award vestings that occurred during the first quarter of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records interest and penalties relating to uncertain tax positions in income tax expense. As of both March 31, 2023 and 2022, the Company had not recognized any liabilities for uncertain tax positions, nor had interest and penalties related to uncertain tax positions been accrued.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bookmarkStart w:id="16" w:name="_contentSection_60a5fc31_33a6_4e18_9dcb_"/>
      <w:bookmarkEnd w:id="16"/>
      <w:r>
        <w:rPr>
          <w:rFonts w:ascii="Times New Roman;serif" w:hAnsi="Times New Roman;serif"/>
          <w:b w:val="false"/>
          <w:i w:val="false"/>
          <w:caps w:val="false"/>
          <w:smallCaps w:val="false"/>
          <w:sz w:val="20"/>
        </w:rPr>
        <w:t>9</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5: Earnings Per Share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Basic and diluted earnings per share were calculated as follows: </w:t>
      </w:r>
    </w:p>
    <w:tbl>
      <w:tblPr>
        <w:tblW w:w="9469" w:type="dxa"/>
        <w:jc w:val="left"/>
        <w:tblInd w:w="0" w:type="dxa"/>
        <w:tblCellMar>
          <w:top w:w="0" w:type="dxa"/>
          <w:left w:w="0" w:type="dxa"/>
          <w:bottom w:w="0" w:type="dxa"/>
          <w:right w:w="0" w:type="dxa"/>
        </w:tblCellMar>
      </w:tblPr>
      <w:tblGrid>
        <w:gridCol w:w="5671"/>
        <w:gridCol w:w="109"/>
        <w:gridCol w:w="294"/>
        <w:gridCol w:w="1444"/>
        <w:gridCol w:w="151"/>
        <w:gridCol w:w="294"/>
        <w:gridCol w:w="1506"/>
      </w:tblGrid>
      <w:tr>
        <w:trPr/>
        <w:tc>
          <w:tcPr>
            <w:tcW w:w="56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94" w:type="dxa"/>
            <w:tcBorders/>
            <w:shd w:fill="FFFFFF" w:val="clear"/>
            <w:vAlign w:val="center"/>
          </w:tcPr>
          <w:p>
            <w:pPr>
              <w:pStyle w:val="TableContents"/>
              <w:spacing w:before="0" w:after="283"/>
              <w:rPr>
                <w:sz w:val="4"/>
                <w:szCs w:val="4"/>
              </w:rPr>
            </w:pPr>
            <w:r>
              <w:rPr>
                <w:sz w:val="4"/>
                <w:szCs w:val="4"/>
              </w:rPr>
            </w:r>
          </w:p>
        </w:tc>
        <w:tc>
          <w:tcPr>
            <w:tcW w:w="1444" w:type="dxa"/>
            <w:tcBorders/>
            <w:shd w:fill="FFFFFF" w:val="clear"/>
            <w:vAlign w:val="center"/>
          </w:tcPr>
          <w:p>
            <w:pPr>
              <w:pStyle w:val="TableContents"/>
              <w:spacing w:before="0" w:after="283"/>
              <w:rPr>
                <w:sz w:val="4"/>
                <w:szCs w:val="4"/>
              </w:rPr>
            </w:pPr>
            <w:r>
              <w:rPr>
                <w:sz w:val="4"/>
                <w:szCs w:val="4"/>
              </w:rPr>
            </w:r>
          </w:p>
        </w:tc>
        <w:tc>
          <w:tcPr>
            <w:tcW w:w="151" w:type="dxa"/>
            <w:tcBorders/>
            <w:shd w:fill="FFFFFF" w:val="clear"/>
            <w:vAlign w:val="center"/>
          </w:tcPr>
          <w:p>
            <w:pPr>
              <w:pStyle w:val="TableContents"/>
              <w:spacing w:before="0" w:after="283"/>
              <w:rPr>
                <w:sz w:val="4"/>
                <w:szCs w:val="4"/>
              </w:rPr>
            </w:pPr>
            <w:r>
              <w:rPr>
                <w:sz w:val="4"/>
                <w:szCs w:val="4"/>
              </w:rPr>
            </w:r>
          </w:p>
        </w:tc>
        <w:tc>
          <w:tcPr>
            <w:tcW w:w="294" w:type="dxa"/>
            <w:tcBorders/>
            <w:shd w:fill="FFFFFF" w:val="clear"/>
            <w:vAlign w:val="center"/>
          </w:tcPr>
          <w:p>
            <w:pPr>
              <w:pStyle w:val="TableContents"/>
              <w:spacing w:before="0" w:after="283"/>
              <w:rPr>
                <w:sz w:val="4"/>
                <w:szCs w:val="4"/>
              </w:rPr>
            </w:pPr>
            <w:r>
              <w:rPr>
                <w:sz w:val="4"/>
                <w:szCs w:val="4"/>
              </w:rPr>
            </w:r>
          </w:p>
        </w:tc>
        <w:tc>
          <w:tcPr>
            <w:tcW w:w="1506" w:type="dxa"/>
            <w:tcBorders/>
            <w:shd w:fill="FFFFFF" w:val="clear"/>
            <w:vAlign w:val="center"/>
          </w:tcPr>
          <w:p>
            <w:pPr>
              <w:pStyle w:val="TableContents"/>
              <w:spacing w:before="0" w:after="283"/>
              <w:rPr>
                <w:sz w:val="4"/>
                <w:szCs w:val="4"/>
              </w:rPr>
            </w:pPr>
            <w:r>
              <w:rPr>
                <w:sz w:val="4"/>
                <w:szCs w:val="4"/>
              </w:rPr>
            </w:r>
          </w:p>
        </w:tc>
      </w:tr>
      <w:tr>
        <w:trPr/>
        <w:tc>
          <w:tcPr>
            <w:tcW w:w="56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8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(dollars in thousands, except per share data)</w:t>
            </w:r>
          </w:p>
        </w:tc>
      </w:tr>
      <w:tr>
        <w:trPr/>
        <w:tc>
          <w:tcPr>
            <w:tcW w:w="56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8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the three months ended</w:t>
            </w:r>
          </w:p>
        </w:tc>
      </w:tr>
      <w:tr>
        <w:trPr/>
        <w:tc>
          <w:tcPr>
            <w:tcW w:w="56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689"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56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738"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5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80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109" w:type="dxa"/>
            <w:tcBorders/>
            <w:shd w:fill="CCEEFF"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51" w:type="dxa"/>
            <w:tcBorders/>
            <w:shd w:fill="CCEEFF"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3,513</w:t>
            </w:r>
          </w:p>
        </w:tc>
      </w:tr>
      <w:tr>
        <w:trPr/>
        <w:tc>
          <w:tcPr>
            <w:tcW w:w="56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43,237,856</w:t>
            </w:r>
          </w:p>
        </w:tc>
        <w:tc>
          <w:tcPr>
            <w:tcW w:w="15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50,713,809</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dilutive securities attributable to stock based awards</w:t>
            </w:r>
          </w:p>
        </w:tc>
        <w:tc>
          <w:tcPr>
            <w:tcW w:w="109" w:type="dxa"/>
            <w:tcBorders/>
            <w:shd w:fill="CCEEFF" w:val="clear"/>
            <w:vAlign w:val="center"/>
          </w:tcPr>
          <w:p>
            <w:pPr>
              <w:pStyle w:val="TableContents"/>
              <w:spacing w:before="0" w:after="283"/>
              <w:rPr>
                <w:sz w:val="4"/>
                <w:szCs w:val="4"/>
              </w:rPr>
            </w:pPr>
            <w:r>
              <w:rPr>
                <w:sz w:val="4"/>
                <w:szCs w:val="4"/>
              </w:rPr>
            </w:r>
          </w:p>
        </w:tc>
        <w:tc>
          <w:tcPr>
            <w:tcW w:w="294"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444"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272,137</w:t>
            </w:r>
          </w:p>
        </w:tc>
        <w:tc>
          <w:tcPr>
            <w:tcW w:w="151" w:type="dxa"/>
            <w:tcBorders/>
            <w:shd w:fill="CCEEFF" w:val="clear"/>
            <w:vAlign w:val="center"/>
          </w:tcPr>
          <w:p>
            <w:pPr>
              <w:pStyle w:val="TableContents"/>
              <w:spacing w:before="0" w:after="283"/>
              <w:rPr>
                <w:sz w:val="4"/>
                <w:szCs w:val="4"/>
              </w:rPr>
            </w:pPr>
            <w:r>
              <w:rPr>
                <w:sz w:val="4"/>
                <w:szCs w:val="4"/>
              </w:rPr>
            </w:r>
          </w:p>
        </w:tc>
        <w:tc>
          <w:tcPr>
            <w:tcW w:w="294"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50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449,082</w:t>
            </w:r>
          </w:p>
        </w:tc>
      </w:tr>
      <w:tr>
        <w:trPr/>
        <w:tc>
          <w:tcPr>
            <w:tcW w:w="56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444"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43,509,993</w:t>
            </w:r>
          </w:p>
        </w:tc>
        <w:tc>
          <w:tcPr>
            <w:tcW w:w="151"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bottom w:val="single" w:sz="8"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1506" w:type="dxa"/>
            <w:tcBorders>
              <w:top w:val="single" w:sz="8" w:space="0" w:color="000000"/>
              <w:bottom w:val="single" w:sz="8"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51,162,891</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per common share:</w:t>
            </w:r>
          </w:p>
        </w:tc>
        <w:tc>
          <w:tcPr>
            <w:tcW w:w="109" w:type="dxa"/>
            <w:tcBorders/>
            <w:shd w:fill="CCEEFF"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44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51" w:type="dxa"/>
            <w:tcBorders/>
            <w:shd w:fill="CCEEFF"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50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56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0.06</w:t>
            </w:r>
          </w:p>
        </w:tc>
        <w:tc>
          <w:tcPr>
            <w:tcW w:w="15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r>
      <w:tr>
        <w:trPr/>
        <w:tc>
          <w:tcPr>
            <w:tcW w:w="5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Diluted</w:t>
            </w:r>
          </w:p>
        </w:tc>
        <w:tc>
          <w:tcPr>
            <w:tcW w:w="109" w:type="dxa"/>
            <w:tcBorders/>
            <w:shd w:fill="CCEEFF" w:val="clear"/>
            <w:vAlign w:val="center"/>
          </w:tcPr>
          <w:p>
            <w:pPr>
              <w:pStyle w:val="TableContents"/>
              <w:spacing w:before="0" w:after="283"/>
              <w:rPr>
                <w:sz w:val="4"/>
                <w:szCs w:val="4"/>
              </w:rPr>
            </w:pPr>
            <w:r>
              <w:rPr>
                <w:sz w:val="4"/>
                <w:szCs w:val="4"/>
              </w:rPr>
            </w:r>
          </w:p>
        </w:tc>
        <w:tc>
          <w:tcPr>
            <w:tcW w:w="2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0.06</w:t>
            </w:r>
          </w:p>
        </w:tc>
        <w:tc>
          <w:tcPr>
            <w:tcW w:w="151" w:type="dxa"/>
            <w:tcBorders/>
            <w:shd w:fill="CCEEFF" w:val="clear"/>
            <w:vAlign w:val="center"/>
          </w:tcPr>
          <w:p>
            <w:pPr>
              <w:pStyle w:val="TableContents"/>
              <w:spacing w:before="0" w:after="283"/>
              <w:rPr>
                <w:sz w:val="4"/>
                <w:szCs w:val="4"/>
              </w:rPr>
            </w:pPr>
            <w:r>
              <w:rPr>
                <w:sz w:val="4"/>
                <w:szCs w:val="4"/>
              </w:rPr>
            </w:r>
          </w:p>
        </w:tc>
        <w:tc>
          <w:tcPr>
            <w:tcW w:w="2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0.07</w:t>
            </w:r>
          </w:p>
        </w:tc>
      </w:tr>
      <w:tr>
        <w:trPr/>
        <w:tc>
          <w:tcPr>
            <w:tcW w:w="56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Anti-dilutive securities excluded from earnings per share calculation</w:t>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720,701</w:t>
            </w:r>
          </w:p>
        </w:tc>
        <w:tc>
          <w:tcPr>
            <w:tcW w:w="15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50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970,727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6: Other Accrued Liabilities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accrued liabilities consisted of the following: </w:t>
      </w:r>
    </w:p>
    <w:tbl>
      <w:tblPr>
        <w:tblW w:w="4929" w:type="dxa"/>
        <w:jc w:val="left"/>
        <w:tblInd w:w="0" w:type="dxa"/>
        <w:tblCellMar>
          <w:top w:w="0" w:type="dxa"/>
          <w:left w:w="0" w:type="dxa"/>
          <w:bottom w:w="0" w:type="dxa"/>
          <w:right w:w="0" w:type="dxa"/>
        </w:tblCellMar>
      </w:tblPr>
      <w:tblGrid>
        <w:gridCol w:w="2521"/>
        <w:gridCol w:w="109"/>
        <w:gridCol w:w="221"/>
        <w:gridCol w:w="709"/>
        <w:gridCol w:w="109"/>
        <w:gridCol w:w="284"/>
        <w:gridCol w:w="976"/>
      </w:tblGrid>
      <w:tr>
        <w:trPr/>
        <w:tc>
          <w:tcPr>
            <w:tcW w:w="25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7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4" w:type="dxa"/>
            <w:tcBorders/>
            <w:shd w:fill="FFFFFF" w:val="clear"/>
            <w:vAlign w:val="center"/>
          </w:tcPr>
          <w:p>
            <w:pPr>
              <w:pStyle w:val="TableContents"/>
              <w:spacing w:before="0" w:after="283"/>
              <w:rPr>
                <w:sz w:val="4"/>
                <w:szCs w:val="4"/>
              </w:rPr>
            </w:pPr>
            <w:r>
              <w:rPr>
                <w:sz w:val="4"/>
                <w:szCs w:val="4"/>
              </w:rPr>
            </w:r>
          </w:p>
        </w:tc>
        <w:tc>
          <w:tcPr>
            <w:tcW w:w="976" w:type="dxa"/>
            <w:tcBorders/>
            <w:shd w:fill="FFFFFF" w:val="clear"/>
            <w:vAlign w:val="center"/>
          </w:tcPr>
          <w:p>
            <w:pPr>
              <w:pStyle w:val="TableContents"/>
              <w:spacing w:before="0" w:after="283"/>
              <w:rPr>
                <w:sz w:val="4"/>
                <w:szCs w:val="4"/>
              </w:rPr>
            </w:pPr>
            <w:r>
              <w:rPr>
                <w:sz w:val="4"/>
                <w:szCs w:val="4"/>
              </w:rPr>
            </w:r>
          </w:p>
        </w:tc>
      </w:tr>
      <w:tr>
        <w:trPr/>
        <w:tc>
          <w:tcPr>
            <w:tcW w:w="25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1" w:type="dxa"/>
            <w:tcBorders/>
            <w:shd w:fill="FFFFFF" w:val="clear"/>
            <w:vAlign w:val="center"/>
          </w:tcPr>
          <w:p>
            <w:pPr>
              <w:pStyle w:val="TableContents"/>
              <w:spacing w:before="0" w:after="283"/>
              <w:rPr>
                <w:sz w:val="4"/>
                <w:szCs w:val="4"/>
              </w:rPr>
            </w:pPr>
            <w:r>
              <w:rPr>
                <w:sz w:val="4"/>
                <w:szCs w:val="4"/>
              </w:rPr>
            </w:r>
          </w:p>
        </w:tc>
        <w:tc>
          <w:tcPr>
            <w:tcW w:w="70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4" w:type="dxa"/>
            <w:tcBorders/>
            <w:shd w:fill="FFFFFF" w:val="clear"/>
            <w:vAlign w:val="center"/>
          </w:tcPr>
          <w:p>
            <w:pPr>
              <w:pStyle w:val="TableContents"/>
              <w:spacing w:before="0" w:after="283"/>
              <w:rPr>
                <w:sz w:val="4"/>
                <w:szCs w:val="4"/>
              </w:rPr>
            </w:pPr>
            <w:r>
              <w:rPr>
                <w:sz w:val="4"/>
                <w:szCs w:val="4"/>
              </w:rPr>
            </w:r>
          </w:p>
        </w:tc>
        <w:tc>
          <w:tcPr>
            <w:tcW w:w="976" w:type="dxa"/>
            <w:tcBorders/>
            <w:shd w:fill="FFFFFF" w:val="clear"/>
            <w:vAlign w:val="center"/>
          </w:tcPr>
          <w:p>
            <w:pPr>
              <w:pStyle w:val="TableContents"/>
              <w:spacing w:before="0" w:after="283"/>
              <w:rPr>
                <w:sz w:val="4"/>
                <w:szCs w:val="4"/>
              </w:rPr>
            </w:pPr>
            <w:r>
              <w:rPr>
                <w:sz w:val="4"/>
                <w:szCs w:val="4"/>
              </w:rPr>
            </w:r>
          </w:p>
        </w:tc>
      </w:tr>
      <w:tr>
        <w:trPr/>
        <w:tc>
          <w:tcPr>
            <w:tcW w:w="25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29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5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109" w:type="dxa"/>
            <w:tcBorders/>
            <w:shd w:fill="FFFFFF" w:val="clear"/>
            <w:vAlign w:val="center"/>
          </w:tcPr>
          <w:p>
            <w:pPr>
              <w:pStyle w:val="TableContents"/>
              <w:spacing w:before="0" w:after="283"/>
              <w:rPr>
                <w:sz w:val="4"/>
                <w:szCs w:val="4"/>
              </w:rPr>
            </w:pPr>
            <w:r>
              <w:rPr>
                <w:sz w:val="4"/>
                <w:szCs w:val="4"/>
              </w:rPr>
            </w:r>
          </w:p>
        </w:tc>
        <w:tc>
          <w:tcPr>
            <w:tcW w:w="1260" w:type="dxa"/>
            <w:gridSpan w:val="2"/>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w:t>
            </w:r>
          </w:p>
        </w:tc>
      </w:tr>
      <w:tr>
        <w:trPr/>
        <w:tc>
          <w:tcPr>
            <w:tcW w:w="252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3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spacing w:before="0" w:after="283"/>
              <w:rPr>
                <w:sz w:val="4"/>
                <w:szCs w:val="4"/>
              </w:rPr>
            </w:pPr>
            <w:r>
              <w:rPr>
                <w:sz w:val="4"/>
                <w:szCs w:val="4"/>
              </w:rPr>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Customer deposits</w:t>
            </w:r>
          </w:p>
        </w:tc>
        <w:tc>
          <w:tcPr>
            <w:tcW w:w="109" w:type="dxa"/>
            <w:tcBorders/>
            <w:shd w:fill="CCEEFF" w:val="cle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14,078</w:t>
            </w:r>
          </w:p>
        </w:tc>
        <w:tc>
          <w:tcPr>
            <w:tcW w:w="109" w:type="dxa"/>
            <w:tcBorders/>
            <w:shd w:fill="CCEEFF" w:val="cle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11,315</w:t>
            </w:r>
          </w:p>
        </w:tc>
      </w:tr>
      <w:tr>
        <w:trPr/>
        <w:tc>
          <w:tcPr>
            <w:tcW w:w="252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Sales returns reserve</w:t>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5,418</w:t>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4,993</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wages and salaries</w:t>
            </w:r>
          </w:p>
        </w:tc>
        <w:tc>
          <w:tcPr>
            <w:tcW w:w="109" w:type="dxa"/>
            <w:tcBorders/>
            <w:shd w:fill="CCEEFF" w:val="clear"/>
            <w:vAlign w:val="center"/>
          </w:tcPr>
          <w:p>
            <w:pPr>
              <w:pStyle w:val="TableContents"/>
              <w:spacing w:before="0" w:after="283"/>
              <w:rPr>
                <w:sz w:val="4"/>
                <w:szCs w:val="4"/>
              </w:rPr>
            </w:pPr>
            <w:r>
              <w:rPr>
                <w:sz w:val="4"/>
                <w:szCs w:val="4"/>
              </w:rPr>
            </w:r>
          </w:p>
        </w:tc>
        <w:tc>
          <w:tcPr>
            <w:tcW w:w="221" w:type="dxa"/>
            <w:tcBorders/>
            <w:shd w:fill="CCEEFF" w:val="clear"/>
            <w:vAlign w:val="center"/>
          </w:tcPr>
          <w:p>
            <w:pPr>
              <w:pStyle w:val="TableContents"/>
              <w:spacing w:before="0" w:after="283"/>
              <w:rPr>
                <w:sz w:val="4"/>
                <w:szCs w:val="4"/>
              </w:rPr>
            </w:pPr>
            <w:r>
              <w:rPr>
                <w:sz w:val="4"/>
                <w:szCs w:val="4"/>
              </w:rPr>
            </w:r>
          </w:p>
        </w:tc>
        <w:tc>
          <w:tcPr>
            <w:tcW w:w="70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7,145</w:t>
            </w:r>
          </w:p>
        </w:tc>
        <w:tc>
          <w:tcPr>
            <w:tcW w:w="109" w:type="dxa"/>
            <w:tcBorders/>
            <w:shd w:fill="CCEEFF" w:val="clear"/>
            <w:vAlign w:val="center"/>
          </w:tcPr>
          <w:p>
            <w:pPr>
              <w:pStyle w:val="TableContents"/>
              <w:spacing w:before="0" w:after="283"/>
              <w:rPr>
                <w:sz w:val="4"/>
                <w:szCs w:val="4"/>
              </w:rPr>
            </w:pPr>
            <w:r>
              <w:rPr>
                <w:sz w:val="4"/>
                <w:szCs w:val="4"/>
              </w:rPr>
            </w:r>
          </w:p>
        </w:tc>
        <w:tc>
          <w:tcPr>
            <w:tcW w:w="284" w:type="dxa"/>
            <w:tcBorders/>
            <w:shd w:fill="CCEEFF" w:val="clear"/>
            <w:vAlign w:val="center"/>
          </w:tcPr>
          <w:p>
            <w:pPr>
              <w:pStyle w:val="TableContents"/>
              <w:spacing w:before="0" w:after="283"/>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6,040</w:t>
            </w:r>
          </w:p>
        </w:tc>
      </w:tr>
      <w:tr>
        <w:trPr/>
        <w:tc>
          <w:tcPr>
            <w:tcW w:w="252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Payroll and sales taxes</w:t>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3,154</w:t>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2,286</w:t>
            </w:r>
          </w:p>
        </w:tc>
      </w:tr>
      <w:tr>
        <w:trPr/>
        <w:tc>
          <w:tcPr>
            <w:tcW w:w="25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2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709"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7,716</w:t>
            </w:r>
          </w:p>
        </w:tc>
        <w:tc>
          <w:tcPr>
            <w:tcW w:w="109" w:type="dxa"/>
            <w:tcBorders/>
            <w:shd w:fill="CCEEFF" w:val="clear"/>
            <w:vAlign w:val="center"/>
          </w:tcPr>
          <w:p>
            <w:pPr>
              <w:pStyle w:val="TableContents"/>
              <w:spacing w:before="0" w:after="283"/>
              <w:rPr>
                <w:sz w:val="4"/>
                <w:szCs w:val="4"/>
              </w:rPr>
            </w:pPr>
            <w:r>
              <w:rPr>
                <w:sz w:val="4"/>
                <w:szCs w:val="4"/>
              </w:rPr>
            </w:r>
          </w:p>
        </w:tc>
        <w:tc>
          <w:tcPr>
            <w:tcW w:w="284"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7,282</w:t>
            </w:r>
          </w:p>
        </w:tc>
      </w:tr>
      <w:tr>
        <w:trPr/>
        <w:tc>
          <w:tcPr>
            <w:tcW w:w="252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other accrued liabilities</w:t>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9"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37,511</w:t>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7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31,916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7" w:name="_Hlk116901918"/>
      <w:bookmarkEnd w:id="17"/>
      <w:r>
        <w:rPr>
          <w:rFonts w:ascii="Times New Roman;serif" w:hAnsi="Times New Roman;serif"/>
          <w:b/>
          <w:i w:val="false"/>
          <w:caps w:val="false"/>
          <w:smallCaps w:val="false"/>
          <w:sz w:val="20"/>
        </w:rPr>
        <w:t xml:space="preserve">Note 7: Long-term Debt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 LLC’s Rent Adjusted Leverage Ratio (as defined in the Credit Agreement).  Borrowings outstanding as of March 31, 2023 were SOFR-based interest rate loans.  The SOFR-based interest rate was 6.37% on March 31, 2023.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1.00 and a Rent Adjusted Leverage Ratio (as defined in the Credit Agreement) of no greater than 3.50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1.00. The Company was in compliance with the covenants as of March 31, 2023.</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Borrowings outstanding consisted of $25.0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on the revolving line of credit as of March 31, 2023. As of March 31, 2023, there was $48.2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available for borrowing on the revolving line of credit, which may be used to purchase inventory, acquire assets to maintain our stores and distribution centers, build new stores and general corporate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sz w:val="20"/>
        </w:rPr>
        <w:t>The Company has standby letters of credit outstanding related to its workers compensation plan and property leases. Standby letters of credit totaled $1.8</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0"/>
        </w:rPr>
        <w:t>million as of March 31, 2023. Prior to entering into the Credit Agreement, standby letters of credit were secured by the Company’s September 18, 2018 credit facility. The Company pledged $0.1</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0"/>
        </w:rPr>
        <w:t>million of cash as collateral for standby letters of credit outstanding as of March 31, 2023. The remaining $1.7</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0"/>
        </w:rPr>
        <w:t>million balance of standby letters of credit outstanding as of March 31, 2023 were secured by the Company’s credit facility.</w:t>
      </w:r>
      <w:r>
        <w:rPr>
          <w:rFonts w:ascii="Times New Roman;serif" w:hAnsi="Times New Roman;serif"/>
          <w:caps w:val="false"/>
          <w:smallCaps w:val="false"/>
          <w:sz w:val="24"/>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8: Leases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retail stores, certain distribution space, and office space. Leases generally have an initial term of ten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tbl>
      <w:tblPr>
        <w:tblW w:w="8384" w:type="dxa"/>
        <w:jc w:val="left"/>
        <w:tblInd w:w="0" w:type="dxa"/>
        <w:tblCellMar>
          <w:top w:w="0" w:type="dxa"/>
          <w:left w:w="0" w:type="dxa"/>
          <w:bottom w:w="0" w:type="dxa"/>
          <w:right w:w="0" w:type="dxa"/>
        </w:tblCellMar>
      </w:tblPr>
      <w:tblGrid>
        <w:gridCol w:w="1891"/>
        <w:gridCol w:w="2731"/>
        <w:gridCol w:w="109"/>
        <w:gridCol w:w="211"/>
        <w:gridCol w:w="1396"/>
        <w:gridCol w:w="109"/>
        <w:gridCol w:w="211"/>
        <w:gridCol w:w="1726"/>
      </w:tblGrid>
      <w:tr>
        <w:trPr/>
        <w:tc>
          <w:tcPr>
            <w:tcW w:w="1891" w:type="dxa"/>
            <w:tcBorders/>
            <w:shd w:fill="FFFFFF" w:val="clear"/>
            <w:vAlign w:val="center"/>
          </w:tcPr>
          <w:p>
            <w:pPr>
              <w:pStyle w:val="TableContents"/>
              <w:spacing w:before="0" w:after="283"/>
              <w:rPr>
                <w:sz w:val="4"/>
                <w:szCs w:val="4"/>
              </w:rPr>
            </w:pPr>
            <w:r>
              <w:rPr>
                <w:sz w:val="4"/>
                <w:szCs w:val="4"/>
              </w:rPr>
            </w:r>
          </w:p>
        </w:tc>
        <w:tc>
          <w:tcPr>
            <w:tcW w:w="273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3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726" w:type="dxa"/>
            <w:tcBorders/>
            <w:shd w:fill="FFFFFF" w:val="clear"/>
            <w:vAlign w:val="center"/>
          </w:tcPr>
          <w:p>
            <w:pPr>
              <w:pStyle w:val="TableContents"/>
              <w:spacing w:before="0" w:after="283"/>
              <w:rPr>
                <w:sz w:val="4"/>
                <w:szCs w:val="4"/>
              </w:rPr>
            </w:pPr>
            <w:r>
              <w:rPr>
                <w:sz w:val="4"/>
                <w:szCs w:val="4"/>
              </w:rPr>
            </w:r>
          </w:p>
        </w:tc>
      </w:tr>
      <w:tr>
        <w:trPr/>
        <w:tc>
          <w:tcPr>
            <w:tcW w:w="189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Leases (in thousands)</w:t>
            </w:r>
          </w:p>
        </w:tc>
        <w:tc>
          <w:tcPr>
            <w:tcW w:w="273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39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72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December 31, 2022</w:t>
            </w:r>
          </w:p>
        </w:tc>
      </w:tr>
      <w:tr>
        <w:trPr/>
        <w:tc>
          <w:tcPr>
            <w:tcW w:w="189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273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3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72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assets</w:t>
            </w:r>
          </w:p>
        </w:tc>
        <w:tc>
          <w:tcPr>
            <w:tcW w:w="273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118,038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118,501</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leased assets</w:t>
            </w:r>
          </w:p>
        </w:tc>
        <w:tc>
          <w:tcPr>
            <w:tcW w:w="273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118,038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118,501</w:t>
            </w:r>
          </w:p>
        </w:tc>
      </w:tr>
      <w:tr>
        <w:trPr/>
        <w:tc>
          <w:tcPr>
            <w:tcW w:w="1891" w:type="dxa"/>
            <w:tcBorders/>
            <w:shd w:fill="auto" w:val="clear"/>
            <w:vAlign w:val="center"/>
          </w:tcPr>
          <w:p>
            <w:pPr>
              <w:pStyle w:val="TableContents"/>
              <w:spacing w:before="0" w:after="283"/>
              <w:rPr>
                <w:sz w:val="4"/>
                <w:szCs w:val="4"/>
              </w:rPr>
            </w:pPr>
            <w:r>
              <w:rPr>
                <w:sz w:val="4"/>
                <w:szCs w:val="4"/>
              </w:rPr>
            </w:r>
          </w:p>
        </w:tc>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39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1726"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w:t>
            </w:r>
          </w:p>
        </w:tc>
        <w:tc>
          <w:tcPr>
            <w:tcW w:w="2731"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396" w:type="dxa"/>
            <w:tcBorders/>
            <w:shd w:fill="CCEEFF" w:val="cle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726" w:type="dxa"/>
            <w:tcBorders/>
            <w:shd w:fill="CCEEFF" w:val="cle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portion of lease liability</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27,354</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27,866</w:t>
            </w:r>
          </w:p>
        </w:tc>
      </w:tr>
      <w:tr>
        <w:trPr/>
        <w:tc>
          <w:tcPr>
            <w:tcW w:w="189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Noncurrent</w:t>
            </w:r>
          </w:p>
        </w:tc>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w:t>
            </w:r>
          </w:p>
        </w:tc>
        <w:tc>
          <w:tcPr>
            <w:tcW w:w="2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lease liability, net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3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102,788</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17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103,353</w:t>
            </w:r>
          </w:p>
        </w:tc>
      </w:tr>
      <w:tr>
        <w:trPr/>
        <w:tc>
          <w:tcPr>
            <w:tcW w:w="189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liabilities</w:t>
            </w:r>
          </w:p>
        </w:tc>
        <w:tc>
          <w:tcPr>
            <w:tcW w:w="2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130,142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72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131,219</w:t>
            </w:r>
          </w:p>
        </w:tc>
      </w:tr>
    </w:tbl>
    <w:tbl>
      <w:tblPr>
        <w:tblW w:w="7049" w:type="dxa"/>
        <w:jc w:val="left"/>
        <w:tblInd w:w="0" w:type="dxa"/>
        <w:tblCellMar>
          <w:top w:w="0" w:type="dxa"/>
          <w:left w:w="0" w:type="dxa"/>
          <w:bottom w:w="0" w:type="dxa"/>
          <w:right w:w="0" w:type="dxa"/>
        </w:tblCellMar>
      </w:tblPr>
      <w:tblGrid>
        <w:gridCol w:w="2161"/>
        <w:gridCol w:w="1411"/>
        <w:gridCol w:w="109"/>
        <w:gridCol w:w="211"/>
        <w:gridCol w:w="1396"/>
        <w:gridCol w:w="109"/>
        <w:gridCol w:w="211"/>
        <w:gridCol w:w="1441"/>
      </w:tblGrid>
      <w:tr>
        <w:trPr/>
        <w:tc>
          <w:tcPr>
            <w:tcW w:w="2161" w:type="dxa"/>
            <w:tcBorders/>
            <w:shd w:fill="FFFFFF" w:val="clear"/>
            <w:vAlign w:val="center"/>
          </w:tcPr>
          <w:p>
            <w:pPr>
              <w:pStyle w:val="TableContents"/>
              <w:spacing w:before="0" w:after="283"/>
              <w:rPr>
                <w:sz w:val="4"/>
                <w:szCs w:val="4"/>
              </w:rPr>
            </w:pPr>
            <w:r>
              <w:rPr>
                <w:sz w:val="4"/>
                <w:szCs w:val="4"/>
              </w:rPr>
            </w:r>
          </w:p>
        </w:tc>
        <w:tc>
          <w:tcPr>
            <w:tcW w:w="14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3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2161" w:type="dxa"/>
            <w:tcBorders/>
            <w:shd w:fill="FFFFFF" w:val="clear"/>
            <w:vAlign w:val="center"/>
          </w:tcPr>
          <w:p>
            <w:pPr>
              <w:pStyle w:val="TableContents"/>
              <w:spacing w:before="0" w:after="283"/>
              <w:rPr>
                <w:sz w:val="4"/>
                <w:szCs w:val="4"/>
              </w:rPr>
            </w:pPr>
            <w:r>
              <w:rPr>
                <w:sz w:val="4"/>
                <w:szCs w:val="4"/>
              </w:rPr>
            </w:r>
          </w:p>
        </w:tc>
        <w:tc>
          <w:tcPr>
            <w:tcW w:w="141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Three Months Ended </w:t>
            </w:r>
          </w:p>
        </w:tc>
      </w:tr>
      <w:tr>
        <w:trPr/>
        <w:tc>
          <w:tcPr>
            <w:tcW w:w="216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cost (in thousands)</w:t>
            </w:r>
          </w:p>
        </w:tc>
        <w:tc>
          <w:tcPr>
            <w:tcW w:w="141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Classification</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39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4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2022</w:t>
            </w:r>
          </w:p>
        </w:tc>
      </w:tr>
      <w:tr>
        <w:trPr/>
        <w:tc>
          <w:tcPr>
            <w:tcW w:w="216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4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8,892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8,671</w:t>
            </w:r>
          </w:p>
        </w:tc>
      </w:tr>
      <w:tr>
        <w:trPr/>
        <w:tc>
          <w:tcPr>
            <w:tcW w:w="2161" w:type="dxa"/>
            <w:tcBorders/>
            <w:shd w:fill="auto"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Variable lease cost</w:t>
            </w:r>
            <w:r>
              <w:rPr>
                <w:rFonts w:ascii="Times New Roman;serif" w:hAnsi="Times New Roman;serif"/>
                <w:b w:val="false"/>
                <w:i w:val="false"/>
                <w:caps w:val="false"/>
                <w:smallCaps w:val="false"/>
                <w:position w:val="7"/>
                <w:sz w:val="16"/>
                <w:sz w:val="20"/>
              </w:rPr>
              <w:t>(1)</w:t>
            </w:r>
          </w:p>
        </w:tc>
        <w:tc>
          <w:tcPr>
            <w:tcW w:w="14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3,403</w:t>
            </w:r>
          </w:p>
        </w:tc>
      </w:tr>
      <w:tr>
        <w:trPr/>
        <w:tc>
          <w:tcPr>
            <w:tcW w:w="2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lease cost</w:t>
            </w:r>
          </w:p>
        </w:tc>
        <w:tc>
          <w:tcPr>
            <w:tcW w:w="14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SG&amp;A expenses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3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44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w:t>
            </w:r>
          </w:p>
        </w:tc>
      </w:tr>
      <w:tr>
        <w:trPr/>
        <w:tc>
          <w:tcPr>
            <w:tcW w:w="216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lease cost</w:t>
            </w:r>
          </w:p>
        </w:tc>
        <w:tc>
          <w:tcPr>
            <w:tcW w:w="1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9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12,528</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12,206</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 xml:space="preserve">(1) </w:t>
      </w:r>
      <w:r>
        <w:rPr>
          <w:rFonts w:ascii="Times New Roman;serif" w:hAnsi="Times New Roman;serif"/>
          <w:b w:val="false"/>
          <w:i w:val="false"/>
          <w:caps w:val="false"/>
          <w:smallCaps w:val="false"/>
          <w:sz w:val="20"/>
        </w:rPr>
        <w:t xml:space="preserve">Variable lease cost consists primarily of taxes, insurance, and common area or other maintenance costs for the Company’s leased facilities. </w:t>
      </w:r>
    </w:p>
    <w:tbl>
      <w:tblPr>
        <w:tblW w:w="10048" w:type="dxa"/>
        <w:jc w:val="left"/>
        <w:tblInd w:w="0" w:type="dxa"/>
        <w:tblCellMar>
          <w:top w:w="0" w:type="dxa"/>
          <w:left w:w="0" w:type="dxa"/>
          <w:bottom w:w="0" w:type="dxa"/>
          <w:right w:w="0" w:type="dxa"/>
        </w:tblCellMar>
      </w:tblPr>
      <w:tblGrid>
        <w:gridCol w:w="6571"/>
        <w:gridCol w:w="109"/>
        <w:gridCol w:w="211"/>
        <w:gridCol w:w="1396"/>
        <w:gridCol w:w="109"/>
        <w:gridCol w:w="211"/>
        <w:gridCol w:w="1441"/>
      </w:tblGrid>
      <w:tr>
        <w:trPr/>
        <w:tc>
          <w:tcPr>
            <w:tcW w:w="65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3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1441" w:type="dxa"/>
            <w:tcBorders/>
            <w:shd w:fill="FFFFFF" w:val="clear"/>
            <w:vAlign w:val="center"/>
          </w:tcPr>
          <w:p>
            <w:pPr>
              <w:pStyle w:val="TableContents"/>
              <w:spacing w:before="0" w:after="283"/>
              <w:rPr>
                <w:sz w:val="4"/>
                <w:szCs w:val="4"/>
              </w:rPr>
            </w:pPr>
            <w:r>
              <w:rPr>
                <w:sz w:val="4"/>
                <w:szCs w:val="4"/>
              </w:rPr>
            </w:r>
          </w:p>
        </w:tc>
      </w:tr>
      <w:tr>
        <w:trPr/>
        <w:tc>
          <w:tcPr>
            <w:tcW w:w="657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368"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Three Months Ended </w:t>
            </w:r>
          </w:p>
        </w:tc>
      </w:tr>
      <w:tr>
        <w:trPr/>
        <w:tc>
          <w:tcPr>
            <w:tcW w:w="657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Information (in thousands)</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39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2023</w:t>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144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2022</w:t>
            </w:r>
          </w:p>
        </w:tc>
      </w:tr>
      <w:tr>
        <w:trPr/>
        <w:tc>
          <w:tcPr>
            <w:tcW w:w="65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amounts included in the measurement of lease liabilities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396"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144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r>
      <w:tr>
        <w:trPr/>
        <w:tc>
          <w:tcPr>
            <w:tcW w:w="65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9,472</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4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9,350</w:t>
            </w:r>
          </w:p>
        </w:tc>
      </w:tr>
      <w:tr>
        <w:trPr/>
        <w:tc>
          <w:tcPr>
            <w:tcW w:w="65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right-of-use assets obtained or modified in exchange for lease obligations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6,700</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 9: Fair Value of Financial Instruments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1 – Unadjusted quoted prices that are available in active markets for the identical assets or liabilities at the measurement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Level 2 – Significant other observable inputs available at the measurement date, other than quoted prices included in Level 1, either directly or indirectly, including:</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similar assets or liabilities in active markets;</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Quoted prices for identical or similar assets or liabilities in non-active markets; </w:t>
      </w:r>
    </w:p>
    <w:p>
      <w:pPr>
        <w:pStyle w:val="TextBody"/>
        <w:bidi w:val="0"/>
        <w:spacing w:lineRule="auto" w:line="259" w:before="200" w:after="283"/>
        <w:ind w:left="1080" w:right="144" w:hanging="360"/>
        <w:rPr/>
      </w:pPr>
      <w:r>
        <w:rPr>
          <w:caps w:val="false"/>
          <w:smallCaps w:val="false"/>
        </w:rPr>
        <w:t></w:t>
      </w:r>
      <w:r>
        <w:rPr>
          <w:rFonts w:ascii="Times New Roman;serif" w:hAnsi="Times New Roman;serif"/>
          <w:b w:val="false"/>
          <w:i w:val="false"/>
          <w:caps w:val="false"/>
          <w:smallCaps w:val="false"/>
          <w:sz w:val="20"/>
        </w:rPr>
        <w:t>Inputs other than quoted prices that are observable for the asset or liability;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Inputs that are derived principally from or corroborated by other observable market data.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Level 3 – Significant unobservable inputs that cannot be corroborated by observable market data and reflect the use of significant management judgment.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by level within the fair value hierarchy the Company’s financial assets that were accounted for at fair value on a recurring basis at March 31, 2023 and December 31, 2022 according to the valuation techniques the Company uses to determine their fair values. There have been no transfers of assets among the fair value hierarchies presented.</w:t>
      </w:r>
    </w:p>
    <w:tbl>
      <w:tblPr>
        <w:tblW w:w="6569" w:type="dxa"/>
        <w:jc w:val="left"/>
        <w:tblInd w:w="0" w:type="dxa"/>
        <w:tblCellMar>
          <w:top w:w="0" w:type="dxa"/>
          <w:left w:w="0" w:type="dxa"/>
          <w:bottom w:w="0" w:type="dxa"/>
          <w:right w:w="0" w:type="dxa"/>
        </w:tblCellMar>
      </w:tblPr>
      <w:tblGrid>
        <w:gridCol w:w="2266"/>
        <w:gridCol w:w="109"/>
        <w:gridCol w:w="856"/>
        <w:gridCol w:w="109"/>
        <w:gridCol w:w="376"/>
        <w:gridCol w:w="1019"/>
        <w:gridCol w:w="109"/>
        <w:gridCol w:w="440"/>
        <w:gridCol w:w="1285"/>
      </w:tblGrid>
      <w:tr>
        <w:trPr/>
        <w:tc>
          <w:tcPr>
            <w:tcW w:w="22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76" w:type="dxa"/>
            <w:tcBorders/>
            <w:shd w:fill="FFFFFF" w:val="clear"/>
            <w:vAlign w:val="center"/>
          </w:tcPr>
          <w:p>
            <w:pPr>
              <w:pStyle w:val="TableContents"/>
              <w:spacing w:before="0" w:after="283"/>
              <w:rPr>
                <w:sz w:val="4"/>
                <w:szCs w:val="4"/>
              </w:rPr>
            </w:pPr>
            <w:r>
              <w:rPr>
                <w:sz w:val="4"/>
                <w:szCs w:val="4"/>
              </w:rPr>
            </w:r>
          </w:p>
        </w:tc>
        <w:tc>
          <w:tcPr>
            <w:tcW w:w="101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40" w:type="dxa"/>
            <w:tcBorders/>
            <w:shd w:fill="FFFFFF" w:val="clear"/>
            <w:vAlign w:val="center"/>
          </w:tcPr>
          <w:p>
            <w:pPr>
              <w:pStyle w:val="TableContents"/>
              <w:spacing w:before="0" w:after="283"/>
              <w:rPr>
                <w:sz w:val="4"/>
                <w:szCs w:val="4"/>
              </w:rPr>
            </w:pPr>
            <w:r>
              <w:rPr>
                <w:sz w:val="4"/>
                <w:szCs w:val="4"/>
              </w:rPr>
            </w:r>
          </w:p>
        </w:tc>
        <w:tc>
          <w:tcPr>
            <w:tcW w:w="1285" w:type="dxa"/>
            <w:tcBorders/>
            <w:shd w:fill="FFFFFF" w:val="clear"/>
            <w:vAlign w:val="center"/>
          </w:tcPr>
          <w:p>
            <w:pPr>
              <w:pStyle w:val="TableContents"/>
              <w:spacing w:before="0" w:after="283"/>
              <w:rPr>
                <w:sz w:val="4"/>
                <w:szCs w:val="4"/>
              </w:rPr>
            </w:pPr>
            <w:r>
              <w:rPr>
                <w:sz w:val="4"/>
                <w:szCs w:val="4"/>
              </w:rPr>
            </w:r>
          </w:p>
        </w:tc>
      </w:tr>
      <w:tr>
        <w:trPr/>
        <w:tc>
          <w:tcPr>
            <w:tcW w:w="22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76" w:type="dxa"/>
            <w:tcBorders/>
            <w:shd w:fill="FFFFFF" w:val="clear"/>
            <w:vAlign w:val="center"/>
          </w:tcPr>
          <w:p>
            <w:pPr>
              <w:pStyle w:val="TableContents"/>
              <w:spacing w:before="0" w:after="283"/>
              <w:rPr>
                <w:sz w:val="4"/>
                <w:szCs w:val="4"/>
              </w:rPr>
            </w:pPr>
            <w:r>
              <w:rPr>
                <w:sz w:val="4"/>
                <w:szCs w:val="4"/>
              </w:rPr>
            </w:r>
          </w:p>
        </w:tc>
        <w:tc>
          <w:tcPr>
            <w:tcW w:w="1019"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40" w:type="dxa"/>
            <w:tcBorders/>
            <w:shd w:fill="FFFFFF" w:val="clear"/>
            <w:vAlign w:val="center"/>
          </w:tcPr>
          <w:p>
            <w:pPr>
              <w:pStyle w:val="TableContents"/>
              <w:spacing w:before="0" w:after="283"/>
              <w:rPr>
                <w:sz w:val="4"/>
                <w:szCs w:val="4"/>
              </w:rPr>
            </w:pPr>
            <w:r>
              <w:rPr>
                <w:sz w:val="4"/>
                <w:szCs w:val="4"/>
              </w:rPr>
            </w:r>
          </w:p>
        </w:tc>
        <w:tc>
          <w:tcPr>
            <w:tcW w:w="1285" w:type="dxa"/>
            <w:tcBorders/>
            <w:shd w:fill="FFFFFF" w:val="clear"/>
            <w:vAlign w:val="center"/>
          </w:tcPr>
          <w:p>
            <w:pPr>
              <w:pStyle w:val="TableContents"/>
              <w:spacing w:before="0" w:after="283"/>
              <w:rPr>
                <w:sz w:val="4"/>
                <w:szCs w:val="4"/>
              </w:rPr>
            </w:pPr>
            <w:r>
              <w:rPr>
                <w:sz w:val="4"/>
                <w:szCs w:val="4"/>
              </w:rPr>
            </w:r>
          </w:p>
        </w:tc>
      </w:tr>
      <w:tr>
        <w:trPr/>
        <w:tc>
          <w:tcPr>
            <w:tcW w:w="22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6" w:type="dxa"/>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Pricing</w:t>
            </w:r>
          </w:p>
        </w:tc>
        <w:tc>
          <w:tcPr>
            <w:tcW w:w="109" w:type="dxa"/>
            <w:tcBorders/>
            <w:shd w:fill="FFFFFF" w:val="clear"/>
            <w:vAlign w:val="center"/>
          </w:tcPr>
          <w:p>
            <w:pPr>
              <w:pStyle w:val="TableContents"/>
              <w:spacing w:before="0" w:after="283"/>
              <w:rPr>
                <w:sz w:val="4"/>
                <w:szCs w:val="4"/>
              </w:rPr>
            </w:pPr>
            <w:r>
              <w:rPr>
                <w:sz w:val="4"/>
                <w:szCs w:val="4"/>
              </w:rPr>
            </w:r>
          </w:p>
        </w:tc>
        <w:tc>
          <w:tcPr>
            <w:tcW w:w="322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Fair Value at</w:t>
            </w:r>
          </w:p>
        </w:tc>
      </w:tr>
      <w:tr>
        <w:trPr/>
        <w:tc>
          <w:tcPr>
            <w:tcW w:w="22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5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Category</w:t>
            </w:r>
          </w:p>
        </w:tc>
        <w:tc>
          <w:tcPr>
            <w:tcW w:w="109" w:type="dxa"/>
            <w:tcBorders/>
            <w:shd w:fill="FFFFFF" w:val="clear"/>
            <w:vAlign w:val="center"/>
          </w:tcPr>
          <w:p>
            <w:pPr>
              <w:pStyle w:val="TableContents"/>
              <w:spacing w:before="0" w:after="283"/>
              <w:rPr>
                <w:sz w:val="4"/>
                <w:szCs w:val="4"/>
              </w:rPr>
            </w:pPr>
            <w:r>
              <w:rPr>
                <w:sz w:val="4"/>
                <w:szCs w:val="4"/>
              </w:rPr>
            </w:r>
          </w:p>
        </w:tc>
        <w:tc>
          <w:tcPr>
            <w:tcW w:w="139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 2023</w:t>
            </w:r>
          </w:p>
        </w:tc>
        <w:tc>
          <w:tcPr>
            <w:tcW w:w="109" w:type="dxa"/>
            <w:tcBorders/>
            <w:shd w:fill="FFFFFF" w:val="clear"/>
            <w:vAlign w:val="center"/>
          </w:tcPr>
          <w:p>
            <w:pPr>
              <w:pStyle w:val="TableContents"/>
              <w:spacing w:before="0" w:after="283"/>
              <w:rPr>
                <w:sz w:val="4"/>
                <w:szCs w:val="4"/>
              </w:rPr>
            </w:pPr>
            <w:r>
              <w:rPr>
                <w:sz w:val="4"/>
                <w:szCs w:val="4"/>
              </w:rPr>
            </w:r>
          </w:p>
        </w:tc>
        <w:tc>
          <w:tcPr>
            <w:tcW w:w="17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2022</w:t>
            </w:r>
          </w:p>
        </w:tc>
      </w:tr>
      <w:tr>
        <w:trPr/>
        <w:tc>
          <w:tcPr>
            <w:tcW w:w="226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spacing w:before="0" w:after="283"/>
              <w:rPr>
                <w:sz w:val="4"/>
                <w:szCs w:val="4"/>
              </w:rPr>
            </w:pPr>
            <w:r>
              <w:rPr>
                <w:sz w:val="4"/>
                <w:szCs w:val="4"/>
              </w:rPr>
            </w:r>
          </w:p>
        </w:tc>
        <w:tc>
          <w:tcPr>
            <w:tcW w:w="85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3229"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22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shd w:fill="CCEEFF" w:val="clear"/>
            <w:vAlign w:val="center"/>
          </w:tcPr>
          <w:p>
            <w:pPr>
              <w:pStyle w:val="TableContents"/>
              <w:spacing w:before="0" w:after="283"/>
              <w:rPr>
                <w:sz w:val="4"/>
                <w:szCs w:val="4"/>
              </w:rPr>
            </w:pPr>
            <w:r>
              <w:rPr>
                <w:sz w:val="4"/>
                <w:szCs w:val="4"/>
              </w:rPr>
            </w:r>
          </w:p>
        </w:tc>
        <w:tc>
          <w:tcPr>
            <w:tcW w:w="8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109" w:type="dxa"/>
            <w:tcBorders/>
            <w:shd w:fill="CCEEFF" w:val="clear"/>
            <w:vAlign w:val="center"/>
          </w:tcPr>
          <w:p>
            <w:pPr>
              <w:pStyle w:val="TableContents"/>
              <w:spacing w:before="0" w:after="283"/>
              <w:rPr>
                <w:sz w:val="4"/>
                <w:szCs w:val="4"/>
              </w:rPr>
            </w:pPr>
            <w:r>
              <w:rPr>
                <w:sz w:val="4"/>
                <w:szCs w:val="4"/>
              </w:rPr>
            </w:r>
          </w:p>
        </w:tc>
        <w:tc>
          <w:tcPr>
            <w:tcW w:w="3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19"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8,624</w:t>
            </w:r>
          </w:p>
        </w:tc>
        <w:tc>
          <w:tcPr>
            <w:tcW w:w="109" w:type="dxa"/>
            <w:tcBorders/>
            <w:shd w:fill="CCEEFF" w:val="clear"/>
            <w:vAlign w:val="center"/>
          </w:tcPr>
          <w:p>
            <w:pPr>
              <w:pStyle w:val="TableContents"/>
              <w:spacing w:before="0" w:after="283"/>
              <w:rPr>
                <w:sz w:val="4"/>
                <w:szCs w:val="4"/>
              </w:rPr>
            </w:pPr>
            <w:r>
              <w:rPr>
                <w:sz w:val="4"/>
                <w:szCs w:val="4"/>
              </w:rPr>
            </w:r>
          </w:p>
        </w:tc>
        <w:tc>
          <w:tcPr>
            <w:tcW w:w="4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8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5,948</w:t>
            </w:r>
          </w:p>
        </w:tc>
      </w:tr>
      <w:tr>
        <w:trPr/>
        <w:tc>
          <w:tcPr>
            <w:tcW w:w="22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766</w:t>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methods and assumptions were used to estimate the fair value of each class of financial instrument. There have been no changes in the valuation techniques used by the Company to value the Company’s financial instruments.</w:t>
      </w:r>
    </w:p>
    <w:p>
      <w:pPr>
        <w:pStyle w:val="TextBody"/>
        <w:bidi w:val="0"/>
        <w:spacing w:lineRule="auto" w:line="259"/>
        <w:rPr/>
      </w:pPr>
      <w:r>
        <w:rPr>
          <w:caps w:val="false"/>
          <w:smallCaps w:val="false"/>
        </w:rPr>
        <w:t></w:t>
      </w:r>
      <w:r>
        <w:rPr>
          <w:rFonts w:ascii="Times New Roman;serif" w:hAnsi="Times New Roman;serif"/>
          <w:b w:val="false"/>
          <w:i/>
          <w:sz w:val="20"/>
        </w:rPr>
        <w:t xml:space="preserve">Cash and cash equivalents: </w:t>
      </w:r>
      <w:r>
        <w:rPr>
          <w:rFonts w:ascii="Times New Roman;serif" w:hAnsi="Times New Roman;serif"/>
          <w:b w:val="false"/>
          <w:i w:val="false"/>
          <w:caps w:val="false"/>
          <w:smallCaps w:val="false"/>
          <w:sz w:val="20"/>
        </w:rPr>
        <w:t>Consists of cash on hand and bank deposits. The value was measured using quoted market prices in active markets. The carrying amount approximates fair value.</w:t>
      </w:r>
    </w:p>
    <w:p>
      <w:pPr>
        <w:pStyle w:val="TextBody"/>
        <w:bidi w:val="0"/>
        <w:spacing w:lineRule="auto" w:line="259"/>
        <w:rPr/>
      </w:pPr>
      <w:r>
        <w:rPr>
          <w:caps w:val="false"/>
          <w:smallCaps w:val="false"/>
        </w:rPr>
        <w:t></w:t>
      </w:r>
      <w:r>
        <w:rPr>
          <w:rFonts w:ascii="Times New Roman;serif" w:hAnsi="Times New Roman;serif"/>
          <w:b w:val="false"/>
          <w:i/>
          <w:sz w:val="20"/>
        </w:rPr>
        <w:t>Restricted cash:</w:t>
      </w:r>
      <w:r>
        <w:rPr>
          <w:rFonts w:ascii="Symbol" w:hAnsi="Symbol"/>
          <w:caps w:val="false"/>
          <w:smallCaps w:val="false"/>
          <w:sz w:val="20"/>
        </w:rPr>
        <w:t xml:space="preserve"> </w:t>
      </w:r>
      <w:r>
        <w:rPr>
          <w:rFonts w:ascii="Times New Roman;serif" w:hAnsi="Times New Roman;serif"/>
          <w:b w:val="false"/>
          <w:i w:val="false"/>
          <w:caps w:val="false"/>
          <w:smallCaps w:val="false"/>
          <w:sz w:val="20"/>
        </w:rPr>
        <w:t>Consists of cash and cash equivalents held in bank deposit accounts restricted as to withdrawal or that are under the terms of use for current operations. The value was measured using quoted market prices in active markets. The carrying amount approximates fair value.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three months ended March 31, 2023 the Company recorded a $0.1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impairment charge in selling, general and administrative expenses to write-down property, plant and equipment to their estimated fair values. The Company measured the fair value of these assets based on projected cash flows and an estimated risk-adjusted rate of return. Projected cash flows are considered Level 3 inputs.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8" w:name="_Hlk116903283"/>
      <w:bookmarkEnd w:id="18"/>
      <w:r>
        <w:rPr>
          <w:rFonts w:ascii="Times New Roman;serif" w:hAnsi="Times New Roman;serif"/>
          <w:b/>
          <w:i w:val="false"/>
          <w:caps w:val="false"/>
          <w:smallCaps w:val="false"/>
          <w:sz w:val="20"/>
        </w:rPr>
        <w:t>Note 10: Equity Incentive Plans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 options: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measures and recognizes compensation expense for all stock based awards at fair value. The financial statements for the three months ended March 31, 2023 and 2022 include compensation expense for the portion of outstanding awards that vested during those periods. The Company recognizes stock based compensation expenses on a straight-line basis over the requisite service period of the award, which is generally the option vesting term. </w:t>
      </w:r>
      <w:r>
        <w:rPr>
          <w:rFonts w:ascii="Times New Roman;serif" w:hAnsi="Times New Roman;serif"/>
          <w:b w:val="false"/>
          <w:i w:val="false"/>
          <w:caps w:val="false"/>
          <w:smallCaps w:val="false"/>
          <w:color w:val="000000"/>
          <w:sz w:val="20"/>
        </w:rPr>
        <w:t xml:space="preserve">Total stock based compensation expense related to stock options was less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than $0.1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for the three months ended March 31, 2023 and 2022</w:t>
      </w:r>
      <w:r>
        <w:rPr>
          <w:rFonts w:ascii="Times New Roman;serif" w:hAnsi="Times New Roman;serif"/>
          <w:b w:val="false"/>
          <w:i w:val="false"/>
          <w:caps w:val="false"/>
          <w:smallCaps w:val="false"/>
          <w:sz w:val="20"/>
        </w:rPr>
        <w:t>. Stock based compensation expense pertaining to stock options is included in selling, general and administrative expenses in the accompanying Consolidated Statements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2023, the Company had outstanding stock options to purchase 471,067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at a weighted average exercise price of $10.27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share.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Restricted stock:</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three months ended March 31, 2023 and 2022. Stock based compensation expense pertaining to restricted stock awards is included in selling, general and administrative expenses in the accompanying Consolidated Statements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March 31, 2023, the Company had 1,245,607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outstanding restricted common shares.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Note 11:</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New Markets Tax Credit</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2016 New Markets Tax Credit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December 2016, the Company entered into a financing transaction with U.S. Bank Community, LLC (“U.S. Bank”) related to a $9.2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this transaction, Tile Shop Lending loaned $6.7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December 2016, U.S. Bank contributed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Tile Shop Holdings, Inc. and Subsidiaries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Notes to Consolidated Financial Statements</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(unaudited)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consolidation. In 2016, U.S. Bank contributed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net of syndication fees, to the Investment Fund. The Company incurred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syndication fees in connection with this transaction. The Company is recognizing the benefit of this net $1.9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contribution over the seven-year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compliance period as it is being earned through the on-going compliance with the conditions of the NMTC program. As of March 31, 2023, the balance of the contribution liability for this arrangement was $0.3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which was classified as other accrued liabilities on the Consolidated Balance Sheet.</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March 31, 2023, the remaining balance in the Investment Fund available for reimbursement to the Company was $0.6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19" w:name="MDA"/>
      <w:bookmarkEnd w:id="19"/>
      <w:r>
        <w:rPr>
          <w:rFonts w:ascii="Times New Roman;serif" w:hAnsi="Times New Roman;serif"/>
          <w:b/>
          <w:i w:val="false"/>
          <w:caps w:val="false"/>
          <w:smallCaps w:val="false"/>
          <w:sz w:val="20"/>
        </w:rPr>
        <w:t>M 2. MANAGEMENT’S DISCUSSION AND ANALYSIS OF FINANCIAL CONDITION AND RESULTS OF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2022 and our consolidated financial statements and related notes appearing elsewhere in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Forward-Looking Statements</w:t>
      </w:r>
    </w:p>
    <w:p>
      <w:pPr>
        <w:pStyle w:val="TextBody"/>
        <w:bidi w:val="0"/>
        <w:spacing w:lineRule="auto" w:line="259"/>
        <w:rPr>
          <w:rFonts w:ascii="Times New Roman;serif" w:hAnsi="Times New Roman;serif"/>
          <w:sz w:val="20"/>
        </w:rPr>
      </w:pPr>
      <w:r>
        <w:rPr>
          <w:rFonts w:ascii="Times New Roman;serif" w:hAnsi="Times New Roman;serif"/>
          <w:b w:val="false"/>
          <w:i/>
          <w:sz w:val="20"/>
        </w:rPr>
        <w:t xml:space="preserve">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w:t>
      </w:r>
      <w:bookmarkStart w:id="20" w:name="_Hlk38913879"/>
      <w:bookmarkEnd w:id="20"/>
      <w:r>
        <w:rPr>
          <w:rFonts w:ascii="Times New Roman;serif" w:hAnsi="Times New Roman;serif"/>
          <w:b w:val="false"/>
          <w:i/>
          <w:sz w:val="20"/>
        </w:rPr>
        <w:t>o</w:t>
      </w:r>
      <w:r>
        <w:rPr>
          <w:rFonts w:ascii="Times New Roman;serif" w:hAnsi="Times New Roman;serif"/>
          <w:b w:val="false"/>
          <w:i/>
          <w:color w:val="000000"/>
          <w:sz w:val="20"/>
        </w:rPr>
        <w:t>ur anticipated new store openings, remodeling plans, and growth opportunities; our business strengths, marketing strategies, competitive advantages and role in our industry and markets</w:t>
      </w:r>
      <w:bookmarkStart w:id="21" w:name="OLE_LINK179"/>
      <w:bookmarkEnd w:id="21"/>
      <w:r>
        <w:rPr>
          <w:rFonts w:ascii="Times New Roman;serif" w:hAnsi="Times New Roman;serif"/>
          <w:b w:val="false"/>
          <w:i/>
          <w:color w:val="000000"/>
          <w:sz w:val="20"/>
        </w:rPr>
        <w:t xml:space="preserve">; </w:t>
      </w:r>
      <w:bookmarkStart w:id="22" w:name="OLE_LINK178"/>
      <w:bookmarkEnd w:id="22"/>
      <w:r>
        <w:rPr>
          <w:rFonts w:ascii="Times New Roman;serif" w:hAnsi="Times New Roman;serif"/>
          <w:b w:val="false"/>
          <w:i/>
          <w:color w:val="000000"/>
          <w:sz w:val="20"/>
        </w:rPr>
        <w:t>an overall decline in the health of the economy, the tile industry, consumer confidence and spending, and the housing market, including as a result of rising inflation or interest rates, instability in the global banking system, the possibility of an economic recession, or the COVID-19 pandemic; our expectations regarding the potential impacts on our business of the COVID-19 pandemic, including its effect on general economic conditions and credit markets, the supply chain and product availability, labor, and customer traffic to our stores; the impact of ongoing supply chain disruptions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the COVID-19 pandemic, geopolitical conditions, including any failure by the U.S. federal government to increase the debt ceiling, and other economic factors; supply costs and expectations, including the continued availability of sufficient products from our suppliers, risks related to relying on foreign suppliers, and the potential impact of the COVID-19 pandemic and the Russia-Ukraine conflict on, among other things, product availability and pricing and timing and cost of deliveries; our expectations with respect to ongoing compliance with the terms of the Credit Agreement (as defined below), including increasing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and other digital initiatives; our ability to effectively manage our online sales; costs and adequacy of insurance;</w:t>
      </w:r>
      <w:r>
        <w:rPr>
          <w:rFonts w:ascii="Times New Roman;serif" w:hAnsi="Times New Roman;serif"/>
          <w:color w:val="000000"/>
          <w:sz w:val="20"/>
        </w:rPr>
        <w:t xml:space="preserve"> </w:t>
      </w:r>
      <w:r>
        <w:rPr>
          <w:rFonts w:ascii="Times New Roman;serif" w:hAnsi="Times New Roman;serif"/>
          <w:b w:val="false"/>
          <w:i/>
          <w:color w:val="000000"/>
          <w:sz w:val="20"/>
        </w:rPr>
        <w:t>the potential impact of natural disasters, which may worsen or increase due to the effects of climate change, and other catastrophic events; risks inherent in operating as a holding company; fluctuations in material and energy costs, including ongoing volatility of, oil and gas prices; the potential outcome of any legal proceedings; risks related to ownership of our common stock;</w:t>
      </w:r>
      <w:r>
        <w:rPr>
          <w:rFonts w:ascii="Times New Roman;serif" w:hAnsi="Times New Roman;serif"/>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and those factors set forth in the section captioned “Risk Factors” in our Annual Report on Form 10-K for the year ended December 31, 2022 and in this Form 10-Q.</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pStyle w:val="TextBody"/>
        <w:bidi w:val="0"/>
        <w:spacing w:lineRule="auto" w:line="259"/>
        <w:rPr>
          <w:rFonts w:ascii="Times New Roman;serif" w:hAnsi="Times New Roman;serif"/>
          <w:b/>
          <w:i w:val="false"/>
          <w:caps w:val="false"/>
          <w:smallCaps w:val="false"/>
          <w:sz w:val="20"/>
        </w:rPr>
      </w:pPr>
      <w:bookmarkStart w:id="23" w:name="_contentSection_bc88730b_8626_44e0_ae06_"/>
      <w:bookmarkEnd w:id="23"/>
      <w:r>
        <w:rPr>
          <w:rFonts w:ascii="Times New Roman;serif" w:hAnsi="Times New Roman;serif"/>
          <w:b/>
          <w:i w:val="false"/>
          <w:caps w:val="false"/>
          <w:smallCaps w:val="false"/>
          <w:sz w:val="20"/>
        </w:rPr>
        <w:t>Overview and Recent Trends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specialty retailer of natural stone and man-made tiles, setting and maintenance materials, and related accessories in the United States. We offer a wide selection of products, attractive prices, and exceptional customer service in an extensive showroom setting. As of March 31, 2023, we operated 142 stores in 31 states and the District of Columbia, with an average size of approximately 20,000 square feet.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continues to be impacted by a number of macro-economic factors including rising interest rates, and slowing existing home turnover. We believe this is contributing to a slowdown in demand for home improvement products. While the macro challenges persisted during the first quarter of 2023, we were able to generate revenues that were in line with levels reported in the first quarter of 2022. Comparable store sales increased by 0.1% due to an increase in average ticket that was partially offset by a decrease in traffic.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continued to see an increase in the average cost of the inventory we sold during the first quarter of 2023 due to inflationary cost pressures. We were encouraged to see the rate of gross margin decline start to taper from a 200 basis point decrease in gross margin between the third and fourth quarter of 2022 to a 30 basis point decline in gross margin between the fourth quarter of 2022 and the first quarter of 2023. We have observed a decrease in international freight rates in recent months. Further, we are actively working to resource portions of our assortment to suppliers who can provide high quality products at lower price points.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decreased by $0.7 million from $62.1 million in the first quarter of 2022 to $61.4 million in the first quarter of 2023. The decrease in selling, general and administrative expenses was due to a $1.1 million decrease in variable selling expenses, a $0.9 million decrease in transportation expenses due to an improvement in inventory availability across our distribution centers and a $0.7 million decrease in depreciation expense. These factors were partially offset by a $0.6 million increase in wages due to headcount increases and pay rate changes, a $0.6 million increase in software licensing costs and a $0.4 million increase in operating supplies. In addition during the first quarter of 2023, we recorded a $0.1 million asset impairment charge. We did not record any asset impairment charges during the first quarter of 2022.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first quarter of 2023, we generated $25.8 million of operating cash flow that was used to fund capital expenditures and reduce our debt by $20.4 million. As of March 31, 2023, borrowings outstanding on our line of credit were $25.0 million.</w:t>
      </w:r>
    </w:p>
    <w:p>
      <w:pPr>
        <w:pStyle w:val="TextBody"/>
        <w:bidi w:val="0"/>
        <w:spacing w:lineRule="auto" w:line="259"/>
        <w:rPr>
          <w:rFonts w:ascii="Times New Roman;serif" w:hAnsi="Times New Roman;serif"/>
          <w:b/>
          <w:i w:val="false"/>
          <w:caps w:val="false"/>
          <w:smallCaps w:val="false"/>
          <w:sz w:val="20"/>
        </w:rPr>
      </w:pPr>
      <w:bookmarkStart w:id="24" w:name="_contentSection_b9b2880d_9a04_448c_8fe1_"/>
      <w:bookmarkEnd w:id="24"/>
      <w:r>
        <w:rPr>
          <w:rFonts w:ascii="Times New Roman;serif" w:hAnsi="Times New Roman;serif"/>
          <w:b/>
          <w:i w:val="false"/>
          <w:caps w:val="false"/>
          <w:smallCaps w:val="false"/>
          <w:sz w:val="20"/>
        </w:rPr>
        <w:t>Key Components of our Consolidated Statements of Operations</w:t>
      </w:r>
    </w:p>
    <w:p>
      <w:pPr>
        <w:pStyle w:val="TextBody"/>
        <w:bidi w:val="0"/>
        <w:spacing w:lineRule="auto" w:line="259"/>
        <w:rPr>
          <w:rFonts w:ascii="Times New Roman;serif" w:hAnsi="Times New Roman;serif"/>
          <w:sz w:val="20"/>
        </w:rPr>
      </w:pPr>
      <w:r>
        <w:rPr>
          <w:rFonts w:ascii="Times New Roman;serif" w:hAnsi="Times New Roman;serif"/>
          <w:b/>
          <w:i/>
          <w:sz w:val="20"/>
        </w:rPr>
        <w:t>Net Sales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Net sales represents total charges to customers, net of returns, and includes freight charged to customers. We recognize sales at the time that the customer takes control of the merchandise or final delivery of the product has occurred. We are required to charge and collect sales and other taxes on sales to our customers and remit these taxes back to government authorities. Total revenues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 not include sales tax because we are a pass-through conduit for collecting and remitting sales tax. Sales are reduced by a reserve for anticipated sales returns that we estimate based on historical returns.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pStyle w:val="TextBody"/>
        <w:bidi w:val="0"/>
        <w:spacing w:lineRule="auto" w:line="259"/>
        <w:rPr>
          <w:rFonts w:ascii="Times New Roman;serif" w:hAnsi="Times New Roman;serif"/>
          <w:sz w:val="20"/>
        </w:rPr>
      </w:pPr>
      <w:r>
        <w:rPr>
          <w:rFonts w:ascii="Times New Roman;serif" w:hAnsi="Times New Roman;serif"/>
          <w:b/>
          <w:i/>
          <w:sz w:val="20"/>
        </w:rPr>
        <w:t>Cost of Sales</w:t>
      </w:r>
      <w:r>
        <w:rPr>
          <w:rFonts w:ascii="Times New Roman;serif" w:hAnsi="Times New Roman;serif"/>
          <w:sz w:val="20"/>
        </w:rPr>
        <w:t xml:space="preserve">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Cost of sales consists primarily of material costs, freight, customs and duties fees, and storage and delivery of product to the customers, as well as physical inventory losses and costs associated with manufacturing of setting and maintenance materials. </w:t>
      </w:r>
    </w:p>
    <w:p>
      <w:pPr>
        <w:pStyle w:val="TextBody"/>
        <w:bidi w:val="0"/>
        <w:spacing w:lineRule="auto" w:line="259"/>
        <w:rPr>
          <w:rFonts w:ascii="TimesNewRomanPSMT" w:hAnsi="TimesNewRomanPSMT"/>
          <w:sz w:val="20"/>
        </w:rPr>
      </w:pPr>
      <w:r>
        <w:rPr>
          <w:rFonts w:ascii="TimesNewRomanPS-BoldItalicMT" w:hAnsi="TimesNewRomanPS-BoldItalicMT"/>
          <w:b/>
          <w:i/>
          <w:sz w:val="20"/>
        </w:rPr>
        <w:t xml:space="preserve">Gross Profit </w:t>
      </w:r>
      <w:r>
        <w:rPr>
          <w:rFonts w:ascii="TimesNewRomanPSMT" w:hAnsi="TimesNewRomanPSMT"/>
          <w:caps w:val="false"/>
          <w:smallCaps w:val="false"/>
          <w:sz w:val="20"/>
        </w:rPr>
        <w:t xml:space="preserve">– </w:t>
      </w:r>
      <w:r>
        <w:rPr>
          <w:rFonts w:ascii="TimesNewRomanPSMT" w:hAnsi="TimesNewRomanPSMT"/>
          <w:b w:val="false"/>
          <w:i w:val="false"/>
          <w:caps w:val="false"/>
          <w:smallCaps w:val="false"/>
          <w:sz w:val="20"/>
        </w:rPr>
        <w:t>Gross profit is net sales less cost of sales. Gross margin rate is the percentage determined by dividing gross profit by</w:t>
      </w:r>
    </w:p>
    <w:p>
      <w:pPr>
        <w:pStyle w:val="TextBody"/>
        <w:bidi w:val="0"/>
        <w:spacing w:lineRule="auto" w:line="259"/>
        <w:rPr>
          <w:rFonts w:ascii="TimesNewRomanPSMT" w:hAnsi="TimesNewRomanPSMT"/>
          <w:b w:val="false"/>
          <w:i w:val="false"/>
          <w:caps w:val="false"/>
          <w:smallCaps w:val="false"/>
          <w:sz w:val="20"/>
        </w:rPr>
      </w:pPr>
      <w:r>
        <w:rPr>
          <w:rFonts w:ascii="TimesNewRomanPSMT" w:hAnsi="TimesNewRomanPSMT"/>
          <w:b w:val="false"/>
          <w:i w:val="false"/>
          <w:caps w:val="false"/>
          <w:smallCaps w:val="false"/>
          <w:sz w:val="20"/>
        </w:rPr>
        <w:t>net sales.</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Selling, General, and Administrative Expenses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consist primarily of compensation costs, occupancy, utilities, maintenance costs, advertising costs, shipping and transportation expenses to move inventory from our distribution centers to our stores, and depreciation and amortization.</w:t>
      </w:r>
    </w:p>
    <w:p>
      <w:pPr>
        <w:pStyle w:val="TextBody"/>
        <w:bidi w:val="0"/>
        <w:spacing w:lineRule="auto" w:line="259"/>
        <w:rPr>
          <w:rFonts w:ascii="Times New Roman;serif" w:hAnsi="Times New Roman;serif"/>
          <w:sz w:val="20"/>
        </w:rPr>
      </w:pPr>
      <w:r>
        <w:rPr>
          <w:rFonts w:ascii="Times New Roman;serif" w:hAnsi="Times New Roman;serif"/>
          <w:b/>
          <w:i/>
          <w:sz w:val="20"/>
        </w:rPr>
        <w:t>Income Taxes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We are subject to income tax in the United States as well as other tax jurisdictions in which we conduct business.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Comparison of the three months ended March 31, 2023 to the three months ended March 31, 2022</w:t>
      </w:r>
    </w:p>
    <w:tbl>
      <w:tblPr>
        <w:tblW w:w="8451" w:type="dxa"/>
        <w:jc w:val="left"/>
        <w:tblInd w:w="0" w:type="dxa"/>
        <w:tblCellMar>
          <w:top w:w="0" w:type="dxa"/>
          <w:left w:w="0" w:type="dxa"/>
          <w:bottom w:w="0" w:type="dxa"/>
          <w:right w:w="0" w:type="dxa"/>
        </w:tblCellMar>
      </w:tblPr>
      <w:tblGrid>
        <w:gridCol w:w="3736"/>
        <w:gridCol w:w="109"/>
        <w:gridCol w:w="211"/>
        <w:gridCol w:w="781"/>
        <w:gridCol w:w="109"/>
        <w:gridCol w:w="763"/>
        <w:gridCol w:w="362"/>
        <w:gridCol w:w="109"/>
        <w:gridCol w:w="211"/>
        <w:gridCol w:w="781"/>
        <w:gridCol w:w="109"/>
        <w:gridCol w:w="753"/>
        <w:gridCol w:w="417"/>
      </w:tblGrid>
      <w:tr>
        <w:trPr/>
        <w:tc>
          <w:tcPr>
            <w:tcW w:w="3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63" w:type="dxa"/>
            <w:tcBorders/>
            <w:shd w:fill="FFFFFF" w:val="clear"/>
            <w:vAlign w:val="center"/>
          </w:tcPr>
          <w:p>
            <w:pPr>
              <w:pStyle w:val="TableContents"/>
              <w:spacing w:before="0" w:after="283"/>
              <w:rPr>
                <w:sz w:val="4"/>
                <w:szCs w:val="4"/>
              </w:rPr>
            </w:pPr>
            <w:r>
              <w:rPr>
                <w:sz w:val="4"/>
                <w:szCs w:val="4"/>
              </w:rPr>
            </w:r>
          </w:p>
        </w:tc>
        <w:tc>
          <w:tcPr>
            <w:tcW w:w="36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753" w:type="dxa"/>
            <w:tcBorders/>
            <w:shd w:fill="FFFFFF" w:val="clear"/>
            <w:vAlign w:val="center"/>
          </w:tcPr>
          <w:p>
            <w:pPr>
              <w:pStyle w:val="TableContents"/>
              <w:spacing w:before="0" w:after="283"/>
              <w:rPr>
                <w:sz w:val="4"/>
                <w:szCs w:val="4"/>
              </w:rPr>
            </w:pPr>
            <w:r>
              <w:rPr>
                <w:sz w:val="4"/>
                <w:szCs w:val="4"/>
              </w:rPr>
            </w:r>
          </w:p>
        </w:tc>
        <w:tc>
          <w:tcPr>
            <w:tcW w:w="417" w:type="dxa"/>
            <w:tcBorders/>
            <w:shd w:fill="FFFFFF" w:val="clear"/>
            <w:vAlign w:val="center"/>
          </w:tcPr>
          <w:p>
            <w:pPr>
              <w:pStyle w:val="TableContents"/>
              <w:spacing w:before="0" w:after="283"/>
              <w:rPr>
                <w:sz w:val="4"/>
                <w:szCs w:val="4"/>
              </w:rPr>
            </w:pPr>
            <w:r>
              <w:rPr>
                <w:sz w:val="4"/>
                <w:szCs w:val="4"/>
              </w:rPr>
            </w:r>
          </w:p>
        </w:tc>
      </w:tr>
      <w:tr>
        <w:trPr/>
        <w:tc>
          <w:tcPr>
            <w:tcW w:w="3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06" w:type="dxa"/>
            <w:gridSpan w:val="11"/>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373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shd w:fill="FFFFFF" w:val="clear"/>
            <w:vAlign w:val="center"/>
          </w:tcPr>
          <w:p>
            <w:pPr>
              <w:pStyle w:val="TableContents"/>
              <w:spacing w:before="0" w:after="283"/>
              <w:rPr>
                <w:sz w:val="4"/>
                <w:szCs w:val="4"/>
              </w:rPr>
            </w:pPr>
            <w:r>
              <w:rPr>
                <w:sz w:val="4"/>
                <w:szCs w:val="4"/>
              </w:rPr>
            </w:r>
          </w:p>
        </w:tc>
        <w:tc>
          <w:tcPr>
            <w:tcW w:w="112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 of sales</w:t>
            </w:r>
            <w:r>
              <w:rPr>
                <w:rFonts w:ascii="Times New Roman;serif" w:hAnsi="Times New Roman;serif"/>
                <w:b w:val="false"/>
                <w:i w:val="false"/>
                <w:caps w:val="false"/>
                <w:smallCaps w:val="false"/>
                <w:color w:val="000000"/>
                <w:position w:val="7"/>
                <w:sz w:val="16"/>
                <w:sz w:val="20"/>
              </w:rPr>
              <w:t>(1)</w:t>
            </w:r>
          </w:p>
        </w:tc>
        <w:tc>
          <w:tcPr>
            <w:tcW w:w="109" w:type="dxa"/>
            <w:tcBorders/>
            <w:shd w:fill="FFFFFF" w:val="clear"/>
            <w:vAlign w:val="center"/>
          </w:tcPr>
          <w:p>
            <w:pPr>
              <w:pStyle w:val="TableContents"/>
              <w:spacing w:before="0" w:after="283"/>
              <w:rPr>
                <w:sz w:val="4"/>
                <w:szCs w:val="4"/>
              </w:rPr>
            </w:pPr>
            <w:r>
              <w:rPr>
                <w:sz w:val="4"/>
                <w:szCs w:val="4"/>
              </w:rPr>
            </w:r>
          </w:p>
        </w:tc>
        <w:tc>
          <w:tcPr>
            <w:tcW w:w="9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shd w:fill="FFFFFF" w:val="clear"/>
            <w:vAlign w:val="center"/>
          </w:tcPr>
          <w:p>
            <w:pPr>
              <w:pStyle w:val="TableContents"/>
              <w:spacing w:before="0" w:after="283"/>
              <w:rPr>
                <w:sz w:val="4"/>
                <w:szCs w:val="4"/>
              </w:rPr>
            </w:pPr>
            <w:r>
              <w:rPr>
                <w:sz w:val="4"/>
                <w:szCs w:val="4"/>
              </w:rPr>
            </w:r>
          </w:p>
        </w:tc>
        <w:tc>
          <w:tcPr>
            <w:tcW w:w="117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 of sales</w:t>
            </w:r>
            <w:r>
              <w:rPr>
                <w:rFonts w:ascii="Times New Roman;serif" w:hAnsi="Times New Roman;serif"/>
                <w:b w:val="false"/>
                <w:i w:val="false"/>
                <w:caps w:val="false"/>
                <w:smallCaps w:val="false"/>
                <w:color w:val="000000"/>
                <w:position w:val="7"/>
                <w:sz w:val="16"/>
                <w:sz w:val="20"/>
              </w:rPr>
              <w:t>(1)</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sales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102,019</w:t>
            </w:r>
          </w:p>
        </w:tc>
        <w:tc>
          <w:tcPr>
            <w:tcW w:w="109" w:type="dxa"/>
            <w:tcBorders/>
            <w:shd w:fill="CCEEFF" w:val="clear"/>
            <w:vAlign w:val="center"/>
          </w:tcPr>
          <w:p>
            <w:pPr>
              <w:pStyle w:val="TableContents"/>
              <w:spacing w:before="0" w:after="283"/>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3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102,471</w:t>
            </w:r>
          </w:p>
        </w:tc>
        <w:tc>
          <w:tcPr>
            <w:tcW w:w="109" w:type="dxa"/>
            <w:tcBorders/>
            <w:shd w:fill="CCEEFF" w:val="clear"/>
            <w:vAlign w:val="center"/>
          </w:tcPr>
          <w:p>
            <w:pPr>
              <w:pStyle w:val="TableContents"/>
              <w:spacing w:before="0" w:after="283"/>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Cost of sales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36,481</w:t>
            </w:r>
          </w:p>
        </w:tc>
        <w:tc>
          <w:tcPr>
            <w:tcW w:w="109" w:type="dxa"/>
            <w:tcBorders/>
            <w:shd w:fill="auto" w:val="clear"/>
            <w:vAlign w:val="center"/>
          </w:tcPr>
          <w:p>
            <w:pPr>
              <w:pStyle w:val="TableContents"/>
              <w:spacing w:before="0" w:after="283"/>
              <w:rPr>
                <w:sz w:val="4"/>
                <w:szCs w:val="4"/>
              </w:rPr>
            </w:pPr>
            <w:r>
              <w:rPr>
                <w:sz w:val="4"/>
                <w:szCs w:val="4"/>
              </w:rPr>
            </w:r>
          </w:p>
        </w:tc>
        <w:tc>
          <w:tcPr>
            <w:tcW w:w="7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w:t>
            </w:r>
          </w:p>
        </w:tc>
        <w:tc>
          <w:tcPr>
            <w:tcW w:w="362"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35,626</w:t>
            </w:r>
          </w:p>
        </w:tc>
        <w:tc>
          <w:tcPr>
            <w:tcW w:w="109" w:type="dxa"/>
            <w:tcBorders/>
            <w:shd w:fill="auto" w:val="clear"/>
            <w:vAlign w:val="center"/>
          </w:tcPr>
          <w:p>
            <w:pPr>
              <w:pStyle w:val="TableContents"/>
              <w:spacing w:before="0" w:after="283"/>
              <w:rPr>
                <w:sz w:val="4"/>
                <w:szCs w:val="4"/>
              </w:rPr>
            </w:pPr>
            <w:r>
              <w:rPr>
                <w:sz w:val="4"/>
                <w:szCs w:val="4"/>
              </w:rPr>
            </w:r>
          </w:p>
        </w:tc>
        <w:tc>
          <w:tcPr>
            <w:tcW w:w="75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34.8</w:t>
            </w:r>
          </w:p>
        </w:tc>
        <w:tc>
          <w:tcPr>
            <w:tcW w:w="417"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profit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65,538</w:t>
            </w:r>
          </w:p>
        </w:tc>
        <w:tc>
          <w:tcPr>
            <w:tcW w:w="109" w:type="dxa"/>
            <w:tcBorders/>
            <w:shd w:fill="CCEEFF" w:val="clear"/>
            <w:vAlign w:val="center"/>
          </w:tcPr>
          <w:p>
            <w:pPr>
              <w:pStyle w:val="TableContents"/>
              <w:spacing w:before="0" w:after="283"/>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w:t>
            </w:r>
          </w:p>
        </w:tc>
        <w:tc>
          <w:tcPr>
            <w:tcW w:w="3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66,845</w:t>
            </w:r>
          </w:p>
        </w:tc>
        <w:tc>
          <w:tcPr>
            <w:tcW w:w="109" w:type="dxa"/>
            <w:tcBorders/>
            <w:shd w:fill="CCEEFF" w:val="clear"/>
            <w:vAlign w:val="center"/>
          </w:tcPr>
          <w:p>
            <w:pPr>
              <w:pStyle w:val="TableContents"/>
              <w:spacing w:before="0" w:after="283"/>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65.2</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61,413</w:t>
            </w:r>
          </w:p>
        </w:tc>
        <w:tc>
          <w:tcPr>
            <w:tcW w:w="109" w:type="dxa"/>
            <w:tcBorders/>
            <w:shd w:fill="auto" w:val="clear"/>
            <w:vAlign w:val="center"/>
          </w:tcPr>
          <w:p>
            <w:pPr>
              <w:pStyle w:val="TableContents"/>
              <w:spacing w:before="0" w:after="283"/>
              <w:rPr>
                <w:sz w:val="4"/>
                <w:szCs w:val="4"/>
              </w:rPr>
            </w:pPr>
            <w:r>
              <w:rPr>
                <w:sz w:val="4"/>
                <w:szCs w:val="4"/>
              </w:rPr>
            </w:r>
          </w:p>
        </w:tc>
        <w:tc>
          <w:tcPr>
            <w:tcW w:w="7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60.2</w:t>
            </w:r>
          </w:p>
        </w:tc>
        <w:tc>
          <w:tcPr>
            <w:tcW w:w="362"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62,109</w:t>
            </w:r>
          </w:p>
        </w:tc>
        <w:tc>
          <w:tcPr>
            <w:tcW w:w="109" w:type="dxa"/>
            <w:tcBorders/>
            <w:shd w:fill="auto" w:val="clear"/>
            <w:vAlign w:val="center"/>
          </w:tcPr>
          <w:p>
            <w:pPr>
              <w:pStyle w:val="TableContents"/>
              <w:spacing w:before="0" w:after="283"/>
              <w:rPr>
                <w:sz w:val="4"/>
                <w:szCs w:val="4"/>
              </w:rPr>
            </w:pPr>
            <w:r>
              <w:rPr>
                <w:sz w:val="4"/>
                <w:szCs w:val="4"/>
              </w:rPr>
            </w:r>
          </w:p>
        </w:tc>
        <w:tc>
          <w:tcPr>
            <w:tcW w:w="75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60.6</w:t>
            </w:r>
          </w:p>
        </w:tc>
        <w:tc>
          <w:tcPr>
            <w:tcW w:w="417"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4,125</w:t>
            </w:r>
          </w:p>
        </w:tc>
        <w:tc>
          <w:tcPr>
            <w:tcW w:w="109" w:type="dxa"/>
            <w:tcBorders/>
            <w:shd w:fill="CCEEFF" w:val="clear"/>
            <w:vAlign w:val="center"/>
          </w:tcPr>
          <w:p>
            <w:pPr>
              <w:pStyle w:val="TableContents"/>
              <w:spacing w:before="0" w:after="283"/>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3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4,736</w:t>
            </w:r>
          </w:p>
        </w:tc>
        <w:tc>
          <w:tcPr>
            <w:tcW w:w="109" w:type="dxa"/>
            <w:tcBorders/>
            <w:shd w:fill="CCEEFF" w:val="clear"/>
            <w:vAlign w:val="center"/>
          </w:tcPr>
          <w:p>
            <w:pPr>
              <w:pStyle w:val="TableContents"/>
              <w:spacing w:before="0" w:after="283"/>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(798)</w:t>
            </w:r>
          </w:p>
        </w:tc>
        <w:tc>
          <w:tcPr>
            <w:tcW w:w="10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w:t>
            </w:r>
          </w:p>
        </w:tc>
        <w:tc>
          <w:tcPr>
            <w:tcW w:w="362"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w:t>
            </w:r>
          </w:p>
        </w:tc>
        <w:tc>
          <w:tcPr>
            <w:tcW w:w="10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w:t>
            </w:r>
          </w:p>
        </w:tc>
        <w:tc>
          <w:tcPr>
            <w:tcW w:w="417"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before income taxes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3,327</w:t>
            </w:r>
          </w:p>
        </w:tc>
        <w:tc>
          <w:tcPr>
            <w:tcW w:w="109" w:type="dxa"/>
            <w:tcBorders/>
            <w:shd w:fill="CCEEFF" w:val="clear"/>
            <w:vAlign w:val="center"/>
          </w:tcPr>
          <w:p>
            <w:pPr>
              <w:pStyle w:val="TableContents"/>
              <w:spacing w:before="0" w:after="283"/>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36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4,470</w:t>
            </w:r>
          </w:p>
        </w:tc>
        <w:tc>
          <w:tcPr>
            <w:tcW w:w="109" w:type="dxa"/>
            <w:tcBorders/>
            <w:shd w:fill="CCEEFF" w:val="clear"/>
            <w:vAlign w:val="center"/>
          </w:tcPr>
          <w:p>
            <w:pPr>
              <w:pStyle w:val="TableContents"/>
              <w:spacing w:before="0" w:after="283"/>
              <w:rPr>
                <w:sz w:val="4"/>
                <w:szCs w:val="4"/>
              </w:rPr>
            </w:pPr>
            <w:r>
              <w:rPr>
                <w:sz w:val="4"/>
                <w:szCs w:val="4"/>
              </w:rPr>
            </w:r>
          </w:p>
        </w:tc>
        <w:tc>
          <w:tcPr>
            <w:tcW w:w="75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c>
        <w:tc>
          <w:tcPr>
            <w:tcW w:w="41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(815)</w:t>
            </w:r>
          </w:p>
        </w:tc>
        <w:tc>
          <w:tcPr>
            <w:tcW w:w="109" w:type="dxa"/>
            <w:tcBorders/>
            <w:shd w:fill="auto" w:val="clear"/>
            <w:vAlign w:val="center"/>
          </w:tcPr>
          <w:p>
            <w:pPr>
              <w:pStyle w:val="TableContents"/>
              <w:spacing w:before="0" w:after="283"/>
              <w:rPr>
                <w:sz w:val="4"/>
                <w:szCs w:val="4"/>
              </w:rPr>
            </w:pPr>
            <w:r>
              <w:rPr>
                <w:sz w:val="4"/>
                <w:szCs w:val="4"/>
              </w:rPr>
            </w:r>
          </w:p>
        </w:tc>
        <w:tc>
          <w:tcPr>
            <w:tcW w:w="76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w:t>
            </w:r>
          </w:p>
        </w:tc>
        <w:tc>
          <w:tcPr>
            <w:tcW w:w="362"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78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(957)</w:t>
            </w:r>
          </w:p>
        </w:tc>
        <w:tc>
          <w:tcPr>
            <w:tcW w:w="109" w:type="dxa"/>
            <w:tcBorders/>
            <w:shd w:fill="auto" w:val="clear"/>
            <w:vAlign w:val="center"/>
          </w:tcPr>
          <w:p>
            <w:pPr>
              <w:pStyle w:val="TableContents"/>
              <w:spacing w:before="0" w:after="283"/>
              <w:rPr>
                <w:sz w:val="4"/>
                <w:szCs w:val="4"/>
              </w:rPr>
            </w:pPr>
            <w:r>
              <w:rPr>
                <w:sz w:val="4"/>
                <w:szCs w:val="4"/>
              </w:rPr>
            </w:r>
          </w:p>
        </w:tc>
        <w:tc>
          <w:tcPr>
            <w:tcW w:w="753"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(0.9)</w:t>
            </w:r>
          </w:p>
        </w:tc>
        <w:tc>
          <w:tcPr>
            <w:tcW w:w="417"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09" w:type="dxa"/>
            <w:tcBorders/>
            <w:shd w:fill="CCEEFF" w:val="clear"/>
            <w:vAlign w:val="center"/>
          </w:tcPr>
          <w:p>
            <w:pPr>
              <w:pStyle w:val="TableContents"/>
              <w:spacing w:before="0" w:after="283"/>
              <w:rPr>
                <w:sz w:val="4"/>
                <w:szCs w:val="4"/>
              </w:rPr>
            </w:pPr>
            <w:r>
              <w:rPr>
                <w:sz w:val="4"/>
                <w:szCs w:val="4"/>
              </w:rPr>
            </w:r>
          </w:p>
        </w:tc>
        <w:tc>
          <w:tcPr>
            <w:tcW w:w="76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36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3,513</w:t>
            </w:r>
          </w:p>
        </w:tc>
        <w:tc>
          <w:tcPr>
            <w:tcW w:w="109" w:type="dxa"/>
            <w:tcBorders/>
            <w:shd w:fill="CCEEFF" w:val="clear"/>
            <w:vAlign w:val="center"/>
          </w:tcPr>
          <w:p>
            <w:pPr>
              <w:pStyle w:val="TableContents"/>
              <w:spacing w:before="0" w:after="283"/>
              <w:rPr>
                <w:sz w:val="4"/>
                <w:szCs w:val="4"/>
              </w:rPr>
            </w:pPr>
            <w:r>
              <w:rPr>
                <w:sz w:val="4"/>
                <w:szCs w:val="4"/>
              </w:rPr>
            </w:r>
          </w:p>
        </w:tc>
        <w:tc>
          <w:tcPr>
            <w:tcW w:w="7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4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Amounts do not foot due to rounding.</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Net Sales </w:t>
      </w:r>
      <w:r>
        <w:rPr>
          <w:rFonts w:ascii="Times New Roman;serif" w:hAnsi="Times New Roman;serif"/>
          <w:b w:val="false"/>
          <w:i w:val="false"/>
          <w:caps w:val="false"/>
          <w:smallCaps w:val="false"/>
          <w:sz w:val="20"/>
        </w:rPr>
        <w:t>Net sales for the first quarter of 2023 decreased $0.5 million, or 0.4%, compared with the first quarter of 2022.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Sales increased at comparable stores by 0.1% during the first quarter of 2023 compared to the first quarter of 2022, primarily due to an increase in average ticket driven and partially offset by a decrease in traffic. </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Gross Profit </w:t>
      </w:r>
      <w:r>
        <w:rPr>
          <w:rFonts w:ascii="Times New Roman;serif" w:hAnsi="Times New Roman;serif"/>
          <w:b w:val="false"/>
          <w:i w:val="false"/>
          <w:caps w:val="false"/>
          <w:smallCaps w:val="false"/>
          <w:sz w:val="20"/>
        </w:rPr>
        <w:t xml:space="preserve">Gross profit for the first quarter of 2023 decreased $1.3 million, or 2.0%, compared with the first quarter of 2022. The gross margin rate was 64.2% and 65.2% during the first quarter of 2023 and 2022, respectively. The decrease in the gross margin rate was primarily due to inflationary cost pressure which resulted in an increase in the cost of products we sold over the last year. These cost increases were partially offset by an increase in our selling prices. </w:t>
      </w:r>
    </w:p>
    <w:p>
      <w:pPr>
        <w:pStyle w:val="TextBody"/>
        <w:bidi w:val="0"/>
        <w:spacing w:lineRule="auto" w:line="259"/>
        <w:rPr>
          <w:rFonts w:ascii="Times New Roman;serif" w:hAnsi="Times New Roman;serif"/>
          <w:sz w:val="20"/>
        </w:rPr>
      </w:pPr>
      <w:r>
        <w:rPr>
          <w:rFonts w:ascii="Times New Roman;serif" w:hAnsi="Times New Roman;serif"/>
          <w:b/>
          <w:i/>
          <w:sz w:val="20"/>
        </w:rPr>
        <w:t>Selling, General, and Administrative Expenses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Selling, general, and administrative expenses for the first quarter of 2023 decreased $0.7 million, or 1.1%, from $62.1 million in the first quarter of 2022 to $61.4 million in the first quarter of 2023. The decrease in selling, general and administrative expenses was due to a $1.1 million decrease in variable selling expenses, and $0.9 million decrease in transportation expenses due to an improvement in inventory availability across our distribution centers and a $0.7 million decrease in depreciation expense. These factors were partially offset by a $0.6 million increase in wages due to headcount increases and pay rate changes, a $0.6 million increase in software licensing costs and a $0.4 million increase in operating supplies. In addition during the first quarter of 2023, we recorded a $0.1 million asset impairment charge. We did not record any asset impairment charges during the first quarter of 2022.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sz w:val="20"/>
        </w:rPr>
        <w:t>Interest Expense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Interest expense was $0.8 million and $0.3 million for the first quarter of 2023 and 2022, respectively. The increase was due to an increase in average borrowings outstanding on our line of credit as well as an increase in interest rates between the first quarter of 2022 and the first quarter of 2023.</w:t>
      </w:r>
    </w:p>
    <w:p>
      <w:pPr>
        <w:pStyle w:val="TextBody"/>
        <w:bidi w:val="0"/>
        <w:spacing w:lineRule="auto" w:line="259"/>
        <w:rPr>
          <w:rFonts w:ascii="Times New Roman;serif" w:hAnsi="Times New Roman;serif"/>
          <w:sz w:val="20"/>
        </w:rPr>
      </w:pPr>
      <w:r>
        <w:rPr>
          <w:rFonts w:ascii="Times New Roman;serif" w:hAnsi="Times New Roman;serif"/>
          <w:b/>
          <w:i/>
          <w:sz w:val="20"/>
        </w:rPr>
        <w:t>Provision for Income Taxes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provision for income taxes was $0.8 million and $1.0 million for the first quarter of 2023 and 2022, respectively. </w:t>
      </w:r>
      <w:r>
        <w:rPr>
          <w:rFonts w:ascii="Times New Roman;serif" w:hAnsi="Times New Roman;serif"/>
          <w:b w:val="false"/>
          <w:i w:val="false"/>
          <w:caps w:val="false"/>
          <w:smallCaps w:val="false"/>
          <w:color w:val="000000"/>
          <w:sz w:val="20"/>
        </w:rPr>
        <w:t xml:space="preserve">Our effective tax rate for the three months ended March 31, 2023 and 2022 was 24.5% and 21.4%, respectively. </w:t>
      </w:r>
      <w:r>
        <w:rPr>
          <w:rFonts w:ascii="Times New Roman;serif" w:hAnsi="Times New Roman;serif"/>
          <w:b w:val="false"/>
          <w:i w:val="false"/>
          <w:caps w:val="false"/>
          <w:smallCaps w:val="false"/>
          <w:sz w:val="20"/>
        </w:rPr>
        <w:t>The increase in the effective tax rate was largely due to a decrease in the tax benefit associated with employee equity award vestings that occurred during the first quarter of 2023.</w:t>
        <w:br/>
        <w: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Non-GAAP Measures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reconciliation of Adjusted EBITDA to net income for the three months ended March 31, 2023 and 2022 is as follows:</w:t>
      </w:r>
    </w:p>
    <w:tbl>
      <w:tblPr>
        <w:tblW w:w="6890" w:type="dxa"/>
        <w:jc w:val="left"/>
        <w:tblInd w:w="0" w:type="dxa"/>
        <w:tblCellMar>
          <w:top w:w="0" w:type="dxa"/>
          <w:left w:w="0" w:type="dxa"/>
          <w:bottom w:w="0" w:type="dxa"/>
          <w:right w:w="0" w:type="dxa"/>
        </w:tblCellMar>
      </w:tblPr>
      <w:tblGrid>
        <w:gridCol w:w="2596"/>
        <w:gridCol w:w="109"/>
        <w:gridCol w:w="211"/>
        <w:gridCol w:w="676"/>
        <w:gridCol w:w="109"/>
        <w:gridCol w:w="620"/>
        <w:gridCol w:w="145"/>
        <w:gridCol w:w="360"/>
        <w:gridCol w:w="109"/>
        <w:gridCol w:w="211"/>
        <w:gridCol w:w="676"/>
        <w:gridCol w:w="109"/>
        <w:gridCol w:w="502"/>
        <w:gridCol w:w="117"/>
        <w:gridCol w:w="340"/>
      </w:tblGrid>
      <w:tr>
        <w:trPr/>
        <w:tc>
          <w:tcPr>
            <w:tcW w:w="25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0" w:type="dxa"/>
            <w:tcBorders/>
            <w:shd w:fill="FFFFFF" w:val="clear"/>
            <w:vAlign w:val="center"/>
          </w:tcPr>
          <w:p>
            <w:pPr>
              <w:pStyle w:val="TableContents"/>
              <w:spacing w:before="0" w:after="283"/>
              <w:rPr>
                <w:sz w:val="4"/>
                <w:szCs w:val="4"/>
              </w:rPr>
            </w:pPr>
            <w:r>
              <w:rPr>
                <w:sz w:val="4"/>
                <w:szCs w:val="4"/>
              </w:rPr>
            </w:r>
          </w:p>
        </w:tc>
        <w:tc>
          <w:tcPr>
            <w:tcW w:w="145" w:type="dxa"/>
            <w:tcBorders/>
            <w:shd w:fill="FFFFFF" w:val="clear"/>
            <w:vAlign w:val="center"/>
          </w:tcPr>
          <w:p>
            <w:pPr>
              <w:pStyle w:val="TableContents"/>
              <w:spacing w:before="0" w:after="283"/>
              <w:rPr>
                <w:sz w:val="4"/>
                <w:szCs w:val="4"/>
              </w:rPr>
            </w:pPr>
            <w:r>
              <w:rPr>
                <w:sz w:val="4"/>
                <w:szCs w:val="4"/>
              </w:rPr>
            </w:r>
          </w:p>
        </w:tc>
        <w:tc>
          <w:tcPr>
            <w:tcW w:w="36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02" w:type="dxa"/>
            <w:tcBorders/>
            <w:shd w:fill="FFFFFF" w:val="clear"/>
            <w:vAlign w:val="center"/>
          </w:tcPr>
          <w:p>
            <w:pPr>
              <w:pStyle w:val="TableContents"/>
              <w:spacing w:before="0" w:after="283"/>
              <w:rPr>
                <w:sz w:val="4"/>
                <w:szCs w:val="4"/>
              </w:rPr>
            </w:pPr>
            <w:r>
              <w:rPr>
                <w:sz w:val="4"/>
                <w:szCs w:val="4"/>
              </w:rPr>
            </w:r>
          </w:p>
        </w:tc>
        <w:tc>
          <w:tcPr>
            <w:tcW w:w="117" w:type="dxa"/>
            <w:tcBorders/>
            <w:shd w:fill="FFFFFF" w:val="clear"/>
            <w:vAlign w:val="center"/>
          </w:tcPr>
          <w:p>
            <w:pPr>
              <w:pStyle w:val="TableContents"/>
              <w:spacing w:before="0" w:after="283"/>
              <w:rPr>
                <w:sz w:val="4"/>
                <w:szCs w:val="4"/>
              </w:rPr>
            </w:pPr>
            <w:r>
              <w:rPr>
                <w:sz w:val="4"/>
                <w:szCs w:val="4"/>
              </w:rPr>
            </w:r>
          </w:p>
        </w:tc>
        <w:tc>
          <w:tcPr>
            <w:tcW w:w="340" w:type="dxa"/>
            <w:tcBorders/>
            <w:shd w:fill="FFFFFF" w:val="clear"/>
            <w:vAlign w:val="center"/>
          </w:tcPr>
          <w:p>
            <w:pPr>
              <w:pStyle w:val="TableContents"/>
              <w:spacing w:before="0" w:after="283"/>
              <w:rPr>
                <w:sz w:val="4"/>
                <w:szCs w:val="4"/>
              </w:rPr>
            </w:pPr>
            <w:r>
              <w:rPr>
                <w:sz w:val="4"/>
                <w:szCs w:val="4"/>
              </w:rPr>
            </w:r>
          </w:p>
        </w:tc>
      </w:tr>
      <w:tr>
        <w:trPr/>
        <w:tc>
          <w:tcPr>
            <w:tcW w:w="25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620" w:type="dxa"/>
            <w:tcBorders/>
            <w:shd w:fill="FFFFFF" w:val="clear"/>
            <w:vAlign w:val="center"/>
          </w:tcPr>
          <w:p>
            <w:pPr>
              <w:pStyle w:val="TableContents"/>
              <w:spacing w:before="0" w:after="283"/>
              <w:rPr>
                <w:sz w:val="4"/>
                <w:szCs w:val="4"/>
              </w:rPr>
            </w:pPr>
            <w:r>
              <w:rPr>
                <w:sz w:val="4"/>
                <w:szCs w:val="4"/>
              </w:rPr>
            </w:r>
          </w:p>
        </w:tc>
        <w:tc>
          <w:tcPr>
            <w:tcW w:w="145" w:type="dxa"/>
            <w:tcBorders/>
            <w:shd w:fill="FFFFFF" w:val="clear"/>
            <w:vAlign w:val="center"/>
          </w:tcPr>
          <w:p>
            <w:pPr>
              <w:pStyle w:val="TableContents"/>
              <w:spacing w:before="0" w:after="283"/>
              <w:rPr>
                <w:sz w:val="4"/>
                <w:szCs w:val="4"/>
              </w:rPr>
            </w:pPr>
            <w:r>
              <w:rPr>
                <w:sz w:val="4"/>
                <w:szCs w:val="4"/>
              </w:rPr>
            </w:r>
          </w:p>
        </w:tc>
        <w:tc>
          <w:tcPr>
            <w:tcW w:w="360"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502" w:type="dxa"/>
            <w:tcBorders/>
            <w:shd w:fill="FFFFFF" w:val="clear"/>
            <w:vAlign w:val="center"/>
          </w:tcPr>
          <w:p>
            <w:pPr>
              <w:pStyle w:val="TableContents"/>
              <w:spacing w:before="0" w:after="283"/>
              <w:rPr>
                <w:sz w:val="4"/>
                <w:szCs w:val="4"/>
              </w:rPr>
            </w:pPr>
            <w:r>
              <w:rPr>
                <w:sz w:val="4"/>
                <w:szCs w:val="4"/>
              </w:rPr>
            </w:r>
          </w:p>
        </w:tc>
        <w:tc>
          <w:tcPr>
            <w:tcW w:w="117" w:type="dxa"/>
            <w:tcBorders/>
            <w:shd w:fill="FFFFFF" w:val="clear"/>
            <w:vAlign w:val="center"/>
          </w:tcPr>
          <w:p>
            <w:pPr>
              <w:pStyle w:val="TableContents"/>
              <w:spacing w:before="0" w:after="283"/>
              <w:rPr>
                <w:sz w:val="4"/>
                <w:szCs w:val="4"/>
              </w:rPr>
            </w:pPr>
            <w:r>
              <w:rPr>
                <w:sz w:val="4"/>
                <w:szCs w:val="4"/>
              </w:rPr>
            </w:r>
          </w:p>
        </w:tc>
        <w:tc>
          <w:tcPr>
            <w:tcW w:w="340" w:type="dxa"/>
            <w:tcBorders/>
            <w:shd w:fill="FFFFFF" w:val="clear"/>
            <w:vAlign w:val="center"/>
          </w:tcPr>
          <w:p>
            <w:pPr>
              <w:pStyle w:val="TableContents"/>
              <w:spacing w:before="0" w:after="283"/>
              <w:rPr>
                <w:sz w:val="4"/>
                <w:szCs w:val="4"/>
              </w:rPr>
            </w:pPr>
            <w:r>
              <w:rPr>
                <w:sz w:val="4"/>
                <w:szCs w:val="4"/>
              </w:rPr>
            </w:r>
          </w:p>
        </w:tc>
      </w:tr>
      <w:tr>
        <w:trPr/>
        <w:tc>
          <w:tcPr>
            <w:tcW w:w="2596" w:type="dxa"/>
            <w:tcBorders/>
            <w:shd w:fill="FFFFFF" w:val="clear"/>
            <w:vAlign w:val="center"/>
          </w:tcPr>
          <w:p>
            <w:pPr>
              <w:pStyle w:val="TableContents"/>
              <w:spacing w:before="0" w:after="283"/>
              <w:rPr>
                <w:sz w:val="4"/>
                <w:szCs w:val="4"/>
              </w:rPr>
            </w:pPr>
            <w:r>
              <w:rPr>
                <w:sz w:val="4"/>
                <w:szCs w:val="4"/>
              </w:rPr>
            </w:r>
          </w:p>
        </w:tc>
        <w:tc>
          <w:tcPr>
            <w:tcW w:w="4294" w:type="dxa"/>
            <w:gridSpan w:val="14"/>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r>
      <w:tr>
        <w:trPr/>
        <w:tc>
          <w:tcPr>
            <w:tcW w:w="25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185" w:type="dxa"/>
            <w:gridSpan w:val="13"/>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25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185" w:type="dxa"/>
            <w:gridSpan w:val="13"/>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25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 of sales</w:t>
            </w:r>
            <w:r>
              <w:rPr>
                <w:rFonts w:ascii="Times New Roman;serif" w:hAnsi="Times New Roman;serif"/>
                <w:b w:val="false"/>
                <w:i w:val="false"/>
                <w:caps w:val="false"/>
                <w:smallCaps w:val="false"/>
                <w:color w:val="000000"/>
                <w:position w:val="7"/>
                <w:sz w:val="16"/>
                <w:sz w:val="20"/>
              </w:rPr>
              <w:t>(1)</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of sales</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2,512</w:t>
            </w:r>
          </w:p>
        </w:tc>
        <w:tc>
          <w:tcPr>
            <w:tcW w:w="109" w:type="dxa"/>
            <w:tcBorders/>
            <w:shd w:fill="CCEEFF" w:val="clear"/>
            <w:vAlign w:val="center"/>
          </w:tcPr>
          <w:p>
            <w:pPr>
              <w:pStyle w:val="TableContents"/>
              <w:spacing w:before="0" w:after="283"/>
              <w:rPr>
                <w:sz w:val="4"/>
                <w:szCs w:val="4"/>
              </w:rPr>
            </w:pPr>
            <w:r>
              <w:rPr>
                <w:sz w:val="4"/>
                <w:szCs w:val="4"/>
              </w:rPr>
            </w:r>
          </w:p>
        </w:tc>
        <w:tc>
          <w:tcPr>
            <w:tcW w:w="62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145"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3,513</w:t>
            </w:r>
          </w:p>
        </w:tc>
        <w:tc>
          <w:tcPr>
            <w:tcW w:w="109" w:type="dxa"/>
            <w:tcBorders/>
            <w:shd w:fill="CCEEFF" w:val="clear"/>
            <w:vAlign w:val="center"/>
          </w:tcPr>
          <w:p>
            <w:pPr>
              <w:pStyle w:val="TableContents"/>
              <w:spacing w:before="0" w:after="283"/>
              <w:rPr>
                <w:sz w:val="4"/>
                <w:szCs w:val="4"/>
              </w:rPr>
            </w:pPr>
            <w:r>
              <w:rPr>
                <w:sz w:val="4"/>
                <w:szCs w:val="4"/>
              </w:rPr>
            </w:r>
          </w:p>
        </w:tc>
        <w:tc>
          <w:tcPr>
            <w:tcW w:w="50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117" w:type="dxa"/>
            <w:tcBorders>
              <w:top w:val="single" w:sz="8" w:space="0" w:color="000000"/>
            </w:tcBorders>
            <w:shd w:fill="CCEEFF" w:val="clear"/>
            <w:tcMar>
              <w:top w:w="28"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798</w:t>
            </w:r>
          </w:p>
        </w:tc>
        <w:tc>
          <w:tcPr>
            <w:tcW w:w="109"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w:t>
            </w:r>
          </w:p>
        </w:tc>
        <w:tc>
          <w:tcPr>
            <w:tcW w:w="14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w:t>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w:t>
            </w:r>
          </w:p>
        </w:tc>
        <w:tc>
          <w:tcPr>
            <w:tcW w:w="11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815</w:t>
            </w:r>
          </w:p>
        </w:tc>
        <w:tc>
          <w:tcPr>
            <w:tcW w:w="109" w:type="dxa"/>
            <w:tcBorders/>
            <w:shd w:fill="CCEEFF" w:val="clear"/>
            <w:vAlign w:val="center"/>
          </w:tcPr>
          <w:p>
            <w:pPr>
              <w:pStyle w:val="TableContents"/>
              <w:spacing w:before="0" w:after="283"/>
              <w:rPr>
                <w:sz w:val="4"/>
                <w:szCs w:val="4"/>
              </w:rPr>
            </w:pPr>
            <w:r>
              <w:rPr>
                <w:sz w:val="4"/>
                <w:szCs w:val="4"/>
              </w:rPr>
            </w:r>
          </w:p>
        </w:tc>
        <w:tc>
          <w:tcPr>
            <w:tcW w:w="62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0.8</w:t>
            </w:r>
          </w:p>
        </w:tc>
        <w:tc>
          <w:tcPr>
            <w:tcW w:w="145" w:type="dxa"/>
            <w:tcBorders/>
            <w:shd w:fill="CCEEFF" w:val="clear"/>
            <w:vAlign w:val="center"/>
          </w:tcPr>
          <w:p>
            <w:pPr>
              <w:pStyle w:val="TableContents"/>
              <w:spacing w:before="0" w:after="283"/>
              <w:rPr>
                <w:sz w:val="4"/>
                <w:szCs w:val="4"/>
              </w:rPr>
            </w:pPr>
            <w:r>
              <w:rPr>
                <w:sz w:val="4"/>
                <w:szCs w:val="4"/>
              </w:rPr>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957</w:t>
            </w:r>
          </w:p>
        </w:tc>
        <w:tc>
          <w:tcPr>
            <w:tcW w:w="109" w:type="dxa"/>
            <w:tcBorders/>
            <w:shd w:fill="CCEEFF" w:val="clear"/>
            <w:vAlign w:val="center"/>
          </w:tcPr>
          <w:p>
            <w:pPr>
              <w:pStyle w:val="TableContents"/>
              <w:spacing w:before="0" w:after="283"/>
              <w:rPr>
                <w:sz w:val="4"/>
                <w:szCs w:val="4"/>
              </w:rPr>
            </w:pPr>
            <w:r>
              <w:rPr>
                <w:sz w:val="4"/>
                <w:szCs w:val="4"/>
              </w:rPr>
            </w:r>
          </w:p>
        </w:tc>
        <w:tc>
          <w:tcPr>
            <w:tcW w:w="50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0.9</w:t>
            </w:r>
          </w:p>
        </w:tc>
        <w:tc>
          <w:tcPr>
            <w:tcW w:w="117" w:type="dxa"/>
            <w:tcBorders/>
            <w:shd w:fill="CCEEFF" w:val="clear"/>
            <w:vAlign w:val="center"/>
          </w:tcPr>
          <w:p>
            <w:pPr>
              <w:pStyle w:val="TableContents"/>
              <w:spacing w:before="0" w:after="283"/>
              <w:rPr>
                <w:sz w:val="4"/>
                <w:szCs w:val="4"/>
              </w:rPr>
            </w:pPr>
            <w:r>
              <w:rPr>
                <w:sz w:val="4"/>
                <w:szCs w:val="4"/>
              </w:rPr>
            </w:r>
          </w:p>
        </w:tc>
        <w:tc>
          <w:tcPr>
            <w:tcW w:w="3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5,783</w:t>
            </w:r>
          </w:p>
        </w:tc>
        <w:tc>
          <w:tcPr>
            <w:tcW w:w="109"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w:t>
            </w:r>
          </w:p>
        </w:tc>
        <w:tc>
          <w:tcPr>
            <w:tcW w:w="14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6,439</w:t>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w:t>
            </w:r>
          </w:p>
        </w:tc>
        <w:tc>
          <w:tcPr>
            <w:tcW w:w="11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Stock based compensation</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c>
          <w:tcPr>
            <w:tcW w:w="109" w:type="dxa"/>
            <w:tcBorders/>
            <w:shd w:fill="CCEEFF" w:val="clear"/>
            <w:vAlign w:val="center"/>
          </w:tcPr>
          <w:p>
            <w:pPr>
              <w:pStyle w:val="TableContents"/>
              <w:spacing w:before="0" w:after="283"/>
              <w:rPr>
                <w:sz w:val="4"/>
                <w:szCs w:val="4"/>
              </w:rPr>
            </w:pPr>
            <w:r>
              <w:rPr>
                <w:sz w:val="4"/>
                <w:szCs w:val="4"/>
              </w:rPr>
            </w:r>
          </w:p>
        </w:tc>
        <w:tc>
          <w:tcPr>
            <w:tcW w:w="62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0.4</w:t>
            </w:r>
          </w:p>
        </w:tc>
        <w:tc>
          <w:tcPr>
            <w:tcW w:w="14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360"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492</w:t>
            </w:r>
          </w:p>
        </w:tc>
        <w:tc>
          <w:tcPr>
            <w:tcW w:w="109" w:type="dxa"/>
            <w:tcBorders/>
            <w:shd w:fill="CCEEFF" w:val="clear"/>
            <w:vAlign w:val="center"/>
          </w:tcPr>
          <w:p>
            <w:pPr>
              <w:pStyle w:val="TableContents"/>
              <w:spacing w:before="0" w:after="283"/>
              <w:rPr>
                <w:sz w:val="4"/>
                <w:szCs w:val="4"/>
              </w:rPr>
            </w:pPr>
            <w:r>
              <w:rPr>
                <w:sz w:val="4"/>
                <w:szCs w:val="4"/>
              </w:rPr>
            </w:r>
          </w:p>
        </w:tc>
        <w:tc>
          <w:tcPr>
            <w:tcW w:w="50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c>
          <w:tcPr>
            <w:tcW w:w="117"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340"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59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10,313</w:t>
            </w:r>
          </w:p>
        </w:tc>
        <w:tc>
          <w:tcPr>
            <w:tcW w:w="109" w:type="dxa"/>
            <w:tcBorders/>
            <w:shd w:fill="auto" w:val="clear"/>
            <w:vAlign w:val="center"/>
          </w:tcPr>
          <w:p>
            <w:pPr>
              <w:pStyle w:val="TableContents"/>
              <w:spacing w:before="0" w:after="283"/>
              <w:rPr>
                <w:sz w:val="4"/>
                <w:szCs w:val="4"/>
              </w:rPr>
            </w:pPr>
            <w:r>
              <w:rPr>
                <w:sz w:val="4"/>
                <w:szCs w:val="4"/>
              </w:rPr>
            </w:r>
          </w:p>
        </w:tc>
        <w:tc>
          <w:tcPr>
            <w:tcW w:w="620"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145" w:type="dxa"/>
            <w:tcBorders>
              <w:top w:val="single" w:sz="8"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11,667</w:t>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w:t>
            </w:r>
          </w:p>
        </w:tc>
        <w:tc>
          <w:tcPr>
            <w:tcW w:w="117" w:type="dxa"/>
            <w:tcBorders>
              <w:top w:val="single" w:sz="8" w:space="0" w:color="000000"/>
              <w:bottom w:val="double" w:sz="6" w:space="0" w:color="000000"/>
            </w:tcBorders>
            <w:shd w:fill="auto" w:val="clear"/>
            <w:tcMar>
              <w:top w:w="28" w:type="dxa"/>
              <w:bottom w:w="28"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Amounts do not foot due to rounding.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calculation of pretax return on capital employed is as follows:</w:t>
      </w:r>
    </w:p>
    <w:tbl>
      <w:tblPr>
        <w:tblW w:w="6986" w:type="dxa"/>
        <w:jc w:val="left"/>
        <w:tblInd w:w="0" w:type="dxa"/>
        <w:tblCellMar>
          <w:top w:w="0" w:type="dxa"/>
          <w:left w:w="0" w:type="dxa"/>
          <w:bottom w:w="0" w:type="dxa"/>
          <w:right w:w="0" w:type="dxa"/>
        </w:tblCellMar>
      </w:tblPr>
      <w:tblGrid>
        <w:gridCol w:w="4066"/>
        <w:gridCol w:w="109"/>
        <w:gridCol w:w="211"/>
        <w:gridCol w:w="901"/>
        <w:gridCol w:w="271"/>
        <w:gridCol w:w="211"/>
        <w:gridCol w:w="901"/>
        <w:gridCol w:w="316"/>
      </w:tblGrid>
      <w:tr>
        <w:trPr/>
        <w:tc>
          <w:tcPr>
            <w:tcW w:w="40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901"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r>
      <w:tr>
        <w:trPr/>
        <w:tc>
          <w:tcPr>
            <w:tcW w:w="40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95"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in thousands)</w:t>
            </w:r>
          </w:p>
        </w:tc>
        <w:tc>
          <w:tcPr>
            <w:tcW w:w="316" w:type="dxa"/>
            <w:tcBorders/>
            <w:shd w:fill="FFFFFF" w:val="clear"/>
            <w:vAlign w:val="center"/>
          </w:tcPr>
          <w:p>
            <w:pPr>
              <w:pStyle w:val="TableContents"/>
              <w:spacing w:before="0" w:after="283"/>
              <w:rPr>
                <w:sz w:val="4"/>
                <w:szCs w:val="4"/>
              </w:rPr>
            </w:pPr>
            <w:r>
              <w:rPr>
                <w:sz w:val="4"/>
                <w:szCs w:val="4"/>
              </w:rPr>
            </w:r>
          </w:p>
        </w:tc>
      </w:tr>
      <w:tr>
        <w:trPr/>
        <w:tc>
          <w:tcPr>
            <w:tcW w:w="40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495"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c>
          <w:tcPr>
            <w:tcW w:w="316" w:type="dxa"/>
            <w:tcBorders/>
            <w:shd w:fill="FFFFFF" w:val="clear"/>
            <w:vAlign w:val="center"/>
          </w:tcPr>
          <w:p>
            <w:pPr>
              <w:pStyle w:val="TableContents"/>
              <w:spacing w:before="0" w:after="283"/>
              <w:rPr>
                <w:sz w:val="4"/>
                <w:szCs w:val="4"/>
              </w:rPr>
            </w:pPr>
            <w:r>
              <w:rPr>
                <w:sz w:val="4"/>
                <w:szCs w:val="4"/>
              </w:rPr>
            </w:r>
          </w:p>
        </w:tc>
      </w:tr>
      <w:tr>
        <w:trPr/>
        <w:tc>
          <w:tcPr>
            <w:tcW w:w="40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2023</w:t>
            </w:r>
            <w:r>
              <w:rPr>
                <w:rFonts w:ascii="Times New Roman;serif" w:hAnsi="Times New Roman;serif"/>
                <w:b w:val="false"/>
                <w:i w:val="false"/>
                <w:caps w:val="false"/>
                <w:smallCaps w:val="false"/>
                <w:color w:val="000000"/>
                <w:position w:val="7"/>
                <w:sz w:val="16"/>
                <w:sz w:val="20"/>
              </w:rPr>
              <w:t>(1)</w:t>
            </w:r>
          </w:p>
        </w:tc>
        <w:tc>
          <w:tcPr>
            <w:tcW w:w="27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color w:val="000000"/>
                <w:sz w:val="20"/>
              </w:rPr>
              <w:t>2022</w:t>
            </w:r>
            <w:r>
              <w:rPr>
                <w:rFonts w:ascii="Times New Roman;serif" w:hAnsi="Times New Roman;serif"/>
                <w:b w:val="false"/>
                <w:i w:val="false"/>
                <w:caps w:val="false"/>
                <w:smallCaps w:val="false"/>
                <w:color w:val="000000"/>
                <w:position w:val="7"/>
                <w:sz w:val="16"/>
                <w:sz w:val="20"/>
              </w:rPr>
              <w:t>(1)</w:t>
            </w:r>
          </w:p>
        </w:tc>
        <w:tc>
          <w:tcPr>
            <w:tcW w:w="316" w:type="dxa"/>
            <w:tcBorders/>
            <w:shd w:fill="FFFFFF" w:val="clear"/>
            <w:vAlign w:val="center"/>
          </w:tcPr>
          <w:p>
            <w:pPr>
              <w:pStyle w:val="TableContents"/>
              <w:spacing w:before="0" w:after="283"/>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from Operations (trailing twelve months)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21,998</w:t>
            </w:r>
          </w:p>
        </w:tc>
        <w:tc>
          <w:tcPr>
            <w:tcW w:w="271"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18,438</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Assets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346,695</w:t>
            </w:r>
          </w:p>
        </w:tc>
        <w:tc>
          <w:tcPr>
            <w:tcW w:w="271"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350,217</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Accounts payable</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(28,002)</w:t>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(23,724)</w:t>
            </w:r>
          </w:p>
        </w:tc>
        <w:tc>
          <w:tcPr>
            <w:tcW w:w="3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Income tax payable</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(850)</w:t>
            </w:r>
          </w:p>
        </w:tc>
        <w:tc>
          <w:tcPr>
            <w:tcW w:w="271"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(409)</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accrued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(37,696)</w:t>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(42,174)</w:t>
            </w:r>
          </w:p>
        </w:tc>
        <w:tc>
          <w:tcPr>
            <w:tcW w:w="3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Lease liability</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(130,385)</w:t>
            </w:r>
          </w:p>
        </w:tc>
        <w:tc>
          <w:tcPr>
            <w:tcW w:w="271"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(138,478)</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Other long-term liabilities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0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(4,623)</w:t>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bottom w:val="single" w:sz="8"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901" w:type="dxa"/>
            <w:tcBorders>
              <w:bottom w:val="single" w:sz="8" w:space="0" w:color="000000"/>
            </w:tcBorders>
            <w:shd w:fill="auto"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(5,086)</w:t>
            </w:r>
          </w:p>
        </w:tc>
        <w:tc>
          <w:tcPr>
            <w:tcW w:w="3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Employed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145,139</w:t>
            </w:r>
          </w:p>
        </w:tc>
        <w:tc>
          <w:tcPr>
            <w:tcW w:w="271"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140,346</w:t>
            </w:r>
          </w:p>
        </w:tc>
        <w:tc>
          <w:tcPr>
            <w:tcW w:w="316" w:type="dxa"/>
            <w:tcBorders/>
            <w:shd w:fill="CCEEFF"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0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1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901" w:type="dxa"/>
            <w:tcBorders>
              <w:top w:val="double" w:sz="6" w:space="0" w:color="000000"/>
            </w:tcBorders>
            <w:shd w:fill="auto" w:val="clear"/>
            <w:tcMar>
              <w:top w:w="28" w:type="dxa"/>
            </w:tcM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Pretax Return on Capital Employed</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spacing w:before="0" w:after="283"/>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position w:val="7"/>
          <w:sz w:val="16"/>
          <w:sz w:val="20"/>
        </w:rPr>
        <w:t>(1)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Income statement accounts represent the activity for the trailing twelve months ended as of each of the balance sheet dates. Balance sheet accounts represent the average account balance for the four quarters ended as of each of the balance sheet dates.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principal liquidity requirements have been for working capital and capital expenditures. Our principal sources of liquidity are $8.6 million of cash and cash equivalents at March 31, 2023, our cash flow from operations, and borrowings available under our Credit Agreement. We expect to use this liquidity to purchase inventory, acquire assets to maintain our stores and distribution centers, build new stores and general corporate purposes.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   Borrowings outstanding as of March 31, 2023 were SOFR-based interest rate loans.  The SOFR-based interest rate was 6.37% on March 31, 2023.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Credit Agreement is secured by virtually all of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March 31,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Borrowings outstanding consisted of $25.0 million on the revolving line of credit as of March 31, 2023. As of March 31, 2023, there was $48.2 million available for borrowing on the revolving line of credit, which may be used to purchase inventory, acquire assets to maintain our stores and distribution centers, build new stores and general corporate purposes.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 Expenditures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Capital expenditures were $3.4 million and $2.9 million for the three months ended March 31, 2023 and 2022, respectively. Capital expenditures in 2023 were primarily due to investments in store remodels, merchandising, distribution and information technology assets.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cash flow data for the three months ended March 31, 2023 and 2022.</w:t>
      </w:r>
    </w:p>
    <w:tbl>
      <w:tblPr>
        <w:tblW w:w="5638" w:type="dxa"/>
        <w:jc w:val="left"/>
        <w:tblInd w:w="0" w:type="dxa"/>
        <w:tblCellMar>
          <w:top w:w="0" w:type="dxa"/>
          <w:left w:w="0" w:type="dxa"/>
          <w:bottom w:w="0" w:type="dxa"/>
          <w:right w:w="0" w:type="dxa"/>
        </w:tblCellMar>
      </w:tblPr>
      <w:tblGrid>
        <w:gridCol w:w="3466"/>
        <w:gridCol w:w="109"/>
        <w:gridCol w:w="211"/>
        <w:gridCol w:w="796"/>
        <w:gridCol w:w="109"/>
        <w:gridCol w:w="211"/>
        <w:gridCol w:w="736"/>
      </w:tblGrid>
      <w:tr>
        <w:trPr/>
        <w:tc>
          <w:tcPr>
            <w:tcW w:w="34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r>
      <w:tr>
        <w:trPr/>
        <w:tc>
          <w:tcPr>
            <w:tcW w:w="34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9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r>
      <w:tr>
        <w:trPr/>
        <w:tc>
          <w:tcPr>
            <w:tcW w:w="3466" w:type="dxa"/>
            <w:tcBorders/>
            <w:shd w:fill="FFFFFF" w:val="cle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9" w:type="dxa"/>
            <w:tcBorders/>
            <w:shd w:fill="FFFFFF" w:val="clear"/>
            <w:vAlign w:val="center"/>
          </w:tcPr>
          <w:p>
            <w:pPr>
              <w:pStyle w:val="TableContents"/>
              <w:spacing w:before="0" w:after="283"/>
              <w:rPr>
                <w:sz w:val="4"/>
                <w:szCs w:val="4"/>
              </w:rPr>
            </w:pPr>
            <w:r>
              <w:rPr>
                <w:sz w:val="4"/>
                <w:szCs w:val="4"/>
              </w:rPr>
            </w:r>
          </w:p>
        </w:tc>
        <w:tc>
          <w:tcPr>
            <w:tcW w:w="206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tc>
      </w:tr>
      <w:tr>
        <w:trPr/>
        <w:tc>
          <w:tcPr>
            <w:tcW w:w="34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63" w:type="dxa"/>
            <w:gridSpan w:val="5"/>
            <w:tcBorders/>
            <w:shd w:fill="FFFF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Three Months Ended</w:t>
            </w:r>
          </w:p>
        </w:tc>
      </w:tr>
      <w:tr>
        <w:trPr/>
        <w:tc>
          <w:tcPr>
            <w:tcW w:w="34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063" w:type="dxa"/>
            <w:gridSpan w:val="5"/>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31,</w:t>
            </w:r>
          </w:p>
        </w:tc>
      </w:tr>
      <w:tr>
        <w:trPr/>
        <w:tc>
          <w:tcPr>
            <w:tcW w:w="3466"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0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09"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provided by operating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25,822</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7,634</w:t>
            </w:r>
          </w:p>
        </w:tc>
      </w:tr>
      <w:tr>
        <w:trPr/>
        <w:tc>
          <w:tcPr>
            <w:tcW w:w="34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investing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(3,367)</w:t>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(2,933)</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cash used in financing activities</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(20,827)</w:t>
            </w:r>
          </w:p>
        </w:tc>
        <w:tc>
          <w:tcPr>
            <w:tcW w:w="109" w:type="dxa"/>
            <w:tcBorders/>
            <w:shd w:fill="CCEEFF" w:val="clear"/>
            <w:vAlign w:val="center"/>
          </w:tcPr>
          <w:p>
            <w:pPr>
              <w:pStyle w:val="TableContents"/>
              <w:spacing w:before="0" w:after="283"/>
              <w:rPr>
                <w:sz w:val="4"/>
                <w:szCs w:val="4"/>
              </w:rPr>
            </w:pPr>
            <w:r>
              <w:rPr>
                <w:sz w:val="4"/>
                <w:szCs w:val="4"/>
              </w:rPr>
            </w:r>
          </w:p>
        </w:tc>
        <w:tc>
          <w:tcPr>
            <w:tcW w:w="211" w:type="dxa"/>
            <w:tcBorders/>
            <w:shd w:fill="CCEEFF" w:val="clear"/>
            <w:vAlign w:val="center"/>
          </w:tcPr>
          <w:p>
            <w:pPr>
              <w:pStyle w:val="TableContents"/>
              <w:spacing w:before="0" w:after="283"/>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(607)</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operating activities during the three months ended March 31, 2023 was $25.8 million compared with $7.6 million during the three months ended March 31, 2022. The increase was primarily attributable to a decrease in inventory purchases in 2023, collection of an income tax refund in 2023 and other working capital changes.</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Net cash used in investing activities totaled $3.4 million for the three months ended March 31, 2023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compared with $2.9 million for the three months ended March 31, 2022. Cash used in investing activities during the three months ended March 31, 2023 was primarily due to investments in store remodels, merchandising, distribution and information technology assets.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financing activities was $20.8 million for the three months ended March 31, 2023 compared with $0.6 million of net cash used for the three months ended March 31, 2022. The increase in cash outflows associated with financing activities is primarily attributable to payments made during the quarter to reduce the balance outstanding on our line of credit.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and cash equivalents totaled $8.6 million at March 31, 2023 compared with $5.9 million at December 31, 2022. Working capital was $48.1 million at March 31, 2023 compared with $63.1 million at December 31, 2022.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25" w:name="MarketRisk"/>
      <w:bookmarkEnd w:id="25"/>
      <w:r>
        <w:rPr>
          <w:rFonts w:ascii="Times New Roman;serif" w:hAnsi="Times New Roman;serif"/>
          <w:b/>
          <w:i w:val="false"/>
          <w:caps w:val="false"/>
          <w:smallCaps w:val="false"/>
          <w:sz w:val="20"/>
        </w:rPr>
        <w:t xml:space="preserve">M 3. </w:t>
      </w:r>
      <w:r>
        <w:rPr>
          <w:rFonts w:ascii="Times New Roman;serif" w:hAnsi="Times New Roman;serif"/>
          <w:b/>
          <w:i w:val="false"/>
          <w:caps w:val="false"/>
          <w:smallCaps w:val="false"/>
          <w:color w:val="000000"/>
          <w:sz w:val="20"/>
        </w:rPr>
        <w:t>QUANTITATIVE</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 QUALITATIVE DISCLOSURES ABOUT MARKET RISK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have been no material changes in our primary risk exposures or management of market risks from those disclosed in our Annual Report on Form 10-K for the fiscal year ended December 31, 2022.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26" w:name="Item4"/>
      <w:bookmarkEnd w:id="26"/>
      <w:r>
        <w:rPr>
          <w:rFonts w:ascii="Times New Roman;serif" w:hAnsi="Times New Roman;serif"/>
          <w:b/>
          <w:i w:val="false"/>
          <w:caps w:val="false"/>
          <w:smallCaps w:val="false"/>
          <w:sz w:val="20"/>
        </w:rPr>
        <w:t>ITEM 4. CONTROLS AND PROCEDURES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Disclosure Controls and Procedures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March 31, 2023 and concluded that our disclosure controls and procedures were effective as of the end of the period covered by this Quarterly Report on Form 10-Q.</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Changes in Internal Control Over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changes in internal control over financial reporting (as defined by Rule 13a-15(f) under the Exchange Act) during the quarter ended March 31, 2023 that have materially affected, or are reasonably likely to materially affect, our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 OTHER INFORMATION</w:t>
      </w:r>
      <w:bookmarkStart w:id="27" w:name="PartII"/>
      <w:bookmarkEnd w:id="27"/>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28" w:name="LegalProceedings"/>
      <w:bookmarkEnd w:id="28"/>
      <w:r>
        <w:rPr>
          <w:rFonts w:ascii="Times New Roman;serif" w:hAnsi="Times New Roman;serif"/>
          <w:b/>
          <w:i w:val="false"/>
          <w:caps w:val="false"/>
          <w:smallCaps w:val="false"/>
          <w:sz w:val="20"/>
        </w:rPr>
        <w:t>EM 1. LEGAL PROCEEDINGS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are, from time to time, party to lawsuits, threatened lawsuits, disputes and other claims arising in the normal course of business. We assess our liabilities and contingencies in connection with outstanding legal proceedings utilizing the latest information available.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29" w:name="RiskFactors"/>
      <w:bookmarkEnd w:id="29"/>
      <w:r>
        <w:rPr>
          <w:rFonts w:ascii="Times New Roman;serif" w:hAnsi="Times New Roman;serif"/>
          <w:b/>
          <w:i w:val="false"/>
          <w:caps w:val="false"/>
          <w:smallCaps w:val="false"/>
          <w:sz w:val="20"/>
        </w:rPr>
        <w:t>EM 1A. RISK FACTORS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have been no material changes from the risk factors previously disclosed in our Annual Report on Form 10-K for the year ended December 31, 2022.</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0" w:name="UnregisteredSales"/>
      <w:bookmarkEnd w:id="30"/>
      <w:r>
        <w:rPr>
          <w:rFonts w:ascii="Times New Roman;serif" w:hAnsi="Times New Roman;serif"/>
          <w:b/>
          <w:i w:val="false"/>
          <w:caps w:val="false"/>
          <w:smallCaps w:val="false"/>
          <w:sz w:val="20"/>
        </w:rPr>
        <w:t>M 2. UNREGISTERED SALES OF EQUITY SECURITIES AND USE OF PROCEEDS</w:t>
      </w:r>
    </w:p>
    <w:tbl>
      <w:tblPr>
        <w:tblW w:w="10205" w:type="dxa"/>
        <w:jc w:val="left"/>
        <w:tblInd w:w="0" w:type="dxa"/>
        <w:tblCellMar>
          <w:top w:w="0" w:type="dxa"/>
          <w:left w:w="0" w:type="dxa"/>
          <w:bottom w:w="0" w:type="dxa"/>
          <w:right w:w="0" w:type="dxa"/>
        </w:tblCellMar>
      </w:tblPr>
      <w:tblGrid>
        <w:gridCol w:w="1513"/>
        <w:gridCol w:w="109"/>
        <w:gridCol w:w="1436"/>
        <w:gridCol w:w="271"/>
        <w:gridCol w:w="375"/>
        <w:gridCol w:w="832"/>
        <w:gridCol w:w="109"/>
        <w:gridCol w:w="2558"/>
        <w:gridCol w:w="109"/>
        <w:gridCol w:w="1445"/>
        <w:gridCol w:w="1448"/>
      </w:tblGrid>
      <w:tr>
        <w:trPr/>
        <w:tc>
          <w:tcPr>
            <w:tcW w:w="151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36"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375" w:type="dxa"/>
            <w:tcBorders/>
            <w:shd w:fill="FFFFFF" w:val="clear"/>
            <w:vAlign w:val="center"/>
          </w:tcPr>
          <w:p>
            <w:pPr>
              <w:pStyle w:val="TableContents"/>
              <w:spacing w:before="0" w:after="283"/>
              <w:rPr>
                <w:sz w:val="4"/>
                <w:szCs w:val="4"/>
              </w:rPr>
            </w:pPr>
            <w:r>
              <w:rPr>
                <w:sz w:val="4"/>
                <w:szCs w:val="4"/>
              </w:rPr>
            </w:r>
          </w:p>
        </w:tc>
        <w:tc>
          <w:tcPr>
            <w:tcW w:w="83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5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45" w:type="dxa"/>
            <w:tcBorders/>
            <w:shd w:fill="FFFFFF" w:val="clear"/>
            <w:vAlign w:val="center"/>
          </w:tcPr>
          <w:p>
            <w:pPr>
              <w:pStyle w:val="TableContents"/>
              <w:spacing w:before="0" w:after="283"/>
              <w:rPr>
                <w:sz w:val="4"/>
                <w:szCs w:val="4"/>
              </w:rPr>
            </w:pPr>
            <w:r>
              <w:rPr>
                <w:sz w:val="4"/>
                <w:szCs w:val="4"/>
              </w:rPr>
            </w:r>
          </w:p>
        </w:tc>
        <w:tc>
          <w:tcPr>
            <w:tcW w:w="1448" w:type="dxa"/>
            <w:tcBorders/>
            <w:shd w:fill="FFFFFF" w:val="clear"/>
            <w:vAlign w:val="center"/>
          </w:tcPr>
          <w:p>
            <w:pPr>
              <w:pStyle w:val="TableContents"/>
              <w:spacing w:before="0" w:after="283"/>
              <w:rPr>
                <w:sz w:val="4"/>
                <w:szCs w:val="4"/>
              </w:rPr>
            </w:pPr>
            <w:r>
              <w:rPr>
                <w:sz w:val="4"/>
                <w:szCs w:val="4"/>
              </w:rPr>
            </w:r>
          </w:p>
        </w:tc>
      </w:tr>
      <w:tr>
        <w:trPr/>
        <w:tc>
          <w:tcPr>
            <w:tcW w:w="1513"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36"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375" w:type="dxa"/>
            <w:tcBorders/>
            <w:shd w:fill="FFFFFF" w:val="clear"/>
            <w:vAlign w:val="center"/>
          </w:tcPr>
          <w:p>
            <w:pPr>
              <w:pStyle w:val="TableContents"/>
              <w:spacing w:before="0" w:after="283"/>
              <w:rPr>
                <w:sz w:val="4"/>
                <w:szCs w:val="4"/>
              </w:rPr>
            </w:pPr>
            <w:r>
              <w:rPr>
                <w:sz w:val="4"/>
                <w:szCs w:val="4"/>
              </w:rPr>
            </w:r>
          </w:p>
        </w:tc>
        <w:tc>
          <w:tcPr>
            <w:tcW w:w="832"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558"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1445" w:type="dxa"/>
            <w:tcBorders/>
            <w:shd w:fill="FFFFFF" w:val="clear"/>
            <w:vAlign w:val="center"/>
          </w:tcPr>
          <w:p>
            <w:pPr>
              <w:pStyle w:val="TableContents"/>
              <w:spacing w:before="0" w:after="283"/>
              <w:rPr>
                <w:sz w:val="4"/>
                <w:szCs w:val="4"/>
              </w:rPr>
            </w:pPr>
            <w:r>
              <w:rPr>
                <w:sz w:val="4"/>
                <w:szCs w:val="4"/>
              </w:rPr>
            </w:r>
          </w:p>
        </w:tc>
        <w:tc>
          <w:tcPr>
            <w:tcW w:w="1448" w:type="dxa"/>
            <w:tcBorders/>
            <w:shd w:fill="FFFFFF" w:val="clear"/>
            <w:vAlign w:val="center"/>
          </w:tcPr>
          <w:p>
            <w:pPr>
              <w:pStyle w:val="TableContents"/>
              <w:spacing w:before="0" w:after="283"/>
              <w:rPr>
                <w:sz w:val="4"/>
                <w:szCs w:val="4"/>
              </w:rPr>
            </w:pPr>
            <w:r>
              <w:rPr>
                <w:sz w:val="4"/>
                <w:szCs w:val="4"/>
              </w:rPr>
            </w:r>
          </w:p>
        </w:tc>
      </w:tr>
      <w:tr>
        <w:trPr/>
        <w:tc>
          <w:tcPr>
            <w:tcW w:w="151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Period</w:t>
            </w:r>
          </w:p>
        </w:tc>
        <w:tc>
          <w:tcPr>
            <w:tcW w:w="109" w:type="dxa"/>
            <w:tcBorders/>
            <w:shd w:fill="FFFFFF" w:val="clear"/>
            <w:vAlign w:val="center"/>
          </w:tcPr>
          <w:p>
            <w:pPr>
              <w:pStyle w:val="TableContents"/>
              <w:spacing w:before="0" w:after="283"/>
              <w:rPr>
                <w:sz w:val="4"/>
                <w:szCs w:val="4"/>
              </w:rPr>
            </w:pPr>
            <w:r>
              <w:rPr>
                <w:sz w:val="4"/>
                <w:szCs w:val="4"/>
              </w:rPr>
            </w:r>
          </w:p>
        </w:tc>
        <w:tc>
          <w:tcPr>
            <w:tcW w:w="1436"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w:t>
            </w:r>
          </w:p>
        </w:tc>
        <w:tc>
          <w:tcPr>
            <w:tcW w:w="271" w:type="dxa"/>
            <w:tcBorders/>
            <w:shd w:fill="FFFFFF" w:val="clear"/>
            <w:vAlign w:val="center"/>
          </w:tcPr>
          <w:p>
            <w:pPr>
              <w:pStyle w:val="TableContents"/>
              <w:spacing w:before="0" w:after="283"/>
              <w:rPr>
                <w:sz w:val="4"/>
                <w:szCs w:val="4"/>
              </w:rPr>
            </w:pPr>
            <w:r>
              <w:rPr>
                <w:sz w:val="4"/>
                <w:szCs w:val="4"/>
              </w:rPr>
            </w:r>
          </w:p>
        </w:tc>
        <w:tc>
          <w:tcPr>
            <w:tcW w:w="120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Average Price Paid per Share</w:t>
            </w:r>
          </w:p>
        </w:tc>
        <w:tc>
          <w:tcPr>
            <w:tcW w:w="109" w:type="dxa"/>
            <w:tcBorders/>
            <w:shd w:fill="FFFFFF" w:val="clear"/>
            <w:vAlign w:val="center"/>
          </w:tcPr>
          <w:p>
            <w:pPr>
              <w:pStyle w:val="TableContents"/>
              <w:spacing w:before="0" w:after="283"/>
              <w:rPr>
                <w:sz w:val="4"/>
                <w:szCs w:val="4"/>
              </w:rPr>
            </w:pPr>
            <w:r>
              <w:rPr>
                <w:sz w:val="4"/>
                <w:szCs w:val="4"/>
              </w:rPr>
            </w:r>
          </w:p>
        </w:tc>
        <w:tc>
          <w:tcPr>
            <w:tcW w:w="2558"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Number of Shares Purchased as Part of Publicly Announced Plans or Programs</w:t>
            </w:r>
          </w:p>
        </w:tc>
        <w:tc>
          <w:tcPr>
            <w:tcW w:w="109" w:type="dxa"/>
            <w:tcBorders/>
            <w:shd w:fill="FFFFFF" w:val="clear"/>
            <w:vAlign w:val="center"/>
          </w:tcPr>
          <w:p>
            <w:pPr>
              <w:pStyle w:val="TableContents"/>
              <w:spacing w:before="0" w:after="283"/>
              <w:rPr>
                <w:sz w:val="4"/>
                <w:szCs w:val="4"/>
              </w:rPr>
            </w:pPr>
            <w:r>
              <w:rPr>
                <w:sz w:val="4"/>
                <w:szCs w:val="4"/>
              </w:rPr>
            </w:r>
          </w:p>
        </w:tc>
        <w:tc>
          <w:tcPr>
            <w:tcW w:w="2893" w:type="dxa"/>
            <w:gridSpan w:val="2"/>
            <w:tcBorders>
              <w:bottom w:val="single" w:sz="8" w:space="0" w:color="000000"/>
            </w:tcBorders>
            <w:shd w:fill="FFFFFF" w:val="clear"/>
            <w:tcMar>
              <w:bottom w:w="28" w:type="dxa"/>
            </w:tcMar>
            <w:vAlign w:val="center"/>
          </w:tcPr>
          <w:p>
            <w:pPr>
              <w:pStyle w:val="TableContents"/>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w:t>
            </w:r>
          </w:p>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Approximate Dollar Value of Shares That May Yet be Purchased Under the Plans or Programs</w:t>
            </w:r>
          </w:p>
        </w:tc>
      </w:tr>
      <w:tr>
        <w:trPr/>
        <w:tc>
          <w:tcPr>
            <w:tcW w:w="15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January 1, 2023 - January 31, 2023</w:t>
            </w:r>
          </w:p>
        </w:tc>
        <w:tc>
          <w:tcPr>
            <w:tcW w:w="109" w:type="dxa"/>
            <w:tcBorders/>
            <w:shd w:fill="CCEEFF" w:val="clear"/>
            <w:vAlign w:val="center"/>
          </w:tcPr>
          <w:p>
            <w:pPr>
              <w:pStyle w:val="TableContents"/>
              <w:spacing w:before="0" w:after="283"/>
              <w:rPr>
                <w:sz w:val="4"/>
                <w:szCs w:val="4"/>
              </w:rPr>
            </w:pPr>
            <w:r>
              <w:rPr>
                <w:sz w:val="4"/>
                <w:szCs w:val="4"/>
              </w:rPr>
            </w:r>
          </w:p>
        </w:tc>
        <w:tc>
          <w:tcPr>
            <w:tcW w:w="14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33,666</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(1)</w:t>
            </w:r>
          </w:p>
        </w:tc>
        <w:tc>
          <w:tcPr>
            <w:tcW w:w="37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0.00</w:t>
            </w:r>
          </w:p>
        </w:tc>
        <w:tc>
          <w:tcPr>
            <w:tcW w:w="109" w:type="dxa"/>
            <w:tcBorders/>
            <w:shd w:fill="CCEEFF" w:val="clear"/>
            <w:vAlign w:val="center"/>
          </w:tcPr>
          <w:p>
            <w:pPr>
              <w:pStyle w:val="TableContents"/>
              <w:spacing w:before="0" w:after="283"/>
              <w:rPr>
                <w:sz w:val="4"/>
                <w:szCs w:val="4"/>
              </w:rPr>
            </w:pPr>
            <w:r>
              <w:rPr>
                <w:sz w:val="4"/>
                <w:szCs w:val="4"/>
              </w:rPr>
            </w:r>
          </w:p>
        </w:tc>
        <w:tc>
          <w:tcPr>
            <w:tcW w:w="255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144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513"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1, 2023 - February 28, 2023</w:t>
            </w:r>
          </w:p>
        </w:tc>
        <w:tc>
          <w:tcPr>
            <w:tcW w:w="109" w:type="dxa"/>
            <w:tcBorders/>
            <w:shd w:fill="auto" w:val="clear"/>
            <w:vAlign w:val="center"/>
          </w:tcPr>
          <w:p>
            <w:pPr>
              <w:pStyle w:val="TableContents"/>
              <w:spacing w:before="0" w:after="283"/>
              <w:rPr>
                <w:sz w:val="4"/>
                <w:szCs w:val="4"/>
              </w:rPr>
            </w:pPr>
            <w:r>
              <w:rPr>
                <w:sz w:val="4"/>
                <w:szCs w:val="4"/>
              </w:rPr>
            </w:r>
          </w:p>
        </w:tc>
        <w:tc>
          <w:tcPr>
            <w:tcW w:w="143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14,240</w:t>
            </w:r>
          </w:p>
        </w:tc>
        <w:tc>
          <w:tcPr>
            <w:tcW w:w="27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(2)</w:t>
            </w:r>
          </w:p>
        </w:tc>
        <w:tc>
          <w:tcPr>
            <w:tcW w:w="375"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5.63</w:t>
            </w:r>
          </w:p>
        </w:tc>
        <w:tc>
          <w:tcPr>
            <w:tcW w:w="109" w:type="dxa"/>
            <w:tcBorders/>
            <w:shd w:fill="auto" w:val="clear"/>
            <w:vAlign w:val="center"/>
          </w:tcPr>
          <w:p>
            <w:pPr>
              <w:pStyle w:val="TableContents"/>
              <w:spacing w:before="0" w:after="283"/>
              <w:rPr>
                <w:sz w:val="4"/>
                <w:szCs w:val="4"/>
              </w:rPr>
            </w:pPr>
            <w:r>
              <w:rPr>
                <w:sz w:val="4"/>
                <w:szCs w:val="4"/>
              </w:rPr>
            </w:r>
          </w:p>
        </w:tc>
        <w:tc>
          <w:tcPr>
            <w:tcW w:w="2558"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51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March 1, 2023 - March 31, 2023</w:t>
            </w:r>
          </w:p>
        </w:tc>
        <w:tc>
          <w:tcPr>
            <w:tcW w:w="109" w:type="dxa"/>
            <w:tcBorders/>
            <w:shd w:fill="CCEEFF" w:val="clear"/>
            <w:vAlign w:val="center"/>
          </w:tcPr>
          <w:p>
            <w:pPr>
              <w:pStyle w:val="TableContents"/>
              <w:spacing w:before="0" w:after="283"/>
              <w:rPr>
                <w:sz w:val="4"/>
                <w:szCs w:val="4"/>
              </w:rPr>
            </w:pPr>
            <w:r>
              <w:rPr>
                <w:sz w:val="4"/>
                <w:szCs w:val="4"/>
              </w:rPr>
            </w:r>
          </w:p>
        </w:tc>
        <w:tc>
          <w:tcPr>
            <w:tcW w:w="14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215,958</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position w:val="7"/>
                <w:sz w:val="16"/>
                <w:sz w:val="20"/>
              </w:rPr>
            </w:pPr>
            <w:r>
              <w:rPr>
                <w:rFonts w:ascii="Times New Roman;serif" w:hAnsi="Times New Roman;serif"/>
                <w:b w:val="false"/>
                <w:i w:val="false"/>
                <w:caps w:val="false"/>
                <w:smallCaps w:val="false"/>
                <w:color w:val="000000"/>
                <w:position w:val="7"/>
                <w:sz w:val="16"/>
                <w:sz w:val="20"/>
              </w:rPr>
              <w:t>(3)</w:t>
            </w:r>
          </w:p>
        </w:tc>
        <w:tc>
          <w:tcPr>
            <w:tcW w:w="37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32"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w:t>
            </w:r>
          </w:p>
        </w:tc>
        <w:tc>
          <w:tcPr>
            <w:tcW w:w="109" w:type="dxa"/>
            <w:tcBorders/>
            <w:shd w:fill="CCEEFF" w:val="clear"/>
            <w:vAlign w:val="center"/>
          </w:tcPr>
          <w:p>
            <w:pPr>
              <w:pStyle w:val="TableContents"/>
              <w:spacing w:before="0" w:after="283"/>
              <w:rPr>
                <w:sz w:val="4"/>
                <w:szCs w:val="4"/>
              </w:rPr>
            </w:pPr>
            <w:r>
              <w:rPr>
                <w:sz w:val="4"/>
                <w:szCs w:val="4"/>
              </w:rPr>
            </w:r>
          </w:p>
        </w:tc>
        <w:tc>
          <w:tcPr>
            <w:tcW w:w="255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spacing w:before="0" w:after="283"/>
              <w:rPr>
                <w:sz w:val="4"/>
                <w:szCs w:val="4"/>
              </w:rPr>
            </w:pPr>
            <w:r>
              <w:rPr>
                <w:sz w:val="4"/>
                <w:szCs w:val="4"/>
              </w:rPr>
            </w:r>
          </w:p>
        </w:tc>
        <w:tc>
          <w:tcPr>
            <w:tcW w:w="1445" w:type="dxa"/>
            <w:tcBorders>
              <w:bottom w:val="single" w:sz="8"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44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1513" w:type="dxa"/>
            <w:tcBorders/>
            <w:shd w:fill="auto" w:val="clear"/>
            <w:vAlign w:val="center"/>
          </w:tcPr>
          <w:p>
            <w:pPr>
              <w:pStyle w:val="TableContents"/>
              <w:bidi w:val="0"/>
              <w:spacing w:lineRule="auto" w:line="259" w:before="0" w:after="283"/>
              <w:jc w:val="left"/>
              <w:rPr/>
            </w:pPr>
            <w:r>
              <w:rPr>
                <w:caps w:val="false"/>
                <w:smallCaps w:val="false"/>
                <w:color w:val="000000"/>
              </w:rPr>
              <w:t> </w:t>
            </w:r>
            <w:r>
              <w:rPr>
                <w:color w:val="000000"/>
              </w:rPr>
              <w:t> </w:t>
            </w:r>
            <w:r>
              <w:rPr>
                <w:caps w:val="false"/>
                <w:smallCaps w:val="false"/>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436"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263,864</w:t>
            </w:r>
          </w:p>
        </w:tc>
        <w:tc>
          <w:tcPr>
            <w:tcW w:w="271" w:type="dxa"/>
            <w:tcBorders/>
            <w:shd w:fill="auto" w:val="clear"/>
            <w:vAlign w:val="center"/>
          </w:tcPr>
          <w:p>
            <w:pPr>
              <w:pStyle w:val="TableContents"/>
              <w:spacing w:before="0" w:after="283"/>
              <w:rPr>
                <w:sz w:val="4"/>
                <w:szCs w:val="4"/>
              </w:rPr>
            </w:pPr>
            <w:r>
              <w:rPr>
                <w:sz w:val="4"/>
                <w:szCs w:val="4"/>
              </w:rPr>
            </w:r>
          </w:p>
        </w:tc>
        <w:tc>
          <w:tcPr>
            <w:tcW w:w="37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2"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w:t>
            </w:r>
          </w:p>
        </w:tc>
        <w:tc>
          <w:tcPr>
            <w:tcW w:w="109" w:type="dxa"/>
            <w:tcBorders/>
            <w:shd w:fill="auto" w:val="clear"/>
            <w:vAlign w:val="center"/>
          </w:tcPr>
          <w:p>
            <w:pPr>
              <w:pStyle w:val="TableContents"/>
              <w:spacing w:before="0" w:after="283"/>
              <w:rPr>
                <w:sz w:val="4"/>
                <w:szCs w:val="4"/>
              </w:rPr>
            </w:pPr>
            <w:r>
              <w:rPr>
                <w:sz w:val="4"/>
                <w:szCs w:val="4"/>
              </w:rPr>
            </w:r>
          </w:p>
        </w:tc>
        <w:tc>
          <w:tcPr>
            <w:tcW w:w="2558"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445"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48" w:type="dxa"/>
            <w:tcBorders>
              <w:top w:val="single" w:sz="8" w:space="0" w:color="000000"/>
              <w:bottom w:val="double" w:sz="6" w:space="0" w:color="000000"/>
            </w:tcBorders>
            <w:shd w:fill="auto"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bl>
    <w:p>
      <w:pPr>
        <w:pStyle w:val="TextBody"/>
        <w:bidi w:val="0"/>
        <w:spacing w:lineRule="auto" w:line="254"/>
        <w:ind w:left="720" w:right="0" w:hanging="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(1)We cancelled 22,107 and 11,559 shares that were forfeited when the vesting conditions were not met, in accordance with the terms of the 2012 Omnibus Award Plan and 2021 Omnibus Equity Compensation Plan, respectively, and the related award agreements. We did not pay cash to repurchase these shares, nor were these repurchases part of a publicly announced plan or program.</w:t>
      </w:r>
    </w:p>
    <w:p>
      <w:pPr>
        <w:pStyle w:val="TextBody"/>
        <w:bidi w:val="0"/>
        <w:spacing w:lineRule="auto" w:line="254"/>
        <w:ind w:left="720" w:right="0" w:hanging="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(2)We withheld a total of 14,240 shares to satisfy tax withholding obligations due upon the vesting of restricted stock grants as allowed by the 2012 Omnibus Equity Compensation Plan. We did not pay cash to repurchase these shares, nor were these repurchases part of a publicly announced plan or program.</w:t>
      </w:r>
    </w:p>
    <w:p>
      <w:pPr>
        <w:pStyle w:val="TextBody"/>
        <w:bidi w:val="0"/>
        <w:spacing w:lineRule="auto" w:line="254" w:before="0" w:after="160"/>
        <w:ind w:left="720" w:right="0" w:hanging="360"/>
        <w:rPr>
          <w:rFonts w:ascii="Times New Roman;serif" w:hAnsi="Times New Roman;serif"/>
          <w:sz w:val="20"/>
        </w:rPr>
      </w:pPr>
      <w:r>
        <w:rPr>
          <w:rFonts w:ascii="Times New Roman;serif" w:hAnsi="Times New Roman;serif"/>
          <w:b w:val="false"/>
          <w:i w:val="false"/>
          <w:caps w:val="false"/>
          <w:smallCaps w:val="false"/>
          <w:sz w:val="20"/>
        </w:rPr>
        <w:t xml:space="preserve">(3)We withheld a total of 58,162 shares and 15,678 shares to satisfy tax withholding obligations due upon the vesting of restricted stock grants as allowed by the 2012 Omnibus Equity Compensation Plan and 2021 Omnibus Equity Compensation Plan, respectively. Additionally, 52,324 shares and 89,794 shares were forfeited when vesting conditions were not met in accordance with the terms of the 2012 Omnibus Award Plan </w:t>
      </w:r>
      <w:bookmarkStart w:id="31" w:name="_Hlk132885697"/>
      <w:bookmarkEnd w:id="31"/>
      <w:r>
        <w:rPr>
          <w:rFonts w:ascii="Times New Roman;serif" w:hAnsi="Times New Roman;serif"/>
          <w:b w:val="false"/>
          <w:i w:val="false"/>
          <w:caps w:val="false"/>
          <w:smallCaps w:val="false"/>
          <w:sz w:val="20"/>
        </w:rPr>
        <w:t xml:space="preserve">and 2021 Omnibus Equity Compensation Plan, respectively, and the related award agreements. We did not pay cash to repurchase these shares, nor were these repurchases part of a publicly announced plan or program.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2" w:name="DefaultUponSeniorSecurities"/>
      <w:bookmarkEnd w:id="32"/>
      <w:r>
        <w:rPr>
          <w:rFonts w:ascii="Times New Roman;serif" w:hAnsi="Times New Roman;serif"/>
          <w:b/>
          <w:i w:val="false"/>
          <w:caps w:val="false"/>
          <w:smallCaps w:val="false"/>
          <w:sz w:val="20"/>
        </w:rPr>
        <w:t>EM 3. DEFAULTS UPON SENIOR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3" w:name="MineSafetyDisclosures"/>
      <w:bookmarkEnd w:id="33"/>
      <w:r>
        <w:rPr>
          <w:rFonts w:ascii="Times New Roman;serif" w:hAnsi="Times New Roman;serif"/>
          <w:b/>
          <w:i w:val="false"/>
          <w:caps w:val="false"/>
          <w:smallCaps w:val="false"/>
          <w:sz w:val="20"/>
        </w:rPr>
        <w:t>EM 4. MINE SAFETY DISCLOSURES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w:t>
      </w:r>
      <w:bookmarkStart w:id="34" w:name="OtherInformation"/>
      <w:bookmarkEnd w:id="34"/>
      <w:r>
        <w:rPr>
          <w:rFonts w:ascii="Times New Roman;serif" w:hAnsi="Times New Roman;serif"/>
          <w:b/>
          <w:i w:val="false"/>
          <w:caps w:val="false"/>
          <w:smallCaps w:val="false"/>
          <w:sz w:val="20"/>
        </w:rPr>
        <w:t>M 5. OTHER INFORMATION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sets forth, as of May 1, 2023, information regarding beneficial ownership of our common stock by each person, or group of affiliated persons, known by us to beneficially own more than 5% of our common stock.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power with respect to all shares of common stock shown that they beneficially own, subject to community property laws where applicable. The information does not necessarily indicate beneficial ownership for any other purpose.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based our calculation of the percentage of beneficial ownership on 44,606,293 shares of our common stock outstanding on May 1, 2023.</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Unless otherwise noted below, the address for each of the shareholders in the table below is c/o Tile Shop Holdings, Inc., 14000 Carlson Parkway, Plymouth, Minnesota 55441.</w:t>
      </w:r>
    </w:p>
    <w:tbl>
      <w:tblPr>
        <w:tblW w:w="7332" w:type="dxa"/>
        <w:jc w:val="left"/>
        <w:tblInd w:w="0" w:type="dxa"/>
        <w:tblCellMar>
          <w:top w:w="0" w:type="dxa"/>
          <w:left w:w="0" w:type="dxa"/>
          <w:bottom w:w="0" w:type="dxa"/>
          <w:right w:w="0" w:type="dxa"/>
        </w:tblCellMar>
      </w:tblPr>
      <w:tblGrid>
        <w:gridCol w:w="3481"/>
        <w:gridCol w:w="109"/>
        <w:gridCol w:w="2851"/>
        <w:gridCol w:w="109"/>
        <w:gridCol w:w="466"/>
        <w:gridCol w:w="316"/>
      </w:tblGrid>
      <w:tr>
        <w:trPr/>
        <w:tc>
          <w:tcPr>
            <w:tcW w:w="34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r>
      <w:tr>
        <w:trPr/>
        <w:tc>
          <w:tcPr>
            <w:tcW w:w="348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2851" w:type="dxa"/>
            <w:tcBorders/>
            <w:shd w:fill="FFFFFF" w:val="cle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r>
      <w:tr>
        <w:trPr/>
        <w:tc>
          <w:tcPr>
            <w:tcW w:w="348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Name of Beneficial Owner</w:t>
            </w:r>
          </w:p>
        </w:tc>
        <w:tc>
          <w:tcPr>
            <w:tcW w:w="109" w:type="dxa"/>
            <w:tcBorders/>
            <w:shd w:fill="FFFFFF" w:val="clear"/>
            <w:vAlign w:val="center"/>
          </w:tcPr>
          <w:p>
            <w:pPr>
              <w:pStyle w:val="TableContents"/>
              <w:spacing w:before="0" w:after="283"/>
              <w:rPr>
                <w:sz w:val="4"/>
                <w:szCs w:val="4"/>
              </w:rPr>
            </w:pPr>
            <w:r>
              <w:rPr>
                <w:sz w:val="4"/>
                <w:szCs w:val="4"/>
              </w:rPr>
            </w:r>
          </w:p>
        </w:tc>
        <w:tc>
          <w:tcPr>
            <w:tcW w:w="2851" w:type="dxa"/>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Shares Beneficially Owned</w:t>
            </w:r>
          </w:p>
        </w:tc>
        <w:tc>
          <w:tcPr>
            <w:tcW w:w="109" w:type="dxa"/>
            <w:tcBorders/>
            <w:shd w:fill="FFFFFF" w:val="clear"/>
            <w:vAlign w:val="center"/>
          </w:tcPr>
          <w:p>
            <w:pPr>
              <w:pStyle w:val="TableContents"/>
              <w:spacing w:before="0" w:after="283"/>
              <w:rPr>
                <w:sz w:val="4"/>
                <w:szCs w:val="4"/>
              </w:rPr>
            </w:pPr>
            <w:r>
              <w:rPr>
                <w:sz w:val="4"/>
                <w:szCs w:val="4"/>
              </w:rPr>
            </w:r>
          </w:p>
        </w:tc>
        <w:tc>
          <w:tcPr>
            <w:tcW w:w="78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Percent</w:t>
            </w:r>
          </w:p>
        </w:tc>
      </w:tr>
      <w:tr>
        <w:trPr/>
        <w:tc>
          <w:tcPr>
            <w:tcW w:w="3481" w:type="dxa"/>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 Stockholders:</w:t>
            </w:r>
          </w:p>
        </w:tc>
        <w:tc>
          <w:tcPr>
            <w:tcW w:w="109" w:type="dxa"/>
            <w:tcBorders/>
            <w:shd w:fill="FFFFFF" w:val="clear"/>
            <w:vAlign w:val="center"/>
          </w:tcPr>
          <w:p>
            <w:pPr>
              <w:pStyle w:val="TableContents"/>
              <w:spacing w:before="0" w:after="283"/>
              <w:rPr>
                <w:sz w:val="4"/>
                <w:szCs w:val="4"/>
              </w:rPr>
            </w:pPr>
            <w:r>
              <w:rPr>
                <w:sz w:val="4"/>
                <w:szCs w:val="4"/>
              </w:rPr>
            </w:r>
          </w:p>
        </w:tc>
        <w:tc>
          <w:tcPr>
            <w:tcW w:w="2851"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109" w:type="dxa"/>
            <w:tcBorders/>
            <w:shd w:fill="FFFFFF" w:val="clear"/>
            <w:vAlign w:val="center"/>
          </w:tcPr>
          <w:p>
            <w:pPr>
              <w:pStyle w:val="TableContents"/>
              <w:spacing w:before="0" w:after="283"/>
              <w:rPr>
                <w:sz w:val="4"/>
                <w:szCs w:val="4"/>
              </w:rPr>
            </w:pPr>
            <w:r>
              <w:rPr>
                <w:sz w:val="4"/>
                <w:szCs w:val="4"/>
              </w:rPr>
            </w:r>
          </w:p>
        </w:tc>
        <w:tc>
          <w:tcPr>
            <w:tcW w:w="46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FFFFFF" w:val="clear"/>
            <w:tcMar>
              <w:top w:w="28" w:type="dxa"/>
            </w:tcMar>
            <w:vAlign w:val="center"/>
          </w:tcPr>
          <w:p>
            <w:pPr>
              <w:pStyle w:val="TableContents"/>
              <w:spacing w:before="0" w:after="283"/>
              <w:rPr>
                <w:sz w:val="4"/>
                <w:szCs w:val="4"/>
              </w:rPr>
            </w:pPr>
            <w:r>
              <w:rPr>
                <w:sz w:val="4"/>
                <w:szCs w:val="4"/>
              </w:rPr>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Peter J. Jacullo III, Director</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spacing w:before="0" w:after="283"/>
              <w:rPr>
                <w:sz w:val="4"/>
                <w:szCs w:val="4"/>
              </w:rPr>
            </w:pPr>
            <w:r>
              <w:rPr>
                <w:sz w:val="4"/>
                <w:szCs w:val="4"/>
              </w:rPr>
            </w:r>
          </w:p>
        </w:tc>
        <w:tc>
          <w:tcPr>
            <w:tcW w:w="28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8,392,568</w:t>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18.8</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shd w:fill="auto"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Peter H. Kamin, Chairman of the Board</w:t>
            </w:r>
            <w:r>
              <w:rPr>
                <w:rFonts w:ascii="Times New Roman;serif" w:hAnsi="Times New Roman;serif"/>
                <w:b w:val="false"/>
                <w:i w:val="false"/>
                <w:caps w:val="false"/>
                <w:smallCaps w:val="false"/>
                <w:position w:val="7"/>
                <w:sz w:val="16"/>
                <w:sz w:val="20"/>
              </w:rPr>
              <w:t>(2)</w:t>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6,918,096</w:t>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15.5</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Fund 1 Investments, LLC</w:t>
            </w:r>
            <w:r>
              <w:rPr>
                <w:rFonts w:ascii="Times New Roman;serif" w:hAnsi="Times New Roman;serif"/>
                <w:b w:val="false"/>
                <w:i w:val="false"/>
                <w:caps w:val="false"/>
                <w:smallCaps w:val="false"/>
                <w:position w:val="7"/>
                <w:sz w:val="16"/>
                <w:sz w:val="20"/>
              </w:rPr>
              <w:t>(3)</w:t>
            </w:r>
          </w:p>
        </w:tc>
        <w:tc>
          <w:tcPr>
            <w:tcW w:w="109" w:type="dxa"/>
            <w:tcBorders/>
            <w:shd w:fill="CCEEFF" w:val="clear"/>
            <w:vAlign w:val="center"/>
          </w:tcPr>
          <w:p>
            <w:pPr>
              <w:pStyle w:val="TableContents"/>
              <w:spacing w:before="0" w:after="283"/>
              <w:rPr>
                <w:sz w:val="4"/>
                <w:szCs w:val="4"/>
              </w:rPr>
            </w:pPr>
            <w:r>
              <w:rPr>
                <w:sz w:val="4"/>
                <w:szCs w:val="4"/>
              </w:rPr>
            </w:r>
          </w:p>
        </w:tc>
        <w:tc>
          <w:tcPr>
            <w:tcW w:w="28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3,387,190</w:t>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shd w:fill="auto"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Savitr Capital LLC</w:t>
            </w:r>
            <w:r>
              <w:rPr>
                <w:rFonts w:ascii="Times New Roman;serif" w:hAnsi="Times New Roman;serif"/>
                <w:b w:val="false"/>
                <w:i w:val="false"/>
                <w:caps w:val="false"/>
                <w:smallCaps w:val="false"/>
                <w:position w:val="7"/>
                <w:sz w:val="16"/>
                <w:sz w:val="20"/>
              </w:rPr>
              <w:t>(4)</w:t>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2,770,535</w:t>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Monomoy</w:t>
            </w:r>
            <w:r>
              <w:rPr>
                <w:rFonts w:ascii="Times New Roman;serif" w:hAnsi="Times New Roman;serif"/>
                <w:b w:val="false"/>
                <w:i w:val="false"/>
                <w:caps w:val="false"/>
                <w:smallCaps w:val="false"/>
                <w:position w:val="7"/>
                <w:sz w:val="16"/>
                <w:sz w:val="20"/>
              </w:rPr>
              <w:t>(5)</w:t>
            </w:r>
          </w:p>
        </w:tc>
        <w:tc>
          <w:tcPr>
            <w:tcW w:w="109" w:type="dxa"/>
            <w:tcBorders/>
            <w:shd w:fill="CCEEFF" w:val="clear"/>
            <w:vAlign w:val="center"/>
          </w:tcPr>
          <w:p>
            <w:pPr>
              <w:pStyle w:val="TableContents"/>
              <w:spacing w:before="0" w:after="283"/>
              <w:rPr>
                <w:sz w:val="4"/>
                <w:szCs w:val="4"/>
              </w:rPr>
            </w:pPr>
            <w:r>
              <w:rPr>
                <w:sz w:val="4"/>
                <w:szCs w:val="4"/>
              </w:rPr>
            </w:r>
          </w:p>
        </w:tc>
        <w:tc>
          <w:tcPr>
            <w:tcW w:w="28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2,531,462</w:t>
            </w:r>
          </w:p>
        </w:tc>
        <w:tc>
          <w:tcPr>
            <w:tcW w:w="109" w:type="dxa"/>
            <w:tcBorders/>
            <w:shd w:fill="CCEEFF" w:val="clear"/>
            <w:vAlign w:val="center"/>
          </w:tcPr>
          <w:p>
            <w:pPr>
              <w:pStyle w:val="TableContents"/>
              <w:spacing w:before="0" w:after="283"/>
              <w:rPr>
                <w:sz w:val="4"/>
                <w:szCs w:val="4"/>
              </w:rPr>
            </w:pPr>
            <w:r>
              <w:rPr>
                <w:sz w:val="4"/>
                <w:szCs w:val="4"/>
              </w:rPr>
            </w:r>
          </w:p>
        </w:tc>
        <w:tc>
          <w:tcPr>
            <w:tcW w:w="46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3481" w:type="dxa"/>
            <w:tcBorders/>
            <w:shd w:fill="auto"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Cannell Capital LLC</w:t>
            </w:r>
            <w:r>
              <w:rPr>
                <w:rFonts w:ascii="Times New Roman;serif" w:hAnsi="Times New Roman;serif"/>
                <w:b w:val="false"/>
                <w:i w:val="false"/>
                <w:caps w:val="false"/>
                <w:smallCaps w:val="false"/>
                <w:position w:val="7"/>
                <w:sz w:val="16"/>
                <w:sz w:val="20"/>
              </w:rPr>
              <w:t>(6)</w:t>
            </w:r>
          </w:p>
        </w:tc>
        <w:tc>
          <w:tcPr>
            <w:tcW w:w="109" w:type="dxa"/>
            <w:tcBorders/>
            <w:shd w:fill="auto" w:val="clear"/>
            <w:vAlign w:val="center"/>
          </w:tcPr>
          <w:p>
            <w:pPr>
              <w:pStyle w:val="TableContents"/>
              <w:spacing w:before="0" w:after="283"/>
              <w:rPr>
                <w:sz w:val="4"/>
                <w:szCs w:val="4"/>
              </w:rPr>
            </w:pPr>
            <w:r>
              <w:rPr>
                <w:sz w:val="4"/>
                <w:szCs w:val="4"/>
              </w:rPr>
            </w:r>
          </w:p>
        </w:tc>
        <w:tc>
          <w:tcPr>
            <w:tcW w:w="2851"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2,453,327</w:t>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c>
          <w:tcPr>
            <w:tcW w:w="31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bl>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(1)Based on a Schedule 13D/A filed with the SEC on January 13, 2023 by JWTS, Inc. (“JWTS”), Peter J. Jacullo III, and the Katherine D. Jacullo Children’s 1993 Irrevocable Trust (the “Jacullo Trust”) and a Form 4 filed by Mr. Jacullo with the SEC on June 16, 2022.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494,899 shares of common stock over which he has sole voting and dispositive power, including 21,689 shares of unvested restricted common stock.</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(2)Based on a Schedule 13D/A filed with the SEC on January 13, 2023 by Peter H. Kamin and a Form 4 filed by Mr. Kamin with the SEC on June 16, 2022. Includes (i) 1,695,320 shares of common stock held by the Peter H. Kamin Revocable Trust dated February 2003, of which Peter H. Kamin is the trustee; (ii) 1,033,733 shares of common stock held by the Peter H. Kamin Childrens Trust dated March 1997, of which Mr. Kamin is the trustee; (iii) 117,453 shares of common stock held by the Peter H. Kamin Family Foundation, of which Mr. Kamin is the trustee; (iv) 328,711 shares of common stock held by the Peter H. Kamin GST Trust, of which Mr. Kamin is the trustee; (v) 333,495 shares of common stock held by 3K Limited Partnership, of which Mr. Kamin is the general partner; and (vi) 3,409,384 shares of common stock directly held by Mr. Kamin, including 41,209 shares of unvested restricted common stock. Mr. Kamin has sole voting and dispositive power over all such shares.</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(3)Based on a Schedule 13G filed with the SEC on January 10, 2023 by Fund 1 Investments, LLC, as of December 31, 2022, Fund 1 Investments, LLC held shared voting and dispositive power over 3,387,190 shares of common stock. The shares are held for the benefit of private investment vehicles for which Pleasant Lake Partners LLC serves as investment adviser. Fund 1 Investments, LLC serves as managing member of Pleasant Lake Partners LLC. Jonathan Lennon serves as managing member of Fund 1 Investments, LLC. Each of Fund 1 Investments, LLC, Pleasant Lake Partners LLC and Mr. Lennon disclaims beneficial ownership of the shares except to the extent of its or his pecuniary interest therein. The business address of Fund 1 Investments, LLC is 100 Carr 115 Unit 1900, Rincon, Puerto Rico 00677.</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(5)Based on a Schedule 13G filed with the SEC on February 14, 2023, by Monomoy Capital Partners IV, L.P. (“MCP IV”), Monomoy Capital Partners IV Parallel, L.P. (“MCP IV Parallel”), Monomoy General Partner IV, L.P. (“GP IV”), Monomoy Ultimate GP II, LLC (“Ultimate GP II”), Monomoy Ultimate GP Holdings, LLC (“Ultimate GP Holdings”), Daniel Collin, and Justin Hillenbrand (together with Mr. Collin, Ultimate GP Holdings, Ultimate GP II, GP IV, MCP IV Parallel and MCP IV, the “Monomoy Reporting Persons”), the Monomoy Reporting Persons hold shared voting and dipositive power over the shares reported as held. MCP IV directly holds 1,603,643.44 shares of common stock. MCP IV Parallel directly holds 927,819.56 shares of common stock. GP IV is the general partner of MCP IV and MCP IV Parallel. Ultimate GP II is the general partner of GP IV. Ultimate GP Holdings is the sole member of Ultimate GP II. Ultimate GP Holdings is managed by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its members, Mr. Collin and Mr. Hillenbrand. As a result of the foregoing relationships, each of GP IV, Ultimate GP II, Ultimate GP Holdings, Mr. Collin and Mr. Hillenbrand may be deemed to beneficially own the shares of common stock directly held by MCP IV and MCP IV Parallel. Each of Mr. Collin and Mr. Hillenbrand disclaims beneficial ownership of the shares of common stock held by MCP IV and MCP IV Parallel. The business address of the Monomoy Reporting Persons is 1 Greenwich Office Park, Building 1S, 2nd Floor, Greenwich, Connecticut 06831. </w:t>
      </w:r>
    </w:p>
    <w:p>
      <w:pPr>
        <w:pStyle w:val="TextBody"/>
        <w:shd w:fill="FFFFFF" w:val="clear"/>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(6)Based on a Schedule 13G/A filed with the SEC on February 13, 2023 by Cannell Capital LLC and J. Carlo Cannell, as of December 31, 2022, Cannell Capital LLC and Mr. Cannell held shared voting and dispositive power over 2,453,327 shares of common stock. Cannell Capital LLC acts as an investment adviser. Mr. Cannell is the managing member of Cannell Capital LLC. The business address of the reporting persons is 245 Meriwether Circle, Alta, Wyoming 83414.</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w:t>
      </w:r>
      <w:bookmarkStart w:id="35" w:name="Exhibits"/>
      <w:bookmarkEnd w:id="35"/>
      <w:r>
        <w:rPr>
          <w:rFonts w:ascii="Times New Roman;serif" w:hAnsi="Times New Roman;serif"/>
          <w:b/>
          <w:i w:val="false"/>
          <w:caps w:val="false"/>
          <w:smallCaps w:val="false"/>
          <w:sz w:val="20"/>
        </w:rPr>
        <w:t>EM 6. EXHIBITS</w:t>
      </w:r>
    </w:p>
    <w:p>
      <w:pPr>
        <w:pStyle w:val="TextBody"/>
        <w:bidi w:val="0"/>
        <w:spacing w:lineRule="auto" w:line="259"/>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04"/>
        <w:gridCol w:w="9401"/>
      </w:tblGrid>
      <w:tr>
        <w:trPr/>
        <w:tc>
          <w:tcPr>
            <w:tcW w:w="804" w:type="dxa"/>
            <w:tcBorders/>
            <w:shd w:fill="FFFFFF" w:val="clear"/>
            <w:vAlign w:val="center"/>
          </w:tcPr>
          <w:p>
            <w:pPr>
              <w:pStyle w:val="TableContents"/>
              <w:spacing w:before="0" w:after="283"/>
              <w:rPr>
                <w:sz w:val="4"/>
                <w:szCs w:val="4"/>
              </w:rPr>
            </w:pPr>
            <w:r>
              <w:rPr>
                <w:sz w:val="4"/>
                <w:szCs w:val="4"/>
              </w:rPr>
            </w:r>
          </w:p>
        </w:tc>
        <w:tc>
          <w:tcPr>
            <w:tcW w:w="9401" w:type="dxa"/>
            <w:tcBorders/>
            <w:shd w:fill="FFFFFF" w:val="clear"/>
            <w:vAlign w:val="center"/>
          </w:tcPr>
          <w:p>
            <w:pPr>
              <w:pStyle w:val="TableContents"/>
              <w:spacing w:before="0" w:after="283"/>
              <w:rPr>
                <w:sz w:val="4"/>
                <w:szCs w:val="4"/>
              </w:rPr>
            </w:pPr>
            <w:r>
              <w:rPr>
                <w:sz w:val="4"/>
                <w:szCs w:val="4"/>
              </w:rPr>
            </w:r>
          </w:p>
        </w:tc>
      </w:tr>
      <w:tr>
        <w:trPr/>
        <w:tc>
          <w:tcPr>
            <w:tcW w:w="80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Exhibit No.</w:t>
            </w:r>
          </w:p>
        </w:tc>
        <w:tc>
          <w:tcPr>
            <w:tcW w:w="9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Description</w:t>
            </w:r>
          </w:p>
        </w:tc>
      </w:tr>
      <w:tr>
        <w:trPr/>
        <w:tc>
          <w:tcPr>
            <w:tcW w:w="804"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563C1"/>
                  <w:sz w:val="20"/>
                  <w:u w:val="single"/>
                </w:rPr>
                <w:t>3.1</w:t>
              </w:r>
            </w:hyperlink>
          </w:p>
        </w:tc>
        <w:tc>
          <w:tcPr>
            <w:tcW w:w="9401" w:type="dxa"/>
            <w:tcBorders/>
            <w:shd w:fill="CCEEFF" w:val="clear"/>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563C1"/>
                  <w:sz w:val="20"/>
                  <w:u w:val="single"/>
                </w:rPr>
                <w:t>Certificate of Incorporation of Tile Shop Holdings, Inc. (incorporated by reference to Exhibit 3.1 to the Company’s Registration Statement on Form S-4 (Reg. No. 333-182482) filed with the Securities and Exchange Commission on July 2, 2012).</w:t>
              </w:r>
            </w:hyperlink>
          </w:p>
        </w:tc>
      </w:tr>
      <w:tr>
        <w:trPr/>
        <w:tc>
          <w:tcPr>
            <w:tcW w:w="804" w:type="dxa"/>
            <w:tcBorders/>
            <w:shd w:fill="auto" w:val="clear"/>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563C1"/>
                  <w:sz w:val="20"/>
                  <w:u w:val="single"/>
                </w:rPr>
                <w:t>3.2</w:t>
              </w:r>
            </w:hyperlink>
          </w:p>
        </w:tc>
        <w:tc>
          <w:tcPr>
            <w:tcW w:w="9401" w:type="dxa"/>
            <w:tcBorders/>
            <w:shd w:fill="auto" w:val="clear"/>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563C1"/>
                  <w:sz w:val="20"/>
                  <w:u w:val="single"/>
                </w:rPr>
                <w:t>Certificate of Amendment to the Certificate of Incorporation of Tile Shop Holdings, Inc. (incorporated by reference to Exhibit 3.2 to the Company’s Current Report on Form 8-K filed with the Securities and Exchange Commission on July 21, 2021).</w:t>
              </w:r>
            </w:hyperlink>
          </w:p>
        </w:tc>
      </w:tr>
      <w:tr>
        <w:trPr/>
        <w:tc>
          <w:tcPr>
            <w:tcW w:w="804" w:type="dxa"/>
            <w:tcBorders/>
            <w:shd w:fill="CCEEFF" w:val="clear"/>
            <w:vAlign w:val="center"/>
          </w:tcPr>
          <w:p>
            <w:pPr>
              <w:pStyle w:val="TableContents"/>
              <w:bidi w:val="0"/>
              <w:spacing w:lineRule="auto" w:line="259" w:before="0" w:after="283"/>
              <w:jc w:val="left"/>
              <w:rPr/>
            </w:pPr>
            <w:hyperlink r:id="rId6">
              <w:r>
                <w:rPr>
                  <w:rStyle w:val="InternetLink"/>
                  <w:rFonts w:ascii="Times New Roman;serif" w:hAnsi="Times New Roman;serif"/>
                  <w:b w:val="false"/>
                  <w:i w:val="false"/>
                  <w:caps w:val="false"/>
                  <w:smallCaps w:val="false"/>
                  <w:color w:val="0563C1"/>
                  <w:sz w:val="20"/>
                  <w:u w:val="single"/>
                </w:rPr>
                <w:t>3.3</w:t>
              </w:r>
            </w:hyperlink>
          </w:p>
        </w:tc>
        <w:tc>
          <w:tcPr>
            <w:tcW w:w="9401" w:type="dxa"/>
            <w:tcBorders/>
            <w:shd w:fill="CCEEFF" w:val="clear"/>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563C1"/>
                  <w:sz w:val="20"/>
                  <w:u w:val="single"/>
                </w:rPr>
                <w:t>By-Laws of Tile Shop Holdings, Inc. (incorporated by reference to Exhibit 3.2 to the Company’s Registration Statement on Form S-4 (Reg. No. 333-182482) filed with the Securities and Exchange Commission on July 2, 2012).</w:t>
              </w:r>
            </w:hyperlink>
          </w:p>
        </w:tc>
      </w:tr>
      <w:tr>
        <w:trPr/>
        <w:tc>
          <w:tcPr>
            <w:tcW w:w="804" w:type="dxa"/>
            <w:tcBorders/>
            <w:shd w:fill="FFFFFF" w:val="clear"/>
            <w:vAlign w:val="center"/>
          </w:tcPr>
          <w:p>
            <w:pPr>
              <w:pStyle w:val="TableContents"/>
              <w:bidi w:val="0"/>
              <w:spacing w:lineRule="auto" w:line="259" w:before="0" w:after="283"/>
              <w:jc w:val="left"/>
              <w:rPr/>
            </w:pPr>
            <w:hyperlink r:id="rId8">
              <w:r>
                <w:rPr>
                  <w:rStyle w:val="InternetLink"/>
                  <w:rFonts w:ascii="Times New Roman;serif" w:hAnsi="Times New Roman;serif"/>
                  <w:b w:val="false"/>
                  <w:i w:val="false"/>
                  <w:caps w:val="false"/>
                  <w:smallCaps w:val="false"/>
                  <w:color w:val="0563C1"/>
                  <w:sz w:val="20"/>
                  <w:u w:val="single"/>
                </w:rPr>
                <w:t>10.1*</w:t>
              </w:r>
            </w:hyperlink>
          </w:p>
        </w:tc>
        <w:tc>
          <w:tcPr>
            <w:tcW w:w="9401" w:type="dxa"/>
            <w:tcBorders/>
            <w:shd w:fill="FFFFFF" w:val="clear"/>
            <w:vAlign w:val="center"/>
          </w:tcPr>
          <w:p>
            <w:pPr>
              <w:pStyle w:val="TableContents"/>
              <w:bidi w:val="0"/>
              <w:spacing w:lineRule="auto" w:line="259" w:before="0" w:after="283"/>
              <w:jc w:val="left"/>
              <w:rPr/>
            </w:pPr>
            <w:hyperlink r:id="rId9">
              <w:r>
                <w:rPr>
                  <w:rStyle w:val="InternetLink"/>
                  <w:rFonts w:ascii="Times New Roman;serif" w:hAnsi="Times New Roman;serif"/>
                  <w:b w:val="false"/>
                  <w:i w:val="false"/>
                  <w:caps w:val="false"/>
                  <w:smallCaps w:val="false"/>
                  <w:color w:val="0563C1"/>
                  <w:sz w:val="20"/>
                  <w:u w:val="single"/>
                </w:rPr>
                <w:t>Form of Stock Restriction Agreement (2021 Plan) (2023) (incorporated by reference to Exhibit 10.19 to the Company’s Annual Report on Form 10-K for the year ended December 31, 2022).</w:t>
              </w:r>
            </w:hyperlink>
          </w:p>
        </w:tc>
      </w:tr>
      <w:tr>
        <w:trPr/>
        <w:tc>
          <w:tcPr>
            <w:tcW w:w="804" w:type="dxa"/>
            <w:tcBorders/>
            <w:shd w:fill="CCEEFF" w:val="clear"/>
            <w:vAlign w:val="center"/>
          </w:tcPr>
          <w:p>
            <w:pPr>
              <w:pStyle w:val="TableContents"/>
              <w:bidi w:val="0"/>
              <w:spacing w:lineRule="auto" w:line="259" w:before="0" w:after="283"/>
              <w:jc w:val="left"/>
              <w:rPr/>
            </w:pPr>
            <w:hyperlink r:id="rId10">
              <w:r>
                <w:rPr>
                  <w:rStyle w:val="InternetLink"/>
                  <w:rFonts w:ascii="Times New Roman;serif" w:hAnsi="Times New Roman;serif"/>
                  <w:b w:val="false"/>
                  <w:i w:val="false"/>
                  <w:caps w:val="false"/>
                  <w:smallCaps w:val="false"/>
                  <w:color w:val="0563C1"/>
                  <w:sz w:val="20"/>
                  <w:u w:val="single"/>
                </w:rPr>
                <w:t>10.2*</w:t>
              </w:r>
            </w:hyperlink>
          </w:p>
        </w:tc>
        <w:tc>
          <w:tcPr>
            <w:tcW w:w="9401" w:type="dxa"/>
            <w:tcBorders/>
            <w:shd w:fill="CCEEFF" w:val="clear"/>
            <w:vAlign w:val="center"/>
          </w:tcPr>
          <w:p>
            <w:pPr>
              <w:pStyle w:val="TableContents"/>
              <w:bidi w:val="0"/>
              <w:spacing w:lineRule="auto" w:line="259" w:before="0" w:after="283"/>
              <w:jc w:val="left"/>
              <w:rPr/>
            </w:pPr>
            <w:hyperlink r:id="rId11">
              <w:r>
                <w:rPr>
                  <w:rStyle w:val="InternetLink"/>
                  <w:rFonts w:ascii="Times New Roman;serif" w:hAnsi="Times New Roman;serif"/>
                  <w:b w:val="false"/>
                  <w:i w:val="false"/>
                  <w:caps w:val="false"/>
                  <w:smallCaps w:val="false"/>
                  <w:color w:val="0563C1"/>
                  <w:sz w:val="20"/>
                  <w:u w:val="single"/>
                </w:rPr>
                <w:t>Form of Performance-Based Stock Restriction Agreement (2021 Plan) (2023) (incorporated by reference to Exhibit 10.20 to the Company’s Annual Report on Form 10-K for the year ended December 31, 2022).</w:t>
              </w:r>
            </w:hyperlink>
          </w:p>
        </w:tc>
      </w:tr>
      <w:tr>
        <w:trPr/>
        <w:tc>
          <w:tcPr>
            <w:tcW w:w="804" w:type="dxa"/>
            <w:tcBorders/>
            <w:shd w:fill="FFFFFF" w:val="clear"/>
            <w:vAlign w:val="center"/>
          </w:tcPr>
          <w:p>
            <w:pPr>
              <w:pStyle w:val="TableContents"/>
              <w:bidi w:val="0"/>
              <w:spacing w:lineRule="auto" w:line="259" w:before="0" w:after="283"/>
              <w:jc w:val="left"/>
              <w:rPr/>
            </w:pPr>
            <w:hyperlink w:anchor="ttsh-20230331xex31_1.htm">
              <w:r>
                <w:rPr>
                  <w:rStyle w:val="InternetLink"/>
                  <w:rFonts w:ascii="Times New Roman;serif" w:hAnsi="Times New Roman;serif"/>
                  <w:b w:val="false"/>
                  <w:i w:val="false"/>
                  <w:caps w:val="false"/>
                  <w:smallCaps w:val="false"/>
                  <w:color w:val="0563C1"/>
                  <w:sz w:val="20"/>
                  <w:u w:val="single"/>
                </w:rPr>
                <w:t>31.1**</w:t>
              </w:r>
            </w:hyperlink>
          </w:p>
        </w:tc>
        <w:tc>
          <w:tcPr>
            <w:tcW w:w="9401" w:type="dxa"/>
            <w:tcBorders/>
            <w:shd w:fill="FFFFFF" w:val="clear"/>
            <w:vAlign w:val="center"/>
          </w:tcPr>
          <w:p>
            <w:pPr>
              <w:pStyle w:val="TableContents"/>
              <w:bidi w:val="0"/>
              <w:spacing w:lineRule="auto" w:line="259" w:before="0" w:after="283"/>
              <w:jc w:val="left"/>
              <w:rPr/>
            </w:pPr>
            <w:hyperlink w:anchor="ttsh-20230331xex31_1.htm">
              <w:r>
                <w:rPr>
                  <w:rStyle w:val="InternetLink"/>
                  <w:rFonts w:ascii="Times New Roman;serif" w:hAnsi="Times New Roman;serif"/>
                  <w:b w:val="false"/>
                  <w:i w:val="false"/>
                  <w:caps w:val="false"/>
                  <w:smallCaps w:val="false"/>
                  <w:color w:val="0563C1"/>
                  <w:sz w:val="20"/>
                  <w:u w:val="single"/>
                </w:rPr>
                <w:t>Certification of Chief Executive Officer Pursuant to Section 302 of the Sarbanes Oxley Act of 2002.</w:t>
              </w:r>
            </w:hyperlink>
          </w:p>
        </w:tc>
      </w:tr>
      <w:tr>
        <w:trPr/>
        <w:tc>
          <w:tcPr>
            <w:tcW w:w="804" w:type="dxa"/>
            <w:tcBorders/>
            <w:shd w:fill="CCEEFF" w:val="clear"/>
            <w:vAlign w:val="center"/>
          </w:tcPr>
          <w:p>
            <w:pPr>
              <w:pStyle w:val="TableContents"/>
              <w:bidi w:val="0"/>
              <w:spacing w:lineRule="auto" w:line="259" w:before="0" w:after="283"/>
              <w:jc w:val="left"/>
              <w:rPr/>
            </w:pPr>
            <w:hyperlink w:anchor="ttsh-20230331xex31_2.htm">
              <w:r>
                <w:rPr>
                  <w:rStyle w:val="InternetLink"/>
                  <w:rFonts w:ascii="Times New Roman;serif" w:hAnsi="Times New Roman;serif"/>
                  <w:b w:val="false"/>
                  <w:i w:val="false"/>
                  <w:caps w:val="false"/>
                  <w:smallCaps w:val="false"/>
                  <w:color w:val="0563C1"/>
                  <w:sz w:val="20"/>
                  <w:u w:val="single"/>
                </w:rPr>
                <w:t>31.2**</w:t>
              </w:r>
            </w:hyperlink>
          </w:p>
        </w:tc>
        <w:tc>
          <w:tcPr>
            <w:tcW w:w="9401" w:type="dxa"/>
            <w:tcBorders/>
            <w:shd w:fill="CCEEFF" w:val="clear"/>
            <w:vAlign w:val="center"/>
          </w:tcPr>
          <w:p>
            <w:pPr>
              <w:pStyle w:val="TableContents"/>
              <w:bidi w:val="0"/>
              <w:spacing w:lineRule="auto" w:line="259" w:before="0" w:after="283"/>
              <w:jc w:val="left"/>
              <w:rPr/>
            </w:pPr>
            <w:hyperlink w:anchor="ttsh-20230331xex31_2.htm">
              <w:r>
                <w:rPr>
                  <w:rStyle w:val="InternetLink"/>
                  <w:rFonts w:ascii="Times New Roman;serif" w:hAnsi="Times New Roman;serif"/>
                  <w:b w:val="false"/>
                  <w:i w:val="false"/>
                  <w:caps w:val="false"/>
                  <w:smallCaps w:val="false"/>
                  <w:color w:val="0563C1"/>
                  <w:sz w:val="20"/>
                  <w:u w:val="single"/>
                </w:rPr>
                <w:t>Certification of Chief Financial Officer Pursuant to Section 302 of the Sarbanes Oxley Act of 2002.</w:t>
              </w:r>
            </w:hyperlink>
          </w:p>
        </w:tc>
      </w:tr>
      <w:tr>
        <w:trPr/>
        <w:tc>
          <w:tcPr>
            <w:tcW w:w="804" w:type="dxa"/>
            <w:tcBorders/>
            <w:shd w:fill="FFFFFF" w:val="clear"/>
            <w:vAlign w:val="center"/>
          </w:tcPr>
          <w:p>
            <w:pPr>
              <w:pStyle w:val="TableContents"/>
              <w:bidi w:val="0"/>
              <w:spacing w:lineRule="auto" w:line="259" w:before="0" w:after="283"/>
              <w:jc w:val="left"/>
              <w:rPr/>
            </w:pPr>
            <w:hyperlink w:anchor="ttsh-20230331xex32_1.htm">
              <w:r>
                <w:rPr>
                  <w:rStyle w:val="InternetLink"/>
                  <w:rFonts w:ascii="Times New Roman;serif" w:hAnsi="Times New Roman;serif"/>
                  <w:b w:val="false"/>
                  <w:i w:val="false"/>
                  <w:caps w:val="false"/>
                  <w:smallCaps w:val="false"/>
                  <w:color w:val="0563C1"/>
                  <w:sz w:val="20"/>
                  <w:u w:val="single"/>
                </w:rPr>
                <w:t>32.1***</w:t>
              </w:r>
            </w:hyperlink>
          </w:p>
        </w:tc>
        <w:tc>
          <w:tcPr>
            <w:tcW w:w="9401" w:type="dxa"/>
            <w:tcBorders/>
            <w:shd w:fill="FFFFFF" w:val="clear"/>
            <w:vAlign w:val="center"/>
          </w:tcPr>
          <w:p>
            <w:pPr>
              <w:pStyle w:val="TableContents"/>
              <w:bidi w:val="0"/>
              <w:spacing w:lineRule="auto" w:line="259" w:before="0" w:after="283"/>
              <w:jc w:val="left"/>
              <w:rPr/>
            </w:pPr>
            <w:hyperlink w:anchor="ttsh-20230331xex32_1.htm">
              <w:r>
                <w:rPr>
                  <w:rStyle w:val="InternetLink"/>
                  <w:rFonts w:ascii="Times New Roman;serif" w:hAnsi="Times New Roman;serif"/>
                  <w:b w:val="false"/>
                  <w:i w:val="false"/>
                  <w:caps w:val="false"/>
                  <w:smallCaps w:val="false"/>
                  <w:color w:val="0563C1"/>
                  <w:sz w:val="20"/>
                  <w:u w:val="single"/>
                </w:rPr>
                <w:t>Certifications of Chief Executive Officer Pursuant to Section 906 of the Sarbanes Oxley Act of 2002.</w:t>
              </w:r>
            </w:hyperlink>
          </w:p>
        </w:tc>
      </w:tr>
      <w:tr>
        <w:trPr/>
        <w:tc>
          <w:tcPr>
            <w:tcW w:w="804" w:type="dxa"/>
            <w:tcBorders/>
            <w:shd w:fill="CCEEFF" w:val="clear"/>
            <w:vAlign w:val="center"/>
          </w:tcPr>
          <w:p>
            <w:pPr>
              <w:pStyle w:val="TableContents"/>
              <w:bidi w:val="0"/>
              <w:spacing w:lineRule="auto" w:line="259" w:before="0" w:after="283"/>
              <w:jc w:val="left"/>
              <w:rPr/>
            </w:pPr>
            <w:hyperlink w:anchor="ttsh-20230331xex32_2.htm">
              <w:r>
                <w:rPr>
                  <w:rStyle w:val="InternetLink"/>
                  <w:rFonts w:ascii="Times New Roman;serif" w:hAnsi="Times New Roman;serif"/>
                  <w:b w:val="false"/>
                  <w:i w:val="false"/>
                  <w:caps w:val="false"/>
                  <w:smallCaps w:val="false"/>
                  <w:color w:val="0563C1"/>
                  <w:sz w:val="20"/>
                  <w:u w:val="single"/>
                </w:rPr>
                <w:t>32.2***</w:t>
              </w:r>
            </w:hyperlink>
          </w:p>
        </w:tc>
        <w:tc>
          <w:tcPr>
            <w:tcW w:w="9401" w:type="dxa"/>
            <w:tcBorders/>
            <w:shd w:fill="CCEEFF" w:val="clear"/>
            <w:vAlign w:val="center"/>
          </w:tcPr>
          <w:p>
            <w:pPr>
              <w:pStyle w:val="TableContents"/>
              <w:bidi w:val="0"/>
              <w:spacing w:lineRule="auto" w:line="259" w:before="0" w:after="283"/>
              <w:jc w:val="left"/>
              <w:rPr/>
            </w:pPr>
            <w:hyperlink w:anchor="ttsh-20230331xex32_2.htm">
              <w:r>
                <w:rPr>
                  <w:rStyle w:val="InternetLink"/>
                  <w:rFonts w:ascii="Times New Roman;serif" w:hAnsi="Times New Roman;serif"/>
                  <w:b w:val="false"/>
                  <w:i w:val="false"/>
                  <w:caps w:val="false"/>
                  <w:smallCaps w:val="false"/>
                  <w:color w:val="0563C1"/>
                  <w:sz w:val="20"/>
                  <w:u w:val="single"/>
                </w:rPr>
                <w:t>Certifications of Chief Financial Officer Pursuant to Section 906 of the Sarbanes Oxley Act of 2002.</w:t>
              </w:r>
            </w:hyperlink>
          </w:p>
        </w:tc>
      </w:tr>
      <w:tr>
        <w:trPr/>
        <w:tc>
          <w:tcPr>
            <w:tcW w:w="80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9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statements from the Quarterly Report on Form 10-Q for the quarter ended March 31, 2023 are formatted in iXBRL (Inline eXtensible Business Reporting Language): (i) Consolidated Balance Sheets, (ii) Consolidated Statements of Operations, (iii) Consolidated Statements of Comprehensive Income, (iv) Consolidated Statements of Stockholders’ Equity, (v) Consolidated Statements of Cash Flows, and (vi) the Notes to Consolidated Financial Statements.</w:t>
            </w:r>
          </w:p>
        </w:tc>
      </w:tr>
      <w:tr>
        <w:trPr/>
        <w:tc>
          <w:tcPr>
            <w:tcW w:w="8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Cover Page Interactive Data File (formatted as Inline XBRL and contained in Exhibit 101).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Management compensatory plan or arrangement.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Filed herewith</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Furnished herewith</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bookmarkStart w:id="36" w:name="Signatures"/>
      <w:bookmarkEnd w:id="36"/>
      <w:r>
        <w:rPr>
          <w:rFonts w:ascii="Times New Roman;serif" w:hAnsi="Times New Roman;serif"/>
          <w:b w:val="false"/>
          <w:i w:val="false"/>
          <w:caps w:val="false"/>
          <w:smallCaps w:val="false"/>
          <w:sz w:val="20"/>
        </w:rPr>
        <w:t>23</w:t>
      </w:r>
    </w:p>
    <w:p>
      <w:pPr>
        <w:pStyle w:val="HorizontalLine"/>
        <w:rPr/>
      </w:pPr>
      <w:r>
        <w:rPr/>
      </w:r>
    </w:p>
    <w:p>
      <w:pPr>
        <w:pStyle w:val="TextBody"/>
        <w:bidi w:val="0"/>
        <w:spacing w:lineRule="auto" w:line="259"/>
        <w:rPr/>
      </w:pPr>
      <w:hyperlink w:anchor="TableOfContents">
        <w:r>
          <w:rPr>
            <w:rStyle w:val="InternetLink"/>
            <w:rFonts w:ascii="Times New Roman;serif" w:hAnsi="Times New Roman;serif"/>
            <w:b/>
            <w:i w:val="false"/>
            <w:caps w:val="false"/>
            <w:smallCaps w:val="false"/>
            <w:strike w:val="false"/>
            <w:dstrike w:val="false"/>
            <w:color w:val="0563C1"/>
            <w:sz w:val="20"/>
            <w:u w:val="single"/>
            <w:effect w:val="non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4859" w:type="dxa"/>
        <w:jc w:val="left"/>
        <w:tblInd w:w="0" w:type="dxa"/>
        <w:tblCellMar>
          <w:top w:w="0" w:type="dxa"/>
          <w:left w:w="0" w:type="dxa"/>
          <w:bottom w:w="0" w:type="dxa"/>
          <w:right w:w="0" w:type="dxa"/>
        </w:tblCellMar>
      </w:tblPr>
      <w:tblGrid>
        <w:gridCol w:w="1741"/>
        <w:gridCol w:w="451"/>
        <w:gridCol w:w="2476"/>
        <w:gridCol w:w="191"/>
      </w:tblGrid>
      <w:tr>
        <w:trPr/>
        <w:tc>
          <w:tcPr>
            <w:tcW w:w="174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2927" w:type="dxa"/>
            <w:gridSpan w:val="2"/>
            <w:tcBorders/>
            <w:shd w:fill="auto"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TILE SHOP HOLDINGS, INC.</w:t>
            </w:r>
          </w:p>
        </w:tc>
        <w:tc>
          <w:tcPr>
            <w:tcW w:w="19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9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May 4, 2023</w:t>
            </w:r>
          </w:p>
        </w:tc>
        <w:tc>
          <w:tcPr>
            <w:tcW w:w="45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247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CABELL H. LOLMAUGH</w:t>
            </w:r>
          </w:p>
        </w:tc>
        <w:tc>
          <w:tcPr>
            <w:tcW w:w="19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Cabell H. Lolmaugh</w:t>
            </w:r>
          </w:p>
        </w:tc>
        <w:tc>
          <w:tcPr>
            <w:tcW w:w="19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247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Executive Officer</w:t>
            </w:r>
          </w:p>
        </w:tc>
        <w:tc>
          <w:tcPr>
            <w:tcW w:w="19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r>
    </w:tbl>
    <w:tbl>
      <w:tblPr>
        <w:tblW w:w="4349" w:type="dxa"/>
        <w:jc w:val="left"/>
        <w:tblInd w:w="0" w:type="dxa"/>
        <w:tblCellMar>
          <w:top w:w="0" w:type="dxa"/>
          <w:left w:w="0" w:type="dxa"/>
          <w:bottom w:w="0" w:type="dxa"/>
          <w:right w:w="0" w:type="dxa"/>
        </w:tblCellMar>
      </w:tblPr>
      <w:tblGrid>
        <w:gridCol w:w="1741"/>
        <w:gridCol w:w="451"/>
        <w:gridCol w:w="1966"/>
        <w:gridCol w:w="191"/>
      </w:tblGrid>
      <w:tr>
        <w:trPr/>
        <w:tc>
          <w:tcPr>
            <w:tcW w:w="174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Dated: May 4, 2023</w:t>
            </w:r>
          </w:p>
        </w:tc>
        <w:tc>
          <w:tcPr>
            <w:tcW w:w="451"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w:t>
            </w:r>
          </w:p>
        </w:tc>
        <w:tc>
          <w:tcPr>
            <w:tcW w:w="1966" w:type="dxa"/>
            <w:tcBorders>
              <w:bottom w:val="single" w:sz="8" w:space="0" w:color="000000"/>
            </w:tcBorders>
            <w:shd w:fill="auto"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KARLA LUNAN</w:t>
            </w:r>
          </w:p>
        </w:tc>
        <w:tc>
          <w:tcPr>
            <w:tcW w:w="19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Karla Lunan</w:t>
            </w:r>
          </w:p>
        </w:tc>
        <w:tc>
          <w:tcPr>
            <w:tcW w:w="19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174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45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1966" w:type="dxa"/>
            <w:tcBorders/>
            <w:shd w:fill="auto"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Financial Officer</w:t>
            </w:r>
          </w:p>
        </w:tc>
        <w:tc>
          <w:tcPr>
            <w:tcW w:w="191" w:type="dxa"/>
            <w:tcBorders/>
            <w:shd w:fill="auto" w:val="clear"/>
            <w:vAlign w:val="center"/>
          </w:tcPr>
          <w:p>
            <w:pPr>
              <w:pStyle w:val="TableContents"/>
              <w:bidi w:val="0"/>
              <w:spacing w:lineRule="auto" w:line="259" w:before="0" w:after="283"/>
              <w:jc w:val="left"/>
              <w:rPr>
                <w:caps w:val="false"/>
                <w:smallCaps w:val="false"/>
              </w:rPr>
            </w:pPr>
            <w:r>
              <w:rPr>
                <w:caps w:val="false"/>
                <w:smallCaps w:val="false"/>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r>
        <w:br w:type="page"/>
      </w:r>
    </w:p>
    <w:p>
      <w:pPr>
        <w:pStyle w:val="TextBody"/>
        <w:spacing w:lineRule="auto" w:line="240" w:before="0" w:after="0"/>
        <w:ind w:left="1440" w:right="1440" w:hanging="0"/>
        <w:jc w:val="right"/>
        <w:rPr>
          <w:rFonts w:ascii="Times New Roman" w:hAnsi="Times New Roman"/>
          <w:sz w:val="20"/>
        </w:rPr>
      </w:pPr>
      <w:bookmarkStart w:id="37" w:name="ttsh-20230331xex31_1.htm"/>
      <w:bookmarkStart w:id="38" w:name="ksttsh20230331xex31_1"/>
      <w:bookmarkEnd w:id="37"/>
      <w:bookmarkEnd w:id="38"/>
      <w:r>
        <w:rPr>
          <w:rFonts w:ascii="Times New Roman" w:hAnsi="Times New Roman"/>
          <w:b/>
          <w:sz w:val="20"/>
        </w:rPr>
        <w:t>EXHIBIT 31.1</w:t>
      </w:r>
      <w:r>
        <w:rPr>
          <w:rFonts w:ascii="Times New Roman" w:hAnsi="Times New Roman"/>
          <w:sz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EXECUTIVE OFFICER</w:t>
      </w:r>
      <w:r>
        <w:rPr>
          <w:rFonts w:ascii="Times New Roman" w:hAnsi="Times New Roman"/>
          <w:sz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hanging="0"/>
        <w:rPr>
          <w:rFonts w:ascii="Times New Roman" w:hAnsi="Times New Roman"/>
          <w:sz w:val="20"/>
        </w:rPr>
      </w:pPr>
      <w:r>
        <w:rPr>
          <w:rFonts w:ascii="Times New Roman" w:hAnsi="Times New Roman"/>
          <w:sz w:val="20"/>
        </w:rPr>
        <w:t xml:space="preserve">I, Cabell H. Lolmaugh, certify that: </w:t>
      </w:r>
    </w:p>
    <w:p>
      <w:pPr>
        <w:pStyle w:val="TextBody"/>
        <w:spacing w:lineRule="auto" w:line="240" w:before="0" w:after="0"/>
        <w:ind w:left="1440" w:right="1440" w:hanging="0"/>
        <w:rPr>
          <w:rFonts w:cs="Times New Roman"/>
          <w:szCs w:val="20"/>
        </w:rPr>
      </w:pPr>
      <w:r>
        <w:rPr>
          <w:rFonts w:cs="Times New Roman"/>
          <w:szCs w:val="20"/>
        </w:rPr>
        <w:t xml:space="preserve">﻿ </w:t>
      </w:r>
    </w:p>
    <w:tbl>
      <w:tblPr>
        <w:tblW w:w="6701" w:type="dxa"/>
        <w:jc w:val="left"/>
        <w:tblInd w:w="1440" w:type="dxa"/>
        <w:tblCellMar>
          <w:top w:w="0" w:type="dxa"/>
          <w:left w:w="0" w:type="dxa"/>
          <w:bottom w:w="0" w:type="dxa"/>
          <w:right w:w="0" w:type="dxa"/>
        </w:tblCellMar>
      </w:tblPr>
      <w:tblGrid>
        <w:gridCol w:w="38"/>
        <w:gridCol w:w="215"/>
        <w:gridCol w:w="23"/>
        <w:gridCol w:w="6425"/>
      </w:tblGrid>
      <w:tr>
        <w:trPr/>
        <w:tc>
          <w:tcPr>
            <w:tcW w:w="3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shd w:fill="auto" w:val="clear"/>
            <w:vAlign w:val="center"/>
          </w:tcPr>
          <w:p>
            <w:pPr>
              <w:pStyle w:val="TableContents"/>
              <w:spacing w:before="0" w:after="283"/>
              <w:rPr>
                <w:sz w:val="4"/>
                <w:szCs w:val="4"/>
              </w:rPr>
            </w:pPr>
            <w:r>
              <w:rPr>
                <w:sz w:val="4"/>
                <w:szCs w:val="4"/>
              </w:rPr>
            </w:r>
          </w:p>
        </w:tc>
        <w:tc>
          <w:tcPr>
            <w:tcW w:w="6425"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48"/>
        <w:gridCol w:w="23"/>
        <w:gridCol w:w="7116"/>
      </w:tblGrid>
      <w:tr>
        <w:trPr/>
        <w:tc>
          <w:tcPr>
            <w:tcW w:w="3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shd w:fill="auto" w:val="clear"/>
            <w:vAlign w:val="center"/>
          </w:tcPr>
          <w:p>
            <w:pPr>
              <w:pStyle w:val="TableContents"/>
              <w:spacing w:before="0" w:after="283"/>
              <w:rPr>
                <w:sz w:val="4"/>
                <w:szCs w:val="4"/>
              </w:rPr>
            </w:pPr>
            <w:r>
              <w:rPr>
                <w:sz w:val="4"/>
                <w:szCs w:val="4"/>
              </w:rPr>
            </w:r>
          </w:p>
        </w:tc>
        <w:tc>
          <w:tcPr>
            <w:tcW w:w="7116"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1"/>
        <w:gridCol w:w="23"/>
        <w:gridCol w:w="7113"/>
      </w:tblGrid>
      <w:tr>
        <w:trPr/>
        <w:tc>
          <w:tcPr>
            <w:tcW w:w="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shd w:fill="auto" w:val="clear"/>
            <w:vAlign w:val="center"/>
          </w:tcPr>
          <w:p>
            <w:pPr>
              <w:pStyle w:val="TableContents"/>
              <w:spacing w:before="0" w:after="283"/>
              <w:rPr>
                <w:sz w:val="4"/>
                <w:szCs w:val="4"/>
              </w:rPr>
            </w:pPr>
            <w:r>
              <w:rPr>
                <w:sz w:val="4"/>
                <w:szCs w:val="4"/>
              </w:rPr>
            </w:r>
          </w:p>
        </w:tc>
        <w:tc>
          <w:tcPr>
            <w:tcW w:w="7113"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46"/>
        <w:gridCol w:w="23"/>
        <w:gridCol w:w="7118"/>
      </w:tblGrid>
      <w:tr>
        <w:trPr/>
        <w:tc>
          <w:tcPr>
            <w:tcW w:w="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shd w:fill="auto" w:val="clear"/>
            <w:vAlign w:val="center"/>
          </w:tcPr>
          <w:p>
            <w:pPr>
              <w:pStyle w:val="TableContents"/>
              <w:spacing w:before="0" w:after="283"/>
              <w:rPr>
                <w:sz w:val="4"/>
                <w:szCs w:val="4"/>
              </w:rPr>
            </w:pPr>
            <w:r>
              <w:rPr>
                <w:sz w:val="4"/>
                <w:szCs w:val="4"/>
              </w:rPr>
            </w:r>
          </w:p>
        </w:tc>
        <w:tc>
          <w:tcPr>
            <w:tcW w:w="7118"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64"/>
        <w:gridCol w:w="23"/>
        <w:gridCol w:w="7100"/>
      </w:tblGrid>
      <w:tr>
        <w:trPr/>
        <w:tc>
          <w:tcPr>
            <w:tcW w:w="3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shd w:fill="auto" w:val="clear"/>
            <w:vAlign w:val="center"/>
          </w:tcPr>
          <w:p>
            <w:pPr>
              <w:pStyle w:val="TableContents"/>
              <w:spacing w:before="0" w:after="283"/>
              <w:rPr>
                <w:sz w:val="4"/>
                <w:szCs w:val="4"/>
              </w:rPr>
            </w:pPr>
            <w:r>
              <w:rPr>
                <w:sz w:val="4"/>
                <w:szCs w:val="4"/>
              </w:rPr>
            </w:r>
          </w:p>
        </w:tc>
        <w:tc>
          <w:tcPr>
            <w:tcW w:w="7100"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79"/>
        <w:gridCol w:w="23"/>
        <w:gridCol w:w="7085"/>
      </w:tblGrid>
      <w:tr>
        <w:trPr/>
        <w:tc>
          <w:tcPr>
            <w:tcW w:w="3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shd w:fill="auto" w:val="clear"/>
            <w:vAlign w:val="center"/>
          </w:tcPr>
          <w:p>
            <w:pPr>
              <w:pStyle w:val="TableContents"/>
              <w:spacing w:before="0" w:after="283"/>
              <w:rPr>
                <w:sz w:val="4"/>
                <w:szCs w:val="4"/>
              </w:rPr>
            </w:pPr>
            <w:r>
              <w:rPr>
                <w:sz w:val="4"/>
                <w:szCs w:val="4"/>
              </w:rPr>
            </w:r>
          </w:p>
        </w:tc>
        <w:tc>
          <w:tcPr>
            <w:tcW w:w="7085"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67"/>
        <w:gridCol w:w="23"/>
        <w:gridCol w:w="7097"/>
      </w:tblGrid>
      <w:tr>
        <w:trPr/>
        <w:tc>
          <w:tcPr>
            <w:tcW w:w="3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shd w:fill="auto" w:val="clear"/>
            <w:vAlign w:val="center"/>
          </w:tcPr>
          <w:p>
            <w:pPr>
              <w:pStyle w:val="TableContents"/>
              <w:spacing w:before="0" w:after="283"/>
              <w:rPr>
                <w:sz w:val="4"/>
                <w:szCs w:val="4"/>
              </w:rPr>
            </w:pPr>
            <w:r>
              <w:rPr>
                <w:sz w:val="4"/>
                <w:szCs w:val="4"/>
              </w:rPr>
            </w:r>
          </w:p>
        </w:tc>
        <w:tc>
          <w:tcPr>
            <w:tcW w:w="7097"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79"/>
        <w:gridCol w:w="23"/>
        <w:gridCol w:w="7085"/>
      </w:tblGrid>
      <w:tr>
        <w:trPr/>
        <w:tc>
          <w:tcPr>
            <w:tcW w:w="3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shd w:fill="auto" w:val="clear"/>
            <w:vAlign w:val="center"/>
          </w:tcPr>
          <w:p>
            <w:pPr>
              <w:pStyle w:val="TableContents"/>
              <w:spacing w:before="0" w:after="283"/>
              <w:rPr>
                <w:sz w:val="4"/>
                <w:szCs w:val="4"/>
              </w:rPr>
            </w:pPr>
            <w:r>
              <w:rPr>
                <w:sz w:val="4"/>
                <w:szCs w:val="4"/>
              </w:rPr>
            </w:r>
          </w:p>
        </w:tc>
        <w:tc>
          <w:tcPr>
            <w:tcW w:w="7085"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0"/>
        <w:gridCol w:w="23"/>
        <w:gridCol w:w="7114"/>
      </w:tblGrid>
      <w:tr>
        <w:trPr/>
        <w:tc>
          <w:tcPr>
            <w:tcW w:w="3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shd w:fill="auto" w:val="clear"/>
            <w:vAlign w:val="center"/>
          </w:tcPr>
          <w:p>
            <w:pPr>
              <w:pStyle w:val="TableContents"/>
              <w:spacing w:before="0" w:after="283"/>
              <w:rPr>
                <w:sz w:val="4"/>
                <w:szCs w:val="4"/>
              </w:rPr>
            </w:pPr>
            <w:r>
              <w:rPr>
                <w:sz w:val="4"/>
                <w:szCs w:val="4"/>
              </w:rPr>
            </w:r>
          </w:p>
        </w:tc>
        <w:tc>
          <w:tcPr>
            <w:tcW w:w="7114"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68"/>
        <w:gridCol w:w="23"/>
        <w:gridCol w:w="7096"/>
      </w:tblGrid>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shd w:fill="auto" w:val="clear"/>
            <w:vAlign w:val="center"/>
          </w:tcPr>
          <w:p>
            <w:pPr>
              <w:pStyle w:val="TableContents"/>
              <w:spacing w:before="0" w:after="283"/>
              <w:rPr>
                <w:sz w:val="4"/>
                <w:szCs w:val="4"/>
              </w:rPr>
            </w:pPr>
            <w:r>
              <w:rPr>
                <w:sz w:val="4"/>
                <w:szCs w:val="4"/>
              </w:rPr>
            </w:r>
          </w:p>
        </w:tc>
        <w:tc>
          <w:tcPr>
            <w:tcW w:w="7096"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91"/>
        <w:gridCol w:w="23"/>
        <w:gridCol w:w="7073"/>
      </w:tblGrid>
      <w:tr>
        <w:trPr/>
        <w:tc>
          <w:tcPr>
            <w:tcW w:w="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shd w:fill="auto" w:val="clear"/>
            <w:vAlign w:val="center"/>
          </w:tcPr>
          <w:p>
            <w:pPr>
              <w:pStyle w:val="TableContents"/>
              <w:spacing w:before="0" w:after="283"/>
              <w:rPr>
                <w:sz w:val="4"/>
                <w:szCs w:val="4"/>
              </w:rPr>
            </w:pPr>
            <w:r>
              <w:rPr>
                <w:sz w:val="4"/>
                <w:szCs w:val="4"/>
              </w:rPr>
            </w:r>
          </w:p>
        </w:tc>
        <w:tc>
          <w:tcPr>
            <w:tcW w:w="7073"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3955" w:type="dxa"/>
        <w:jc w:val="left"/>
        <w:tblInd w:w="1440" w:type="dxa"/>
        <w:tblCellMar>
          <w:top w:w="0" w:type="dxa"/>
          <w:left w:w="0" w:type="dxa"/>
          <w:bottom w:w="0" w:type="dxa"/>
          <w:right w:w="0" w:type="dxa"/>
        </w:tblCellMar>
      </w:tblPr>
      <w:tblGrid>
        <w:gridCol w:w="1550"/>
        <w:gridCol w:w="2405"/>
      </w:tblGrid>
      <w:tr>
        <w:trPr/>
        <w:tc>
          <w:tcPr>
            <w:tcW w:w="1550" w:type="dxa"/>
            <w:tcBorders/>
            <w:shd w:fill="auto" w:val="clear"/>
          </w:tcPr>
          <w:p>
            <w:pPr>
              <w:pStyle w:val="TableContents"/>
              <w:spacing w:lineRule="auto" w:line="240" w:before="0" w:after="0"/>
              <w:ind w:left="0" w:right="0" w:hanging="0"/>
              <w:rPr>
                <w:rFonts w:cs="Times New Roman"/>
                <w:color w:val="000000"/>
                <w:szCs w:val="2"/>
              </w:rPr>
            </w:pPr>
            <w:r>
              <w:rPr>
                <w:rFonts w:cs="Times New Roman"/>
                <w:color w:val="000000"/>
                <w:szCs w:val="2"/>
              </w:rPr>
              <w:t>﻿</w:t>
            </w:r>
          </w:p>
        </w:tc>
        <w:tc>
          <w:tcPr>
            <w:tcW w:w="2405" w:type="dxa"/>
            <w:tcBorders/>
            <w:shd w:fill="auto" w:val="clear"/>
          </w:tcPr>
          <w:p>
            <w:pPr>
              <w:pStyle w:val="TableContents"/>
              <w:spacing w:lineRule="auto" w:line="240" w:before="0" w:after="0"/>
              <w:ind w:left="0" w:right="0" w:hanging="0"/>
              <w:rPr/>
            </w:pPr>
            <w:r>
              <w:rPr/>
              <w:t> </w:t>
            </w:r>
          </w:p>
        </w:tc>
      </w:tr>
      <w:tr>
        <w:trPr/>
        <w:tc>
          <w:tcPr>
            <w:tcW w:w="1550" w:type="dxa"/>
            <w:tcBorders/>
            <w:shd w:fill="auto" w:val="clear"/>
          </w:tcPr>
          <w:p>
            <w:pPr>
              <w:pStyle w:val="TableContents"/>
              <w:spacing w:lineRule="auto" w:line="240" w:before="0" w:after="0"/>
              <w:ind w:left="0" w:right="0" w:hanging="0"/>
              <w:rPr>
                <w:rFonts w:ascii="Times New Roman" w:hAnsi="Times New Roman"/>
                <w:color w:val="000000"/>
                <w:sz w:val="20"/>
              </w:rPr>
            </w:pPr>
            <w:r>
              <w:rPr>
                <w:rFonts w:ascii="Times New Roman" w:hAnsi="Times New Roman"/>
                <w:color w:val="000000"/>
                <w:sz w:val="20"/>
              </w:rPr>
              <w:t>Date: May 4, 2023</w:t>
            </w:r>
          </w:p>
        </w:tc>
        <w:tc>
          <w:tcPr>
            <w:tcW w:w="2405" w:type="dxa"/>
            <w:tcBorders>
              <w:bottom w:val="single" w:sz="8" w:space="0" w:color="000000"/>
            </w:tcBorders>
            <w:shd w:fill="auto" w:val="clear"/>
            <w:tcMar>
              <w:bottom w:w="28" w:type="dxa"/>
            </w:tcMar>
          </w:tcPr>
          <w:p>
            <w:pPr>
              <w:pStyle w:val="TableContents"/>
              <w:spacing w:lineRule="auto" w:line="240" w:before="0" w:after="0"/>
              <w:ind w:left="0" w:right="0" w:hanging="0"/>
              <w:rPr>
                <w:rFonts w:ascii="Times New Roman" w:hAnsi="Times New Roman"/>
                <w:color w:val="000000"/>
                <w:sz w:val="20"/>
              </w:rPr>
            </w:pPr>
            <w:r>
              <w:rPr>
                <w:rFonts w:ascii="Times New Roman" w:hAnsi="Times New Roman"/>
                <w:color w:val="000000"/>
                <w:sz w:val="20"/>
              </w:rPr>
              <w:t>/s/ CABELL H. LOLMAUGH</w:t>
            </w:r>
          </w:p>
        </w:tc>
      </w:tr>
      <w:tr>
        <w:trPr/>
        <w:tc>
          <w:tcPr>
            <w:tcW w:w="1550" w:type="dxa"/>
            <w:tcBorders/>
            <w:shd w:fill="auto" w:val="clear"/>
          </w:tcPr>
          <w:p>
            <w:pPr>
              <w:pStyle w:val="TableContents"/>
              <w:spacing w:lineRule="auto" w:line="240" w:before="0" w:after="0"/>
              <w:ind w:left="0" w:right="0" w:hanging="0"/>
              <w:rPr/>
            </w:pPr>
            <w:r>
              <w:rPr/>
              <w:t> </w:t>
            </w:r>
          </w:p>
        </w:tc>
        <w:tc>
          <w:tcPr>
            <w:tcW w:w="2405" w:type="dxa"/>
            <w:tcBorders>
              <w:top w:val="single" w:sz="8" w:space="0" w:color="000000"/>
            </w:tcBorders>
            <w:shd w:fill="auto" w:val="clear"/>
            <w:tcMar>
              <w:top w:w="28" w:type="dxa"/>
            </w:tcMar>
          </w:tcPr>
          <w:p>
            <w:pPr>
              <w:pStyle w:val="TableContents"/>
              <w:spacing w:lineRule="auto" w:line="240" w:before="0" w:after="0"/>
              <w:ind w:left="0" w:right="0" w:hanging="0"/>
              <w:rPr/>
            </w:pPr>
            <w:r>
              <w:rPr/>
              <w:t> </w:t>
            </w:r>
          </w:p>
        </w:tc>
      </w:tr>
      <w:tr>
        <w:trPr/>
        <w:tc>
          <w:tcPr>
            <w:tcW w:w="1550" w:type="dxa"/>
            <w:tcBorders/>
            <w:shd w:fill="auto" w:val="clear"/>
          </w:tcPr>
          <w:p>
            <w:pPr>
              <w:pStyle w:val="TableContents"/>
              <w:spacing w:lineRule="auto" w:line="240" w:before="0" w:after="0"/>
              <w:ind w:left="0" w:right="0" w:hanging="0"/>
              <w:rPr>
                <w:rFonts w:cs="Times New Roman"/>
                <w:color w:val="000000"/>
                <w:szCs w:val="20"/>
              </w:rPr>
            </w:pPr>
            <w:r>
              <w:rPr>
                <w:rFonts w:cs="Times New Roman"/>
                <w:color w:val="000000"/>
                <w:szCs w:val="20"/>
              </w:rPr>
              <w:t>﻿</w:t>
            </w:r>
          </w:p>
        </w:tc>
        <w:tc>
          <w:tcPr>
            <w:tcW w:w="2405" w:type="dxa"/>
            <w:tcBorders/>
            <w:shd w:fill="auto" w:val="clear"/>
          </w:tcPr>
          <w:p>
            <w:pPr>
              <w:pStyle w:val="TableContents"/>
              <w:spacing w:lineRule="auto" w:line="240" w:before="0" w:after="0"/>
              <w:ind w:left="0" w:right="0" w:hanging="0"/>
              <w:rPr>
                <w:rFonts w:ascii="Times New Roman" w:hAnsi="Times New Roman"/>
                <w:color w:val="000000"/>
                <w:sz w:val="20"/>
              </w:rPr>
            </w:pPr>
            <w:r>
              <w:rPr>
                <w:rFonts w:ascii="Times New Roman" w:hAnsi="Times New Roman"/>
                <w:color w:val="000000"/>
                <w:sz w:val="20"/>
              </w:rPr>
              <w:t>Cabell H. Lolmaugh</w:t>
            </w:r>
          </w:p>
        </w:tc>
      </w:tr>
      <w:tr>
        <w:trPr/>
        <w:tc>
          <w:tcPr>
            <w:tcW w:w="1550" w:type="dxa"/>
            <w:tcBorders/>
            <w:shd w:fill="auto" w:val="clear"/>
          </w:tcPr>
          <w:p>
            <w:pPr>
              <w:pStyle w:val="TableContents"/>
              <w:spacing w:lineRule="auto" w:line="240" w:before="0" w:after="0"/>
              <w:ind w:left="0" w:right="0" w:hanging="0"/>
              <w:rPr>
                <w:rFonts w:cs="Times New Roman"/>
                <w:color w:val="000000"/>
                <w:szCs w:val="20"/>
              </w:rPr>
            </w:pPr>
            <w:r>
              <w:rPr>
                <w:rFonts w:cs="Times New Roman"/>
                <w:color w:val="000000"/>
                <w:szCs w:val="20"/>
              </w:rPr>
              <w:t>﻿</w:t>
            </w:r>
          </w:p>
        </w:tc>
        <w:tc>
          <w:tcPr>
            <w:tcW w:w="2405" w:type="dxa"/>
            <w:tcBorders/>
            <w:shd w:fill="auto" w:val="clear"/>
          </w:tcPr>
          <w:p>
            <w:pPr>
              <w:pStyle w:val="TableContents"/>
              <w:spacing w:lineRule="auto" w:line="240" w:before="0" w:after="0"/>
              <w:ind w:left="0" w:right="0" w:hanging="0"/>
              <w:rPr>
                <w:rFonts w:ascii="Times New Roman" w:hAnsi="Times New Roman"/>
                <w:i/>
                <w:color w:val="000000"/>
                <w:sz w:val="20"/>
              </w:rPr>
            </w:pPr>
            <w:r>
              <w:rPr>
                <w:rFonts w:ascii="Times New Roman" w:hAnsi="Times New Roman"/>
                <w:i/>
                <w:color w:val="000000"/>
                <w:sz w:val="20"/>
              </w:rPr>
              <w:t>Chief Executive Officer</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ind w:left="1440" w:right="1440" w:hanging="0"/>
        <w:rPr/>
      </w:pPr>
      <w:r>
        <w:rPr/>
      </w:r>
      <w:r>
        <w:br w:type="page"/>
      </w:r>
    </w:p>
    <w:p>
      <w:pPr>
        <w:pStyle w:val="TextBody"/>
        <w:spacing w:lineRule="auto" w:line="240" w:before="0" w:after="0"/>
        <w:ind w:left="1440" w:right="1440" w:hanging="0"/>
        <w:jc w:val="right"/>
        <w:rPr>
          <w:rFonts w:ascii="Times New Roman" w:hAnsi="Times New Roman"/>
          <w:sz w:val="20"/>
        </w:rPr>
      </w:pPr>
      <w:bookmarkStart w:id="39" w:name="ttsh-20230331xex31_2.htm"/>
      <w:bookmarkStart w:id="40" w:name="ksttsh20230331xex31_2"/>
      <w:bookmarkEnd w:id="39"/>
      <w:bookmarkEnd w:id="40"/>
      <w:r>
        <w:rPr>
          <w:rFonts w:ascii="Times New Roman" w:hAnsi="Times New Roman"/>
          <w:b/>
          <w:sz w:val="20"/>
        </w:rPr>
        <w:t>EXHIBIT 31.2</w:t>
      </w:r>
      <w:r>
        <w:rPr>
          <w:rFonts w:ascii="Times New Roman" w:hAnsi="Times New Roman"/>
          <w:sz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hanging="0"/>
        <w:jc w:val="center"/>
        <w:rPr>
          <w:rFonts w:ascii="Times New Roman" w:hAnsi="Times New Roman"/>
          <w:sz w:val="20"/>
        </w:rPr>
      </w:pPr>
      <w:r>
        <w:rPr>
          <w:rFonts w:ascii="Times New Roman" w:hAnsi="Times New Roman"/>
          <w:b/>
          <w:sz w:val="20"/>
        </w:rPr>
        <w:t>302 CERTIFICATION OF CHIEF FINANCIAL OFFICER</w:t>
      </w:r>
      <w:r>
        <w:rPr>
          <w:rFonts w:ascii="Times New Roman" w:hAnsi="Times New Roman"/>
          <w:sz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hanging="0"/>
        <w:rPr>
          <w:rFonts w:ascii="Times New Roman" w:hAnsi="Times New Roman"/>
          <w:sz w:val="20"/>
        </w:rPr>
      </w:pPr>
      <w:r>
        <w:rPr>
          <w:rFonts w:ascii="Times New Roman" w:hAnsi="Times New Roman"/>
          <w:sz w:val="20"/>
        </w:rPr>
        <w:t xml:space="preserve">I, Karla Lunan, certify that: </w:t>
      </w:r>
    </w:p>
    <w:p>
      <w:pPr>
        <w:pStyle w:val="TextBody"/>
        <w:spacing w:lineRule="auto" w:line="240" w:before="0" w:after="0"/>
        <w:ind w:left="1440" w:right="1440" w:hanging="0"/>
        <w:rPr>
          <w:rFonts w:cs="Times New Roman"/>
          <w:szCs w:val="20"/>
        </w:rPr>
      </w:pPr>
      <w:r>
        <w:rPr>
          <w:rFonts w:cs="Times New Roman"/>
          <w:szCs w:val="20"/>
        </w:rPr>
        <w:t xml:space="preserve">﻿ </w:t>
      </w:r>
    </w:p>
    <w:tbl>
      <w:tblPr>
        <w:tblW w:w="6701" w:type="dxa"/>
        <w:jc w:val="left"/>
        <w:tblInd w:w="1440" w:type="dxa"/>
        <w:tblCellMar>
          <w:top w:w="0" w:type="dxa"/>
          <w:left w:w="0" w:type="dxa"/>
          <w:bottom w:w="0" w:type="dxa"/>
          <w:right w:w="0" w:type="dxa"/>
        </w:tblCellMar>
      </w:tblPr>
      <w:tblGrid>
        <w:gridCol w:w="38"/>
        <w:gridCol w:w="215"/>
        <w:gridCol w:w="23"/>
        <w:gridCol w:w="6425"/>
      </w:tblGrid>
      <w:tr>
        <w:trPr/>
        <w:tc>
          <w:tcPr>
            <w:tcW w:w="3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1. </w:t>
            </w:r>
          </w:p>
        </w:tc>
        <w:tc>
          <w:tcPr>
            <w:tcW w:w="23" w:type="dxa"/>
            <w:tcBorders/>
            <w:shd w:fill="auto" w:val="clear"/>
            <w:vAlign w:val="center"/>
          </w:tcPr>
          <w:p>
            <w:pPr>
              <w:pStyle w:val="TableContents"/>
              <w:spacing w:before="0" w:after="283"/>
              <w:rPr>
                <w:sz w:val="4"/>
                <w:szCs w:val="4"/>
              </w:rPr>
            </w:pPr>
            <w:r>
              <w:rPr>
                <w:sz w:val="4"/>
                <w:szCs w:val="4"/>
              </w:rPr>
            </w:r>
          </w:p>
        </w:tc>
        <w:tc>
          <w:tcPr>
            <w:tcW w:w="6425"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I have reviewed this quarterly report on Form 10-Q of Tile Shop Holdings, Inc.;</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48"/>
        <w:gridCol w:w="23"/>
        <w:gridCol w:w="7116"/>
      </w:tblGrid>
      <w:tr>
        <w:trPr/>
        <w:tc>
          <w:tcPr>
            <w:tcW w:w="3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2. </w:t>
            </w:r>
          </w:p>
        </w:tc>
        <w:tc>
          <w:tcPr>
            <w:tcW w:w="23" w:type="dxa"/>
            <w:tcBorders/>
            <w:shd w:fill="auto" w:val="clear"/>
            <w:vAlign w:val="center"/>
          </w:tcPr>
          <w:p>
            <w:pPr>
              <w:pStyle w:val="TableContents"/>
              <w:spacing w:before="0" w:after="283"/>
              <w:rPr>
                <w:sz w:val="4"/>
                <w:szCs w:val="4"/>
              </w:rPr>
            </w:pPr>
            <w:r>
              <w:rPr>
                <w:sz w:val="4"/>
                <w:szCs w:val="4"/>
              </w:rPr>
            </w:r>
          </w:p>
        </w:tc>
        <w:tc>
          <w:tcPr>
            <w:tcW w:w="7116"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1"/>
        <w:gridCol w:w="23"/>
        <w:gridCol w:w="7113"/>
      </w:tblGrid>
      <w:tr>
        <w:trPr/>
        <w:tc>
          <w:tcPr>
            <w:tcW w:w="3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3. </w:t>
            </w:r>
          </w:p>
        </w:tc>
        <w:tc>
          <w:tcPr>
            <w:tcW w:w="23" w:type="dxa"/>
            <w:tcBorders/>
            <w:shd w:fill="auto" w:val="clear"/>
            <w:vAlign w:val="center"/>
          </w:tcPr>
          <w:p>
            <w:pPr>
              <w:pStyle w:val="TableContents"/>
              <w:spacing w:before="0" w:after="283"/>
              <w:rPr>
                <w:sz w:val="4"/>
                <w:szCs w:val="4"/>
              </w:rPr>
            </w:pPr>
            <w:r>
              <w:rPr>
                <w:sz w:val="4"/>
                <w:szCs w:val="4"/>
              </w:rPr>
            </w:r>
          </w:p>
        </w:tc>
        <w:tc>
          <w:tcPr>
            <w:tcW w:w="7113"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46"/>
        <w:gridCol w:w="23"/>
        <w:gridCol w:w="7118"/>
      </w:tblGrid>
      <w:tr>
        <w:trPr/>
        <w:tc>
          <w:tcPr>
            <w:tcW w:w="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4. </w:t>
            </w:r>
          </w:p>
        </w:tc>
        <w:tc>
          <w:tcPr>
            <w:tcW w:w="23" w:type="dxa"/>
            <w:tcBorders/>
            <w:shd w:fill="auto" w:val="clear"/>
            <w:vAlign w:val="center"/>
          </w:tcPr>
          <w:p>
            <w:pPr>
              <w:pStyle w:val="TableContents"/>
              <w:spacing w:before="0" w:after="283"/>
              <w:rPr>
                <w:sz w:val="4"/>
                <w:szCs w:val="4"/>
              </w:rPr>
            </w:pPr>
            <w:r>
              <w:rPr>
                <w:sz w:val="4"/>
                <w:szCs w:val="4"/>
              </w:rPr>
            </w:r>
          </w:p>
        </w:tc>
        <w:tc>
          <w:tcPr>
            <w:tcW w:w="7118"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tc>
      </w:tr>
    </w:tbl>
    <w:p>
      <w:pPr>
        <w:pStyle w:val="TextBody"/>
        <w:spacing w:lineRule="auto" w:line="240" w:before="0" w:after="0"/>
        <w:ind w:left="1440" w:right="1440" w:hanging="0"/>
        <w:rPr/>
      </w:pPr>
      <w:r>
        <w:rPr>
          <w:color w:val="000000"/>
        </w:rPr>
        <w:t> </w:t>
      </w:r>
      <w:r>
        <w:rPr/>
        <w:t xml:space="preserve"> </w:t>
      </w:r>
    </w:p>
    <w:tbl>
      <w:tblPr>
        <w:tblW w:w="7325" w:type="dxa"/>
        <w:jc w:val="left"/>
        <w:tblInd w:w="1440" w:type="dxa"/>
        <w:tblCellMar>
          <w:top w:w="0" w:type="dxa"/>
          <w:left w:w="0" w:type="dxa"/>
          <w:bottom w:w="0" w:type="dxa"/>
          <w:right w:w="0" w:type="dxa"/>
        </w:tblCellMar>
      </w:tblPr>
      <w:tblGrid>
        <w:gridCol w:w="38"/>
        <w:gridCol w:w="164"/>
        <w:gridCol w:w="23"/>
        <w:gridCol w:w="7100"/>
      </w:tblGrid>
      <w:tr>
        <w:trPr/>
        <w:tc>
          <w:tcPr>
            <w:tcW w:w="3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shd w:fill="auto" w:val="clear"/>
            <w:vAlign w:val="center"/>
          </w:tcPr>
          <w:p>
            <w:pPr>
              <w:pStyle w:val="TableContents"/>
              <w:spacing w:before="0" w:after="283"/>
              <w:rPr>
                <w:sz w:val="4"/>
                <w:szCs w:val="4"/>
              </w:rPr>
            </w:pPr>
            <w:r>
              <w:rPr>
                <w:sz w:val="4"/>
                <w:szCs w:val="4"/>
              </w:rPr>
            </w:r>
          </w:p>
        </w:tc>
        <w:tc>
          <w:tcPr>
            <w:tcW w:w="7100"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79"/>
        <w:gridCol w:w="23"/>
        <w:gridCol w:w="7085"/>
      </w:tblGrid>
      <w:tr>
        <w:trPr/>
        <w:tc>
          <w:tcPr>
            <w:tcW w:w="3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shd w:fill="auto" w:val="clear"/>
            <w:vAlign w:val="center"/>
          </w:tcPr>
          <w:p>
            <w:pPr>
              <w:pStyle w:val="TableContents"/>
              <w:spacing w:before="0" w:after="283"/>
              <w:rPr>
                <w:sz w:val="4"/>
                <w:szCs w:val="4"/>
              </w:rPr>
            </w:pPr>
            <w:r>
              <w:rPr>
                <w:sz w:val="4"/>
                <w:szCs w:val="4"/>
              </w:rPr>
            </w:r>
          </w:p>
        </w:tc>
        <w:tc>
          <w:tcPr>
            <w:tcW w:w="7085"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67"/>
        <w:gridCol w:w="23"/>
        <w:gridCol w:w="7097"/>
      </w:tblGrid>
      <w:tr>
        <w:trPr/>
        <w:tc>
          <w:tcPr>
            <w:tcW w:w="3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c. </w:t>
            </w:r>
          </w:p>
        </w:tc>
        <w:tc>
          <w:tcPr>
            <w:tcW w:w="23" w:type="dxa"/>
            <w:tcBorders/>
            <w:shd w:fill="auto" w:val="clear"/>
            <w:vAlign w:val="center"/>
          </w:tcPr>
          <w:p>
            <w:pPr>
              <w:pStyle w:val="TableContents"/>
              <w:spacing w:before="0" w:after="283"/>
              <w:rPr>
                <w:sz w:val="4"/>
                <w:szCs w:val="4"/>
              </w:rPr>
            </w:pPr>
            <w:r>
              <w:rPr>
                <w:sz w:val="4"/>
                <w:szCs w:val="4"/>
              </w:rPr>
            </w:r>
          </w:p>
        </w:tc>
        <w:tc>
          <w:tcPr>
            <w:tcW w:w="7097"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79"/>
        <w:gridCol w:w="23"/>
        <w:gridCol w:w="7085"/>
      </w:tblGrid>
      <w:tr>
        <w:trPr/>
        <w:tc>
          <w:tcPr>
            <w:tcW w:w="3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d. </w:t>
            </w:r>
          </w:p>
        </w:tc>
        <w:tc>
          <w:tcPr>
            <w:tcW w:w="23" w:type="dxa"/>
            <w:tcBorders/>
            <w:shd w:fill="auto" w:val="clear"/>
            <w:vAlign w:val="center"/>
          </w:tcPr>
          <w:p>
            <w:pPr>
              <w:pStyle w:val="TableContents"/>
              <w:spacing w:before="0" w:after="283"/>
              <w:rPr>
                <w:sz w:val="4"/>
                <w:szCs w:val="4"/>
              </w:rPr>
            </w:pPr>
            <w:r>
              <w:rPr>
                <w:sz w:val="4"/>
                <w:szCs w:val="4"/>
              </w:rPr>
            </w:r>
          </w:p>
        </w:tc>
        <w:tc>
          <w:tcPr>
            <w:tcW w:w="7085"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50"/>
        <w:gridCol w:w="23"/>
        <w:gridCol w:w="7114"/>
      </w:tblGrid>
      <w:tr>
        <w:trPr/>
        <w:tc>
          <w:tcPr>
            <w:tcW w:w="3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5. </w:t>
            </w:r>
          </w:p>
        </w:tc>
        <w:tc>
          <w:tcPr>
            <w:tcW w:w="23" w:type="dxa"/>
            <w:tcBorders/>
            <w:shd w:fill="auto" w:val="clear"/>
            <w:vAlign w:val="center"/>
          </w:tcPr>
          <w:p>
            <w:pPr>
              <w:pStyle w:val="TableContents"/>
              <w:spacing w:before="0" w:after="283"/>
              <w:rPr>
                <w:sz w:val="4"/>
                <w:szCs w:val="4"/>
              </w:rPr>
            </w:pPr>
            <w:r>
              <w:rPr>
                <w:sz w:val="4"/>
                <w:szCs w:val="4"/>
              </w:rPr>
            </w:r>
          </w:p>
        </w:tc>
        <w:tc>
          <w:tcPr>
            <w:tcW w:w="7114"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7325" w:type="dxa"/>
        <w:jc w:val="left"/>
        <w:tblInd w:w="1440" w:type="dxa"/>
        <w:tblCellMar>
          <w:top w:w="0" w:type="dxa"/>
          <w:left w:w="0" w:type="dxa"/>
          <w:bottom w:w="0" w:type="dxa"/>
          <w:right w:w="0" w:type="dxa"/>
        </w:tblCellMar>
      </w:tblPr>
      <w:tblGrid>
        <w:gridCol w:w="38"/>
        <w:gridCol w:w="168"/>
        <w:gridCol w:w="23"/>
        <w:gridCol w:w="7096"/>
      </w:tblGrid>
      <w:tr>
        <w:trPr/>
        <w:tc>
          <w:tcPr>
            <w:tcW w:w="3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a. </w:t>
            </w:r>
          </w:p>
        </w:tc>
        <w:tc>
          <w:tcPr>
            <w:tcW w:w="23" w:type="dxa"/>
            <w:tcBorders/>
            <w:shd w:fill="auto" w:val="clear"/>
            <w:vAlign w:val="center"/>
          </w:tcPr>
          <w:p>
            <w:pPr>
              <w:pStyle w:val="TableContents"/>
              <w:spacing w:before="0" w:after="283"/>
              <w:rPr>
                <w:sz w:val="4"/>
                <w:szCs w:val="4"/>
              </w:rPr>
            </w:pPr>
            <w:r>
              <w:rPr>
                <w:sz w:val="4"/>
                <w:szCs w:val="4"/>
              </w:rPr>
            </w:r>
          </w:p>
        </w:tc>
        <w:tc>
          <w:tcPr>
            <w:tcW w:w="7096"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240" w:before="0" w:after="0"/>
        <w:ind w:left="1440" w:right="1440" w:hanging="0"/>
        <w:rPr/>
      </w:pPr>
      <w:r>
        <w:rPr>
          <w:color w:val="000000"/>
        </w:rPr>
        <w:t> </w:t>
      </w:r>
      <w:r>
        <w:rPr/>
        <w:t xml:space="preserve"> </w:t>
      </w:r>
    </w:p>
    <w:tbl>
      <w:tblPr>
        <w:tblW w:w="7325" w:type="dxa"/>
        <w:jc w:val="left"/>
        <w:tblInd w:w="1440" w:type="dxa"/>
        <w:tblCellMar>
          <w:top w:w="0" w:type="dxa"/>
          <w:left w:w="0" w:type="dxa"/>
          <w:bottom w:w="0" w:type="dxa"/>
          <w:right w:w="0" w:type="dxa"/>
        </w:tblCellMar>
      </w:tblPr>
      <w:tblGrid>
        <w:gridCol w:w="38"/>
        <w:gridCol w:w="191"/>
        <w:gridCol w:w="23"/>
        <w:gridCol w:w="7073"/>
      </w:tblGrid>
      <w:tr>
        <w:trPr/>
        <w:tc>
          <w:tcPr>
            <w:tcW w:w="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tcPr>
          <w:p>
            <w:pPr>
              <w:pStyle w:val="TableContents"/>
              <w:spacing w:lineRule="auto" w:line="240" w:before="0" w:after="0"/>
              <w:ind w:left="0" w:right="0" w:hanging="0"/>
              <w:jc w:val="left"/>
              <w:rPr>
                <w:rFonts w:ascii="Times New Roman" w:hAnsi="Times New Roman"/>
                <w:sz w:val="20"/>
              </w:rPr>
            </w:pPr>
            <w:r>
              <w:rPr>
                <w:rFonts w:ascii="Times New Roman" w:hAnsi="Times New Roman"/>
                <w:sz w:val="20"/>
              </w:rPr>
              <w:t xml:space="preserve">b. </w:t>
            </w:r>
          </w:p>
        </w:tc>
        <w:tc>
          <w:tcPr>
            <w:tcW w:w="23" w:type="dxa"/>
            <w:tcBorders/>
            <w:shd w:fill="auto" w:val="clear"/>
            <w:vAlign w:val="center"/>
          </w:tcPr>
          <w:p>
            <w:pPr>
              <w:pStyle w:val="TableContents"/>
              <w:spacing w:before="0" w:after="283"/>
              <w:rPr>
                <w:sz w:val="4"/>
                <w:szCs w:val="4"/>
              </w:rPr>
            </w:pPr>
            <w:r>
              <w:rPr>
                <w:sz w:val="4"/>
                <w:szCs w:val="4"/>
              </w:rPr>
            </w:r>
          </w:p>
        </w:tc>
        <w:tc>
          <w:tcPr>
            <w:tcW w:w="7073" w:type="dxa"/>
            <w:tcBorders/>
            <w:shd w:fill="auto" w:val="clear"/>
          </w:tcPr>
          <w:p>
            <w:pPr>
              <w:pStyle w:val="TableContents"/>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tbl>
      <w:tblPr>
        <w:tblW w:w="3505" w:type="dxa"/>
        <w:jc w:val="left"/>
        <w:tblInd w:w="1440" w:type="dxa"/>
        <w:tblCellMar>
          <w:top w:w="0" w:type="dxa"/>
          <w:left w:w="0" w:type="dxa"/>
          <w:bottom w:w="0" w:type="dxa"/>
          <w:right w:w="0" w:type="dxa"/>
        </w:tblCellMar>
      </w:tblPr>
      <w:tblGrid>
        <w:gridCol w:w="1550"/>
        <w:gridCol w:w="1955"/>
      </w:tblGrid>
      <w:tr>
        <w:trPr/>
        <w:tc>
          <w:tcPr>
            <w:tcW w:w="1550" w:type="dxa"/>
            <w:tcBorders/>
            <w:shd w:fill="auto" w:val="clear"/>
          </w:tcPr>
          <w:p>
            <w:pPr>
              <w:pStyle w:val="TableContents"/>
              <w:spacing w:lineRule="auto" w:line="240" w:before="0" w:after="0"/>
              <w:ind w:left="0" w:right="0" w:hanging="0"/>
              <w:rPr>
                <w:rFonts w:cs="Times New Roman"/>
                <w:color w:val="000000"/>
                <w:szCs w:val="2"/>
              </w:rPr>
            </w:pPr>
            <w:r>
              <w:rPr>
                <w:rFonts w:cs="Times New Roman"/>
                <w:color w:val="000000"/>
                <w:szCs w:val="2"/>
              </w:rPr>
              <w:t>﻿</w:t>
            </w:r>
          </w:p>
        </w:tc>
        <w:tc>
          <w:tcPr>
            <w:tcW w:w="1955" w:type="dxa"/>
            <w:tcBorders/>
            <w:shd w:fill="auto" w:val="clear"/>
          </w:tcPr>
          <w:p>
            <w:pPr>
              <w:pStyle w:val="TableContents"/>
              <w:spacing w:lineRule="auto" w:line="240" w:before="0" w:after="0"/>
              <w:ind w:left="0" w:right="0" w:hanging="0"/>
              <w:rPr/>
            </w:pPr>
            <w:r>
              <w:rPr/>
              <w:t> </w:t>
            </w:r>
          </w:p>
        </w:tc>
      </w:tr>
      <w:tr>
        <w:trPr/>
        <w:tc>
          <w:tcPr>
            <w:tcW w:w="1550" w:type="dxa"/>
            <w:tcBorders/>
            <w:shd w:fill="auto" w:val="clear"/>
          </w:tcPr>
          <w:p>
            <w:pPr>
              <w:pStyle w:val="TableContents"/>
              <w:spacing w:lineRule="auto" w:line="240" w:before="0" w:after="0"/>
              <w:ind w:left="0" w:right="0" w:hanging="0"/>
              <w:rPr>
                <w:rFonts w:ascii="Times New Roman" w:hAnsi="Times New Roman"/>
                <w:color w:val="000000"/>
                <w:sz w:val="20"/>
              </w:rPr>
            </w:pPr>
            <w:r>
              <w:rPr>
                <w:rFonts w:ascii="Times New Roman" w:hAnsi="Times New Roman"/>
                <w:color w:val="000000"/>
                <w:sz w:val="20"/>
              </w:rPr>
              <w:t>Date: May 4, 2023</w:t>
            </w:r>
          </w:p>
        </w:tc>
        <w:tc>
          <w:tcPr>
            <w:tcW w:w="1955" w:type="dxa"/>
            <w:tcBorders>
              <w:bottom w:val="single" w:sz="8" w:space="0" w:color="000000"/>
            </w:tcBorders>
            <w:shd w:fill="auto" w:val="clear"/>
            <w:tcMar>
              <w:bottom w:w="28" w:type="dxa"/>
            </w:tcMar>
          </w:tcPr>
          <w:p>
            <w:pPr>
              <w:pStyle w:val="TableContents"/>
              <w:spacing w:lineRule="auto" w:line="240" w:before="0" w:after="0"/>
              <w:ind w:left="0" w:right="0" w:hanging="0"/>
              <w:rPr>
                <w:rFonts w:ascii="Times New Roman" w:hAnsi="Times New Roman"/>
                <w:color w:val="000000"/>
                <w:sz w:val="20"/>
              </w:rPr>
            </w:pPr>
            <w:r>
              <w:rPr>
                <w:rFonts w:ascii="Times New Roman" w:hAnsi="Times New Roman"/>
                <w:color w:val="000000"/>
                <w:sz w:val="20"/>
              </w:rPr>
              <w:t>/s/ Karla Lunan</w:t>
            </w:r>
          </w:p>
        </w:tc>
      </w:tr>
      <w:tr>
        <w:trPr/>
        <w:tc>
          <w:tcPr>
            <w:tcW w:w="1550" w:type="dxa"/>
            <w:tcBorders/>
            <w:shd w:fill="auto" w:val="clear"/>
          </w:tcPr>
          <w:p>
            <w:pPr>
              <w:pStyle w:val="TableContents"/>
              <w:spacing w:lineRule="auto" w:line="240" w:before="0" w:after="0"/>
              <w:ind w:left="0" w:right="0" w:hanging="0"/>
              <w:rPr>
                <w:rFonts w:cs="Times New Roman"/>
                <w:color w:val="000000"/>
                <w:szCs w:val="20"/>
              </w:rPr>
            </w:pPr>
            <w:r>
              <w:rPr>
                <w:rFonts w:cs="Times New Roman"/>
                <w:color w:val="000000"/>
                <w:szCs w:val="20"/>
              </w:rPr>
              <w:t>﻿</w:t>
            </w:r>
          </w:p>
        </w:tc>
        <w:tc>
          <w:tcPr>
            <w:tcW w:w="1955" w:type="dxa"/>
            <w:tcBorders>
              <w:top w:val="single" w:sz="8" w:space="0" w:color="000000"/>
            </w:tcBorders>
            <w:shd w:fill="auto" w:val="clear"/>
            <w:tcMar>
              <w:top w:w="28" w:type="dxa"/>
            </w:tcMar>
          </w:tcPr>
          <w:p>
            <w:pPr>
              <w:pStyle w:val="TableContents"/>
              <w:spacing w:lineRule="auto" w:line="240" w:before="0" w:after="0"/>
              <w:ind w:left="0" w:right="0" w:hanging="0"/>
              <w:rPr/>
            </w:pPr>
            <w:r>
              <w:rPr/>
              <w:t> </w:t>
            </w:r>
          </w:p>
        </w:tc>
      </w:tr>
      <w:tr>
        <w:trPr/>
        <w:tc>
          <w:tcPr>
            <w:tcW w:w="1550" w:type="dxa"/>
            <w:tcBorders/>
            <w:shd w:fill="auto" w:val="clear"/>
          </w:tcPr>
          <w:p>
            <w:pPr>
              <w:pStyle w:val="TableContents"/>
              <w:spacing w:lineRule="auto" w:line="240" w:before="0" w:after="0"/>
              <w:ind w:left="0" w:right="0" w:hanging="0"/>
              <w:rPr>
                <w:rFonts w:cs="Times New Roman"/>
                <w:color w:val="000000"/>
                <w:szCs w:val="20"/>
              </w:rPr>
            </w:pPr>
            <w:r>
              <w:rPr>
                <w:rFonts w:cs="Times New Roman"/>
                <w:color w:val="000000"/>
                <w:szCs w:val="20"/>
              </w:rPr>
              <w:t>﻿</w:t>
            </w:r>
          </w:p>
        </w:tc>
        <w:tc>
          <w:tcPr>
            <w:tcW w:w="1955" w:type="dxa"/>
            <w:tcBorders/>
            <w:shd w:fill="auto" w:val="clear"/>
          </w:tcPr>
          <w:p>
            <w:pPr>
              <w:pStyle w:val="TableContents"/>
              <w:spacing w:lineRule="auto" w:line="240" w:before="0" w:after="0"/>
              <w:ind w:left="0" w:right="0" w:hanging="0"/>
              <w:rPr>
                <w:rFonts w:ascii="Times New Roman" w:hAnsi="Times New Roman"/>
                <w:color w:val="000000"/>
                <w:sz w:val="20"/>
              </w:rPr>
            </w:pPr>
            <w:r>
              <w:rPr>
                <w:rFonts w:ascii="Times New Roman" w:hAnsi="Times New Roman"/>
                <w:color w:val="000000"/>
                <w:sz w:val="20"/>
              </w:rPr>
              <w:t>Karla Lunan,</w:t>
            </w:r>
          </w:p>
        </w:tc>
      </w:tr>
      <w:tr>
        <w:trPr/>
        <w:tc>
          <w:tcPr>
            <w:tcW w:w="1550" w:type="dxa"/>
            <w:tcBorders/>
            <w:shd w:fill="auto" w:val="clear"/>
          </w:tcPr>
          <w:p>
            <w:pPr>
              <w:pStyle w:val="TableContents"/>
              <w:spacing w:lineRule="auto" w:line="240" w:before="0" w:after="0"/>
              <w:ind w:left="0" w:right="0" w:hanging="0"/>
              <w:rPr>
                <w:rFonts w:cs="Times New Roman"/>
                <w:iCs/>
                <w:color w:val="000000"/>
                <w:szCs w:val="20"/>
              </w:rPr>
            </w:pPr>
            <w:r>
              <w:rPr>
                <w:rFonts w:cs="Times New Roman"/>
                <w:iCs/>
                <w:color w:val="000000"/>
                <w:szCs w:val="20"/>
              </w:rPr>
              <w:t>﻿</w:t>
            </w:r>
          </w:p>
        </w:tc>
        <w:tc>
          <w:tcPr>
            <w:tcW w:w="1955" w:type="dxa"/>
            <w:tcBorders/>
            <w:shd w:fill="auto" w:val="clear"/>
          </w:tcPr>
          <w:p>
            <w:pPr>
              <w:pStyle w:val="TableContents"/>
              <w:spacing w:lineRule="auto" w:line="240" w:before="0" w:after="0"/>
              <w:ind w:left="0" w:right="0" w:hanging="0"/>
              <w:rPr>
                <w:rFonts w:ascii="Times New Roman" w:hAnsi="Times New Roman"/>
                <w:i/>
                <w:color w:val="000000"/>
                <w:sz w:val="20"/>
              </w:rPr>
            </w:pPr>
            <w:r>
              <w:rPr>
                <w:rFonts w:ascii="Times New Roman" w:hAnsi="Times New Roman"/>
                <w:i/>
                <w:color w:val="000000"/>
                <w:sz w:val="20"/>
              </w:rPr>
              <w:t>Chief Financial Officer</w:t>
            </w:r>
          </w:p>
        </w:tc>
      </w:tr>
    </w:tbl>
    <w:p>
      <w:pPr>
        <w:pStyle w:val="TextBody"/>
        <w:spacing w:lineRule="auto" w:line="240" w:before="0" w:after="0"/>
        <w:ind w:left="1440" w:right="1440" w:hanging="0"/>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ind w:left="1440" w:right="1440" w:hanging="0"/>
        <w:rPr/>
      </w:pPr>
      <w:r>
        <w:rPr/>
      </w:r>
      <w:r>
        <w:br w:type="page"/>
      </w:r>
    </w:p>
    <w:p>
      <w:pPr>
        <w:pStyle w:val="TextBody"/>
        <w:spacing w:lineRule="auto" w:line="240" w:before="0" w:after="0"/>
        <w:ind w:left="1440" w:right="1440" w:hanging="0"/>
        <w:jc w:val="right"/>
        <w:rPr>
          <w:rFonts w:ascii="Times New Roman" w:hAnsi="Times New Roman"/>
          <w:sz w:val="20"/>
        </w:rPr>
      </w:pPr>
      <w:bookmarkStart w:id="41" w:name="ttsh-20230331xex32_1.htm"/>
      <w:bookmarkStart w:id="42" w:name="ksttsh20230331xex32_1"/>
      <w:bookmarkEnd w:id="41"/>
      <w:bookmarkEnd w:id="42"/>
      <w:r>
        <w:rPr>
          <w:rFonts w:ascii="Times New Roman" w:hAnsi="Times New Roman"/>
          <w:b/>
          <w:sz w:val="20"/>
        </w:rPr>
        <w:t>Exhibit 32.1</w:t>
      </w:r>
      <w:r>
        <w:rPr>
          <w:rFonts w:ascii="Times New Roman" w:hAnsi="Times New Roman"/>
          <w:sz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firstLine="720"/>
        <w:rPr>
          <w:rFonts w:ascii="Times New Roman" w:hAnsi="Times New Roman"/>
          <w:sz w:val="20"/>
        </w:rPr>
      </w:pPr>
      <w:r>
        <w:rPr>
          <w:rFonts w:ascii="Times New Roman" w:hAnsi="Times New Roman"/>
          <w:sz w:val="20"/>
        </w:rPr>
        <w:t xml:space="preserve">Pursuant to 18 U.S.C. §1350 (as adopted pursuant to §906 of the Sarbanes-Oxley Act of 2002), I, Cabell H. Lolmaugh, the Chief Executive Officer of Tile Shop Holdings, Inc. (the “Company”), hereby certify that the Quarterly Report on Form 10-Q of the Company for the period ended March 31, 2023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firstLine="720"/>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spacing w:lineRule="auto" w:line="240" w:before="0" w:after="0"/>
        <w:ind w:left="1440" w:right="1440" w:hanging="0"/>
        <w:rPr>
          <w:rFonts w:cs="Times New Roman"/>
          <w:szCs w:val="20"/>
        </w:rPr>
      </w:pPr>
      <w:r>
        <w:rPr>
          <w:rFonts w:cs="Times New Roman"/>
          <w:szCs w:val="20"/>
        </w:rPr>
        <w:t xml:space="preserve">﻿ </w:t>
      </w:r>
    </w:p>
    <w:tbl>
      <w:tblPr>
        <w:tblW w:w="3955" w:type="dxa"/>
        <w:jc w:val="left"/>
        <w:tblInd w:w="1440" w:type="dxa"/>
        <w:tblCellMar>
          <w:top w:w="0" w:type="dxa"/>
          <w:left w:w="0" w:type="dxa"/>
          <w:bottom w:w="0" w:type="dxa"/>
          <w:right w:w="0" w:type="dxa"/>
        </w:tblCellMar>
      </w:tblPr>
      <w:tblGrid>
        <w:gridCol w:w="1550"/>
        <w:gridCol w:w="2405"/>
      </w:tblGrid>
      <w:tr>
        <w:trPr/>
        <w:tc>
          <w:tcPr>
            <w:tcW w:w="1550" w:type="dxa"/>
            <w:tcBorders/>
            <w:shd w:fill="auto" w:val="clear"/>
          </w:tcPr>
          <w:p>
            <w:pPr>
              <w:pStyle w:val="TableContents"/>
              <w:spacing w:lineRule="auto" w:line="240" w:before="0" w:after="0"/>
              <w:ind w:left="0" w:right="0" w:hanging="0"/>
              <w:rPr>
                <w:rFonts w:cs="Times New Roman"/>
                <w:szCs w:val="2"/>
              </w:rPr>
            </w:pPr>
            <w:r>
              <w:rPr>
                <w:rFonts w:cs="Times New Roman"/>
                <w:szCs w:val="2"/>
              </w:rPr>
              <w:t>﻿</w:t>
            </w:r>
          </w:p>
        </w:tc>
        <w:tc>
          <w:tcPr>
            <w:tcW w:w="2405" w:type="dxa"/>
            <w:tcBorders/>
            <w:shd w:fill="auto" w:val="clear"/>
          </w:tcPr>
          <w:p>
            <w:pPr>
              <w:pStyle w:val="TableContents"/>
              <w:spacing w:lineRule="auto" w:line="240" w:before="0" w:after="0"/>
              <w:ind w:left="0" w:right="0" w:hanging="0"/>
              <w:rPr/>
            </w:pPr>
            <w:r>
              <w:rPr/>
              <w:t> </w:t>
            </w:r>
          </w:p>
        </w:tc>
      </w:tr>
      <w:tr>
        <w:trPr/>
        <w:tc>
          <w:tcPr>
            <w:tcW w:w="1550" w:type="dxa"/>
            <w:tcBorders/>
            <w:shd w:fill="auto" w:val="clear"/>
          </w:tcPr>
          <w:p>
            <w:pPr>
              <w:pStyle w:val="TableContents"/>
              <w:spacing w:lineRule="auto" w:line="240" w:before="0" w:after="0"/>
              <w:ind w:left="0" w:right="0" w:hanging="0"/>
              <w:rPr>
                <w:rFonts w:ascii="Times New Roman" w:hAnsi="Times New Roman"/>
                <w:sz w:val="20"/>
              </w:rPr>
            </w:pPr>
            <w:r>
              <w:rPr>
                <w:rFonts w:ascii="Times New Roman" w:hAnsi="Times New Roman"/>
                <w:sz w:val="20"/>
              </w:rPr>
              <w:t>Date: May 4, 2023</w:t>
            </w:r>
          </w:p>
        </w:tc>
        <w:tc>
          <w:tcPr>
            <w:tcW w:w="2405" w:type="dxa"/>
            <w:tcBorders>
              <w:bottom w:val="single" w:sz="8" w:space="0" w:color="000000"/>
            </w:tcBorders>
            <w:shd w:fill="auto" w:val="clear"/>
            <w:tcMar>
              <w:bottom w:w="28" w:type="dxa"/>
            </w:tcMar>
          </w:tcPr>
          <w:p>
            <w:pPr>
              <w:pStyle w:val="TableContents"/>
              <w:spacing w:lineRule="auto" w:line="240" w:before="0" w:after="0"/>
              <w:ind w:left="0" w:right="0" w:hanging="0"/>
              <w:rPr>
                <w:rFonts w:ascii="Times New Roman" w:hAnsi="Times New Roman"/>
                <w:sz w:val="20"/>
              </w:rPr>
            </w:pPr>
            <w:r>
              <w:rPr>
                <w:rFonts w:ascii="Times New Roman" w:hAnsi="Times New Roman"/>
                <w:sz w:val="20"/>
              </w:rPr>
              <w:t>/s/ CABELL H. LOLMAUGH</w:t>
            </w:r>
          </w:p>
        </w:tc>
      </w:tr>
      <w:tr>
        <w:trPr/>
        <w:tc>
          <w:tcPr>
            <w:tcW w:w="1550" w:type="dxa"/>
            <w:tcBorders/>
            <w:shd w:fill="auto" w:val="clear"/>
          </w:tcPr>
          <w:p>
            <w:pPr>
              <w:pStyle w:val="TableContents"/>
              <w:spacing w:lineRule="auto" w:line="240" w:before="0" w:after="0"/>
              <w:ind w:left="0" w:right="0" w:hanging="0"/>
              <w:rPr>
                <w:rFonts w:cs="Times New Roman"/>
                <w:szCs w:val="20"/>
              </w:rPr>
            </w:pPr>
            <w:r>
              <w:rPr>
                <w:rFonts w:cs="Times New Roman"/>
                <w:szCs w:val="20"/>
              </w:rPr>
              <w:t>﻿</w:t>
            </w:r>
          </w:p>
        </w:tc>
        <w:tc>
          <w:tcPr>
            <w:tcW w:w="2405" w:type="dxa"/>
            <w:tcBorders>
              <w:top w:val="single" w:sz="8" w:space="0" w:color="000000"/>
            </w:tcBorders>
            <w:shd w:fill="auto" w:val="clear"/>
            <w:tcMar>
              <w:top w:w="28" w:type="dxa"/>
            </w:tcMar>
          </w:tcPr>
          <w:p>
            <w:pPr>
              <w:pStyle w:val="TableContents"/>
              <w:spacing w:lineRule="auto" w:line="240" w:before="0" w:after="0"/>
              <w:ind w:left="0" w:right="0" w:hanging="0"/>
              <w:rPr/>
            </w:pPr>
            <w:r>
              <w:rPr/>
              <w:t> </w:t>
            </w:r>
          </w:p>
        </w:tc>
      </w:tr>
      <w:tr>
        <w:trPr/>
        <w:tc>
          <w:tcPr>
            <w:tcW w:w="1550" w:type="dxa"/>
            <w:tcBorders/>
            <w:shd w:fill="auto" w:val="clear"/>
          </w:tcPr>
          <w:p>
            <w:pPr>
              <w:pStyle w:val="TableContents"/>
              <w:spacing w:lineRule="auto" w:line="240" w:before="0" w:after="0"/>
              <w:ind w:left="0" w:right="0" w:hanging="0"/>
              <w:rPr>
                <w:rFonts w:cs="Times New Roman"/>
                <w:szCs w:val="20"/>
              </w:rPr>
            </w:pPr>
            <w:r>
              <w:rPr>
                <w:rFonts w:cs="Times New Roman"/>
                <w:szCs w:val="20"/>
              </w:rPr>
              <w:t>﻿</w:t>
            </w:r>
          </w:p>
        </w:tc>
        <w:tc>
          <w:tcPr>
            <w:tcW w:w="2405" w:type="dxa"/>
            <w:tcBorders/>
            <w:shd w:fill="auto" w:val="clear"/>
          </w:tcPr>
          <w:p>
            <w:pPr>
              <w:pStyle w:val="TableContents"/>
              <w:spacing w:lineRule="auto" w:line="240" w:before="0" w:after="0"/>
              <w:ind w:left="0" w:right="0" w:hanging="0"/>
              <w:rPr>
                <w:rFonts w:ascii="Times New Roman" w:hAnsi="Times New Roman"/>
                <w:sz w:val="20"/>
              </w:rPr>
            </w:pPr>
            <w:r>
              <w:rPr>
                <w:rFonts w:ascii="Times New Roman" w:hAnsi="Times New Roman"/>
                <w:sz w:val="20"/>
              </w:rPr>
              <w:t>Cabell H. Lolmaugh</w:t>
            </w:r>
          </w:p>
        </w:tc>
      </w:tr>
      <w:tr>
        <w:trPr/>
        <w:tc>
          <w:tcPr>
            <w:tcW w:w="1550" w:type="dxa"/>
            <w:tcBorders/>
            <w:shd w:fill="auto" w:val="clear"/>
          </w:tcPr>
          <w:p>
            <w:pPr>
              <w:pStyle w:val="TableContents"/>
              <w:spacing w:lineRule="auto" w:line="240" w:before="0" w:after="0"/>
              <w:ind w:left="0" w:right="0" w:hanging="0"/>
              <w:rPr>
                <w:rFonts w:cs="Times New Roman"/>
                <w:iCs/>
                <w:szCs w:val="20"/>
              </w:rPr>
            </w:pPr>
            <w:r>
              <w:rPr>
                <w:rFonts w:cs="Times New Roman"/>
                <w:iCs/>
                <w:szCs w:val="20"/>
              </w:rPr>
              <w:t>﻿</w:t>
            </w:r>
          </w:p>
        </w:tc>
        <w:tc>
          <w:tcPr>
            <w:tcW w:w="2405" w:type="dxa"/>
            <w:tcBorders/>
            <w:shd w:fill="auto" w:val="clear"/>
          </w:tcPr>
          <w:p>
            <w:pPr>
              <w:pStyle w:val="TableContents"/>
              <w:spacing w:lineRule="auto" w:line="240" w:before="0" w:after="0"/>
              <w:ind w:left="0" w:right="0" w:hanging="0"/>
              <w:rPr>
                <w:rFonts w:ascii="Times New Roman" w:hAnsi="Times New Roman"/>
                <w:sz w:val="20"/>
              </w:rPr>
            </w:pPr>
            <w:r>
              <w:rPr>
                <w:rFonts w:ascii="Times New Roman" w:hAnsi="Times New Roman"/>
                <w:i/>
                <w:sz w:val="20"/>
              </w:rPr>
              <w:t>Chief</w:t>
            </w:r>
            <w:r>
              <w:rPr>
                <w:rFonts w:ascii="Times New Roman" w:hAnsi="Times New Roman"/>
                <w:sz w:val="20"/>
              </w:rPr>
              <w:t> </w:t>
            </w:r>
            <w:r>
              <w:rPr>
                <w:rFonts w:ascii="Times New Roman" w:hAnsi="Times New Roman"/>
                <w:i/>
                <w:sz w:val="20"/>
              </w:rPr>
              <w:t>Executive</w:t>
            </w:r>
            <w:r>
              <w:rPr>
                <w:rFonts w:ascii="Times New Roman" w:hAnsi="Times New Roman"/>
                <w:sz w:val="20"/>
              </w:rPr>
              <w:t> </w:t>
            </w:r>
            <w:r>
              <w:rPr>
                <w:rFonts w:ascii="Times New Roman" w:hAnsi="Times New Roman"/>
                <w:i/>
                <w:sz w:val="20"/>
              </w:rPr>
              <w:t>Officer</w:t>
            </w:r>
          </w:p>
        </w:tc>
      </w:tr>
    </w:tbl>
    <w:p>
      <w:pPr>
        <w:pStyle w:val="TextBody"/>
        <w:spacing w:lineRule="auto" w:line="240" w:before="0" w:after="0"/>
        <w:ind w:left="1440" w:right="1440" w:hanging="0"/>
        <w:rPr>
          <w:rFonts w:cs="Times New Roman"/>
          <w:szCs w:val="20"/>
        </w:rPr>
      </w:pPr>
      <w:r>
        <w:rPr>
          <w:rFonts w:cs="Times New Roman"/>
          <w:szCs w:val="20"/>
        </w:rPr>
        <w:t xml:space="preserve">﻿ </w:t>
      </w:r>
    </w:p>
    <w:p>
      <w:pPr>
        <w:pStyle w:val="HorizontalLine"/>
        <w:pBdr>
          <w:bottom w:val="double" w:sz="6" w:space="0" w:color="808080"/>
        </w:pBdr>
        <w:ind w:left="1440" w:right="1440" w:hanging="0"/>
        <w:rPr/>
      </w:pPr>
      <w:r>
        <w:rPr/>
      </w:r>
      <w:r>
        <w:br w:type="page"/>
      </w:r>
    </w:p>
    <w:p>
      <w:pPr>
        <w:pStyle w:val="TextBody"/>
        <w:spacing w:lineRule="auto" w:line="240" w:before="0" w:after="0"/>
        <w:ind w:left="1440" w:right="1440" w:hanging="0"/>
        <w:jc w:val="right"/>
        <w:rPr>
          <w:rFonts w:ascii="Times New Roman" w:hAnsi="Times New Roman"/>
          <w:sz w:val="20"/>
        </w:rPr>
      </w:pPr>
      <w:bookmarkStart w:id="43" w:name="ttsh-20230331xex32_2.htm"/>
      <w:bookmarkStart w:id="44" w:name="ksttsh20230331xex32_2"/>
      <w:bookmarkEnd w:id="43"/>
      <w:bookmarkEnd w:id="44"/>
      <w:r>
        <w:rPr>
          <w:rFonts w:ascii="Times New Roman" w:hAnsi="Times New Roman"/>
          <w:b/>
          <w:sz w:val="20"/>
        </w:rPr>
        <w:t>Exhibit 32.2</w:t>
      </w:r>
      <w:r>
        <w:rPr>
          <w:rFonts w:ascii="Times New Roman" w:hAnsi="Times New Roman"/>
          <w:sz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hanging="0"/>
        <w:jc w:val="center"/>
        <w:rPr>
          <w:rFonts w:ascii="Times New Roman" w:hAnsi="Times New Roman"/>
          <w:sz w:val="20"/>
        </w:rPr>
      </w:pPr>
      <w:r>
        <w:rPr>
          <w:rFonts w:ascii="Times New Roman" w:hAnsi="Times New Roman"/>
          <w:b/>
          <w:sz w:val="20"/>
        </w:rPr>
        <w:t>Certification Pursuant to 18 U.S.C. Section 1350, as Adopted Pursuant to Section 906</w:t>
      </w:r>
      <w:r>
        <w:rPr>
          <w:rFonts w:ascii="Times New Roman" w:hAnsi="Times New Roman"/>
          <w:sz w:val="20"/>
        </w:rPr>
        <w:t xml:space="preserve"> </w:t>
      </w:r>
    </w:p>
    <w:p>
      <w:pPr>
        <w:pStyle w:val="TextBody"/>
        <w:spacing w:lineRule="auto" w:line="240" w:before="0" w:after="0"/>
        <w:ind w:left="1440" w:right="1440" w:hanging="0"/>
        <w:jc w:val="center"/>
        <w:rPr>
          <w:rFonts w:ascii="Times New Roman" w:hAnsi="Times New Roman"/>
          <w:sz w:val="20"/>
        </w:rPr>
      </w:pPr>
      <w:r>
        <w:rPr>
          <w:rFonts w:ascii="Times New Roman" w:hAnsi="Times New Roman"/>
          <w:b/>
          <w:sz w:val="20"/>
        </w:rPr>
        <w:t>of the Sarbanes-Oxley Act of 2002</w:t>
      </w:r>
      <w:r>
        <w:rPr>
          <w:rFonts w:ascii="Times New Roman" w:hAnsi="Times New Roman"/>
          <w:sz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firstLine="720"/>
        <w:rPr>
          <w:rFonts w:ascii="Times New Roman" w:hAnsi="Times New Roman"/>
          <w:sz w:val="20"/>
        </w:rPr>
      </w:pPr>
      <w:r>
        <w:rPr>
          <w:rFonts w:ascii="Times New Roman" w:hAnsi="Times New Roman"/>
          <w:sz w:val="20"/>
        </w:rPr>
        <w:t xml:space="preserve">Pursuant to 18 U.S.C. §1350 (as adopted pursuant to §906 of the Sarbanes-Oxley Act of 2002), I, Karla Lunan, the Chief Financial Officer of Tile Shop Holdings, Inc. (the “Company”), hereby certify that the Quarterly Report on Form 10-Q of the Company for the period ended March 31, 2023 (“the Report”) fully complies with the requirements of section 13(a) or 15(d) of the Securities Exchange Act of 1934 and that information contained in the Report fairly presents, in all material respects, the financial condition and results of operations of the Company. </w:t>
      </w:r>
    </w:p>
    <w:p>
      <w:pPr>
        <w:pStyle w:val="TextBody"/>
        <w:spacing w:lineRule="auto" w:line="240" w:before="0" w:after="0"/>
        <w:ind w:left="1440" w:right="1440" w:hanging="0"/>
        <w:rPr>
          <w:rFonts w:cs="Times New Roman"/>
          <w:szCs w:val="20"/>
        </w:rPr>
      </w:pPr>
      <w:r>
        <w:rPr>
          <w:rFonts w:cs="Times New Roman"/>
          <w:szCs w:val="20"/>
        </w:rPr>
        <w:t xml:space="preserve">﻿ </w:t>
      </w:r>
    </w:p>
    <w:p>
      <w:pPr>
        <w:pStyle w:val="TextBody"/>
        <w:spacing w:lineRule="auto" w:line="240" w:before="0" w:after="0"/>
        <w:ind w:left="1440" w:right="1440" w:firstLine="720"/>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 or its staff upon request. </w:t>
      </w:r>
    </w:p>
    <w:p>
      <w:pPr>
        <w:pStyle w:val="TextBody"/>
        <w:spacing w:lineRule="auto" w:line="240" w:before="0" w:after="0"/>
        <w:ind w:left="1440" w:right="1440" w:hanging="0"/>
        <w:rPr>
          <w:rFonts w:cs="Times New Roman"/>
          <w:szCs w:val="20"/>
        </w:rPr>
      </w:pPr>
      <w:r>
        <w:rPr>
          <w:rFonts w:cs="Times New Roman"/>
          <w:szCs w:val="20"/>
        </w:rPr>
        <w:t xml:space="preserve">﻿ </w:t>
      </w:r>
    </w:p>
    <w:tbl>
      <w:tblPr>
        <w:tblW w:w="3505" w:type="dxa"/>
        <w:jc w:val="left"/>
        <w:tblInd w:w="1440" w:type="dxa"/>
        <w:tblCellMar>
          <w:top w:w="0" w:type="dxa"/>
          <w:left w:w="0" w:type="dxa"/>
          <w:bottom w:w="0" w:type="dxa"/>
          <w:right w:w="0" w:type="dxa"/>
        </w:tblCellMar>
      </w:tblPr>
      <w:tblGrid>
        <w:gridCol w:w="1550"/>
        <w:gridCol w:w="1955"/>
      </w:tblGrid>
      <w:tr>
        <w:trPr/>
        <w:tc>
          <w:tcPr>
            <w:tcW w:w="1550" w:type="dxa"/>
            <w:tcBorders/>
            <w:shd w:fill="auto" w:val="clear"/>
          </w:tcPr>
          <w:p>
            <w:pPr>
              <w:pStyle w:val="TableContents"/>
              <w:spacing w:lineRule="auto" w:line="240" w:before="0" w:after="0"/>
              <w:ind w:left="0" w:right="0" w:hanging="0"/>
              <w:rPr>
                <w:rFonts w:cs="Times New Roman"/>
                <w:szCs w:val="2"/>
              </w:rPr>
            </w:pPr>
            <w:r>
              <w:rPr>
                <w:rFonts w:cs="Times New Roman"/>
                <w:szCs w:val="2"/>
              </w:rPr>
              <w:t>﻿</w:t>
            </w:r>
          </w:p>
        </w:tc>
        <w:tc>
          <w:tcPr>
            <w:tcW w:w="1955" w:type="dxa"/>
            <w:tcBorders/>
            <w:shd w:fill="auto" w:val="clear"/>
          </w:tcPr>
          <w:p>
            <w:pPr>
              <w:pStyle w:val="TableContents"/>
              <w:spacing w:lineRule="auto" w:line="240" w:before="0" w:after="0"/>
              <w:ind w:left="0" w:right="0" w:hanging="0"/>
              <w:rPr/>
            </w:pPr>
            <w:r>
              <w:rPr/>
              <w:t> </w:t>
            </w:r>
          </w:p>
        </w:tc>
      </w:tr>
      <w:tr>
        <w:trPr/>
        <w:tc>
          <w:tcPr>
            <w:tcW w:w="1550" w:type="dxa"/>
            <w:tcBorders/>
            <w:shd w:fill="auto" w:val="clear"/>
          </w:tcPr>
          <w:p>
            <w:pPr>
              <w:pStyle w:val="TableContents"/>
              <w:spacing w:lineRule="auto" w:line="240" w:before="0" w:after="0"/>
              <w:ind w:left="0" w:right="0" w:hanging="0"/>
              <w:rPr>
                <w:rFonts w:ascii="Times New Roman" w:hAnsi="Times New Roman"/>
                <w:sz w:val="20"/>
              </w:rPr>
            </w:pPr>
            <w:r>
              <w:rPr>
                <w:rFonts w:ascii="Times New Roman" w:hAnsi="Times New Roman"/>
                <w:sz w:val="20"/>
              </w:rPr>
              <w:t>Date: May 4, 2023</w:t>
            </w:r>
          </w:p>
        </w:tc>
        <w:tc>
          <w:tcPr>
            <w:tcW w:w="1955" w:type="dxa"/>
            <w:tcBorders>
              <w:bottom w:val="single" w:sz="8" w:space="0" w:color="000000"/>
            </w:tcBorders>
            <w:shd w:fill="auto" w:val="clear"/>
            <w:tcMar>
              <w:bottom w:w="28" w:type="dxa"/>
            </w:tcMar>
          </w:tcPr>
          <w:p>
            <w:pPr>
              <w:pStyle w:val="TableContents"/>
              <w:spacing w:lineRule="auto" w:line="240" w:before="0" w:after="0"/>
              <w:ind w:left="0" w:right="0" w:hanging="0"/>
              <w:rPr>
                <w:rFonts w:ascii="Times New Roman" w:hAnsi="Times New Roman"/>
                <w:sz w:val="20"/>
              </w:rPr>
            </w:pPr>
            <w:r>
              <w:rPr>
                <w:rFonts w:ascii="Times New Roman" w:hAnsi="Times New Roman"/>
                <w:sz w:val="20"/>
              </w:rPr>
              <w:t>/s/ Karla Lunan</w:t>
            </w:r>
          </w:p>
        </w:tc>
      </w:tr>
      <w:tr>
        <w:trPr/>
        <w:tc>
          <w:tcPr>
            <w:tcW w:w="1550" w:type="dxa"/>
            <w:tcBorders/>
            <w:shd w:fill="auto" w:val="clear"/>
          </w:tcPr>
          <w:p>
            <w:pPr>
              <w:pStyle w:val="TableContents"/>
              <w:spacing w:lineRule="auto" w:line="240" w:before="0" w:after="0"/>
              <w:ind w:left="0" w:right="0" w:hanging="0"/>
              <w:rPr>
                <w:rFonts w:cs="Times New Roman"/>
                <w:szCs w:val="20"/>
              </w:rPr>
            </w:pPr>
            <w:r>
              <w:rPr>
                <w:rFonts w:cs="Times New Roman"/>
                <w:szCs w:val="20"/>
              </w:rPr>
              <w:t>﻿</w:t>
            </w:r>
          </w:p>
        </w:tc>
        <w:tc>
          <w:tcPr>
            <w:tcW w:w="1955" w:type="dxa"/>
            <w:tcBorders>
              <w:top w:val="single" w:sz="8" w:space="0" w:color="000000"/>
            </w:tcBorders>
            <w:shd w:fill="auto" w:val="clear"/>
            <w:tcMar>
              <w:top w:w="28" w:type="dxa"/>
            </w:tcMar>
          </w:tcPr>
          <w:p>
            <w:pPr>
              <w:pStyle w:val="TableContents"/>
              <w:spacing w:lineRule="auto" w:line="240" w:before="0" w:after="0"/>
              <w:ind w:left="0" w:right="0" w:hanging="0"/>
              <w:rPr/>
            </w:pPr>
            <w:r>
              <w:rPr/>
              <w:t> </w:t>
            </w:r>
          </w:p>
        </w:tc>
      </w:tr>
      <w:tr>
        <w:trPr/>
        <w:tc>
          <w:tcPr>
            <w:tcW w:w="1550" w:type="dxa"/>
            <w:tcBorders/>
            <w:shd w:fill="auto" w:val="clear"/>
          </w:tcPr>
          <w:p>
            <w:pPr>
              <w:pStyle w:val="TableContents"/>
              <w:spacing w:lineRule="auto" w:line="240" w:before="0" w:after="0"/>
              <w:ind w:left="0" w:right="0" w:hanging="0"/>
              <w:rPr>
                <w:rFonts w:cs="Times New Roman"/>
                <w:szCs w:val="20"/>
              </w:rPr>
            </w:pPr>
            <w:r>
              <w:rPr>
                <w:rFonts w:cs="Times New Roman"/>
                <w:szCs w:val="20"/>
              </w:rPr>
              <w:t>﻿</w:t>
            </w:r>
          </w:p>
        </w:tc>
        <w:tc>
          <w:tcPr>
            <w:tcW w:w="1955" w:type="dxa"/>
            <w:tcBorders/>
            <w:shd w:fill="auto" w:val="clear"/>
          </w:tcPr>
          <w:p>
            <w:pPr>
              <w:pStyle w:val="TableContents"/>
              <w:spacing w:lineRule="auto" w:line="240" w:before="0" w:after="0"/>
              <w:ind w:left="0" w:right="0" w:hanging="0"/>
              <w:rPr>
                <w:rFonts w:ascii="Times New Roman" w:hAnsi="Times New Roman"/>
                <w:sz w:val="20"/>
              </w:rPr>
            </w:pPr>
            <w:r>
              <w:rPr>
                <w:rFonts w:ascii="Times New Roman" w:hAnsi="Times New Roman"/>
                <w:sz w:val="20"/>
              </w:rPr>
              <w:t>Karla Lunan,</w:t>
            </w:r>
          </w:p>
        </w:tc>
      </w:tr>
      <w:tr>
        <w:trPr/>
        <w:tc>
          <w:tcPr>
            <w:tcW w:w="1550" w:type="dxa"/>
            <w:tcBorders/>
            <w:shd w:fill="auto" w:val="clear"/>
          </w:tcPr>
          <w:p>
            <w:pPr>
              <w:pStyle w:val="TableContents"/>
              <w:spacing w:lineRule="auto" w:line="240" w:before="0" w:after="0"/>
              <w:ind w:left="0" w:right="0" w:hanging="0"/>
              <w:rPr>
                <w:rFonts w:cs="Times New Roman"/>
                <w:iCs/>
                <w:szCs w:val="20"/>
              </w:rPr>
            </w:pPr>
            <w:r>
              <w:rPr>
                <w:rFonts w:cs="Times New Roman"/>
                <w:iCs/>
                <w:szCs w:val="20"/>
              </w:rPr>
              <w:t>﻿</w:t>
            </w:r>
          </w:p>
        </w:tc>
        <w:tc>
          <w:tcPr>
            <w:tcW w:w="1955" w:type="dxa"/>
            <w:tcBorders/>
            <w:shd w:fill="auto" w:val="clear"/>
          </w:tcPr>
          <w:p>
            <w:pPr>
              <w:pStyle w:val="TableContents"/>
              <w:spacing w:lineRule="auto" w:line="240" w:before="0" w:after="0"/>
              <w:ind w:left="0" w:right="0" w:hanging="0"/>
              <w:rPr>
                <w:rFonts w:ascii="Times New Roman" w:hAnsi="Times New Roman"/>
                <w:i/>
                <w:sz w:val="20"/>
              </w:rPr>
            </w:pPr>
            <w:r>
              <w:rPr>
                <w:rFonts w:ascii="Times New Roman" w:hAnsi="Times New Roman"/>
                <w:i/>
                <w:sz w:val="20"/>
              </w:rPr>
              <w:t>Chief Financial Officer</w:t>
            </w:r>
          </w:p>
        </w:tc>
      </w:tr>
    </w:tbl>
    <w:p>
      <w:pPr>
        <w:pStyle w:val="TextBody"/>
        <w:spacing w:lineRule="auto" w:line="240" w:before="0" w:after="0"/>
        <w:ind w:left="1440" w:right="1440" w:hanging="0"/>
        <w:rPr>
          <w:rFonts w:cs="Times New Roman"/>
          <w:szCs w:val="20"/>
        </w:rPr>
      </w:pPr>
      <w:r>
        <w:rPr>
          <w:rFonts w:cs="Times New Roman"/>
          <w:szCs w:val="20"/>
        </w:rPr>
        <w:t xml:space="preserve">﻿ </w:t>
      </w:r>
    </w:p>
    <w:p>
      <w:pPr>
        <w:pStyle w:val="HorizontalLine"/>
        <w:pBdr>
          <w:bottom w:val="double" w:sz="6" w:space="0" w:color="808080"/>
        </w:pBdr>
        <w:spacing w:before="0" w:after="283"/>
        <w:ind w:left="1440" w:right="144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Wingdings">
    <w:charset w:val="00"/>
    <w:family w:val="auto"/>
    <w:pitch w:val="default"/>
  </w:font>
  <w:font w:name="Cambria Math">
    <w:charset w:val="00"/>
    <w:family w:val="auto"/>
    <w:pitch w:val="default"/>
  </w:font>
  <w:font w:name="Symbol">
    <w:charset w:val="00"/>
    <w:family w:val="auto"/>
    <w:pitch w:val="default"/>
  </w:font>
  <w:font w:name="TimesNewRomanPS-BoldItalicMT">
    <w:charset w:val="00"/>
    <w:family w:val="auto"/>
    <w:pitch w:val="default"/>
  </w:font>
  <w:font w:name="TimesNewRomanPSMT">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52800/000114420412037509/v316486_ex3-1.htm" TargetMode="External"/><Relationship Id="rId3" Type="http://schemas.openxmlformats.org/officeDocument/2006/relationships/hyperlink" Target="http://www.sec.gov/Archives/edgar/data/1552800/000114420412037509/v316486_ex3-1.htm" TargetMode="External"/><Relationship Id="rId4" Type="http://schemas.openxmlformats.org/officeDocument/2006/relationships/hyperlink" Target="http://www.sec.gov/Archives/edgar/data/1552800/000110465921094416/tm2122262d1_ex3-2.htm" TargetMode="External"/><Relationship Id="rId5" Type="http://schemas.openxmlformats.org/officeDocument/2006/relationships/hyperlink" Target="http://www.sec.gov/Archives/edgar/data/1552800/000110465921094416/tm2122262d1_ex3-2.htm" TargetMode="External"/><Relationship Id="rId6" Type="http://schemas.openxmlformats.org/officeDocument/2006/relationships/hyperlink" Target="http://www.sec.gov/Archives/edgar/data/1552800/000114420412037509/v316486_ex3-2.htm" TargetMode="External"/><Relationship Id="rId7" Type="http://schemas.openxmlformats.org/officeDocument/2006/relationships/hyperlink" Target="http://www.sec.gov/Archives/edgar/data/1552800/000114420412037509/v316486_ex3-2.htm" TargetMode="External"/><Relationship Id="rId8" Type="http://schemas.openxmlformats.org/officeDocument/2006/relationships/hyperlink" Target="http://www.sec.gov/Archives/edgar/data/0001552800/000155280023000003/ttsh-20221231xex10_19.htm" TargetMode="External"/><Relationship Id="rId9" Type="http://schemas.openxmlformats.org/officeDocument/2006/relationships/hyperlink" Target="http://www.sec.gov/Archives/edgar/data/0001552800/000155280023000003/ttsh-20221231xex10_19.htm" TargetMode="External"/><Relationship Id="rId10" Type="http://schemas.openxmlformats.org/officeDocument/2006/relationships/hyperlink" Target="http://www.sec.gov/Archives/edgar/data/0001552800/000155280023000003/ttsh-20221231xex10_20.htm" TargetMode="External"/><Relationship Id="rId11" Type="http://schemas.openxmlformats.org/officeDocument/2006/relationships/hyperlink" Target="http://www.sec.gov/Archives/edgar/data/0001552800/000155280023000003/ttsh-20221231xex10_20.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13085</Words>
  <CharactersWithSpaces>82521</CharactersWithSpaces>
  <Paragraphs>1472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