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jc w:val="center"/>
        <w:ind w:right="40"/>
        <w:spacing w:after="0" w:line="221" w:lineRule="auto"/>
        <w:rPr>
          <w:sz w:val="20"/>
          <w:szCs w:val="20"/>
          <w:color w:val="auto"/>
        </w:rPr>
      </w:pPr>
      <w:r>
        <w:rPr>
          <w:rFonts w:ascii="Arial" w:cs="Arial" w:eastAsia="Arial" w:hAnsi="Arial"/>
          <w:sz w:val="18"/>
          <w:szCs w:val="18"/>
          <w:b w:val="1"/>
          <w:bCs w:val="1"/>
          <w:color w:val="auto"/>
        </w:rPr>
        <w:t>For the fiscal year ended December 31, 2021</w:t>
      </w:r>
    </w:p>
    <w:p>
      <w:pPr>
        <w:jc w:val="center"/>
        <w:spacing w:after="0" w:line="211"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4360" w:right="4240" w:hanging="4352"/>
        <w:spacing w:after="0" w:line="273" w:lineRule="auto"/>
        <w:tabs>
          <w:tab w:leader="none" w:pos="25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001-35629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ind w:left="2460"/>
        <w:spacing w:after="0" w:line="229" w:lineRule="auto"/>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45-5538095</w:t>
      </w:r>
    </w:p>
    <w:p>
      <w:pPr>
        <w:spacing w:after="0" w:line="1" w:lineRule="exact"/>
        <w:rPr>
          <w:sz w:val="24"/>
          <w:szCs w:val="24"/>
          <w:color w:val="auto"/>
        </w:rPr>
      </w:pPr>
    </w:p>
    <w:p>
      <w:pPr>
        <w:ind w:left="660"/>
        <w:spacing w:after="0"/>
        <w:tabs>
          <w:tab w:leader="none" w:pos="71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1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14000 Carlson Parkway, Plymouth, Minnesota 55441</w:t>
      </w:r>
    </w:p>
    <w:p>
      <w:pPr>
        <w:ind w:left="3480"/>
        <w:spacing w:after="0" w:line="221" w:lineRule="auto"/>
        <w:rPr>
          <w:sz w:val="20"/>
          <w:szCs w:val="20"/>
          <w:color w:val="auto"/>
        </w:rPr>
      </w:pPr>
      <w:r>
        <w:rPr>
          <w:rFonts w:ascii="Arial" w:cs="Arial" w:eastAsia="Arial" w:hAnsi="Arial"/>
          <w:sz w:val="18"/>
          <w:szCs w:val="18"/>
          <w:color w:val="auto"/>
        </w:rPr>
        <w:t>(Address of principal executive offices, including zip code)</w:t>
      </w:r>
    </w:p>
    <w:p>
      <w:pPr>
        <w:ind w:left="5060"/>
        <w:spacing w:after="0" w:line="219" w:lineRule="auto"/>
        <w:rPr>
          <w:sz w:val="20"/>
          <w:szCs w:val="20"/>
          <w:color w:val="auto"/>
        </w:rPr>
      </w:pPr>
      <w:r>
        <w:rPr>
          <w:rFonts w:ascii="Arial" w:cs="Arial" w:eastAsia="Arial" w:hAnsi="Arial"/>
          <w:sz w:val="18"/>
          <w:szCs w:val="18"/>
          <w:b w:val="1"/>
          <w:bCs w:val="1"/>
          <w:color w:val="auto"/>
        </w:rPr>
        <w:t>(763) 852-2950</w:t>
      </w:r>
    </w:p>
    <w:p>
      <w:pPr>
        <w:ind w:left="3720"/>
        <w:spacing w:after="0" w:line="219"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220" w:right="339" w:bottom="1440" w:gutter="0" w:footer="0" w:header="0"/>
        </w:sectPr>
      </w:pP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Title of each class</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Trading symbol(s)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TTSH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3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The Nasdaq Stock Market LLC</w:t>
      </w:r>
    </w:p>
    <w:p>
      <w:pPr>
        <w:spacing w:after="0" w:line="72" w:lineRule="exact"/>
        <w:rPr>
          <w:sz w:val="24"/>
          <w:szCs w:val="24"/>
          <w:color w:val="auto"/>
        </w:rPr>
      </w:pPr>
    </w:p>
    <w:p>
      <w:pPr>
        <w:sectPr>
          <w:pgSz w:w="11900" w:h="16838" w:orient="portrait"/>
          <w:cols w:equalWidth="0" w:num="3">
            <w:col w:w="4260" w:space="720"/>
            <w:col w:w="1820" w:space="720"/>
            <w:col w:w="3720"/>
          </w:cols>
          <w:pgMar w:left="320" w:top="220" w:right="33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Securities registered pursuant to Section 12(g) of the Act:</w:t>
      </w:r>
    </w:p>
    <w:p>
      <w:pPr>
        <w:jc w:val="center"/>
        <w:ind w:right="40"/>
        <w:spacing w:after="0" w:line="215" w:lineRule="auto"/>
        <w:rPr>
          <w:sz w:val="20"/>
          <w:szCs w:val="20"/>
          <w:color w:val="auto"/>
        </w:rPr>
      </w:pPr>
      <w:r>
        <w:rPr>
          <w:rFonts w:ascii="Arial" w:cs="Arial" w:eastAsia="Arial" w:hAnsi="Arial"/>
          <w:sz w:val="18"/>
          <w:szCs w:val="18"/>
          <w:b w:val="1"/>
          <w:bCs w:val="1"/>
          <w:color w:val="auto"/>
        </w:rPr>
        <w:t>None</w:t>
      </w:r>
    </w:p>
    <w:p>
      <w:pPr>
        <w:ind w:right="2600"/>
        <w:spacing w:after="0" w:line="24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9" w:lineRule="exact"/>
        <w:rPr>
          <w:sz w:val="24"/>
          <w:szCs w:val="24"/>
          <w:color w:val="auto"/>
        </w:rPr>
      </w:pPr>
    </w:p>
    <w:p>
      <w:pPr>
        <w:ind w:left="40" w:right="220" w:hanging="39"/>
        <w:spacing w:after="0" w:line="189" w:lineRule="exact"/>
        <w:rPr>
          <w:sz w:val="20"/>
          <w:szCs w:val="20"/>
          <w:color w:val="auto"/>
        </w:rPr>
      </w:pPr>
      <w:r>
        <w:rPr>
          <w:rFonts w:ascii="Arial" w:cs="Arial" w:eastAsia="Arial" w:hAnsi="Arial"/>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1440" w:gutter="0" w:footer="0" w:header="0"/>
          <w:type w:val="continuous"/>
        </w:sectPr>
      </w:pP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11"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2">
            <w:col w:w="5440" w:space="720"/>
            <w:col w:w="5080"/>
          </w:cols>
          <w:pgMar w:left="320" w:top="220" w:right="339" w:bottom="1440" w:gutter="0" w:footer="0" w:header="0"/>
          <w:type w:val="continuous"/>
        </w:sect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was approximately: $288,587,839.</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28, 2022, the registrant had 51,925,256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Certain information required by Part III is incorporated by reference from the Company’s definitive Proxy Statement for the Annual Meeting of Stockholders, or an amendment to this Form 10-K, which the Company intends to file with the SEC within 120 days after the fiscal year end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11" w:right="9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Table of Contents</w:t>
              </w:r>
            </w:hyperlink>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740" w:type="dxa"/>
            <w:vAlign w:val="bottom"/>
            <w:gridSpan w:val="28"/>
          </w:tcPr>
          <w:p>
            <w:pPr>
              <w:spacing w:after="0"/>
              <w:rPr>
                <w:sz w:val="20"/>
                <w:szCs w:val="20"/>
                <w:color w:val="auto"/>
              </w:rPr>
            </w:pPr>
            <w:r>
              <w:rPr>
                <w:rFonts w:ascii="Arial" w:cs="Arial" w:eastAsia="Arial" w:hAnsi="Arial"/>
                <w:sz w:val="18"/>
                <w:szCs w:val="18"/>
                <w:b w:val="1"/>
                <w:bCs w:val="1"/>
                <w:color w:val="auto"/>
              </w:rPr>
              <w:t>TILE SHOP HOLDINGS, INC. FORM 10-K</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2"/>
          </w:tcPr>
          <w:p>
            <w:pPr>
              <w:ind w:left="280"/>
              <w:spacing w:after="0"/>
              <w:rPr>
                <w:sz w:val="20"/>
                <w:szCs w:val="20"/>
                <w:color w:val="auto"/>
              </w:rPr>
            </w:pPr>
            <w:r>
              <w:rPr>
                <w:rFonts w:ascii="Arial" w:cs="Arial" w:eastAsia="Arial" w:hAnsi="Arial"/>
                <w:sz w:val="18"/>
                <w:szCs w:val="18"/>
                <w:color w:val="auto"/>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PART I</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8">
              <w:r>
                <w:rPr>
                  <w:rFonts w:ascii="Arial" w:cs="Arial" w:eastAsia="Arial" w:hAnsi="Arial"/>
                  <w:sz w:val="18"/>
                  <w:szCs w:val="18"/>
                  <w:color w:val="0000FF"/>
                </w:rPr>
                <w:t>ITEM 1A</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8">
              <w:r>
                <w:rPr>
                  <w:rFonts w:ascii="Arial" w:cs="Arial" w:eastAsia="Arial" w:hAnsi="Arial"/>
                  <w:sz w:val="18"/>
                  <w:szCs w:val="18"/>
                  <w:color w:val="0000FF"/>
                </w:rPr>
                <w:t>RISK FACTORS</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19">
              <w:r>
                <w:rPr>
                  <w:rFonts w:ascii="Arial" w:cs="Arial" w:eastAsia="Arial" w:hAnsi="Arial"/>
                  <w:sz w:val="18"/>
                  <w:szCs w:val="18"/>
                  <w:color w:val="0000FF"/>
                </w:rPr>
                <w:t>ITEM 1B</w:t>
              </w:r>
            </w:hyperlink>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660" w:type="dxa"/>
            <w:vAlign w:val="bottom"/>
            <w:tcBorders>
              <w:top w:val="single" w:sz="8" w:color="0000FF"/>
            </w:tcBorders>
            <w:gridSpan w:val="2"/>
            <w:shd w:val="clear" w:color="auto" w:fill="CCEEFF"/>
          </w:tcPr>
          <w:p>
            <w:pPr>
              <w:spacing w:after="0" w:line="162" w:lineRule="exact"/>
              <w:rPr>
                <w:rFonts w:ascii="Arial" w:cs="Arial" w:eastAsia="Arial" w:hAnsi="Arial"/>
                <w:sz w:val="18"/>
                <w:szCs w:val="18"/>
                <w:color w:val="0000FF"/>
                <w:w w:val="98"/>
              </w:rPr>
            </w:pPr>
            <w:hyperlink w:anchor="page19">
              <w:r>
                <w:rPr>
                  <w:rFonts w:ascii="Arial" w:cs="Arial" w:eastAsia="Arial" w:hAnsi="Arial"/>
                  <w:sz w:val="18"/>
                  <w:szCs w:val="18"/>
                  <w:color w:val="0000FF"/>
                  <w:w w:val="98"/>
                </w:rPr>
                <w:t>ITEM 2</w:t>
              </w:r>
            </w:hyperlink>
            <w:r>
              <w:rPr>
                <w:rFonts w:ascii="Arial" w:cs="Arial" w:eastAsia="Arial" w:hAnsi="Arial"/>
                <w:sz w:val="18"/>
                <w:szCs w:val="18"/>
                <w:color w:val="000000"/>
                <w:w w:val="98"/>
              </w:rPr>
              <w:t>.</w:t>
            </w:r>
          </w:p>
        </w:tc>
        <w:tc>
          <w:tcPr>
            <w:tcW w:w="420" w:type="dxa"/>
            <w:vAlign w:val="bottom"/>
            <w:tcBorders>
              <w:left w:val="single" w:sz="8" w:color="CCEEFF"/>
              <w:right w:val="single" w:sz="8" w:color="CCEEFF"/>
            </w:tcBorders>
            <w:gridSpan w:val="3"/>
            <w:shd w:val="clear" w:color="auto" w:fill="CCEEFF"/>
          </w:tcPr>
          <w:p>
            <w:pPr>
              <w:spacing w:after="0"/>
              <w:rPr>
                <w:sz w:val="14"/>
                <w:szCs w:val="14"/>
                <w:color w:val="auto"/>
              </w:rPr>
            </w:pPr>
          </w:p>
        </w:tc>
        <w:tc>
          <w:tcPr>
            <w:tcW w:w="2820" w:type="dxa"/>
            <w:vAlign w:val="bottom"/>
            <w:tcBorders>
              <w:top w:val="single" w:sz="8" w:color="0000FF"/>
            </w:tcBorders>
            <w:gridSpan w:val="9"/>
            <w:shd w:val="clear" w:color="auto" w:fill="CCEEFF"/>
          </w:tcPr>
          <w:p>
            <w:pPr>
              <w:spacing w:after="0" w:line="162" w:lineRule="exact"/>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6580" w:type="dxa"/>
            <w:vAlign w:val="bottom"/>
            <w:gridSpan w:val="13"/>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20">
              <w:r>
                <w:rPr>
                  <w:rFonts w:ascii="Arial" w:cs="Arial" w:eastAsia="Arial" w:hAnsi="Arial"/>
                  <w:sz w:val="18"/>
                  <w:szCs w:val="18"/>
                  <w:color w:val="0000FF"/>
                </w:rPr>
                <w:t>ITEM 3</w:t>
              </w:r>
            </w:hyperlink>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20">
              <w:r>
                <w:rPr>
                  <w:rFonts w:ascii="Arial" w:cs="Arial" w:eastAsia="Arial" w:hAnsi="Arial"/>
                  <w:sz w:val="18"/>
                  <w:szCs w:val="18"/>
                  <w:color w:val="0000FF"/>
                </w:rPr>
                <w:t>LEGAL PROCEEDINGS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20">
              <w:r>
                <w:rPr>
                  <w:rFonts w:ascii="Arial" w:cs="Arial" w:eastAsia="Arial" w:hAnsi="Arial"/>
                  <w:sz w:val="18"/>
                  <w:szCs w:val="18"/>
                  <w:color w:val="0000FF"/>
                </w:rPr>
                <w:t>ITEM 4</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20">
              <w:r>
                <w:rPr>
                  <w:rFonts w:ascii="Arial" w:cs="Arial" w:eastAsia="Arial" w:hAnsi="Arial"/>
                  <w:sz w:val="18"/>
                  <w:szCs w:val="18"/>
                  <w:color w:val="0000FF"/>
                </w:rPr>
                <w:t>MINE SAFETY DISCLOSURES</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PART II</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21">
              <w:r>
                <w:rPr>
                  <w:rFonts w:ascii="Arial" w:cs="Arial" w:eastAsia="Arial" w:hAnsi="Arial"/>
                  <w:sz w:val="18"/>
                  <w:szCs w:val="18"/>
                  <w:color w:val="0000FF"/>
                </w:rPr>
                <w:t>ITEM 5</w:t>
              </w:r>
            </w:hyperlink>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21">
              <w:r>
                <w:rPr>
                  <w:rFonts w:ascii="Arial" w:cs="Arial" w:eastAsia="Arial" w:hAnsi="Arial"/>
                  <w:sz w:val="18"/>
                  <w:szCs w:val="18"/>
                  <w:color w:val="0000FF"/>
                </w:rPr>
                <w:t>MARKET FOR THE REGISTRANT’S COMMON EQUITY, RELATED STOCKHOLDER MATTERS AND ISSUER</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4"/>
              </w:rPr>
            </w:pPr>
            <w:hyperlink w:anchor="page21">
              <w:r>
                <w:rPr>
                  <w:rFonts w:ascii="Arial" w:cs="Arial" w:eastAsia="Arial" w:hAnsi="Arial"/>
                  <w:sz w:val="18"/>
                  <w:szCs w:val="18"/>
                  <w:color w:val="0000FF"/>
                  <w:w w:val="94"/>
                </w:rPr>
                <w:t>PURCHASES OF EQUITY SECURITIES</w:t>
              </w:r>
            </w:hyperlink>
          </w:p>
        </w:tc>
        <w:tc>
          <w:tcPr>
            <w:tcW w:w="5600" w:type="dxa"/>
            <w:vAlign w:val="bottom"/>
            <w:tcBorders>
              <w:top w:val="single" w:sz="8" w:color="0000FF"/>
            </w:tcBorders>
            <w:gridSpan w:val="9"/>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23">
              <w:r>
                <w:rPr>
                  <w:rFonts w:ascii="Arial" w:cs="Arial" w:eastAsia="Arial" w:hAnsi="Arial"/>
                  <w:sz w:val="18"/>
                  <w:szCs w:val="18"/>
                  <w:color w:val="0000FF"/>
                </w:rPr>
                <w:t>ITEM 6</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CCEE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25">
              <w:r>
                <w:rPr>
                  <w:rFonts w:ascii="Arial" w:cs="Arial" w:eastAsia="Arial" w:hAnsi="Arial"/>
                  <w:sz w:val="18"/>
                  <w:szCs w:val="18"/>
                  <w:color w:val="0000FF"/>
                </w:rPr>
                <w:t>ITEM 7</w:t>
              </w:r>
            </w:hyperlink>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34">
              <w:r>
                <w:rPr>
                  <w:rFonts w:ascii="Arial" w:cs="Arial" w:eastAsia="Arial" w:hAnsi="Arial"/>
                  <w:sz w:val="18"/>
                  <w:szCs w:val="18"/>
                  <w:color w:val="0000FF"/>
                </w:rPr>
                <w:t>ITEM 7A.</w:t>
              </w:r>
            </w:hyperlink>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0000FF"/>
            </w:tcBorders>
            <w:gridSpan w:val="3"/>
          </w:tcPr>
          <w:p>
            <w:pPr>
              <w:spacing w:after="0" w:line="162" w:lineRule="exact"/>
              <w:rPr>
                <w:rFonts w:ascii="Arial" w:cs="Arial" w:eastAsia="Arial" w:hAnsi="Arial"/>
                <w:sz w:val="18"/>
                <w:szCs w:val="18"/>
                <w:color w:val="0000FF"/>
              </w:rPr>
            </w:pPr>
            <w:hyperlink w:anchor="page35">
              <w:r>
                <w:rPr>
                  <w:rFonts w:ascii="Arial" w:cs="Arial" w:eastAsia="Arial" w:hAnsi="Arial"/>
                  <w:sz w:val="18"/>
                  <w:szCs w:val="18"/>
                  <w:color w:val="0000FF"/>
                </w:rPr>
                <w:t>ITEM 8</w:t>
              </w:r>
            </w:hyperlink>
            <w:r>
              <w:rPr>
                <w:rFonts w:ascii="Arial" w:cs="Arial" w:eastAsia="Arial" w:hAnsi="Arial"/>
                <w:sz w:val="18"/>
                <w:szCs w:val="18"/>
                <w:color w:val="000000"/>
              </w:rPr>
              <w:t>.</w:t>
            </w:r>
          </w:p>
        </w:tc>
        <w:tc>
          <w:tcPr>
            <w:tcW w:w="340" w:type="dxa"/>
            <w:vAlign w:val="bottom"/>
            <w:tcBorders>
              <w:top w:val="single" w:sz="8" w:color="CCEEFF"/>
            </w:tcBorders>
            <w:gridSpan w:val="2"/>
          </w:tcPr>
          <w:p>
            <w:pPr>
              <w:spacing w:after="0"/>
              <w:rPr>
                <w:sz w:val="14"/>
                <w:szCs w:val="14"/>
                <w:color w:val="auto"/>
              </w:rPr>
            </w:pPr>
          </w:p>
        </w:tc>
        <w:tc>
          <w:tcPr>
            <w:tcW w:w="6140" w:type="dxa"/>
            <w:vAlign w:val="bottom"/>
            <w:tcBorders>
              <w:top w:val="single" w:sz="8" w:color="0000FF"/>
            </w:tcBorders>
            <w:gridSpan w:val="15"/>
          </w:tcPr>
          <w:p>
            <w:pPr>
              <w:spacing w:after="0" w:line="162" w:lineRule="exact"/>
              <w:rPr>
                <w:rFonts w:ascii="Arial" w:cs="Arial" w:eastAsia="Arial" w:hAnsi="Arial"/>
                <w:sz w:val="18"/>
                <w:szCs w:val="18"/>
                <w:color w:val="0000FF"/>
              </w:rPr>
            </w:pPr>
            <w:hyperlink w:anchor="page35">
              <w:r>
                <w:rPr>
                  <w:rFonts w:ascii="Arial" w:cs="Arial" w:eastAsia="Arial" w:hAnsi="Arial"/>
                  <w:sz w:val="18"/>
                  <w:szCs w:val="18"/>
                  <w:color w:val="0000FF"/>
                </w:rPr>
                <w:t>FINANCIAL STATEMENTS AND SUPPLEMENTARY DATA</w:t>
              </w:r>
            </w:hyperlink>
          </w:p>
        </w:tc>
        <w:tc>
          <w:tcPr>
            <w:tcW w:w="3260" w:type="dxa"/>
            <w:vAlign w:val="bottom"/>
            <w:tcBorders>
              <w:top w:val="single" w:sz="8" w:color="CCEEFF"/>
            </w:tcBorders>
            <w:gridSpan w:val="7"/>
          </w:tcPr>
          <w:p>
            <w:pPr>
              <w:spacing w:after="0"/>
              <w:rPr>
                <w:sz w:val="14"/>
                <w:szCs w:val="14"/>
                <w:color w:val="auto"/>
              </w:rPr>
            </w:pPr>
          </w:p>
        </w:tc>
        <w:tc>
          <w:tcPr>
            <w:tcW w:w="50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35">
              <w:r>
                <w:rPr>
                  <w:rFonts w:ascii="Arial" w:cs="Arial" w:eastAsia="Arial" w:hAnsi="Arial"/>
                  <w:sz w:val="18"/>
                  <w:szCs w:val="18"/>
                  <w:color w:val="0000FF"/>
                </w:rPr>
                <w:t>ITEM 9</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35">
              <w:r>
                <w:rPr>
                  <w:rFonts w:ascii="Arial" w:cs="Arial" w:eastAsia="Arial" w:hAnsi="Arial"/>
                  <w:sz w:val="18"/>
                  <w:szCs w:val="18"/>
                  <w:color w:val="0000FF"/>
                </w:rPr>
                <w:t>CHANGES IN AND DISAGREEMENTS WITH ACCOUNTANTS ON ACCOUNTING AND FINANCIAL DISCLOSURE</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9A</w:t>
            </w:r>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9B</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38">
              <w:r>
                <w:rPr>
                  <w:rFonts w:ascii="Arial" w:cs="Arial" w:eastAsia="Arial" w:hAnsi="Arial"/>
                  <w:sz w:val="18"/>
                  <w:szCs w:val="18"/>
                  <w:color w:val="0000FF"/>
                </w:rPr>
                <w:t>ITEM 9C.</w:t>
              </w:r>
            </w:hyperlink>
          </w:p>
        </w:tc>
        <w:tc>
          <w:tcPr>
            <w:tcW w:w="9400" w:type="dxa"/>
            <w:vAlign w:val="bottom"/>
            <w:gridSpan w:val="22"/>
          </w:tcPr>
          <w:p>
            <w:pPr>
              <w:spacing w:after="0" w:line="162" w:lineRule="exact"/>
              <w:rPr>
                <w:rFonts w:ascii="Arial" w:cs="Arial" w:eastAsia="Arial" w:hAnsi="Arial"/>
                <w:sz w:val="18"/>
                <w:szCs w:val="18"/>
                <w:color w:val="0000FF"/>
              </w:rPr>
            </w:pPr>
            <w:hyperlink w:anchor="page38">
              <w:r>
                <w:rPr>
                  <w:rFonts w:ascii="Arial" w:cs="Arial" w:eastAsia="Arial" w:hAnsi="Arial"/>
                  <w:sz w:val="18"/>
                  <w:szCs w:val="18"/>
                  <w:color w:val="0000FF"/>
                </w:rPr>
                <w:t>DISCLOSURE REGARDING FOREIGN JURISDICTIONS THAT PREVENT INSPECTIONS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lef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860" w:type="dxa"/>
            <w:vAlign w:val="bottom"/>
            <w:tcBorders>
              <w:top w:val="single" w:sz="8" w:color="0000FF"/>
            </w:tcBorders>
            <w:shd w:val="clear" w:color="auto" w:fill="CCEEFF"/>
          </w:tcPr>
          <w:p>
            <w:pPr>
              <w:spacing w:after="0"/>
              <w:rPr>
                <w:sz w:val="16"/>
                <w:szCs w:val="16"/>
                <w:color w:val="auto"/>
              </w:rPr>
            </w:pPr>
          </w:p>
        </w:tc>
        <w:tc>
          <w:tcPr>
            <w:tcW w:w="48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820" w:type="dxa"/>
            <w:vAlign w:val="bottom"/>
            <w:tcBorders>
              <w:top w:val="single" w:sz="8" w:color="0000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gridSpan w:val="6"/>
          </w:tcPr>
          <w:p>
            <w:pPr>
              <w:spacing w:after="0" w:line="189" w:lineRule="exact"/>
              <w:rPr>
                <w:sz w:val="20"/>
                <w:szCs w:val="20"/>
                <w:color w:val="auto"/>
              </w:rPr>
            </w:pPr>
            <w:r>
              <w:rPr>
                <w:rFonts w:ascii="Arial" w:cs="Arial" w:eastAsia="Arial" w:hAnsi="Arial"/>
                <w:sz w:val="18"/>
                <w:szCs w:val="18"/>
                <w:color w:val="auto"/>
              </w:rPr>
              <w:t>PART III</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39">
              <w:r>
                <w:rPr>
                  <w:rFonts w:ascii="Arial" w:cs="Arial" w:eastAsia="Arial" w:hAnsi="Arial"/>
                  <w:sz w:val="18"/>
                  <w:szCs w:val="18"/>
                  <w:color w:val="0000FF"/>
                </w:rPr>
                <w:t>ITEM 10</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39">
              <w:r>
                <w:rPr>
                  <w:rFonts w:ascii="Arial" w:cs="Arial" w:eastAsia="Arial" w:hAnsi="Arial"/>
                  <w:sz w:val="18"/>
                  <w:szCs w:val="18"/>
                  <w:color w:val="0000FF"/>
                </w:rPr>
                <w:t>DIRECTORS, EXECUTIVE OFFICERS AND CORPORATE GOVERNANCE</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660" w:type="dxa"/>
            <w:vAlign w:val="bottom"/>
            <w:gridSpan w:val="2"/>
          </w:tcPr>
          <w:p>
            <w:pPr>
              <w:spacing w:after="0" w:line="162" w:lineRule="exact"/>
              <w:rPr>
                <w:rFonts w:ascii="Arial" w:cs="Arial" w:eastAsia="Arial" w:hAnsi="Arial"/>
                <w:sz w:val="18"/>
                <w:szCs w:val="18"/>
                <w:color w:val="0000FF"/>
                <w:w w:val="84"/>
              </w:rPr>
            </w:pPr>
            <w:hyperlink w:anchor="page39">
              <w:r>
                <w:rPr>
                  <w:rFonts w:ascii="Arial" w:cs="Arial" w:eastAsia="Arial" w:hAnsi="Arial"/>
                  <w:sz w:val="18"/>
                  <w:szCs w:val="18"/>
                  <w:color w:val="0000FF"/>
                  <w:w w:val="84"/>
                </w:rPr>
                <w:t>ITEM 11.</w:t>
              </w:r>
            </w:hyperlink>
          </w:p>
        </w:tc>
        <w:tc>
          <w:tcPr>
            <w:tcW w:w="420" w:type="dxa"/>
            <w:vAlign w:val="bottom"/>
            <w:gridSpan w:val="3"/>
          </w:tcPr>
          <w:p>
            <w:pPr>
              <w:spacing w:after="0"/>
              <w:rPr>
                <w:sz w:val="14"/>
                <w:szCs w:val="14"/>
                <w:color w:val="auto"/>
              </w:rPr>
            </w:pPr>
          </w:p>
        </w:tc>
        <w:tc>
          <w:tcPr>
            <w:tcW w:w="9400" w:type="dxa"/>
            <w:vAlign w:val="bottom"/>
            <w:gridSpan w:val="22"/>
          </w:tcPr>
          <w:p>
            <w:pPr>
              <w:spacing w:after="0" w:line="162" w:lineRule="exact"/>
              <w:rPr>
                <w:rFonts w:ascii="Arial" w:cs="Arial" w:eastAsia="Arial" w:hAnsi="Arial"/>
                <w:sz w:val="18"/>
                <w:szCs w:val="18"/>
                <w:color w:val="0000FF"/>
              </w:rPr>
            </w:pPr>
            <w:hyperlink w:anchor="page39">
              <w:r>
                <w:rPr>
                  <w:rFonts w:ascii="Arial" w:cs="Arial" w:eastAsia="Arial" w:hAnsi="Arial"/>
                  <w:sz w:val="18"/>
                  <w:szCs w:val="18"/>
                  <w:color w:val="0000FF"/>
                </w:rPr>
                <w:t>EXECUTIVE COMPENSATION</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39">
              <w:r>
                <w:rPr>
                  <w:rFonts w:ascii="Arial" w:cs="Arial" w:eastAsia="Arial" w:hAnsi="Arial"/>
                  <w:sz w:val="18"/>
                  <w:szCs w:val="18"/>
                  <w:color w:val="0000FF"/>
                </w:rPr>
                <w:t>ITEM 12</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39">
              <w:r>
                <w:rPr>
                  <w:rFonts w:ascii="Arial" w:cs="Arial" w:eastAsia="Arial" w:hAnsi="Arial"/>
                  <w:sz w:val="18"/>
                  <w:szCs w:val="18"/>
                  <w:color w:val="0000FF"/>
                </w:rPr>
                <w:t>SECURITY OWNERSHIP OF CERTAIN BENEFICIAL OWNERS AND MANAGEMENT AND RELATED</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806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STOCKHOLDER MATTERS</w:t>
              </w:r>
            </w:hyperlink>
          </w:p>
        </w:tc>
        <w:tc>
          <w:tcPr>
            <w:tcW w:w="1340" w:type="dxa"/>
            <w:vAlign w:val="bottom"/>
            <w:tcBorders>
              <w:top w:val="single" w:sz="8" w:color="CCEEFF"/>
            </w:tcBorders>
            <w:gridSpan w:val="4"/>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40">
              <w:r>
                <w:rPr>
                  <w:rFonts w:ascii="Arial" w:cs="Arial" w:eastAsia="Arial" w:hAnsi="Arial"/>
                  <w:sz w:val="18"/>
                  <w:szCs w:val="18"/>
                  <w:color w:val="0000FF"/>
                </w:rPr>
                <w:t>ITEM 13</w:t>
              </w:r>
            </w:hyperlink>
            <w:r>
              <w:rPr>
                <w:rFonts w:ascii="Arial" w:cs="Arial" w:eastAsia="Arial" w:hAnsi="Arial"/>
                <w:sz w:val="18"/>
                <w:szCs w:val="18"/>
                <w:color w:val="000000"/>
              </w:rPr>
              <w:t>.</w:t>
            </w:r>
          </w:p>
        </w:tc>
        <w:tc>
          <w:tcPr>
            <w:tcW w:w="9400" w:type="dxa"/>
            <w:vAlign w:val="bottom"/>
            <w:gridSpan w:val="22"/>
          </w:tcPr>
          <w:p>
            <w:pPr>
              <w:spacing w:after="0" w:line="162" w:lineRule="exact"/>
              <w:rPr>
                <w:rFonts w:ascii="Arial" w:cs="Arial" w:eastAsia="Arial" w:hAnsi="Arial"/>
                <w:sz w:val="18"/>
                <w:szCs w:val="18"/>
                <w:color w:val="0000FF"/>
              </w:rPr>
            </w:pPr>
            <w:hyperlink w:anchor="page40">
              <w:r>
                <w:rPr>
                  <w:rFonts w:ascii="Arial" w:cs="Arial" w:eastAsia="Arial" w:hAnsi="Arial"/>
                  <w:sz w:val="18"/>
                  <w:szCs w:val="18"/>
                  <w:color w:val="0000FF"/>
                </w:rPr>
                <w:t>CERTAIN RELATIONSHIPS AND RELATED TRANSACTIONS, AND DIRECTOR INDEPENDENCE</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40">
              <w:r>
                <w:rPr>
                  <w:rFonts w:ascii="Arial" w:cs="Arial" w:eastAsia="Arial" w:hAnsi="Arial"/>
                  <w:sz w:val="18"/>
                  <w:szCs w:val="18"/>
                  <w:color w:val="0000FF"/>
                </w:rPr>
                <w:t>ITEM 14</w:t>
              </w:r>
            </w:hyperlink>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40">
              <w:r>
                <w:rPr>
                  <w:rFonts w:ascii="Arial" w:cs="Arial" w:eastAsia="Arial" w:hAnsi="Arial"/>
                  <w:sz w:val="18"/>
                  <w:szCs w:val="18"/>
                  <w:color w:val="0000FF"/>
                </w:rPr>
                <w:t>PRINCIPAL ACCOUNTANT FEES AND SERVICES</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PART IV</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rFonts w:ascii="Arial" w:cs="Arial" w:eastAsia="Arial" w:hAnsi="Arial"/>
                <w:sz w:val="18"/>
                <w:szCs w:val="18"/>
                <w:color w:val="0000FF"/>
              </w:rPr>
            </w:pPr>
            <w:hyperlink w:anchor="page41">
              <w:r>
                <w:rPr>
                  <w:rFonts w:ascii="Arial" w:cs="Arial" w:eastAsia="Arial" w:hAnsi="Arial"/>
                  <w:sz w:val="18"/>
                  <w:szCs w:val="18"/>
                  <w:color w:val="0000FF"/>
                </w:rPr>
                <w:t>ITEM 15.</w:t>
              </w:r>
            </w:hyperlink>
          </w:p>
        </w:tc>
        <w:tc>
          <w:tcPr>
            <w:tcW w:w="9400" w:type="dxa"/>
            <w:vAlign w:val="bottom"/>
            <w:gridSpan w:val="22"/>
          </w:tcPr>
          <w:p>
            <w:pPr>
              <w:spacing w:after="0" w:line="162" w:lineRule="exact"/>
              <w:rPr>
                <w:rFonts w:ascii="Arial" w:cs="Arial" w:eastAsia="Arial" w:hAnsi="Arial"/>
                <w:sz w:val="18"/>
                <w:szCs w:val="18"/>
                <w:color w:val="0000FF"/>
              </w:rPr>
            </w:pPr>
            <w:hyperlink w:anchor="page41">
              <w:r>
                <w:rPr>
                  <w:rFonts w:ascii="Arial" w:cs="Arial" w:eastAsia="Arial" w:hAnsi="Arial"/>
                  <w:sz w:val="18"/>
                  <w:szCs w:val="18"/>
                  <w:color w:val="0000FF"/>
                </w:rPr>
                <w:t>EXHIBITS AND FINANCIAL STATEMENT SCHEDULES</w:t>
              </w:r>
            </w:hyperlink>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rFonts w:ascii="Arial" w:cs="Arial" w:eastAsia="Arial" w:hAnsi="Arial"/>
                <w:sz w:val="18"/>
                <w:szCs w:val="18"/>
                <w:color w:val="0000FF"/>
              </w:rPr>
            </w:pPr>
            <w:hyperlink w:anchor="page41">
              <w:r>
                <w:rPr>
                  <w:rFonts w:ascii="Arial" w:cs="Arial" w:eastAsia="Arial" w:hAnsi="Arial"/>
                  <w:sz w:val="18"/>
                  <w:szCs w:val="18"/>
                  <w:color w:val="0000FF"/>
                </w:rPr>
                <w:t>ITEM 16.</w:t>
              </w:r>
            </w:hyperlink>
          </w:p>
        </w:tc>
        <w:tc>
          <w:tcPr>
            <w:tcW w:w="9400" w:type="dxa"/>
            <w:vAlign w:val="bottom"/>
            <w:gridSpan w:val="22"/>
            <w:shd w:val="clear" w:color="auto" w:fill="CCEEFF"/>
          </w:tcPr>
          <w:p>
            <w:pPr>
              <w:spacing w:after="0" w:line="162" w:lineRule="exact"/>
              <w:rPr>
                <w:rFonts w:ascii="Arial" w:cs="Arial" w:eastAsia="Arial" w:hAnsi="Arial"/>
                <w:sz w:val="18"/>
                <w:szCs w:val="18"/>
                <w:color w:val="0000FF"/>
              </w:rPr>
            </w:pPr>
            <w:hyperlink w:anchor="page41">
              <w:r>
                <w:rPr>
                  <w:rFonts w:ascii="Arial" w:cs="Arial" w:eastAsia="Arial" w:hAnsi="Arial"/>
                  <w:sz w:val="18"/>
                  <w:szCs w:val="18"/>
                  <w:color w:val="0000FF"/>
                </w:rPr>
                <w:t>FORM 10-K SUMMARY</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CCEEFF"/>
            </w:tcBorders>
            <w:gridSpan w:val="6"/>
            <w:shd w:val="clear" w:color="auto" w:fill="CCEEFF"/>
          </w:tcPr>
          <w:p>
            <w:pPr>
              <w:spacing w:after="0" w:line="162" w:lineRule="exact"/>
              <w:rPr>
                <w:rFonts w:ascii="Arial" w:cs="Arial" w:eastAsia="Arial" w:hAnsi="Arial"/>
                <w:sz w:val="18"/>
                <w:szCs w:val="18"/>
                <w:color w:val="0000FF"/>
              </w:rPr>
            </w:pPr>
            <w:hyperlink w:anchor="page70">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740" w:type="dxa"/>
            <w:vAlign w:val="bottom"/>
            <w:gridSpan w:val="28"/>
            <w:shd w:val="clear" w:color="auto" w:fill="CCEEFF"/>
          </w:tcPr>
          <w:p>
            <w:pPr>
              <w:spacing w:after="0" w:line="162" w:lineRule="exact"/>
              <w:rPr>
                <w:rFonts w:ascii="Arial" w:cs="Arial" w:eastAsia="Arial" w:hAnsi="Arial"/>
                <w:sz w:val="18"/>
                <w:szCs w:val="18"/>
                <w:color w:val="0000FF"/>
              </w:rPr>
            </w:pPr>
            <w:hyperlink w:anchor="page71">
              <w:r>
                <w:rPr>
                  <w:rFonts w:ascii="Arial" w:cs="Arial" w:eastAsia="Arial" w:hAnsi="Arial"/>
                  <w:sz w:val="18"/>
                  <w:szCs w:val="18"/>
                  <w:color w:val="0000FF"/>
                </w:rPr>
                <w:t>POWER OF ATTORNEY</w:t>
              </w:r>
            </w:hyperlink>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7"/>
        </w:trPr>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and man-made tiles, setting and maintenance materials, and related accessories in the United States. Our assortment includes over 6,000 products from around the world. Natural stone products include marble, travertine, granite, quartz, sandstone, slate, and onyx tiles. Man-made products include ceramic, porcelain, glass, cement, wood look, and metal tiles.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2021, we operated 143 stores in 31 states and the District of Columbia, with an average size of approximately 20,000 square feet.</w:t>
      </w:r>
    </w:p>
    <w:p>
      <w:pPr>
        <w:spacing w:after="0" w:line="137"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and man-made tiles, setting and maintenance materials, and related accessories in the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2021, we reported net sales and income from operations of $370.7 million and $20.6 million, respectively. Our 2020 and 2019 net sales were</w:t>
      </w:r>
    </w:p>
    <w:p>
      <w:pPr>
        <w:spacing w:after="0" w:line="1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$325.1 million and $340.4 million, respectively, and our 2020 and 2019 income (loss) from operations was $6.4 million and $(1.4) million, respectively. As of December 31, 2021 and 2020, we had total assets of $340.8 million and $342.7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7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over 6,000 natural stone and man-made tile products, setting and maintenance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and tools. We are able to maintain competitive prices by purchasing tile and accessories directly from producers and manufacturing our own setting and maintenance materials.</w:t>
      </w:r>
    </w:p>
    <w:p>
      <w:pPr>
        <w:spacing w:after="0" w:line="148"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i w:val="1"/>
          <w:iCs w:val="1"/>
          <w:color w:val="auto"/>
        </w:rPr>
        <w:t xml:space="preserve">Customer Service and Satisfaction – </w:t>
      </w:r>
      <w:r>
        <w:rPr>
          <w:rFonts w:ascii="Arial" w:cs="Arial" w:eastAsia="Arial" w:hAnsi="Arial"/>
          <w:sz w:val="18"/>
          <w:szCs w:val="18"/>
          <w:color w:val="auto"/>
        </w:rPr>
        <w:t>Our sales personnel are highly-trained and knowledgeable about the technical and design aspects of our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provide one-on-one installation training as required to meet customer needs. We accept returns up to three months following the date of the sale, with no restocking fees.</w:t>
      </w:r>
    </w:p>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 to 50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vignettes of bathrooms, kitchens, fireplaces, foyers, and other distinct spaces. Our stores are spacious, well-lit, and organized by product type to simplify our customers’ shopping experience.</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i w:val="1"/>
          <w:iCs w:val="1"/>
          <w:color w:val="auto"/>
        </w:rPr>
        <w:t xml:space="preserve">Global Sourcing Capabilities – </w:t>
      </w:r>
      <w:r>
        <w:rPr>
          <w:rFonts w:ascii="Arial" w:cs="Arial" w:eastAsia="Arial" w:hAnsi="Arial"/>
          <w:sz w:val="18"/>
          <w:szCs w:val="18"/>
          <w:color w:val="auto"/>
        </w:rPr>
        <w:t>We have long-standing relationships with our tile suppliers throughout the world and work with them to design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us. We believe that these direct relationships differentiate us from our competitors.</w:t>
      </w:r>
    </w:p>
    <w:p>
      <w:pPr>
        <w:spacing w:after="0" w:line="14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helps us to differentiate our products from those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competitors. We offer products across a range of price points and quality levels, which allows us to target discrete market segments and to appeal to diverse groups of customers.</w:t>
      </w:r>
    </w:p>
    <w:p>
      <w:pPr>
        <w:spacing w:after="0" w:line="14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i w:val="1"/>
          <w:iCs w:val="1"/>
          <w:color w:val="auto"/>
        </w:rPr>
        <w:t xml:space="preserve">Centralized Distribution System – </w:t>
      </w:r>
      <w:r>
        <w:rPr>
          <w:rFonts w:ascii="Arial" w:cs="Arial" w:eastAsia="Arial" w:hAnsi="Arial"/>
          <w:sz w:val="18"/>
          <w:szCs w:val="18"/>
          <w:color w:val="auto"/>
        </w:rPr>
        <w:t>We service our store locations from five distribution centers. Our distribution centers, located in Michigan, Oklahoma,</w:t>
      </w:r>
      <w:r>
        <w:rPr>
          <w:rFonts w:ascii="Arial" w:cs="Arial" w:eastAsia="Arial" w:hAnsi="Arial"/>
          <w:sz w:val="18"/>
          <w:szCs w:val="18"/>
          <w:i w:val="1"/>
          <w:iCs w:val="1"/>
          <w:color w:val="auto"/>
        </w:rPr>
        <w:t xml:space="preserve"> </w:t>
      </w:r>
      <w:r>
        <w:rPr>
          <w:rFonts w:ascii="Arial" w:cs="Arial" w:eastAsia="Arial" w:hAnsi="Arial"/>
          <w:sz w:val="18"/>
          <w:szCs w:val="18"/>
          <w:color w:val="auto"/>
        </w:rPr>
        <w:t>New Jersey, Virginia, and Wisconsin, are located to cost effectively service our existing stores.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7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committed to carrying the best assortment, offering the best service, and showcasing the best presentation in our industry. These principles have always been core to our strategy and will continue to be as we move into 2022.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2022 strategy include:</w:t>
      </w:r>
    </w:p>
    <w:p>
      <w:pPr>
        <w:spacing w:after="0" w:line="171"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i w:val="1"/>
          <w:iCs w:val="1"/>
          <w:color w:val="auto"/>
        </w:rPr>
        <w:t xml:space="preserve">People First – </w:t>
      </w:r>
      <w:r>
        <w:rPr>
          <w:rFonts w:ascii="Arial" w:cs="Arial" w:eastAsia="Arial" w:hAnsi="Arial"/>
          <w:sz w:val="18"/>
          <w:szCs w:val="18"/>
          <w:color w:val="auto"/>
        </w:rPr>
        <w:t>We pride ourselves on offering the best service in our industry, and our employees are the key to our success. We are committed to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training and development programs to further enhance the skill sets of our employees. We are also taking steps to improve engagement, communication and collaboration across our team.</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i w:val="1"/>
          <w:iCs w:val="1"/>
          <w:color w:val="auto"/>
        </w:rPr>
        <w:t xml:space="preserve">Focused Retail Execution – </w:t>
      </w:r>
      <w:r>
        <w:rPr>
          <w:rFonts w:ascii="Arial" w:cs="Arial" w:eastAsia="Arial" w:hAnsi="Arial"/>
          <w:sz w:val="18"/>
          <w:szCs w:val="18"/>
          <w:color w:val="auto"/>
        </w:rPr>
        <w:t>We continue to believe that our biggest opportunity for sales growth and EBITDA expansion is tied to our ability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 each of our stores. We have defined critical success measures for each of our stores, tactics to drive improvement in each area of focus, and reporting processes to monitor progress.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Supply Chain and Assortment Management – </w:t>
      </w:r>
      <w:r>
        <w:rPr>
          <w:rFonts w:ascii="Arial" w:cs="Arial" w:eastAsia="Arial" w:hAnsi="Arial"/>
          <w:sz w:val="16"/>
          <w:szCs w:val="16"/>
          <w:color w:val="auto"/>
        </w:rPr>
        <w:t>Over the last year, we have encountered a number of product shortages, due in part to the impact of COVID-</w:t>
      </w:r>
    </w:p>
    <w:p>
      <w:pPr>
        <w:spacing w:after="0" w:line="21" w:lineRule="exact"/>
        <w:rPr>
          <w:sz w:val="20"/>
          <w:szCs w:val="20"/>
          <w:color w:val="auto"/>
        </w:rPr>
      </w:pPr>
    </w:p>
    <w:p>
      <w:pPr>
        <w:jc w:val="both"/>
        <w:ind w:right="20" w:firstLine="8"/>
        <w:spacing w:after="0" w:line="226"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refining our approach to manage inventory levels and order activity to ensure we maintain adequate supply and appropriate inventory turnover. Additionally, refining an industry leading assortment is a foundational aspect of our strategy. Our assortment includes good, better, and best options for our customers within each of the product categories we carry in our stores and online. We continue to focus on maintaining an assortment that differentiates our brand.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Customers can choose to have their purchases delivered or picked up at one of our stores. We believe this strategy also positions us well with professional customers who are influenced by the preferences of individual homeowners.</w:t>
      </w:r>
    </w:p>
    <w:p>
      <w:pPr>
        <w:spacing w:after="0" w:line="14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4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Unlike many of our competitors, we devote a substantial portion of our store space to showrooms, including samples of our products and up to 50 different vignettes of bathrooms, kitchens, fireplaces, foyers,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 staffing model for a typical store consists of a manager, an assistant manager, sales associates, and a warehouse leader. Our store managers are responsible for store operations and for overseeing our customers’ shopping experience. We offer financing to customers through a branded credit card provided by a third-party consumer finance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75" w:lineRule="exact"/>
        <w:rPr>
          <w:sz w:val="20"/>
          <w:szCs w:val="20"/>
          <w:color w:val="auto"/>
        </w:rPr>
      </w:pPr>
    </w:p>
    <w:p>
      <w:pPr>
        <w:jc w:val="both"/>
        <w:ind w:right="800"/>
        <w:spacing w:after="0" w:line="235" w:lineRule="auto"/>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advertisements. We continually test and learn from new media and adjust our programs based on performance.</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7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We offer an extensive and complete assortment of natural stone and man-made tile products, sourced directly from our suppliers. Natural stone products include marble, travertine, granite, quartz, sandstone, slate, and onyx tiles. Man-made products include ceramic, porcelain, glass, cement, wood look, and metal tiles. Our wide assortment of accessories, including trim pieces, mosaics, pencils, listellos, and other unique products, encourages our customers to make a fashion statement with their tile project and helps us to deliver a high level of customer satisfaction and drive repeat business. We also offer a broad range of setting and maintenance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over 6,000 different tile products, setting and maintenance materials, and accessory products. The percentage of our net sales represented by each product category was as follows for the years ended December 31, 2021 and 2020:</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680" w:type="dxa"/>
            <w:vAlign w:val="bottom"/>
            <w:gridSpan w:val="3"/>
          </w:tcPr>
          <w:p>
            <w:pPr>
              <w:jc w:val="right"/>
              <w:ind w:right="770"/>
              <w:spacing w:after="0"/>
              <w:rPr>
                <w:sz w:val="20"/>
                <w:szCs w:val="20"/>
                <w:color w:val="auto"/>
              </w:rPr>
            </w:pPr>
            <w:r>
              <w:rPr>
                <w:rFonts w:ascii="Arial" w:cs="Arial" w:eastAsia="Arial" w:hAnsi="Arial"/>
                <w:sz w:val="18"/>
                <w:szCs w:val="18"/>
                <w:color w:val="auto"/>
              </w:rPr>
              <w:t>Years Ended December 31,</w:t>
            </w:r>
          </w:p>
        </w:tc>
      </w:tr>
      <w:tr>
        <w:trPr>
          <w:trHeight w:val="217"/>
        </w:trPr>
        <w:tc>
          <w:tcPr>
            <w:tcW w:w="75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76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48 %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46 %</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29</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7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14</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9</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2</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Recently, many of our vendors have begun to communicate price increases in response to inflationary cost pressure. While we seek to manage price and availability risks related to supplies through procurement strategies, these efforts may not be successful, and we may experience adverse impacts due to rising prices of such products. While we have adjusted, and plan to continue to adjust, our pricing as a result of the current cost pressures, we may not be able to adjust the prices of our products, especially in the short-term, to recover any cost increases in materials.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long-standing relationships with our suppliers throughout the world and work with them to design and manufacture products exclusively for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direct relationships differentiate us from our competitors.</w:t>
      </w:r>
    </w:p>
    <w:p>
      <w:pPr>
        <w:spacing w:after="0" w:line="155"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We currently purchase tile products from approximately 170 different suppliers. Our top ten tile suppliers accounted for 50% of our tile purchases in 2021. Our largest supplier accounted for 13% of our total purchases in 2021. We believe that alternative and competitive suppliers are available for many of our products. The percentage of our total purchases from the following continents was as follows for the years ended December 31, 2021 and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680" w:type="dxa"/>
            <w:vAlign w:val="bottom"/>
            <w:gridSpan w:val="3"/>
          </w:tcPr>
          <w:p>
            <w:pPr>
              <w:jc w:val="right"/>
              <w:ind w:right="770"/>
              <w:spacing w:after="0"/>
              <w:rPr>
                <w:sz w:val="20"/>
                <w:szCs w:val="20"/>
                <w:color w:val="auto"/>
              </w:rPr>
            </w:pPr>
            <w:r>
              <w:rPr>
                <w:rFonts w:ascii="Arial" w:cs="Arial" w:eastAsia="Arial" w:hAnsi="Arial"/>
                <w:sz w:val="18"/>
                <w:szCs w:val="18"/>
                <w:color w:val="auto"/>
              </w:rPr>
              <w:t>Years Ended December 31,</w:t>
            </w:r>
          </w:p>
        </w:tc>
      </w:tr>
      <w:tr>
        <w:trPr>
          <w:trHeight w:val="217"/>
        </w:trPr>
        <w:tc>
          <w:tcPr>
            <w:tcW w:w="75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North America</w:t>
            </w:r>
          </w:p>
        </w:tc>
        <w:tc>
          <w:tcPr>
            <w:tcW w:w="176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27 %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35 %</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Europe</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29</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Asia</w:t>
            </w:r>
          </w:p>
        </w:tc>
        <w:tc>
          <w:tcPr>
            <w:tcW w:w="17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27</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South America</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8</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Africa</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1</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7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take possession of our products in the country of origin and arrange for transportation to our five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4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fulfill customer orders primarily by shipping our products to our stores where customers can either pick them up or arrange for home delivery. We continue to evaluate logistics alternatives to best serve our store base and our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assortment;</w:t>
      </w:r>
    </w:p>
    <w:p>
      <w:pPr>
        <w:ind w:left="660"/>
        <w:spacing w:after="0" w:line="219" w:lineRule="auto"/>
        <w:rPr>
          <w:sz w:val="20"/>
          <w:szCs w:val="20"/>
          <w:color w:val="auto"/>
        </w:rPr>
      </w:pPr>
      <w:r>
        <w:rPr>
          <w:rFonts w:ascii="Arial" w:cs="Arial" w:eastAsia="Arial" w:hAnsi="Arial"/>
          <w:sz w:val="18"/>
          <w:szCs w:val="18"/>
          <w:color w:val="auto"/>
        </w:rPr>
        <w:t>product presentation;</w:t>
      </w:r>
    </w:p>
    <w:p>
      <w:pPr>
        <w:ind w:left="660"/>
        <w:spacing w:after="0" w:line="219" w:lineRule="auto"/>
        <w:rPr>
          <w:sz w:val="20"/>
          <w:szCs w:val="20"/>
          <w:color w:val="auto"/>
        </w:rPr>
      </w:pPr>
      <w:r>
        <w:rPr>
          <w:rFonts w:ascii="Arial" w:cs="Arial" w:eastAsia="Arial" w:hAnsi="Arial"/>
          <w:sz w:val="18"/>
          <w:szCs w:val="18"/>
          <w:color w:val="auto"/>
        </w:rPr>
        <w:t>customer service;</w:t>
      </w:r>
    </w:p>
    <w:p>
      <w:pPr>
        <w:ind w:left="660"/>
        <w:spacing w:after="0" w:line="219" w:lineRule="auto"/>
        <w:rPr>
          <w:sz w:val="20"/>
          <w:szCs w:val="20"/>
          <w:color w:val="auto"/>
        </w:rPr>
      </w:pPr>
      <w:r>
        <w:rPr>
          <w:rFonts w:ascii="Arial" w:cs="Arial" w:eastAsia="Arial" w:hAnsi="Arial"/>
          <w:sz w:val="18"/>
          <w:szCs w:val="18"/>
          <w:color w:val="auto"/>
        </w:rPr>
        <w:t>store location;</w:t>
      </w:r>
    </w:p>
    <w:p>
      <w:pPr>
        <w:ind w:left="660"/>
        <w:spacing w:after="0" w:line="219" w:lineRule="auto"/>
        <w:rPr>
          <w:sz w:val="20"/>
          <w:szCs w:val="20"/>
          <w:color w:val="auto"/>
        </w:rPr>
      </w:pPr>
      <w:r>
        <w:rPr>
          <w:rFonts w:ascii="Arial" w:cs="Arial" w:eastAsia="Arial" w:hAnsi="Arial"/>
          <w:sz w:val="18"/>
          <w:szCs w:val="18"/>
          <w:color w:val="auto"/>
        </w:rPr>
        <w:t>availability of inventory;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w:t>
      </w:r>
    </w:p>
    <w:p>
      <w:pPr>
        <w:spacing w:after="0" w:line="30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believe that our employees are our strongest competitive advantage and the high-quality service that they provide sets us apart from others in our industry. As of December 31, 2021, we had 1,343 employees, 1,247 of whom were full-time and none who were represented by a union. This includes 989 employees who work in our stores, 111 who work in corporate, store support, infrastructure or similar functions, and 243 who work in our distribution and manufacturing facilities.</w:t>
      </w:r>
    </w:p>
    <w:p>
      <w:pPr>
        <w:spacing w:after="0" w:line="14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Company’s Board of Directors (the “Board”), through its Compensation Committee, provides oversight of human capital matters including the Company’s diversity and inclusion initiatives that promote equity across the organization. The Compensation Committee and Board periodically review the composition of our workforce and promote practices to hire from a diverse pool of candidates. The Compensation Committee and Board also review the Company’s compensation and benefits programs as well as management development and succession planning practices and strategies.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human capital objectives are to attract, develop and retain people who are committed to our goal of providing the best service in our industry.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support these objectives, our human resources programs seek to:</w:t>
      </w:r>
    </w:p>
    <w:p>
      <w:pPr>
        <w:spacing w:after="0" w:line="155" w:lineRule="exact"/>
        <w:rPr>
          <w:sz w:val="20"/>
          <w:szCs w:val="20"/>
          <w:color w:val="auto"/>
        </w:rPr>
      </w:pPr>
    </w:p>
    <w:p>
      <w:pPr>
        <w:ind w:left="660"/>
        <w:spacing w:after="0" w:line="228" w:lineRule="auto"/>
        <w:rPr>
          <w:sz w:val="20"/>
          <w:szCs w:val="20"/>
          <w:color w:val="auto"/>
        </w:rPr>
      </w:pPr>
      <w:r>
        <w:rPr>
          <w:rFonts w:ascii="Arial" w:cs="Arial" w:eastAsia="Arial" w:hAnsi="Arial"/>
          <w:sz w:val="18"/>
          <w:szCs w:val="18"/>
          <w:color w:val="auto"/>
        </w:rPr>
        <w:t>Reward our employees through highly competitive total compensation and benefit programs designed to reward exceptional performance, promote teamwork and support our employees’ total wellbeing.</w:t>
      </w:r>
    </w:p>
    <w:p>
      <w:pPr>
        <w:spacing w:after="0" w:line="1" w:lineRule="exact"/>
        <w:rPr>
          <w:sz w:val="20"/>
          <w:szCs w:val="20"/>
          <w:color w:val="auto"/>
        </w:rPr>
      </w:pPr>
    </w:p>
    <w:p>
      <w:pPr>
        <w:ind w:left="660" w:right="700"/>
        <w:spacing w:after="0" w:line="219" w:lineRule="auto"/>
        <w:rPr>
          <w:sz w:val="20"/>
          <w:szCs w:val="20"/>
          <w:color w:val="auto"/>
        </w:rPr>
      </w:pPr>
      <w:r>
        <w:rPr>
          <w:rFonts w:ascii="Arial" w:cs="Arial" w:eastAsia="Arial" w:hAnsi="Arial"/>
          <w:sz w:val="18"/>
          <w:szCs w:val="18"/>
          <w:color w:val="auto"/>
        </w:rPr>
        <w:t>Provide development opportunities to enhance sales skills, product knowledge, exposure to the latest design trends, safety, teamwork and leadership.</w:t>
      </w:r>
    </w:p>
    <w:p>
      <w:pPr>
        <w:ind w:left="660"/>
        <w:spacing w:after="0"/>
        <w:rPr>
          <w:sz w:val="20"/>
          <w:szCs w:val="20"/>
          <w:color w:val="auto"/>
        </w:rPr>
      </w:pPr>
      <w:r>
        <w:rPr>
          <w:rFonts w:ascii="Arial" w:cs="Arial" w:eastAsia="Arial" w:hAnsi="Arial"/>
          <w:sz w:val="18"/>
          <w:szCs w:val="18"/>
          <w:color w:val="auto"/>
        </w:rPr>
        <w:t>Enhance our culture through efforts aimed at making our workplace more diverse, engaging, equitable and inclusive.</w:t>
      </w:r>
    </w:p>
    <w:p>
      <w:pPr>
        <w:spacing w:after="0" w:line="155"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We believe that building a strong and diverse workforce is a significant contributor to our success. Creating a culture that embraces diversity and inclusion is the key to a collaborative and winning team culture. To achieve this goal, we seek diverse talent internally and externally in an effort to achieve broader diverse representation throughout our organization. We also promote inclusion through our training and development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175" w:lineRule="exact"/>
        <w:rPr>
          <w:sz w:val="20"/>
          <w:szCs w:val="20"/>
          <w:color w:val="auto"/>
        </w:rPr>
      </w:pPr>
    </w:p>
    <w:p>
      <w:pPr>
        <w:jc w:val="both"/>
        <w:ind w:right="320"/>
        <w:spacing w:after="0" w:line="235" w:lineRule="auto"/>
        <w:rPr>
          <w:sz w:val="20"/>
          <w:szCs w:val="20"/>
          <w:color w:val="auto"/>
        </w:rPr>
      </w:pPr>
      <w:r>
        <w:rPr>
          <w:rFonts w:ascii="Arial" w:cs="Arial" w:eastAsia="Arial" w:hAnsi="Arial"/>
          <w:sz w:val="18"/>
          <w:szCs w:val="18"/>
          <w:color w:val="auto"/>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21" w:lineRule="exact"/>
        <w:rPr>
          <w:sz w:val="20"/>
          <w:szCs w:val="20"/>
          <w:color w:val="auto"/>
        </w:rPr>
      </w:pPr>
    </w:p>
    <w:p>
      <w:pPr>
        <w:ind w:right="400"/>
        <w:spacing w:after="0" w:line="225" w:lineRule="auto"/>
        <w:rPr>
          <w:sz w:val="20"/>
          <w:szCs w:val="20"/>
          <w:color w:val="auto"/>
        </w:rPr>
      </w:pPr>
      <w:r>
        <w:rPr>
          <w:rFonts w:ascii="Arial" w:cs="Arial" w:eastAsia="Arial" w:hAnsi="Arial"/>
          <w:sz w:val="18"/>
          <w:szCs w:val="18"/>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7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 regarding issuers that file electronically with the SEC. These materials may be obtained electronically by accessing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48"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u w:val="single" w:color="auto"/>
          <w:color w:val="auto"/>
        </w:rPr>
        <w:t>www.tileshop.com</w:t>
      </w:r>
      <w:r>
        <w:rPr>
          <w:rFonts w:ascii="Arial" w:cs="Arial" w:eastAsia="Arial" w:hAnsi="Arial"/>
          <w:sz w:val="17"/>
          <w:szCs w:val="17"/>
          <w:color w:val="auto"/>
        </w:rPr>
        <w:t>, the contents of which are not part of or incorporated by reference into this Form 10-K or any other report or document we file with the SEC. Any reference to our website is intended to be an inactive textual reference only. We make our annual reports on Form 10-K, quarterly reports on Form 10-Q,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We intend to use the investor relations section of our website, </w:t>
      </w:r>
      <w:r>
        <w:rPr>
          <w:rFonts w:ascii="Arial" w:cs="Arial" w:eastAsia="Arial" w:hAnsi="Arial"/>
          <w:sz w:val="18"/>
          <w:szCs w:val="18"/>
          <w:u w:val="single" w:color="auto"/>
          <w:color w:val="auto"/>
        </w:rPr>
        <w:t>investors.tileshop.com,</w:t>
      </w:r>
      <w:r>
        <w:rPr>
          <w:rFonts w:ascii="Arial" w:cs="Arial" w:eastAsia="Arial" w:hAnsi="Arial"/>
          <w:sz w:val="18"/>
          <w:szCs w:val="18"/>
          <w:color w:val="auto"/>
        </w:rPr>
        <w:t xml:space="preserve"> as a means of disclosing material non-public information and for complying with our disclosure obligations under SEC Regulation FD.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following are material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Disclosures of risks should not be interpreted to imply that the risks have not already materialized, and there may be additional risks that are not presently material or known. You should carefully consider each of the following risks and all other information set forth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7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The COVID-19 pandemic has negatively impacted, and we anticipate will continue to adversely affect, our business, financial condition, results of operations and cash flows.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ongoing COVID-19 pandemic has created significant volatility, uncertainty and economic disruption across the world. In response to the COVID-19 pandemic, governmental authorities have implemented numerous measures to try to contain the virus, some of which have been extended or reimplemented as a result of ongoing waves of COVID-19 cases, with additional challenges resulting from the emergence of new variants of COVID-19. Such measures have impacted, and may continue to affect, our workforce, operations, suppliers and customers. While we have suspended many of the remedial measures we took in the months following the onset of COVID-19, it may be necessary to implement remedial measures such as temporary store closures, reduced store hours, workforce reductions or other steps to conserve cash and curtail other selling general and administrative expenses. There is no certainty that the remedial measures we may take in the future, will be sufficient to mitigate the risks posed by COVID-19. Further, such measures could potentially materially adversely affect our business, financial condition and results of operations and create additional risks for us.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Among other things, the pandemic has negatively impacted our workforce and supply chain. We have incurred additional costs as a result of COVID-19 infections at store locations and have, and may continue to, experience difficulties staffing our store locations, which may be exacerbated if we are required to implement vaccine mandates. We also have an increased number of employees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working remotely, which increases our exposure to potential cybersecurity threats. In addition, during 2021, we experienced elevated levels of product shortages, which were partially due to vendor production delays and global shipping capacity constraints resulting, in part, from the impact of COVID-19. We continue to actively work with our vendors to secure delivery of backordered product.</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ultimate magnitude of the COVID-19 pandemic and the full extent of the material negative impact on our financial and operational results cannot be predicted and will depend on future developments, including the duration, scope and severity of the pandemic and the related length of its impact on the global economy and our customers; the extent of any additional resurgences in cases across the United States, including breakthrough infections among the fully vaccinated population; the timing, acceptance, availability and effectiveness of medical treatments and vaccines; the emergence of new strains of COVID-19; labor shortages; and ongoing supply chain disruptions and shortages of certain supplies and the resulting cost inflation. The resumption of our normal business operations may be constrained by lingering effects of COVID-19 on our customers, suppliers and/or third-party service providers, and any inability to meet customers’ needs due to the impacts of COVID-19 could negatively impact our business and reputation. Any recovery from the COVID-19 pandemic and related economic impact may also be slowed or reversed by a variety of factors, such as any additional waves of COVID-19 infections and breakthrough infections.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grow and remain profitable may be limited by direct or indirect competition in the highly-competitive retail tile industry.</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 the retail industry in general is subject to rapid technological change, which may increase the amount of capital we spend in the future as we work to sustain and grow our technological infrastructure and digital commerce capabilities in order to remain competitive.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by us to successfully anticipate consumer trends may lead to loss of consumer acceptance of our products, resulting in reduced revenues.</w:t>
      </w: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or increases in our pricing as a result of general product shortages, supply chain disruptions and inflationary cost pressure, could cause customers to seek alternative sources of such products, as well as other products they may have purchased from us, which could also reduce our revenues.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online sales, our reputation and operating results may be harmed.</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Consumers are increasingly embracing shopping online and through mobile commerce applications. Any failure on our part to provide an attractive, reliable and user-friendly digital platform that offers a wide assortment of merchandise and meets the changing expectations of online shoppers could place us at a competitive disadvantage, result in the loss of e-commerce and other sales, harm our reputation with consumers, and have a material adverse impact on the growth of our e-commerce business and on our business and results of operations. We are vulnerable to certain risks and uncertainties associated with our e-commerce operations, including changes in required technology interfaces, website downtime and other technical failures, costs and technical issues for upgrades of our website software, computer viruses, changes in applicable federal and state regulations, security breaches and consumer privacy concerns. If not managed, these risks could adversely impact our operating results.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5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future periods, we intend to continue opening stores in new and existing markets. Because our stores typically draw customers from their local areas, additional stores may draw customers away from nearby existing stores and may cause comparable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our comparable store sales and overall operating results may be reduced during the implementation of our expansion strategy.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expansion will be dependent upon, and limited by, the availability of adequate capital.</w:t>
      </w:r>
    </w:p>
    <w:p>
      <w:pPr>
        <w:spacing w:after="0" w:line="17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rent adjusted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that our growth was achieved in part through the effectiveness of our marketing strategies. Prior to 2018, we used internet, print, and radio advertisements containing discounts and promotional offers to encourage customers to visit our stores. A significant portion of our advertising was invested to support the opening of new stores and directed at professional customers. Beginning in late 2017, we de-emphasized the use of discount offers to attract customers. Limited use of discount and promotional offers in future periods could fail to attract customers, resulting in a decrease in store traffic. We may need to further increase our marketing expense to support our business strategies in the future. If our marketing strategies fail to draw customers in the future, or if the cost of advertising or other marketing materials increases significantly, we could experience declines in our net sales and operating results.</w:t>
      </w:r>
    </w:p>
    <w:p>
      <w:pPr>
        <w:spacing w:after="0" w:line="13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addition, there has been a substantial increase in the use of social media platforms. Negative commentary regarding us or the products we sell may be posted on social media platforms or other electronic means at any time and may be adverse to our reputation or business. Customers value readily available information and often act on such information without further investigation and without regard to its accuracy. Any harm to us or the products we sell may be immediate without allowing us an opportunity for redress or correction. We also use social media platforms as marketing tools, and our marketing efforts through social media platforms may not be successful, and the availability of these platforms may make it easier for smaller competitors to compete with 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Financial Condition</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comparable store sales fluctuate due to a variety of economic, operating, industry and environmental factors and may not be a fair indicator of our overall performance.</w:t>
      </w:r>
    </w:p>
    <w:p>
      <w:pPr>
        <w:spacing w:after="0" w:line="143"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Our comparable store sales have experienced fluctuations, which can be expected to continue. Numerous factors affect our comparable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which may be exacerbated by the effects of climate change, retail trends, the retail sales environment, economic and geopolitical conditions, inflation, the impact of competition, and our ability to execute our business strategy, as well as the impact of COVID-19, including resurgences in infections throughout the United States, and governmental measures implemented to try to contain the pandemic. As a result, comparable store sales or operating results may fluctuate and may cause the price of our securities to fluctuate significantly. Therefore, we believe that period-to-period comparisons of our comparable store sales may not be a reliable indicator of our future overall operating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customers are unable to obtain third-party financing at satisfactory rates, sales of our products could be materially adversely affected.</w:t>
      </w:r>
    </w:p>
    <w:p>
      <w:pPr>
        <w:spacing w:after="0" w:line="18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In certain markets, deterioration in the economic environment as a result of the COVID-19 pandemic has led to reduced consumer and business spending, including by our customers, and continued deterioration, whether due to the COVID-19 pandemic or other factors, may lead to further reduced consumer and business spending. It may also cause customers to shift their spending to products that we either do not sell or that generate lower profitability for us. Further,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and the effects of the COVID-19 pandemic, have resulted, and may continue to result, in financial difficulties, leading to restructuring, bankruptcies, liquidations and other unfavorable events for our customers, which may adversely impact our industry, business, and results of operations.</w:t>
      </w:r>
    </w:p>
    <w:p>
      <w:pPr>
        <w:spacing w:after="0" w:line="15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The burden of incurring debt under our existing credit facility could adversely affect us and make us more vulnerable to adverse economic or industry conditions.</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entered into a credit facility with Bank of America, N.A., Fifth Third Bank and Citizens Bank on September 18, 2018, which was amended November 16, 2021. As of December 31, 2021, we had $5.0 million outstanding on our revolving line of credit, leaving $92.6 million available for future borrowings. The terms of our credit facility could have serious consequences for us, including limiting our ability to obtain additional financing to fund our working capital, capital expenditures, debt service requirements, expansion strategy, or other needs and increasing our vulnerability to, and reducing our flexibility in planning for, adverse changes in economic, industry, and competitive conditions, such as the potential impact of COVID-19 on our ability to comply with the financial covenants under the credit facility. Our credit facility also contains negative covenants that limit our ability to engage in specified types of transactions, including, among other things, our ability to incur indebtedness, create liens, engage in mergers or consolidations, sell assets (including pursuant to sale and leaseback transactions), make investments, acquisitions, loans, or advances, engage in certain transactions with affiliates, amend our organizational documents and change our lines of business. A breach of any of these covenants could result in an event of default under our credit facility, which would allow the lender to declare all amounts outstanding to be immediately due and payable and terminate all commitments to extend further credit or seek amendments to our debt agreements that would provide for terms more favorable to our lenders, which we may have to accept under the circumstances. If we are unable to repay any amounts due, our lenders under our credit facility could proceed against the collateral granted to it to secure that indebtedness.</w:t>
      </w:r>
    </w:p>
    <w:p>
      <w:pPr>
        <w:spacing w:after="0" w:line="200" w:lineRule="exact"/>
        <w:rPr>
          <w:sz w:val="20"/>
          <w:szCs w:val="20"/>
          <w:color w:val="auto"/>
        </w:rPr>
      </w:pPr>
    </w:p>
    <w:p>
      <w:pPr>
        <w:spacing w:after="0" w:line="24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Any future increase in the level of our indebtedness will likely increase our interest expense, which could negatively impact our profitability, and we are vulnerable to changes in variable interest rates. Current interest rates on borrowings under our credit facility are variable and include the use of the London Interbank Offered Rate (“LIBOR”). LIBOR is in the process of being phased out and may be replaced by other benchmark rates; at this time, the future of LIBOR remains uncertain, and any changes in the methods by which LIBOR is determined or regulatory activity related to LIBOR’s phase out could cause LIBOR to perform differently than in the past or cease to exist. The phase out of LIBOR could cause market volatility or disruption and may adversely affect our access to the capital markets and cost of funding. Furthermore, while our credit facility contains “fallback” provisions providing for alternative rate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calculations in the event LIBOR is unavailable, these “fallback” provisions may not adequately address the actual changes to LIBOR or successor rates.</w:t>
      </w:r>
    </w:p>
    <w:p>
      <w:pPr>
        <w:spacing w:after="0" w:line="19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including the impact of COVID-19, competition for desirable properties, our relationships with current and prospective landlords, or other factors that are not within our control. Any or all of these factors and conditions could negatively impact our growth and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results may be affected by the prices of the materials used in the manufacture of tile, setting and maintenance materials, and related accessories that we sell. These prices may fluctuate based on a number of factors beyond our control, including: oil prices, changes in supply and demand, general economic conditions, supply chain disruptions, labor costs, including those resulting from labor shortages, competition, import duties, tariffs, currency exchange rates, inflation, geopolitical conditions such as the Russia-Ukraine crisis and the resulting sanctions imposed by the U.S. and other countries, and government regulation. For instance, many of our vendors have begun to communicate price increases in response to inflationary cost pressure, which, combined with escalated international shipping rates, is resulting in an increase in the cost of our inventory and corresponding pressure on our gross margin rates. While we seek to manage price and availability risks related to supplies through procurement strategies, these efforts may not be successful, and we may experience adverse impacts due to rising prices of such products. In addition, energy costs have fluctuated dramatically in the past and may fluctuate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54" w:lineRule="exact"/>
        <w:rPr>
          <w:sz w:val="20"/>
          <w:szCs w:val="20"/>
          <w:color w:val="auto"/>
        </w:rPr>
      </w:pPr>
    </w:p>
    <w:p>
      <w:pPr>
        <w:jc w:val="both"/>
        <w:ind w:right="120"/>
        <w:spacing w:after="0" w:line="231" w:lineRule="auto"/>
        <w:rPr>
          <w:sz w:val="20"/>
          <w:szCs w:val="20"/>
          <w:color w:val="auto"/>
        </w:rPr>
      </w:pPr>
      <w:r>
        <w:rPr>
          <w:rFonts w:ascii="Arial" w:cs="Arial" w:eastAsia="Arial" w:hAnsi="Arial"/>
          <w:sz w:val="18"/>
          <w:szCs w:val="18"/>
          <w:color w:val="auto"/>
        </w:rPr>
        <w:t>While we have adjusted, and plan to continue to adjust, our pricing as a result of the current cost pressures described above, we may not be able to adjust the prices of our products, especially in the short-term, to recover any cost increases in materials and energy. A continual rise in material and energy costs could also adversely affect consumer spending and demand for our products and increase our operating costs, both of which could have a material adverse effect on our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threat or occurrence of one or more natural disasters or other extreme weather events, the nature, frequency and severity of which may be negatively impacted by climate change, and the threat or outbreak of terrorism, civil unrest, political instability, such as the Russia-Ukraine crisis, a public health epidemic or pandemic, such as the ongoing COVID-19 pandemic, or other hostilities, conflicts or similar adverse events could materially adversely affect our financial performance. These events may disrupt supply chains, resulting in increased costs and shipping delays, increase costs of energy and raw materials, result in damage to, or destruction or closure of, our stores, distribution centers and other properties or those of our suppliers, customers and other business partners, as well as injuries or loss of life.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 Although preventative measures may help to mitigate damage, we cannot provide any assurance that any measures we may take will be successful, and delays in recovery may be significant.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 with no business operations of our own and depend on cash flow from The Tile Shop to meet our obligations.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 holding company with no business operations of our own or material assets other than the equity of our subsidiaries. All of our operations are conducted by our subsidiaries, including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or inability to protect our intellectual property rights could diminish the value of our brand and weaken our competitive position.</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attempt to protect our intellectual property rights through a combination of copyright, patent, trademark, trade secret, trade dress and unfair competition laws, as well as confidentiality procedures, and assignment and licensing arrangements. Our failure to obtain or maintain adequate protection of our intellectual property rights for any reason could have a material adverse effect on our business, results of operations and financial condition, and might prevent our brands from achieving or maintaining market acceptance. Further, we cannot assure you that competitors or other third parties will not infringe upon our intellectual property rights, or that we will have adequate resources to enforce our intellectual property rights.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adversely impact our business.</w:t>
      </w:r>
    </w:p>
    <w:p>
      <w:pPr>
        <w:spacing w:after="0" w:line="17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Rising global average temperatures due to increased concentrations of carbon dioxide and other greenhouse gases in the atmosphere are causing significant changes in weather patterns around the globe and an increase in the frequency and severity of natural disasters. Changes in weather patterns and the increased frequency, intensity and duration of extreme weather events (such as floods, droughts, wildfires and severe storms) could, among other things, adversely impact the ability to extract natural stones from quarries, which is a key resource for a number of our products, disrupt the operation of our supply chain and the productivity of manufacturers on which we rely, disrupt retail operations and foot traffic in consumer markets, damage or destroy our stores, and increase our product costs.</w:t>
      </w:r>
    </w:p>
    <w:p>
      <w:pPr>
        <w:spacing w:after="0" w:line="148" w:lineRule="exact"/>
        <w:rPr>
          <w:sz w:val="20"/>
          <w:szCs w:val="20"/>
          <w:color w:val="auto"/>
        </w:rPr>
      </w:pPr>
    </w:p>
    <w:p>
      <w:pPr>
        <w:ind w:right="580"/>
        <w:spacing w:after="0" w:line="307" w:lineRule="auto"/>
        <w:rPr>
          <w:sz w:val="20"/>
          <w:szCs w:val="20"/>
          <w:color w:val="auto"/>
        </w:rPr>
      </w:pPr>
      <w:r>
        <w:rPr>
          <w:rFonts w:ascii="Arial" w:cs="Arial" w:eastAsia="Arial" w:hAnsi="Arial"/>
          <w:sz w:val="16"/>
          <w:szCs w:val="16"/>
          <w:b w:val="1"/>
          <w:bCs w:val="1"/>
          <w:i w:val="1"/>
          <w:iCs w:val="1"/>
          <w:color w:val="auto"/>
        </w:rPr>
        <w:t>The increasing focus by stakeholders on environmental, social and governance policies and practices could result in additional costs, and could adversely impact our reputation, consumer perception, employee retention, and willingness of third parties to do business with us.</w:t>
      </w:r>
    </w:p>
    <w:p>
      <w:pPr>
        <w:spacing w:after="0" w:line="9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There has been increased focus from our stakeholders, including investors, consumers and employees, on our environmental, social, or governance (“ESG”) policies and practices, including corporate citizenship and sustainability. Additionally, public interest and legislative pressure related to public companies’ ESG practices continues to grow. If our ESG policies and practices fail to meet regulatory requirements or stakeholders’ evolving expectations and standards for responsible corporate citizenship in areas including environmental stewardship, support for local communities, Board and employee diversity,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could also incur additional costs and require additional resources to monitor, report and comply with various ESG practices, as well as any initiatives or goals we may establish or announce, including those related to climate change. If we do establish such initiatives or goals, there can be no assurance that our stakeholders will agree with our strategy or that we will be successful in achieving such initiatives or goals, and we will remain subject to climate change risks regardless. As a result, the effects of climate change and increased focus by stakeholders on ESG matters could have short- and long-term impacts on our business and operations. Inconsistency of legislation and regulations among jurisdictions and expected additional regulations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where we operate.</w:t>
      </w:r>
    </w:p>
    <w:p>
      <w:pPr>
        <w:spacing w:after="0" w:line="138"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If we fail to adopt ESG standards or practices as quickly as stakeholders desire, fail, or are perceived to fail, in our achievement of any initiatives or goals, or fail in fully and accurately reporting our progress on any such initiatives and goals, our reputation, business, financial performance and growth may be adversely impacted. Any such matters, or related corporate citizenship and sustainability matters, could have a material adverse effect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Labor and Supply Chain</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4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 In addition, any failure to manage our inventory effectively could have a material and adverse effect on our business, financial condition and results of operations. Our sales could be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adversely affected when we experience shortages of key items; further, any inability to meet our customers’ product needs could also adversely affect sales of other related products.</w:t>
      </w:r>
    </w:p>
    <w:p>
      <w:pPr>
        <w:spacing w:after="0" w:line="14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source the products that we stock and sell from approximately 170 domestic and international suppliers. We source a large number of those products from foreign manufacturers, including 50% of our products from a group of ten suppliers located in Asia, Europe and the United States. Our largest supplier accounted for approximately 13% of our total purchases in 2021. We generally take title to these products sourced from foreign suppliers overseas and are responsible for arranging shipment to our distribution centers.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During both 2020 and 2021, we experienced an elevated level of product outages, which were partially due to vendor production delays and global shipping capacity constraints resulting, in part, from the impact of COVID-19. We continue to actively work with our vendors to secure delivery of backordered product. Additionally, many of our vendors have begun to communicate price increases in response to inflationary cost pressure, which, combined with escalated international shipping rates, is resulting in an increase in the cost of our inventory and corresponding pressure on our gross margin rates. Geopolitical conditions, such as the current Russia-Ukraine crisis, may lead to additional price increases and shipping delays. In response to this cost pressure, we have adjusted, and plan to continue to adjust, our pricing; however, we cannot provide any assurance that our attempts to mitigate the impact of price increase imposed by our vendors will be successful, or that customers will continue to purchase our products at adjusted prices.</w:t>
      </w:r>
    </w:p>
    <w:p>
      <w:pPr>
        <w:spacing w:after="0" w:line="138"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Other factors that may impact our suppliers, including financial instability among key suppliers, political instability, the impact of pandemics or other catastrophic events, such as the COVID-19 pandemic, trade restrictions, tariffs, currency exchange rates, inflation and transport capacity and costs, are beyond our control and could negatively impact our business if they seriously disrupt the movement of products through our supply chain or increase the costs of our products.</w:t>
      </w:r>
    </w:p>
    <w:p>
      <w:pPr>
        <w:spacing w:after="0" w:line="14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reliance on foreign suppliers increases our risk of not obtaining adequate, timely and cost-effective products and other risks involved in foreign operations, including foreign currency translation.</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risks associated with direct sourcing from overseas manufacturers may be higher than the risks associated with our traditional domestic suppliers. Foreign sourcing subjects us to a number of risks, including long lead times; work stoppages; shipping delays and interruptions; product quality issues; employee rights issues; other social concerns; public health crises, such as the ongoing COVID-19 pandemic, which has disrupted our global supply chain and resulted in additional expenses and delays outside of our control, and may continue to do so for an extended period of time; political instability; acts of terrorism; economic disruptions; the imposition of tariffs, including those imposed by the United States on goods imported from China, duties, quotas, import and export controls and other trade restrictions, as well as the possibility of a global trade war; changes in governmental policies, including potential adverse changes in tax laws and regulations; uncertainty surrounding the enforcement of laws (if any) relating to the protection of intellectual property or data security; and other events. Any of these events could have a material adverse effect on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Reductions in the value of the U.S. dollar or revaluation of foreign currencies used could ultimately increase the prices that we pay for our products.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Furthermore, volatile market conditions arising from the COVID-19 pandemic may result in significant fluctuations in exchange rates.</w:t>
      </w:r>
    </w:p>
    <w:p>
      <w:pPr>
        <w:spacing w:after="0" w:line="15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addition,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 and regulations applicable to the importation of our products. If duties were to be significantly increased, it could have a material adverse impact on us.</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43"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or the impact of natural disasters or other extreme weather events, which may be impacted by climate change, on the ability to access or efficiently extract resources from such quarries. If our suppliers cannot deliver sufficient products, and we cannot find replacement suppliers, our net sales and operating results may be adversely affected.</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43"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could also be adversely affected if there are delays in product shipments due to freight difficulties, strikes, or other difficulties at our suppliers’ principal transport providers, or otherwise. For instance, during both 2021 and 2020, the impact of the supply chain disruptions, including those caused by the COVID-19 pandemic, and labor shortages negatively affected our ability to obtain certain products in a timely manner and may continue to cause delays going forward.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few key employees, and if we lose the services of these employees, we may not be able to run our business effectively.</w:t>
      </w:r>
    </w:p>
    <w:p>
      <w:pPr>
        <w:spacing w:after="0" w:line="183"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Our future success depends in part on our ability to attract and retain key executive, merchandising, marketing, and sales personnel who share our values and are able to operate effectively consistent with our culture. We have had changes in our senior management team over the past three years and have promoted or hired new employees to fill certain roles. Our inability to effectively integrate the newly-hired senior managers into our business processes, controls, systems and culture could have a material adverse effect on us. If any of our key employees ceases to be employed by us, we would need to hire additional qualified personnel and could experience delays in filling those roles. Our ability to successfully hire other experienced and qualified key employees cannot be assured and may be difficult because we face competition for these professionals from our competitors, our suppliers and other companies operating in our industry, particularly for employees who can work remotely, as the impact of the COVID-19 pandemic has increased remote opportunities. As a result, the loss or unavailability of any of our key employees could have a material adverse effect on us. In addition, ineffective succession planning could result in unexpected costs, reduced productivity and/or difficulties with respect to internal processes and controls.</w:t>
      </w:r>
    </w:p>
    <w:p>
      <w:pPr>
        <w:spacing w:after="0" w:line="138"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4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A key element of our competitive strategy is to provide product expertise to our customers through our extensively trained, commissioned sales associates. We may be constrained in hiring and retaining sufficient qualified employees to support our strategy due to general labor shortages in our industry, including potential employee attrition in connection with any COVID-19 vaccine or testing mandates that may be implemented. In addition, a lack of qualified personnel or increased turnover rates within our employee base could lead to increased costs, such as increased overtime to meet demand and increased wage rates to attract and retain qualified employees. If we are unable to attract and retain qualified personnel and managers as needed in the future, including qualified sales personnel, our level of customer service may decline, which may decrease our revenues and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71"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Our ability to control labor costs is subject to numerous external factors, including prevailing wage rates,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71" w:lineRule="exact"/>
        <w:rPr>
          <w:sz w:val="20"/>
          <w:szCs w:val="20"/>
          <w:color w:val="auto"/>
        </w:rPr>
      </w:pPr>
    </w:p>
    <w:p>
      <w:pPr>
        <w:jc w:val="both"/>
        <w:ind w:right="340"/>
        <w:spacing w:after="0" w:line="253" w:lineRule="auto"/>
        <w:rPr>
          <w:sz w:val="20"/>
          <w:szCs w:val="20"/>
          <w:color w:val="auto"/>
        </w:rPr>
      </w:pPr>
      <w:r>
        <w:rPr>
          <w:rFonts w:ascii="Arial" w:cs="Arial" w:eastAsia="Arial" w:hAnsi="Arial"/>
          <w:sz w:val="17"/>
          <w:szCs w:val="17"/>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4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While we have implemented personal safety measures at all of our facilities where our employees are working onsite, any actions we take may not be sufficient to mitigate the risk of infection and could result in COVID-19-related claims. Changes to state workers’ compensation laws may increase our potential liability for such claims.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also maintain third-party insurance coverage against various other liability risks and risks of property loss, including directors’ and officers’ liability insurance coverage. Potential liabilities associated with those risks or other events could exceed the coverage provided by such arrangements, resulting in significant uninsured liabilities, which could have a material and adverse effect on our business, financial condition and results of operations. In addition, claims brought against us have resulted in, and additional claims could further result in, increased directors’ and officers’ insurance premiums and a reduction in coverage, which could negatively affect us, including by increasing our insurance costs and impacting our ability to attract and retain qualified officers and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laws or changes in existing or new laws and regulations or regulatory enforcement priorities could adversely affect our business.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including the impact of climate change, or compliance with the Foreign Corrupt Practices Act could have an adverse impact on our financial condition and results of operations. The evolving and at times overlapping regulatory regimes to which the Company is subject may change at any time, including as a result of changes in the U.S. political environment; for instance, various levels of government are increasingly focused on tax reform and other legislative actions to increase tax revenue, and the reduction in the corporate income tax rate resulting from the Tax Cuts and Jobs Act enacted into U.S. law in December 2017 could be reduced or rescinded by future tax law changes. In addition, changes in enforcement priorities by governmental agencies charged with enforcing existing laws and regulations could increase our cost of doing business. In addition, a number of legal and regulatory measures and social initiatives have been introduced in an effort to reduce greenhouse gas and other carbon emissions. Any such initiatives, restrictions and requirements could restrict, or require us to make changes to, our operating activities, which could increase our operating costs, require us to make capital improvements to our properties, increase our energy, supply and transportation costs or limit their availability, or otherwise adversely affect our results of operations, liquidity or capital resources, and these effects could be material to us.</w:t>
      </w:r>
    </w:p>
    <w:p>
      <w:pPr>
        <w:spacing w:after="0" w:line="14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4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do not control the operations of our suppliers. Accordingly, we cannot guarantee that our suppliers will comply with applicable environmental, labor and other laws and regulations or operate in a legal, ethical, and responsible manner. Violation of environmental, labor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56" w:lineRule="exact"/>
        <w:rPr>
          <w:sz w:val="20"/>
          <w:szCs w:val="20"/>
          <w:color w:val="auto"/>
        </w:rPr>
      </w:pPr>
    </w:p>
    <w:p>
      <w:pPr>
        <w:ind w:right="840"/>
        <w:spacing w:after="0" w:line="235"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transactional taxes, and we could be subject to liability with respect to past or future sales, which could adversely affect our results of operations.</w:t>
      </w:r>
    </w:p>
    <w:p>
      <w:pPr>
        <w:spacing w:after="0" w:line="14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application of sales tax and other indirect taxes on cross border sales by remote sellers is continuing to change and evolve. In June 2018, the U.S. Supreme Court decided South Dakota v. Wayfair, Inc., a case challenging the prior law under which sellers were not required to collect sales and use tax unless they have a physical presence in the buyer’s state. This decision allowed states to adopt new or enforce existing laws requiring sellers to collect and remit sales and use tax, even in states in which the seller has no presence. The adoption or enforcement of any such legislation could result in additional sales and use tax collection responsibility for certain of our businesses. A number of states have already begun, or have positioned themselves to begin, requiring sales and use tax collection by remote sellers, and the details and effective dates of these collection requirements vary from state to state. While we now collect, remit, and report sales tax in all states that impose a sales tax, it is possible that one or more jurisdictions may assert that we have liability for periods for which certain of our businesses did not collect sales, use or other similar taxes, and if such an assertion or assertions were successful, it could result in tax liabilities, including for past sales taxes and penalties and interest, which could materially adversely affect our business, financial condition and operating results.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We may become involved in legal proceedings and, while we cannot predict the outcomes of such proceedings and other contingencies with certainty, some of these outcomes could adversely affect our business, financial condition and results of operations.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have in the past, and may in the future, become involved in stockholder, consumer, employment, tort or other litigation, which may include claims and proceedings arising out of the COVID-19 pandemic.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Technology-Related Risks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disrupted if we are unable to protect the integrity and security of our customer information.</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and that of third parties upon which we rely, may be vulnerable to criminal cyber-attacks or security incidents due to employee or service provider error, third-party action, including actions of foreign actors, which risk may be exacerbated by the current Russia-Ukraine crisis and U.S. and international response, insider attacks, phishing or denial-of-service attacks, ransomware or other malware, social engineering, malfeasance, other unauthorized physical or electronic access, or other vulnerabilities. Any such incidents could compromise our networks, or those of our vendors, or disrupt our or our vendors’ critical systems, and the information stored there, such as personal identification information or funds, could be accessed, publicly disclosed, lost, corrupted or stolen.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 Additionally, we face increased information technology security and fraud risks as a result of our increased reliance on working remotely due to the COVID-19 pandemic, which may create additional information security vulnerabilities and/or magnify the impact of any disruption in information technology systems.</w:t>
      </w:r>
    </w:p>
    <w:p>
      <w:pPr>
        <w:spacing w:after="0" w:line="14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We also incur costs in order to comply with cybersecurity or data privacy regulations or with requirements imposed by business partners; for instance, 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damage our competitive position and cause the loss of customers. In addition, any such breach could subject us to litigation, government enforcement actions, regulatory penalties or costly response measures, and we may not have adequate insurance coverage to compensate us for any losses relating to such events. Any such occurrence could have a material adverse effect on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management information systems experience disruptions, it could disrupt our business and reduce our net sales.</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viruses, computer “hackers” or other causes. We may incur significant expenses in order to repair any such operational problems and could suffer reputational damage.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 Any such occurrence could have a material adverse effect on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selection and implementation of information technology initiatives may impact our operational efficiency and productivity.</w:t>
      </w:r>
    </w:p>
    <w:p>
      <w:pPr>
        <w:spacing w:after="0" w:line="17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order to better manage our business, we expect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For instance, we may experience occasional system interruptions and delays, as a result of routine maintenance, periodic updates, implementation of new technology or other factors, that make our information systems unavailable or slow to respond, including the interaction of our information systems with those of third parties. Furthermore, these initiatives might not provide the anticipated benefits or provide them in a delayed or unexpectedly costly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manner. Accordingly, issues relating to our selection and implementation of information technology initiatives may negatively impact our business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b w:val="1"/>
          <w:bCs w:val="1"/>
          <w:i w:val="1"/>
          <w:iCs w:val="1"/>
          <w:color w:val="auto"/>
        </w:rPr>
        <w:t>We may be unable to maintain our listing on The Nasdaq Stock Market LLC (“Nasdaq”) and may incur additional costs as a result of our Nasdaq listing.</w:t>
      </w:r>
    </w:p>
    <w:p>
      <w:pPr>
        <w:spacing w:after="0" w:line="14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Our common stock re-commenced trading on the Nasdaq in June 2021. We cannot provide any assurance that we will be able to continue to satisfy Nasdaq’s continued listing requirements and standards to which we are subject. A delisting of our common stock could negatively affect the price and liquidity of our common stock and could impair our ability to raise capital in the future. In addition, we incur, and may incur additional, costs as a result of compliance with Nasdaq’s rules and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7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performance and the performance of our competitors;</w:t>
      </w:r>
    </w:p>
    <w:p>
      <w:pPr>
        <w:ind w:left="660" w:right="3280"/>
        <w:spacing w:after="0" w:line="246" w:lineRule="auto"/>
        <w:rPr>
          <w:sz w:val="20"/>
          <w:szCs w:val="20"/>
          <w:color w:val="auto"/>
        </w:rPr>
      </w:pPr>
      <w:r>
        <w:rPr>
          <w:rFonts w:ascii="Arial" w:cs="Arial" w:eastAsia="Arial" w:hAnsi="Arial"/>
          <w:sz w:val="16"/>
          <w:szCs w:val="16"/>
          <w:color w:val="auto"/>
        </w:rPr>
        <w:t>the public’s reaction to our filings with the SEC, our press releases and other public announcements; the degree of trading liquidity in our common stock, including our ability to remain listed on Nasdaq;</w:t>
      </w:r>
    </w:p>
    <w:p>
      <w:pPr>
        <w:spacing w:after="0" w:line="1" w:lineRule="exact"/>
        <w:rPr>
          <w:sz w:val="20"/>
          <w:szCs w:val="20"/>
          <w:color w:val="auto"/>
        </w:rPr>
      </w:pPr>
    </w:p>
    <w:p>
      <w:pPr>
        <w:ind w:left="660" w:right="1780"/>
        <w:spacing w:after="0" w:line="219" w:lineRule="auto"/>
        <w:rPr>
          <w:sz w:val="20"/>
          <w:szCs w:val="20"/>
          <w:color w:val="auto"/>
        </w:rPr>
      </w:pPr>
      <w:r>
        <w:rPr>
          <w:rFonts w:ascii="Arial" w:cs="Arial" w:eastAsia="Arial" w:hAnsi="Arial"/>
          <w:sz w:val="18"/>
          <w:szCs w:val="18"/>
          <w:color w:val="auto"/>
        </w:rPr>
        <w:t>changes in recommendations or earnings estimates by research analysts who follow us or other companies in our industry; variations in general economic conditions, including the impact of the COVID-19 pandemic;</w:t>
      </w:r>
    </w:p>
    <w:p>
      <w:pPr>
        <w:ind w:left="660" w:right="1820"/>
        <w:spacing w:after="0" w:line="219" w:lineRule="auto"/>
        <w:rPr>
          <w:sz w:val="20"/>
          <w:szCs w:val="20"/>
          <w:color w:val="auto"/>
        </w:rPr>
      </w:pPr>
      <w:r>
        <w:rPr>
          <w:rFonts w:ascii="Arial" w:cs="Arial" w:eastAsia="Arial" w:hAnsi="Arial"/>
          <w:sz w:val="18"/>
          <w:szCs w:val="18"/>
          <w:color w:val="auto"/>
        </w:rPr>
        <w:t>actions of our current stockholders, including purchases or sales of common stock by our directors and executive officers; the arrival or departure of key personnel; and</w:t>
      </w:r>
    </w:p>
    <w:p>
      <w:pPr>
        <w:ind w:left="660"/>
        <w:spacing w:after="0"/>
        <w:rPr>
          <w:sz w:val="20"/>
          <w:szCs w:val="20"/>
          <w:color w:val="auto"/>
        </w:rPr>
      </w:pPr>
      <w:r>
        <w:rPr>
          <w:rFonts w:ascii="Arial" w:cs="Arial" w:eastAsia="Arial" w:hAnsi="Arial"/>
          <w:sz w:val="18"/>
          <w:szCs w:val="18"/>
          <w:color w:val="auto"/>
        </w:rPr>
        <w:t>other developments affecting us, our industry or our competitors.</w:t>
      </w:r>
    </w:p>
    <w:p>
      <w:pPr>
        <w:spacing w:after="0" w:line="26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suspended our quarterly dividend program and cancelled our stock repurchase program; as such, appreciation in the price of our common stock may be the only method to realize a return on your investment.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October 2019, we suspended our quarterly cash dividend program and cancelled our stock repurchase program to focus on debt reduction and continued investment in strategic initiatives; since then, we have paid a special cash dividend of $0.65 per share in November 2021, but have not resumed our quarterly cash dividend or repurchase programs. Any future determination with respect to the payment of dividends or stock repurchases is at the discretion of our Board of Directors (the “Board of Directors” or the “Board”)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We can provide no assurance that we will pay any dividends to our stockholders in the future, or as to the amount of any such dividends, or that we will engage in stock repurchases. Our election not to pay a quarterly dividend or repurchase stock may negatively impact our reputation, our stock price, and investor confidence in 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directors and executive officers, together with their affiliates, beneficially hold approximately 30%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contained in our certificate of incorporation and bylaws and provisions of Delaware law could impair a takeover attempt.</w:t>
      </w:r>
    </w:p>
    <w:p>
      <w:pPr>
        <w:spacing w:after="0" w:line="194"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 among other things, a classified Board of Directors; no cumulative voting in the election of directors; the exclusive right of our Board of Directors to fill a vacancy created by the expansion of the Board of Directors or the resignation, death, or removal of a director; the ability of our Board of Directors to issue shares of preferred stock, including determining the price, voting rights and other terms of such shares, without stockholder approval; requiring approval of certain transactions by the Independent Transaction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Committee of the Board; a prohibition on stockholder action by written consent and providing that a special meeting of stockholders may be called only by the chairman of the Board of Directors, the Chief Executive Officer, or the Board of Directors; limiting the liability of, and providing indemnification to, our directors and officers; controlling the procedures for the conduct and scheduling of stockholder meetings; allowing the Board of Directors to postpone or reschedule special meetings of stockholders; providing that directors may be removed prior to the expiration of their terms by stockholders only for cause; and advance notice procedures for nominating director candidates or proposing matters to be acted upon at a stockholders’ meeting. In addition, we are subject to provisions of Delaware law that may impair takeover attempts, including Section 203 of the Delaware General Corporation Law, which generally provides that a corporation may not engage in any business combination with any interested stockholder during the three-year period following the time that such stockholder becomes an interested stockholder, unless certain approval requirements are met.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certain types of lawsuits, which could increase costs to bring a claim, discourage claims or limit the ability of our stockholders to bring a claim in a judicial forum viewed by the stockholders as more favorable for disputes with us or our directors, officers or other employees.</w:t>
      </w:r>
    </w:p>
    <w:p>
      <w:pPr>
        <w:spacing w:after="0" w:line="13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Our certificate of incorporation provides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action asserting a claim governed by the internal affairs doctrine. The choice of forum provision may increase costs to bring a claim, discourage claims or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this choice of forum provision to be inapplicable or unenforceable in an action, we may incur additional costs associated with resolving such action in other jurisdictions. The exclusive forum provision in our certificate of incorporation will not preclude or contract the scope of exclusive federal or concurrent jurisdiction for actions brought under the federal securities laws including the Exchange Act or the Securities Act of 1933, as amended, or the respective rules and regulations promulgated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As of December 31, 2021, we operated 143 stores located in 31 states and the District of Columbia with an average square footage of approximately 20,000 square feet. The table below sets forth the store locations (alphabetically by state) of our 143 stores in operation as of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State</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Stores</w:t>
            </w:r>
          </w:p>
        </w:tc>
        <w:tc>
          <w:tcPr>
            <w:tcW w:w="1460" w:type="dxa"/>
            <w:vAlign w:val="bottom"/>
          </w:tcPr>
          <w:p>
            <w:pPr>
              <w:ind w:left="20"/>
              <w:spacing w:after="0"/>
              <w:rPr>
                <w:sz w:val="20"/>
                <w:szCs w:val="20"/>
                <w:color w:val="auto"/>
              </w:rPr>
            </w:pPr>
            <w:r>
              <w:rPr>
                <w:rFonts w:ascii="Arial" w:cs="Arial" w:eastAsia="Arial" w:hAnsi="Arial"/>
                <w:sz w:val="18"/>
                <w:szCs w:val="18"/>
                <w:color w:val="auto"/>
              </w:rPr>
              <w:t>State</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Stores</w:t>
            </w:r>
          </w:p>
        </w:tc>
        <w:tc>
          <w:tcPr>
            <w:tcW w:w="1480" w:type="dxa"/>
            <w:vAlign w:val="bottom"/>
          </w:tcPr>
          <w:p>
            <w:pPr>
              <w:spacing w:after="0"/>
              <w:rPr>
                <w:sz w:val="20"/>
                <w:szCs w:val="20"/>
                <w:color w:val="auto"/>
              </w:rPr>
            </w:pPr>
            <w:r>
              <w:rPr>
                <w:rFonts w:ascii="Arial" w:cs="Arial" w:eastAsia="Arial" w:hAnsi="Arial"/>
                <w:sz w:val="18"/>
                <w:szCs w:val="18"/>
                <w:color w:val="auto"/>
              </w:rPr>
              <w:t>State</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Stores</w:t>
            </w:r>
          </w:p>
        </w:tc>
        <w:tc>
          <w:tcPr>
            <w:tcW w:w="1480" w:type="dxa"/>
            <w:vAlign w:val="bottom"/>
          </w:tcPr>
          <w:p>
            <w:pPr>
              <w:spacing w:after="0"/>
              <w:rPr>
                <w:sz w:val="20"/>
                <w:szCs w:val="20"/>
                <w:color w:val="auto"/>
              </w:rPr>
            </w:pPr>
            <w:r>
              <w:rPr>
                <w:rFonts w:ascii="Arial" w:cs="Arial" w:eastAsia="Arial" w:hAnsi="Arial"/>
                <w:sz w:val="18"/>
                <w:szCs w:val="18"/>
                <w:color w:val="auto"/>
              </w:rPr>
              <w:t>State</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Stores</w:t>
            </w:r>
          </w:p>
        </w:tc>
      </w:tr>
      <w:tr>
        <w:trPr>
          <w:trHeight w:val="183"/>
        </w:trPr>
        <w:tc>
          <w:tcPr>
            <w:tcW w:w="1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Arizona</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Illinois</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Minnesota</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Oklahoma</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Arkansas</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Indiana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Missouri</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Pennsylvania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Colorado</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Iowa</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Nebraska</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Rhode Island</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Connecticut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Kansas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New Jersey</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South Carolina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Kentucky</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Mexico</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Tennessee</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District of Columbia</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Maryland</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New York</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Texas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Florida</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Massachusetts</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North Carolina</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Virginia</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r>
      <w:tr>
        <w:trPr>
          <w:trHeight w:val="189"/>
        </w:trPr>
        <w:tc>
          <w:tcPr>
            <w:tcW w:w="17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Georgia</w:t>
            </w:r>
          </w:p>
        </w:tc>
        <w:tc>
          <w:tcPr>
            <w:tcW w:w="10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8"/>
                <w:szCs w:val="18"/>
                <w:color w:val="auto"/>
              </w:rPr>
              <w:t>Michigan</w:t>
            </w:r>
          </w:p>
        </w:tc>
        <w:tc>
          <w:tcPr>
            <w:tcW w:w="122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Ohio</w:t>
            </w:r>
          </w:p>
        </w:tc>
        <w:tc>
          <w:tcPr>
            <w:tcW w:w="12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Wisconsin</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3"/>
        </w:trPr>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143</w:t>
            </w:r>
          </w:p>
        </w:tc>
      </w:tr>
    </w:tbl>
    <w:p>
      <w:pPr>
        <w:spacing w:after="0" w:line="175"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163,000 square feet.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material property holdings are suitable for our current operations and purposes.</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LEGAL </w:t>
      </w:r>
      <w:r>
        <w:rPr>
          <w:rFonts w:ascii="Arial" w:cs="Arial" w:eastAsia="Arial" w:hAnsi="Arial"/>
          <w:sz w:val="18"/>
          <w:szCs w:val="18"/>
          <w:color w:val="auto"/>
        </w:rPr>
        <w:t>PROCEEDINGS</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STOCKHOLDER MATTERS AND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5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common stock commenced trading on Nasdaq on June 17, 2021, under the symbol “TTSH.” Prior to that date, our common stock had been quoted on The OTC Pink Market under the symbol “TTSH” since November 2019.</w:t>
      </w:r>
    </w:p>
    <w:p>
      <w:pPr>
        <w:spacing w:after="0" w:line="14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As of February 28, 2022, we had approximately 420 holders of record of our common stock. This figure does not include the number of persons whose securities are held in nominee or “street” name accounts through brokers.</w:t>
      </w:r>
    </w:p>
    <w:p>
      <w:pPr>
        <w:spacing w:after="0" w:line="14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As of February 28, 2022, we had 51,925,256 shares of common stock outstanding. The last reported sales price for our common stock on February 28, 2022 was $6.33.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Per Share</w:t>
      </w:r>
    </w:p>
    <w:p>
      <w:pPr>
        <w:spacing w:after="0" w:line="18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suspended quarterly dividend payments on October 18, 2019 and, since that date, have paid one special cash dividend of $0.65 per share to stockholders of record on November 19, 2021. Any future determination with respect to the payment of dividends is at the discretion of our Board of Directors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We can provide no assurance that we will pay any dividends to our stockholders in the future, or as to the amount of any such dividends.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For information on our equity compensation plans, refer to Part III, Item 12. “Security Ownership of Certain Beneficial Owners and Management and Related Stockholder Matters.”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0"/>
                <w:szCs w:val="20"/>
                <w:color w:val="auto"/>
              </w:rPr>
            </w:pPr>
            <w:r>
              <w:rPr>
                <w:rFonts w:ascii="Arial" w:cs="Arial" w:eastAsia="Arial" w:hAnsi="Arial"/>
                <w:sz w:val="18"/>
                <w:szCs w:val="18"/>
                <w:color w:val="auto"/>
              </w:rPr>
              <w:t>None.</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3"/>
              </w:rPr>
              <w:t>Maximum Number</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right="140"/>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of Shares that May</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6"/>
              </w:rPr>
              <w:t>Yet be Purchased</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5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Total Number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Arial" w:cs="Arial" w:eastAsia="Arial" w:hAnsi="Arial"/>
                <w:sz w:val="18"/>
                <w:szCs w:val="18"/>
                <w:color w:val="auto"/>
                <w:w w:val="99"/>
              </w:rPr>
              <w:t>Average Price</w:t>
            </w:r>
          </w:p>
        </w:tc>
        <w:tc>
          <w:tcPr>
            <w:tcW w:w="220" w:type="dxa"/>
            <w:vAlign w:val="bottom"/>
          </w:tcPr>
          <w:p>
            <w:pPr>
              <w:spacing w:after="0"/>
              <w:rPr>
                <w:sz w:val="16"/>
                <w:szCs w:val="16"/>
                <w:color w:val="auto"/>
              </w:rPr>
            </w:pPr>
          </w:p>
        </w:tc>
        <w:tc>
          <w:tcPr>
            <w:tcW w:w="1680" w:type="dxa"/>
            <w:vAlign w:val="bottom"/>
            <w:gridSpan w:val="3"/>
          </w:tcPr>
          <w:p>
            <w:pPr>
              <w:jc w:val="center"/>
              <w:ind w:right="140"/>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Under Plans or</w:t>
            </w: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1"/>
              </w:rPr>
              <w:t>Shares Purchased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3"/>
              </w:rPr>
              <w:t>Paid per Share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Programs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October 1, 2021 - October 31, 2021</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18,370</w:t>
            </w:r>
          </w:p>
        </w:tc>
        <w:tc>
          <w:tcPr>
            <w:tcW w:w="26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6"/>
              </w:rPr>
              <w:t>(1)</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November 1, 2021 - November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2,522</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w w:val="76"/>
              </w:rPr>
              <w:t>(2)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jc w:val="right"/>
              <w:spacing w:after="0"/>
              <w:rPr>
                <w:sz w:val="20"/>
                <w:szCs w:val="20"/>
                <w:color w:val="auto"/>
              </w:rPr>
            </w:pPr>
            <w:r>
              <w:rPr>
                <w:rFonts w:ascii="Arial" w:cs="Arial" w:eastAsia="Arial" w:hAnsi="Arial"/>
                <w:sz w:val="15"/>
                <w:szCs w:val="15"/>
                <w:color w:val="auto"/>
                <w:w w:val="87"/>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1, 2021 -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20,892</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6.30</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0" w:hanging="332"/>
        <w:spacing w:after="0" w:line="212"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We withheld a total of 15,175 shares to satisfy tax withholding obligations due upon the vesting of restricted stock grants, as allowed by the 2012 Omnibus Award Plan (the “2012 Plan”) and the 2021 Omnibus Equity Compensation Plan (the “2021 Plan” and, together with the 2012 Plan, the “Plans”). We did not pay cash to repurchase these shares, nor were these repurchases part of a publicly announced plan or program. We repurchased an additional 3,195 shares pursuant to the terms of the underlying restricted stock agreements, as allowed by the 2012 Plan. We paid $0.0001 per share, the par value, to repurchase these shares. These repurchases were not part of a publicly announced plan or program.</w:t>
      </w:r>
    </w:p>
    <w:p>
      <w:pPr>
        <w:spacing w:after="0" w:line="216" w:lineRule="exact"/>
        <w:rPr>
          <w:rFonts w:ascii="Arial" w:cs="Arial" w:eastAsia="Arial" w:hAnsi="Arial"/>
          <w:sz w:val="29"/>
          <w:szCs w:val="29"/>
          <w:color w:val="auto"/>
          <w:vertAlign w:val="superscript"/>
        </w:rPr>
      </w:pPr>
    </w:p>
    <w:p>
      <w:pPr>
        <w:ind w:left="340" w:right="180" w:hanging="332"/>
        <w:spacing w:after="0" w:line="208"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We withheld a total of 1,386 shares to satisfy tax withholding obligations due upon the vesting of restricted stock grants, as allowed by the Plans. We did not pay cash to repurchase these shares, nor were these repurchases part of a publicly announced plan or program. We repurchased an additional 1,136 shares pursuant to the terms of the underlying restricted stock agreements, as allowed by the 2012 Plan. We paid $0.0001 per share, the par value, to repurchase these shares. These repurchases were not part of a publicly announced plan or program.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graph and table below present our cumulative total stockholder returns relative to the performance of the S&amp;P SmallCap 600 and the Dow Jones U.S. Furnishings Index for the period commencing December 31, 2016 and ending December 31, 2021, the last trading day of fiscal year 2021. The comparison assumes $100 invested at the close of trading on December 31, 2016 in (i) our common stock, (ii) the stocks comprising the S&amp;P SmallCap 600, and (iii) the stocks comprising the Dow Jones U.S. Furnishings Index. All values assume that all dividends were reinvested on the date paid. The points on the graph represent fiscal year-end amounts based on the last trading day in each fiscal year.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111760</wp:posOffset>
            </wp:positionV>
            <wp:extent cx="6120765" cy="170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076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Dow Jones</w:t>
            </w:r>
          </w:p>
        </w:tc>
      </w:tr>
      <w:tr>
        <w:trPr>
          <w:trHeight w:val="217"/>
        </w:trPr>
        <w:tc>
          <w:tcPr>
            <w:tcW w:w="3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Tile Shop Holdings, Inc.</w:t>
            </w:r>
          </w:p>
        </w:tc>
        <w:tc>
          <w:tcPr>
            <w:tcW w:w="12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S&amp;P SmallCap 600</w:t>
            </w:r>
          </w:p>
        </w:tc>
        <w:tc>
          <w:tcPr>
            <w:tcW w:w="10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w w:val="92"/>
              </w:rPr>
              <w:t>U.S. Furnishings Index</w:t>
            </w:r>
          </w:p>
        </w:tc>
      </w:tr>
      <w:tr>
        <w:trPr>
          <w:trHeight w:val="183"/>
        </w:trPr>
        <w:tc>
          <w:tcPr>
            <w:tcW w:w="3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December 31, 2016</w:t>
            </w:r>
          </w:p>
        </w:tc>
        <w:tc>
          <w:tcPr>
            <w:tcW w:w="20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December 31, 2017</w:t>
            </w:r>
          </w:p>
        </w:tc>
        <w:tc>
          <w:tcPr>
            <w:tcW w:w="2880" w:type="dxa"/>
            <w:vAlign w:val="bottom"/>
            <w:gridSpan w:val="2"/>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49.82</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111.73</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line="189" w:lineRule="exact"/>
              <w:rPr>
                <w:sz w:val="20"/>
                <w:szCs w:val="20"/>
                <w:color w:val="auto"/>
              </w:rPr>
            </w:pPr>
            <w:r>
              <w:rPr>
                <w:rFonts w:ascii="Arial" w:cs="Arial" w:eastAsia="Arial" w:hAnsi="Arial"/>
                <w:sz w:val="18"/>
                <w:szCs w:val="18"/>
                <w:color w:val="auto"/>
              </w:rPr>
              <w:t>114.51</w:t>
            </w: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2018</w:t>
            </w:r>
          </w:p>
        </w:tc>
        <w:tc>
          <w:tcPr>
            <w:tcW w:w="2880" w:type="dxa"/>
            <w:vAlign w:val="bottom"/>
            <w:gridSpan w:val="2"/>
            <w:shd w:val="clear" w:color="auto" w:fill="CCEEFF"/>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64.77</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9.40</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121.87</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line="189" w:lineRule="exact"/>
              <w:rPr>
                <w:sz w:val="20"/>
                <w:szCs w:val="20"/>
                <w:color w:val="auto"/>
              </w:rPr>
            </w:pPr>
            <w:r>
              <w:rPr>
                <w:rFonts w:ascii="Arial" w:cs="Arial" w:eastAsia="Arial" w:hAnsi="Arial"/>
                <w:sz w:val="18"/>
                <w:szCs w:val="18"/>
                <w:color w:val="auto"/>
              </w:rPr>
              <w:t>87.76</w:t>
            </w: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2020</w:t>
            </w:r>
          </w:p>
        </w:tc>
        <w:tc>
          <w:tcPr>
            <w:tcW w:w="2880" w:type="dxa"/>
            <w:vAlign w:val="bottom"/>
            <w:gridSpan w:val="2"/>
            <w:shd w:val="clear" w:color="auto" w:fill="CCEEFF"/>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23.92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133.53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89.32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December 31, 2021</w:t>
            </w:r>
          </w:p>
        </w:tc>
        <w:tc>
          <w:tcPr>
            <w:tcW w:w="28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40.74</w:t>
            </w: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167.28</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116.00</w:t>
            </w:r>
          </w:p>
        </w:tc>
      </w:tr>
      <w:tr>
        <w:trPr>
          <w:trHeight w:val="566"/>
        </w:trPr>
        <w:tc>
          <w:tcPr>
            <w:tcW w:w="3440" w:type="dxa"/>
            <w:vAlign w:val="bottom"/>
          </w:tcPr>
          <w:p>
            <w:pPr>
              <w:spacing w:after="0"/>
              <w:rPr>
                <w:sz w:val="24"/>
                <w:szCs w:val="24"/>
                <w:color w:val="auto"/>
              </w:rPr>
            </w:pPr>
          </w:p>
        </w:tc>
        <w:tc>
          <w:tcPr>
            <w:tcW w:w="2880" w:type="dxa"/>
            <w:vAlign w:val="bottom"/>
            <w:gridSpan w:val="2"/>
          </w:tcPr>
          <w:p>
            <w:pPr>
              <w:jc w:val="right"/>
              <w:ind w:right="510"/>
              <w:spacing w:after="0"/>
              <w:rPr>
                <w:sz w:val="20"/>
                <w:szCs w:val="20"/>
                <w:color w:val="auto"/>
              </w:rPr>
            </w:pPr>
            <w:r>
              <w:rPr>
                <w:rFonts w:ascii="Arial" w:cs="Arial" w:eastAsia="Arial" w:hAnsi="Arial"/>
                <w:sz w:val="18"/>
                <w:szCs w:val="18"/>
                <w:color w:val="auto"/>
              </w:rPr>
              <w:t>19</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7"/>
        </w:trPr>
        <w:tc>
          <w:tcPr>
            <w:tcW w:w="34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following table sets forth selected historical financial information derived from (i) our audited financial statements included elsewhere in this report as of December 31, 2021 and 2020 and for the years ended December 31, 2021, 2020, and 2019 and (ii) our audited financial statements not included elsewhere in this report as of December 31, 2019, 2018, and 2017 and for the years ended December 31, 2018 and 2017.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w w:val="92"/>
              </w:rPr>
              <w:t>As of December 31, or for the year ended December 31,</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2017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7"/>
          </w:tcPr>
          <w:p>
            <w:pPr>
              <w:jc w:val="right"/>
              <w:ind w:right="47"/>
              <w:spacing w:after="0"/>
              <w:rPr>
                <w:sz w:val="20"/>
                <w:szCs w:val="20"/>
                <w:color w:val="auto"/>
              </w:rPr>
            </w:pPr>
            <w:r>
              <w:rPr>
                <w:rFonts w:ascii="Arial" w:cs="Arial" w:eastAsia="Arial" w:hAnsi="Arial"/>
                <w:sz w:val="18"/>
                <w:szCs w:val="18"/>
                <w:color w:val="auto"/>
              </w:rPr>
              <w:t>(in thousands, except per share)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64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370,700</w:t>
            </w:r>
          </w:p>
        </w:tc>
        <w:tc>
          <w:tcPr>
            <w:tcW w:w="3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325,057</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340,351</w:t>
            </w:r>
          </w:p>
        </w:tc>
        <w:tc>
          <w:tcPr>
            <w:tcW w:w="680" w:type="dxa"/>
            <w:vAlign w:val="bottom"/>
            <w:gridSpan w:val="2"/>
            <w:shd w:val="clear" w:color="auto" w:fill="CCEEFF"/>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357,254</w:t>
            </w:r>
          </w:p>
        </w:tc>
        <w:tc>
          <w:tcPr>
            <w:tcW w:w="2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344,600</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117,570</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104,232</w:t>
            </w:r>
          </w:p>
        </w:tc>
        <w:tc>
          <w:tcPr>
            <w:tcW w:w="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105,915</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108,378</w:t>
            </w: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253,130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236,119</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251,339</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236,222</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expenses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232,520</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215,149</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237,476</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18,138</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25,846</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(656)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(1,874)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(3,792)</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(1,857)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19,954</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4,502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(5,137)</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15,600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24,159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(13,340)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14,774</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6,031</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(4,463)</w:t>
            </w:r>
          </w:p>
        </w:tc>
        <w:tc>
          <w:tcPr>
            <w:tcW w:w="4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10,442</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10,819</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(loss) per share</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Weighted average shares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8"/>
                <w:szCs w:val="18"/>
                <w:color w:val="auto"/>
              </w:rPr>
              <w:t>outstanding (diluted)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50,624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52,089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 Sheet Data</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9,358</w:t>
            </w:r>
          </w:p>
        </w:tc>
        <w:tc>
          <w:tcPr>
            <w:tcW w:w="30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9,617</w:t>
            </w:r>
          </w:p>
        </w:tc>
        <w:tc>
          <w:tcPr>
            <w:tcW w:w="300" w:type="dxa"/>
            <w:vAlign w:val="bottom"/>
          </w:tcPr>
          <w:p>
            <w:pPr>
              <w:spacing w:after="0"/>
              <w:rPr>
                <w:sz w:val="16"/>
                <w:szCs w:val="16"/>
                <w:color w:val="auto"/>
              </w:rPr>
            </w:pPr>
          </w:p>
        </w:tc>
        <w:tc>
          <w:tcPr>
            <w:tcW w:w="3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9,104</w:t>
            </w:r>
          </w:p>
        </w:tc>
        <w:tc>
          <w:tcPr>
            <w:tcW w:w="680" w:type="dxa"/>
            <w:vAlign w:val="bottom"/>
            <w:gridSpan w:val="2"/>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5,557</w:t>
            </w:r>
          </w:p>
        </w:tc>
        <w:tc>
          <w:tcPr>
            <w:tcW w:w="280" w:type="dxa"/>
            <w:vAlign w:val="bottom"/>
          </w:tcPr>
          <w:p>
            <w:pPr>
              <w:spacing w:after="0"/>
              <w:rPr>
                <w:sz w:val="16"/>
                <w:szCs w:val="16"/>
                <w:color w:val="auto"/>
              </w:rPr>
            </w:pPr>
          </w:p>
        </w:tc>
        <w:tc>
          <w:tcPr>
            <w:tcW w:w="36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6,621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97,175</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74,296</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97,620</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110,095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85,259</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340,758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342,690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399,814</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297,630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270,725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Lease obligations</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138,451</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149,901</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158,718</w:t>
            </w: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Arial" w:cs="Arial" w:eastAsia="Arial" w:hAnsi="Arial"/>
                <w:sz w:val="18"/>
                <w:szCs w:val="18"/>
                <w:color w:val="auto"/>
              </w:rPr>
              <w:t>Total debt</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63,000</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53,000</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27,015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122,224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139,062</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130,899</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146,347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143,874</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Working capital</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29,369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27,850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52,329</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79,774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43,525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Data</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Net cash provided by operating</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39,691</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65,596</w:t>
            </w:r>
          </w:p>
        </w:tc>
        <w:tc>
          <w:tcPr>
            <w:tcW w:w="30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38,563</w:t>
            </w:r>
          </w:p>
        </w:tc>
        <w:tc>
          <w:tcPr>
            <w:tcW w:w="6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18,170</w:t>
            </w:r>
          </w:p>
        </w:tc>
        <w:tc>
          <w:tcPr>
            <w:tcW w:w="280" w:type="dxa"/>
            <w:vAlign w:val="bottom"/>
          </w:tcPr>
          <w:p>
            <w:pPr>
              <w:spacing w:after="0"/>
              <w:rPr>
                <w:sz w:val="18"/>
                <w:szCs w:val="18"/>
                <w:color w:val="auto"/>
              </w:rPr>
            </w:pP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45,691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(11,070)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(26,390)</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(34,143)</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(40,549)</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Net cash (used in) provided by</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(63,329)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Other Selected Financial Data</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(unaudited)</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Dividends paid per share</w:t>
            </w:r>
          </w:p>
        </w:tc>
        <w:tc>
          <w:tcPr>
            <w:tcW w:w="64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0.65</w:t>
            </w:r>
          </w:p>
        </w:tc>
        <w:tc>
          <w:tcPr>
            <w:tcW w:w="30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0.15</w:t>
            </w:r>
          </w:p>
        </w:tc>
        <w:tc>
          <w:tcPr>
            <w:tcW w:w="680" w:type="dxa"/>
            <w:vAlign w:val="bottom"/>
            <w:gridSpan w:val="2"/>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c>
          <w:tcPr>
            <w:tcW w:w="280" w:type="dxa"/>
            <w:vAlign w:val="bottom"/>
          </w:tcPr>
          <w:p>
            <w:pPr>
              <w:spacing w:after="0"/>
              <w:rPr>
                <w:sz w:val="16"/>
                <w:szCs w:val="16"/>
                <w:color w:val="auto"/>
              </w:rPr>
            </w:pPr>
          </w:p>
        </w:tc>
        <w:tc>
          <w:tcPr>
            <w:tcW w:w="36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50,255</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49,355</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55,411</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13.6 %</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12.3 %</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10.2 %</w:t>
            </w:r>
          </w:p>
        </w:tc>
        <w:tc>
          <w:tcPr>
            <w:tcW w:w="240" w:type="dxa"/>
            <w:vAlign w:val="bottom"/>
          </w:tcPr>
          <w:p>
            <w:pPr>
              <w:spacing w:after="0"/>
              <w:rPr>
                <w:sz w:val="22"/>
                <w:szCs w:val="22"/>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13.8 %</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Gross margin rate</w:t>
            </w:r>
            <w:r>
              <w:rPr>
                <w:rFonts w:ascii="Arial" w:cs="Arial" w:eastAsia="Arial" w:hAnsi="Arial"/>
                <w:sz w:val="29"/>
                <w:szCs w:val="29"/>
                <w:color w:val="auto"/>
                <w:vertAlign w:val="superscript"/>
              </w:rPr>
              <w:t>(4)</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68.3 %</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68.1 %</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69.4 %</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70.4 %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Arial" w:cs="Arial" w:eastAsia="Arial" w:hAnsi="Arial"/>
                <w:sz w:val="18"/>
                <w:szCs w:val="18"/>
                <w:color w:val="auto"/>
              </w:rPr>
              <w:t>Operating income (loss) margin</w:t>
            </w:r>
            <w:r>
              <w:rPr>
                <w:rFonts w:ascii="Arial" w:cs="Arial" w:eastAsia="Arial" w:hAnsi="Arial"/>
                <w:sz w:val="29"/>
                <w:szCs w:val="29"/>
                <w:color w:val="auto"/>
                <w:vertAlign w:val="superscript"/>
              </w:rPr>
              <w:t>(5)</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Comparable store sales (decline) growth</w:t>
            </w:r>
            <w:r>
              <w:rPr>
                <w:rFonts w:ascii="Arial" w:cs="Arial" w:eastAsia="Arial" w:hAnsi="Arial"/>
                <w:sz w:val="29"/>
                <w:szCs w:val="29"/>
                <w:color w:val="auto"/>
                <w:vertAlign w:val="superscript"/>
              </w:rPr>
              <w:t>(6)</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3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690"/>
              <w:spacing w:after="0"/>
              <w:rPr>
                <w:sz w:val="20"/>
                <w:szCs w:val="20"/>
                <w:color w:val="auto"/>
              </w:rPr>
            </w:pPr>
            <w:r>
              <w:rPr>
                <w:rFonts w:ascii="Arial" w:cs="Arial" w:eastAsia="Arial" w:hAnsi="Arial"/>
                <w:sz w:val="18"/>
                <w:szCs w:val="18"/>
                <w:color w:val="auto"/>
                <w:w w:val="89"/>
              </w:rPr>
              <w:t>20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right="60" w:hanging="432"/>
        <w:spacing w:after="0" w:line="229" w:lineRule="auto"/>
        <w:tabs>
          <w:tab w:leader="none" w:pos="44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On January 1, 2019, we adopted Accounting Standards Codification (“ASC”) 842 which requires organizations that lease assets to recognize the rights and obligations created by those leases on the consolidated balance sheet. Upon adopting this standard, we established a right of use asset of $147.2 million and lease liabilities of $169.9 million, reduced deferred rent by $44.6 million, and recorded a cumulative effect adjustment to retained earnings of $22.0 million. The change in useful life assigned to certain leasehold improvements triggered by the Company’s election to apply the hindsight practical expedient resulted in a $15.3 million reduction in fixed assets and retained earnings. The net impact of the cumulative effect adjustments also resulted in a $1.7 million reduction of deferred tax assets and a corresponding adjustment to retained earnings.</w:t>
      </w:r>
    </w:p>
    <w:p>
      <w:pPr>
        <w:spacing w:after="0" w:line="1" w:lineRule="exact"/>
        <w:rPr>
          <w:rFonts w:ascii="Arial" w:cs="Arial" w:eastAsia="Arial" w:hAnsi="Arial"/>
          <w:sz w:val="27"/>
          <w:szCs w:val="27"/>
          <w:color w:val="auto"/>
          <w:vertAlign w:val="superscript"/>
        </w:rPr>
      </w:pPr>
    </w:p>
    <w:p>
      <w:pPr>
        <w:ind w:left="440" w:hanging="432"/>
        <w:spacing w:after="0" w:line="184" w:lineRule="auto"/>
        <w:tabs>
          <w:tab w:leader="none" w:pos="44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Total debt includes current maturities of long-term debt and long-term debt balances.</w:t>
      </w:r>
    </w:p>
    <w:p>
      <w:pPr>
        <w:spacing w:after="0" w:line="42" w:lineRule="exact"/>
        <w:rPr>
          <w:rFonts w:ascii="Arial" w:cs="Arial" w:eastAsia="Arial" w:hAnsi="Arial"/>
          <w:sz w:val="29"/>
          <w:szCs w:val="29"/>
          <w:color w:val="auto"/>
          <w:vertAlign w:val="superscript"/>
        </w:rPr>
      </w:pPr>
    </w:p>
    <w:p>
      <w:pPr>
        <w:ind w:left="440" w:right="20" w:hanging="432"/>
        <w:spacing w:after="0" w:line="234" w:lineRule="auto"/>
        <w:tabs>
          <w:tab w:leader="none" w:pos="44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Prior to 2018, we also adjusted for special charges, including equity-related transaction costs, litigation and investigation costs, and the write-off of debt issuance costs. We have modified the Adjusted EBITDA presentation for the year ended December 31, 2017 to conform to the current presentation.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7" w:lineRule="exact"/>
        <w:rPr>
          <w:rFonts w:ascii="Arial" w:cs="Arial" w:eastAsia="Arial" w:hAnsi="Arial"/>
          <w:sz w:val="27"/>
          <w:szCs w:val="27"/>
          <w:color w:val="auto"/>
          <w:vertAlign w:val="superscript"/>
        </w:rPr>
      </w:pPr>
    </w:p>
    <w:p>
      <w:pPr>
        <w:ind w:left="440" w:hanging="432"/>
        <w:spacing w:after="0" w:line="184" w:lineRule="auto"/>
        <w:tabs>
          <w:tab w:leader="none" w:pos="44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Gross margin rate is equal to gross profit divided by net sales.</w:t>
      </w:r>
    </w:p>
    <w:p>
      <w:pPr>
        <w:spacing w:after="0" w:line="42" w:lineRule="exact"/>
        <w:rPr>
          <w:rFonts w:ascii="Arial" w:cs="Arial" w:eastAsia="Arial" w:hAnsi="Arial"/>
          <w:sz w:val="29"/>
          <w:szCs w:val="29"/>
          <w:color w:val="auto"/>
          <w:vertAlign w:val="superscript"/>
        </w:rPr>
      </w:pPr>
    </w:p>
    <w:p>
      <w:pPr>
        <w:ind w:left="440" w:hanging="432"/>
        <w:spacing w:after="0" w:line="194" w:lineRule="auto"/>
        <w:tabs>
          <w:tab w:leader="none" w:pos="44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Operating income (loss) margin is equal to income (loss) from operations divided by net sales.</w:t>
      </w:r>
    </w:p>
    <w:p>
      <w:pPr>
        <w:spacing w:after="0" w:line="42" w:lineRule="exact"/>
        <w:rPr>
          <w:rFonts w:ascii="Arial" w:cs="Arial" w:eastAsia="Arial" w:hAnsi="Arial"/>
          <w:sz w:val="23"/>
          <w:szCs w:val="23"/>
          <w:color w:val="auto"/>
          <w:vertAlign w:val="superscript"/>
        </w:rPr>
      </w:pPr>
    </w:p>
    <w:p>
      <w:pPr>
        <w:ind w:left="440" w:right="60" w:hanging="432"/>
        <w:spacing w:after="0" w:line="228" w:lineRule="auto"/>
        <w:tabs>
          <w:tab w:leader="none" w:pos="44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Comparable store sales (decline)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(decline) amounts include total charges to customers less any actual returns. We include the change in the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(decline) growth metric provides useful information to both management and investors to evaluate the Company’s performance, the effectiveness of its strategy and its competitive position.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Adjusted EBITDA to GAAP Net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Adjusted EBITDA to net income (loss) for the years ended December 31, 2017 through December 31, 2021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50"/>
        </w:trPr>
        <w:tc>
          <w:tcPr>
            <w:tcW w:w="4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line="250" w:lineRule="exact"/>
              <w:rPr>
                <w:sz w:val="20"/>
                <w:szCs w:val="20"/>
                <w:color w:val="auto"/>
              </w:rPr>
            </w:pPr>
            <w:r>
              <w:rPr>
                <w:rFonts w:ascii="Arial" w:cs="Arial" w:eastAsia="Arial" w:hAnsi="Arial"/>
                <w:sz w:val="17"/>
                <w:szCs w:val="17"/>
                <w:color w:val="auto"/>
                <w:w w:val="98"/>
              </w:rPr>
              <w:t>2017</w:t>
            </w:r>
            <w:r>
              <w:rPr>
                <w:rFonts w:ascii="Arial" w:cs="Arial" w:eastAsia="Arial" w:hAnsi="Arial"/>
                <w:sz w:val="28"/>
                <w:szCs w:val="28"/>
                <w:color w:val="auto"/>
                <w:w w:val="98"/>
                <w:vertAlign w:val="superscript"/>
              </w:rPr>
              <w:t>(1)</w:t>
            </w:r>
          </w:p>
        </w:tc>
      </w:tr>
      <w:tr>
        <w:trPr>
          <w:trHeight w:val="18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320"/>
              <w:spacing w:after="0" w:line="182" w:lineRule="exact"/>
              <w:rPr>
                <w:sz w:val="20"/>
                <w:szCs w:val="20"/>
                <w:color w:val="auto"/>
              </w:rPr>
            </w:pPr>
            <w:r>
              <w:rPr>
                <w:rFonts w:ascii="Arial" w:cs="Arial" w:eastAsia="Arial" w:hAnsi="Arial"/>
                <w:sz w:val="18"/>
                <w:szCs w:val="18"/>
                <w:color w:val="auto"/>
                <w:w w:val="91"/>
              </w:rPr>
              <w:t>(in thousands)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4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(4,463)</w:t>
            </w:r>
          </w:p>
        </w:tc>
        <w:tc>
          <w:tcPr>
            <w:tcW w:w="34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10,819</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656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3,792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1,857</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(1,529)</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13,340</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27,379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31,336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33,546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28,396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26,239</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2,669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3,156</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50,255</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39,953</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34,846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49,355</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55,411</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320" w:hanging="332"/>
        <w:spacing w:after="0" w:line="192"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 ended December 31, 2017 to conform to the current presentation.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a percentage of net sales for the years ended December 31, 2017 through December 31, 2021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Years Ended December 31,</w:t>
            </w: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250"/>
        </w:trPr>
        <w:tc>
          <w:tcPr>
            <w:tcW w:w="43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270"/>
              <w:spacing w:after="0" w:line="250" w:lineRule="exact"/>
              <w:rPr>
                <w:sz w:val="20"/>
                <w:szCs w:val="20"/>
                <w:color w:val="auto"/>
              </w:rPr>
            </w:pPr>
            <w:r>
              <w:rPr>
                <w:rFonts w:ascii="Arial" w:cs="Arial" w:eastAsia="Arial" w:hAnsi="Arial"/>
                <w:sz w:val="17"/>
                <w:szCs w:val="17"/>
                <w:color w:val="auto"/>
              </w:rPr>
              <w:t>2019</w:t>
            </w:r>
            <w:r>
              <w:rPr>
                <w:rFonts w:ascii="Arial" w:cs="Arial" w:eastAsia="Arial" w:hAnsi="Arial"/>
                <w:sz w:val="28"/>
                <w:szCs w:val="28"/>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50"/>
              <w:spacing w:after="0" w:line="250" w:lineRule="exact"/>
              <w:rPr>
                <w:sz w:val="20"/>
                <w:szCs w:val="20"/>
                <w:color w:val="auto"/>
              </w:rPr>
            </w:pPr>
            <w:r>
              <w:rPr>
                <w:rFonts w:ascii="Arial" w:cs="Arial" w:eastAsia="Arial" w:hAnsi="Arial"/>
                <w:sz w:val="17"/>
                <w:szCs w:val="17"/>
                <w:color w:val="auto"/>
                <w:w w:val="95"/>
              </w:rPr>
              <w:t>2018</w:t>
            </w:r>
            <w:r>
              <w:rPr>
                <w:rFonts w:ascii="Arial" w:cs="Arial" w:eastAsia="Arial" w:hAnsi="Arial"/>
                <w:sz w:val="28"/>
                <w:szCs w:val="28"/>
                <w:color w:val="auto"/>
                <w:w w:val="95"/>
                <w:vertAlign w:val="superscript"/>
              </w:rPr>
              <w:t>(2)</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90"/>
              <w:spacing w:after="0" w:line="250" w:lineRule="exact"/>
              <w:rPr>
                <w:sz w:val="20"/>
                <w:szCs w:val="20"/>
                <w:color w:val="auto"/>
              </w:rPr>
            </w:pPr>
            <w:r>
              <w:rPr>
                <w:rFonts w:ascii="Arial" w:cs="Arial" w:eastAsia="Arial" w:hAnsi="Arial"/>
                <w:sz w:val="28"/>
                <w:szCs w:val="28"/>
                <w:color w:val="auto"/>
                <w:vertAlign w:val="subscript"/>
              </w:rPr>
              <w:t>2017</w:t>
            </w:r>
            <w:r>
              <w:rPr>
                <w:rFonts w:ascii="Arial" w:cs="Arial" w:eastAsia="Arial" w:hAnsi="Arial"/>
                <w:sz w:val="13"/>
                <w:szCs w:val="13"/>
                <w:color w:val="auto"/>
              </w:rPr>
              <w:t>(1)(2)</w:t>
            </w:r>
          </w:p>
        </w:tc>
      </w:tr>
      <w:tr>
        <w:trPr>
          <w:trHeight w:val="182"/>
        </w:trPr>
        <w:tc>
          <w:tcPr>
            <w:tcW w:w="4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center"/>
              <w:ind w:right="420"/>
              <w:spacing w:after="0" w:line="182" w:lineRule="exact"/>
              <w:rPr>
                <w:sz w:val="20"/>
                <w:szCs w:val="20"/>
                <w:color w:val="auto"/>
              </w:rPr>
            </w:pPr>
            <w:r>
              <w:rPr>
                <w:rFonts w:ascii="Arial" w:cs="Arial" w:eastAsia="Arial" w:hAnsi="Arial"/>
                <w:sz w:val="18"/>
                <w:szCs w:val="18"/>
                <w:color w:val="auto"/>
                <w:w w:val="88"/>
              </w:rPr>
              <w:t>% of net sales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1620" w:type="dxa"/>
            <w:vAlign w:val="bottom"/>
            <w:gridSpan w:val="3"/>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6"/>
                <w:szCs w:val="16"/>
                <w:color w:val="auto"/>
              </w:rPr>
            </w:pPr>
          </w:p>
        </w:tc>
        <w:tc>
          <w:tcPr>
            <w:tcW w:w="1620" w:type="dxa"/>
            <w:vAlign w:val="bottom"/>
            <w:gridSpan w:val="3"/>
          </w:tcPr>
          <w:p>
            <w:pPr>
              <w:jc w:val="right"/>
              <w:ind w:right="390"/>
              <w:spacing w:after="0" w:line="189"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0.8</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460" w:type="dxa"/>
            <w:vAlign w:val="bottom"/>
          </w:tcPr>
          <w:p>
            <w:pPr>
              <w:spacing w:after="0"/>
              <w:rPr>
                <w:sz w:val="16"/>
                <w:szCs w:val="16"/>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330"/>
              <w:spacing w:after="0" w:line="189" w:lineRule="exact"/>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6"/>
                <w:szCs w:val="16"/>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7.4</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6"/>
                <w:szCs w:val="16"/>
                <w:color w:val="auto"/>
              </w:rPr>
            </w:pPr>
          </w:p>
        </w:tc>
        <w:tc>
          <w:tcPr>
            <w:tcW w:w="1620" w:type="dxa"/>
            <w:vAlign w:val="bottom"/>
            <w:gridSpan w:val="3"/>
          </w:tcPr>
          <w:p>
            <w:pPr>
              <w:jc w:val="right"/>
              <w:ind w:right="390"/>
              <w:spacing w:after="0" w:line="189" w:lineRule="exact"/>
              <w:rPr>
                <w:sz w:val="20"/>
                <w:szCs w:val="20"/>
                <w:color w:val="auto"/>
              </w:rPr>
            </w:pPr>
            <w:r>
              <w:rPr>
                <w:rFonts w:ascii="Arial" w:cs="Arial" w:eastAsia="Arial" w:hAnsi="Arial"/>
                <w:sz w:val="18"/>
                <w:szCs w:val="18"/>
                <w:color w:val="auto"/>
              </w:rPr>
              <w:t>9.9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460" w:type="dxa"/>
            <w:vAlign w:val="bottom"/>
          </w:tcPr>
          <w:p>
            <w:pPr>
              <w:spacing w:after="0"/>
              <w:rPr>
                <w:sz w:val="16"/>
                <w:szCs w:val="16"/>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390"/>
              <w:spacing w:after="0" w:line="189" w:lineRule="exact"/>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6"/>
                <w:szCs w:val="16"/>
                <w:color w:val="auto"/>
              </w:rPr>
            </w:pPr>
          </w:p>
        </w:tc>
      </w:tr>
      <w:tr>
        <w:trPr>
          <w:trHeight w:val="183"/>
        </w:trPr>
        <w:tc>
          <w:tcPr>
            <w:tcW w:w="43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22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Arial" w:cs="Arial" w:eastAsia="Arial" w:hAnsi="Arial"/>
                <w:sz w:val="18"/>
                <w:szCs w:val="18"/>
                <w:color w:val="auto"/>
              </w:rPr>
              <w:t>13.6 %</w:t>
            </w:r>
          </w:p>
        </w:tc>
        <w:tc>
          <w:tcPr>
            <w:tcW w:w="180" w:type="dxa"/>
            <w:vAlign w:val="bottom"/>
          </w:tcPr>
          <w:p>
            <w:pPr>
              <w:spacing w:after="0"/>
              <w:rPr>
                <w:sz w:val="15"/>
                <w:szCs w:val="15"/>
                <w:color w:val="auto"/>
              </w:rPr>
            </w:pPr>
          </w:p>
        </w:tc>
        <w:tc>
          <w:tcPr>
            <w:tcW w:w="10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12.3 %</w:t>
            </w: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10.2 %</w:t>
            </w:r>
          </w:p>
        </w:tc>
        <w:tc>
          <w:tcPr>
            <w:tcW w:w="1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Arial" w:cs="Arial" w:eastAsia="Arial" w:hAnsi="Arial"/>
                <w:sz w:val="18"/>
                <w:szCs w:val="18"/>
                <w:color w:val="auto"/>
              </w:rPr>
              <w:t>13.8 %</w:t>
            </w:r>
          </w:p>
        </w:tc>
        <w:tc>
          <w:tcPr>
            <w:tcW w:w="180" w:type="dxa"/>
            <w:vAlign w:val="bottom"/>
          </w:tcPr>
          <w:p>
            <w:pPr>
              <w:spacing w:after="0"/>
              <w:rPr>
                <w:sz w:val="15"/>
                <w:szCs w:val="15"/>
                <w:color w:val="auto"/>
              </w:rPr>
            </w:pPr>
          </w:p>
        </w:tc>
        <w:tc>
          <w:tcPr>
            <w:tcW w:w="126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Arial" w:cs="Arial" w:eastAsia="Arial" w:hAnsi="Arial"/>
                <w:sz w:val="18"/>
                <w:szCs w:val="18"/>
                <w:color w:val="auto"/>
              </w:rPr>
              <w:t>16.1 %</w:t>
            </w:r>
          </w:p>
        </w:tc>
      </w:tr>
      <w:tr>
        <w:trPr>
          <w:trHeight w:val="20"/>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320" w:hanging="332"/>
        <w:spacing w:after="0" w:line="192"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 ended December 31, 2017 to conform to the current presentation.</w:t>
      </w:r>
    </w:p>
    <w:p>
      <w:pPr>
        <w:spacing w:after="0" w:line="1" w:lineRule="exact"/>
        <w:rPr>
          <w:rFonts w:ascii="Arial" w:cs="Arial" w:eastAsia="Arial" w:hAnsi="Arial"/>
          <w:sz w:val="30"/>
          <w:szCs w:val="30"/>
          <w:color w:val="auto"/>
          <w:vertAlign w:val="superscript"/>
        </w:rPr>
      </w:pPr>
    </w:p>
    <w:p>
      <w:pPr>
        <w:ind w:left="340" w:hanging="332"/>
        <w:spacing w:after="0" w:line="184" w:lineRule="auto"/>
        <w:tabs>
          <w:tab w:leader="none" w:pos="34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Amounts do not foot due to rounding.</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color w:val="auto"/>
        </w:rPr>
        <w:t>You should read the following discussion and analysis together with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the supply chain and product availability, labor, and on customer traffic to our stores, as well as the potential duration of the COVID-19 pandemic and adequacy of measures we have taken to attempt to mitigate the impact of the COVID-19 pandemic on our business; our ability to successfully implement our strategic plan and the anticipated benefits of our strategic plan; our ability to successfully anticipate consumer trends; any statements with respect to dividends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risks related to relying on foreign suppliers, and the potential impact of the COVID-19 pandemic on, among other things, product availability and pricing and timing and cost of deliveries; our expectations with respect to ongoing compliance with the terms of the credit facility, including the potential impact of the phase out of LIBOR;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initiatives, including our ERP system;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the potential outcome of any legal proceedings; and risks related to ownership of our common stock.</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level of demand for our products;</w:t>
      </w:r>
    </w:p>
    <w:p>
      <w:pPr>
        <w:ind w:left="660" w:right="4400"/>
        <w:spacing w:after="0" w:line="219" w:lineRule="auto"/>
        <w:rPr>
          <w:sz w:val="20"/>
          <w:szCs w:val="20"/>
          <w:color w:val="auto"/>
        </w:rPr>
      </w:pPr>
      <w:r>
        <w:rPr>
          <w:rFonts w:ascii="Arial" w:cs="Arial" w:eastAsia="Arial" w:hAnsi="Arial"/>
          <w:sz w:val="18"/>
          <w:szCs w:val="18"/>
          <w:i w:val="1"/>
          <w:iCs w:val="1"/>
          <w:color w:val="auto"/>
        </w:rPr>
        <w:t>our ability to grow and remain profitable in the highly competitive retail tile industry; our ability to access additional capital;</w:t>
      </w:r>
    </w:p>
    <w:p>
      <w:pPr>
        <w:ind w:left="660"/>
        <w:spacing w:after="0" w:line="219" w:lineRule="auto"/>
        <w:rPr>
          <w:sz w:val="20"/>
          <w:szCs w:val="20"/>
          <w:color w:val="auto"/>
        </w:rPr>
      </w:pPr>
      <w:r>
        <w:rPr>
          <w:rFonts w:ascii="Arial" w:cs="Arial" w:eastAsia="Arial" w:hAnsi="Arial"/>
          <w:sz w:val="18"/>
          <w:szCs w:val="18"/>
          <w:i w:val="1"/>
          <w:iCs w:val="1"/>
          <w:color w:val="auto"/>
        </w:rPr>
        <w:t>our ability to attract and retain qualified personnel;</w:t>
      </w:r>
    </w:p>
    <w:p>
      <w:pPr>
        <w:ind w:left="660" w:right="620"/>
        <w:spacing w:after="0" w:line="219" w:lineRule="auto"/>
        <w:rPr>
          <w:sz w:val="20"/>
          <w:szCs w:val="20"/>
          <w:color w:val="auto"/>
        </w:rPr>
      </w:pPr>
      <w:r>
        <w:rPr>
          <w:rFonts w:ascii="Arial" w:cs="Arial" w:eastAsia="Arial" w:hAnsi="Arial"/>
          <w:sz w:val="18"/>
          <w:szCs w:val="18"/>
          <w:i w:val="1"/>
          <w:iCs w:val="1"/>
          <w:color w:val="auto"/>
        </w:rPr>
        <w:t>changes in general economic, business and industry conditions, including any recession caused by the effects of the COVID-19 pandemic; our ability to introduce new products that satisfy market demand; and</w:t>
      </w:r>
    </w:p>
    <w:p>
      <w:pPr>
        <w:ind w:left="660"/>
        <w:spacing w:after="0"/>
        <w:rPr>
          <w:sz w:val="20"/>
          <w:szCs w:val="20"/>
          <w:color w:val="auto"/>
        </w:rPr>
      </w:pPr>
      <w:r>
        <w:rPr>
          <w:rFonts w:ascii="Arial" w:cs="Arial" w:eastAsia="Arial" w:hAnsi="Arial"/>
          <w:sz w:val="16"/>
          <w:szCs w:val="16"/>
          <w:i w:val="1"/>
          <w:iCs w:val="1"/>
          <w:color w:val="auto"/>
        </w:rPr>
        <w:t>legal, regulatory, and tax developments, including additional requirements imposed by changes in domestic and foreign laws and regulations.</w:t>
      </w:r>
    </w:p>
    <w:p>
      <w:pPr>
        <w:spacing w:after="0" w:line="28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Part I,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required by law, we undertake no obligation to update publicly any forward-looking statements, whether as a result of new information, future events, or for any other reason.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18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December 31, 2021, we operated 143 stores in 31 states and the District of Columbia, with an average size of approximately 20,000 square feet.</w:t>
      </w:r>
    </w:p>
    <w:p>
      <w:pPr>
        <w:spacing w:after="0" w:line="13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setting and maintenance materials, and related accessories in the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net sales, operating income and stores opened from 2019 to 2021.</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color w:val="auto"/>
                <w:w w:val="88"/>
              </w:rPr>
              <w:t>For the year ended December 31,</w:t>
            </w:r>
          </w:p>
        </w:tc>
        <w:tc>
          <w:tcPr>
            <w:tcW w:w="1020" w:type="dxa"/>
            <w:vAlign w:val="bottom"/>
            <w:tcBorders>
              <w:bottom w:val="single" w:sz="8" w:color="auto"/>
            </w:tcBorders>
          </w:tcPr>
          <w:p>
            <w:pPr>
              <w:spacing w:after="0"/>
              <w:rPr>
                <w:sz w:val="18"/>
                <w:szCs w:val="18"/>
                <w:color w:val="auto"/>
              </w:rPr>
            </w:pP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89"/>
              </w:rPr>
              <w:t>2020</w:t>
            </w: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60" w:type="dxa"/>
            <w:vAlign w:val="bottom"/>
            <w:gridSpan w:val="4"/>
          </w:tcPr>
          <w:p>
            <w:pPr>
              <w:jc w:val="center"/>
              <w:ind w:left="630"/>
              <w:spacing w:after="0" w:line="182" w:lineRule="exact"/>
              <w:rPr>
                <w:sz w:val="20"/>
                <w:szCs w:val="20"/>
                <w:color w:val="auto"/>
              </w:rPr>
            </w:pPr>
            <w:r>
              <w:rPr>
                <w:rFonts w:ascii="Arial" w:cs="Arial" w:eastAsia="Arial" w:hAnsi="Arial"/>
                <w:sz w:val="18"/>
                <w:szCs w:val="18"/>
                <w:color w:val="auto"/>
                <w:w w:val="88"/>
              </w:rPr>
              <w:t>(in thousands, except store data)</w:t>
            </w:r>
          </w:p>
        </w:tc>
        <w:tc>
          <w:tcPr>
            <w:tcW w:w="1020" w:type="dxa"/>
            <w:vAlign w:val="bottom"/>
          </w:tcPr>
          <w:p>
            <w:pPr>
              <w:spacing w:after="0"/>
              <w:rPr>
                <w:sz w:val="15"/>
                <w:szCs w:val="15"/>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370,700</w:t>
            </w:r>
          </w:p>
        </w:tc>
        <w:tc>
          <w:tcPr>
            <w:tcW w:w="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325,057</w:t>
            </w:r>
          </w:p>
        </w:tc>
        <w:tc>
          <w:tcPr>
            <w:tcW w:w="56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340,351</w:t>
            </w: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Income (loss) from operations</w:t>
            </w:r>
          </w:p>
        </w:tc>
        <w:tc>
          <w:tcPr>
            <w:tcW w:w="2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20,610</w:t>
            </w:r>
          </w:p>
        </w:tc>
        <w:tc>
          <w:tcPr>
            <w:tcW w:w="4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6,376</w:t>
            </w:r>
          </w:p>
        </w:tc>
        <w:tc>
          <w:tcPr>
            <w:tcW w:w="56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(1,357)</w:t>
            </w: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39,691</w:t>
            </w:r>
          </w:p>
        </w:tc>
        <w:tc>
          <w:tcPr>
            <w:tcW w:w="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65,596</w:t>
            </w:r>
          </w:p>
        </w:tc>
        <w:tc>
          <w:tcPr>
            <w:tcW w:w="56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38,563</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New stores opened during period</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20"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Net sales increased $45.6 million from $325.1 million for the year ended December 31, 2020 to $370.7 million for the year ended December 31, 2021. The net sales generated in 2021 represents a new annual sales record due to a 13.8% increase in sales at comparable stores. We believe this result was made possible by strong demand for home improvement products, an increase in ticket averages driven by higher prices for the products that we sell and the execution of our strategy.</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encountered a number of supply chain challenges during 2021. Earlier in the year, we experienced difficulty securing timely delivery of replenishment orders from our vendors which resulted in elevated levels of backorders. We made significant progress reducing backorders and improving our inventory position to $97.2 million as of December 31, 2021. Additionally, we are seeing an increase in the cost of the products we source from around the world due to vendor price increases in response to inflationary cost pressure and an increase in international shipping rates. This cost pressure is having an impact on our gross margin rate which fell to 66.1% during the fourth quarter ended December 31, 2021. In response to the cost pressure, we have and plan to continue to adjust our prices. We anticipate the cost pressure on our gross margin rates will persist into 2022.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Throughout 2021, we have slowly and deliberately taken steps to reinvest in the business to capture the elevated level of demand we are seeing in the marketplace. Since the beginning of the year, we have taken steps to expand hours in many of our stores, add employees to our workforce, and adjust compensation to remain competitive in the marketplace, particularly in our store warehouses and distribution centers. We have made a number of meaningful investments in technology, including our website, increased our marketing spend, and seen general SG&amp;A expenses increase as we have resumed normal business in 2021. We believe that the steps taken to reinvest in the business in 2021 will position the Company for continued sales growth as we move into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March 2020, the World Health Organization declared the COVID-19 outbreak a global pandemic. COVID-19 has negatively impacted public health and the global economy, disrupted global supply chains, and created volatility in financial markets. We have been negatively affected by the COVID-19 pandemic, and we anticipate we will continue to be negatively impacted at least throughout the duration of the pandemic. The continuing implications of COVID-19 on us remain uncertain and will depend on certain future developments, including the duration, scope and severity of the pandemic and the effects of new variants of COVID-19, some of which may be more virulent or transmissible than the initial strain; its impact on our employees, customers and suppliers; the range and timing of government mandated restrictions and other measures, including the reimplementation of previously lifted measures or imposition of new measures; and the success of the deployment and widespread adoption of approved COVID-19 vaccines and their effectiveness against new variants of COVID-19. This uncertainty could have a material impact on the accounting estimates and assumptions utilized to prepare our consolidated financial statements in future reporting periods, which could result in a material adverse impact on our financial position, results of operations and cash flows.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COVID-19 pandemic had a significant impact on our operations during 2020. For instance, we experienced a sharp decline in traffic toward the end of the first quarter of 2020 following the onset of COVID-19 in the United States. In response, we took steps to reduce selling, general and administrative expenses by eliminating a portion of our workforce, reducing store hours, curtailing advertising spending, reducing the number of replenishment trucks sent from our distribution centers to our stores and limiting other SG&amp;A spending when possible. As state and local governments started lifting restrictions toward the end of the second quarter of 2020, we saw an improvement in traffic and sales trends. Throughout the remainder of 2020, we took a cautious approach to investing in activities that would increase our SG&amp;A expenses, which included operating our stores at a reduced hours schedule compared to the prior year.</w:t>
      </w:r>
    </w:p>
    <w:p>
      <w:pPr>
        <w:spacing w:after="0" w:line="154"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pandemic has had a significant impact on our supply chain. During 2021, we experienced elevated levels of product shortages, which were partially due to vendor production delays and global shipping capacity constraints resulting, in part, from the impact of COVID -19. We were able to work with our vendors to secure delivery of backordered product and improve our overall inventory levels as of December 31, 2021. Additionally, many of our vendors have begun to communicate price increases in response to inflationary cost pressure, which, combined with escalated international shipping rates, is resulting in an increase in the cost of our inventory and corresponding pressure on our gross margin rates. In response to this cost pressure, we have adjusted, and plan to continue to adjust, our pricing.</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While we are cautiously optimistic with the current business trend and the progress made distributing COVID-19 vaccinations in recent months, the continued sporadic outbreaks of COVID-19 cases occurring globally, as well as the ongoing spread of new COVID-19 variants, could have a negative impact on us. Specifically, we could be adversely impacted by limitations on our employees to perform their work due to illness caused by the pandemic or local, state or federal orders requiring stores to close or employees to remain home; labor shortages resulting from various factors; limitations of carriers to deliver our products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 pandemic has subsided, we may continue to experience adverse impacts to our business as a result of the economic impact of the pandemic.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5"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Our operating results are heavily dependent upon the prices paid to acquire manmade and natural store products from our vendors around the world. The cost to source our products has increased over the last year due to an increase in international freight rates and vendor price increases, due in part to higher labor costs, energy prices, and other inflationary pressures. In response to rising costs, we have and plan to continue to adjust our pricing; however, continued volatility and inflationary pressure could adversely affect our financial results.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17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On November 4, 2021, we announced that our Board of Directors declared a special dividend of $0.65 per share payable on December 3, 2021 to the Company’s stockholders of record at the close of business on November 19, 2021. The payment of the special dividend resulted in a $32.9 million return of capital to shareholders during the fourth quarter of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(decline) growth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 and duty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 Gross profit is net sales less cost of sales. Gross margin rate is the percentage determined by dividing gross profit by net sales.</w:t>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costs, advertising cost, shipping and transportation expenses to move inventory from our distribution centers to our stores, and depreciation and amortization.</w:t>
      </w:r>
    </w:p>
    <w:p>
      <w:pPr>
        <w:spacing w:after="0" w:line="148"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48" w:lineRule="exact"/>
        <w:rPr>
          <w:sz w:val="20"/>
          <w:szCs w:val="20"/>
          <w:color w:val="auto"/>
        </w:rPr>
      </w:pPr>
    </w:p>
    <w:p>
      <w:pPr>
        <w:ind w:left="5540" w:right="1880" w:hanging="5525"/>
        <w:spacing w:after="0" w:line="26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88"/>
        </w:trPr>
        <w:tc>
          <w:tcPr>
            <w:tcW w:w="6960" w:type="dxa"/>
            <w:vAlign w:val="bottom"/>
            <w:gridSpan w:val="7"/>
          </w:tcPr>
          <w:p>
            <w:pPr>
              <w:spacing w:after="0"/>
              <w:rPr>
                <w:sz w:val="20"/>
                <w:szCs w:val="20"/>
                <w:color w:val="auto"/>
              </w:rPr>
            </w:pPr>
            <w:r>
              <w:rPr>
                <w:rFonts w:ascii="Arial" w:cs="Arial" w:eastAsia="Arial" w:hAnsi="Arial"/>
                <w:sz w:val="18"/>
                <w:szCs w:val="18"/>
                <w:b w:val="1"/>
                <w:bCs w:val="1"/>
                <w:color w:val="auto"/>
                <w:w w:val="91"/>
              </w:rPr>
              <w:t>Comparison of the Year Ended December 31, 2021 to the Year Ended December 31, 2020</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9"/>
        </w:trPr>
        <w:tc>
          <w:tcPr>
            <w:tcW w:w="1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320" w:type="dxa"/>
            <w:vAlign w:val="bottom"/>
            <w:tcBorders>
              <w:bottom w:val="single" w:sz="8" w:color="auto"/>
            </w:tcBorders>
          </w:tcPr>
          <w:p>
            <w:pPr>
              <w:spacing w:after="0"/>
              <w:rPr>
                <w:sz w:val="19"/>
                <w:szCs w:val="19"/>
                <w:color w:val="auto"/>
              </w:rPr>
            </w:pPr>
          </w:p>
        </w:tc>
      </w:tr>
      <w:tr>
        <w:trPr>
          <w:trHeight w:val="183"/>
        </w:trPr>
        <w:tc>
          <w:tcPr>
            <w:tcW w:w="1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4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370,700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62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325,057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117,570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31.7</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31.9</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253,130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232,520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62.7</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215,149</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66.2</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(656)</w:t>
            </w:r>
          </w:p>
        </w:tc>
        <w:tc>
          <w:tcPr>
            <w:tcW w:w="160" w:type="dxa"/>
            <w:vAlign w:val="bottom"/>
          </w:tcPr>
          <w:p>
            <w:pPr>
              <w:spacing w:after="0"/>
              <w:rPr>
                <w:sz w:val="16"/>
                <w:szCs w:val="16"/>
                <w:color w:val="auto"/>
              </w:rPr>
            </w:pPr>
          </w:p>
        </w:tc>
        <w:tc>
          <w:tcPr>
            <w:tcW w:w="12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(1,874)</w:t>
            </w:r>
          </w:p>
        </w:tc>
        <w:tc>
          <w:tcPr>
            <w:tcW w:w="13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(0.6)%</w:t>
            </w:r>
          </w:p>
        </w:tc>
      </w:tr>
      <w:tr>
        <w:trPr>
          <w:trHeight w:val="183"/>
        </w:trPr>
        <w:tc>
          <w:tcPr>
            <w:tcW w:w="4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0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19,954</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w:t>
            </w:r>
          </w:p>
        </w:tc>
        <w:tc>
          <w:tcPr>
            <w:tcW w:w="32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4,502</w:t>
            </w: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c>
          <w:tcPr>
            <w:tcW w:w="32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(5,180)</w:t>
            </w:r>
          </w:p>
        </w:tc>
        <w:tc>
          <w:tcPr>
            <w:tcW w:w="160" w:type="dxa"/>
            <w:vAlign w:val="bottom"/>
          </w:tcPr>
          <w:p>
            <w:pPr>
              <w:spacing w:after="0"/>
              <w:rPr>
                <w:sz w:val="16"/>
                <w:szCs w:val="16"/>
                <w:color w:val="auto"/>
              </w:rPr>
            </w:pPr>
          </w:p>
        </w:tc>
        <w:tc>
          <w:tcPr>
            <w:tcW w:w="12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1,529</w:t>
            </w:r>
          </w:p>
        </w:tc>
        <w:tc>
          <w:tcPr>
            <w:tcW w:w="1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32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14,774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4.0 %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6,031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1.9 %</w:t>
            </w: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increased $45.6 million, or 14.0%, in 2021 compared to 2020. The sales results during 2020 were adversely impacted by the ongoing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COVID-19 pandemic, which resulted in reduced store hours, lower levels of traffic and an overall decrease in sales during the twelve months ended December 31, 2020. Over the last 12 months, we have seen improved sales due to strong demand for home improvement products, an increase in the average ticket driven by higher prices, and the execution of our strategy that have contributed to a 13.8% increase in sales at comparable stores during 2021.</w:t>
      </w:r>
    </w:p>
    <w:p>
      <w:pPr>
        <w:spacing w:after="0" w:line="15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increased $31.6 million, or 14.3%, in 2021 compared to 2020. The gross margin rate was 68.3% and 68.1% for 2021 and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gross margin was primarily driven by better pricing during the first half of 2021 and an improvement in customer delivery collection rates.</w:t>
      </w:r>
    </w:p>
    <w:p>
      <w:pPr>
        <w:spacing w:after="0" w:line="14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 Selling, general and administrative expenses increased $17.4 million, or 8.1%, in 2021 compared to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increase included a $7.3 million increase in variable compensation expenses, a $1.9 million increase in transportation costs and a $1.1 million increase in interchange fees. Additionally, SG&amp;A expenses increased as we resumed normal business operations during 2021 and included a $3.9 million increase in staffing costs, a $1.5 million increase in benefits, and a $1.4 million increase in marketing expenses. We recorded $0.7 million and $2.2 million of asset impairment charges during the twelve months ended December 31, 2021 and December 31, 2020, respectively.</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decreased $1.2 million, or 65.0%, in 2021 compared to 2020. The decrease in interest expense was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level of average debt in 2021.</w:t>
      </w:r>
    </w:p>
    <w:p>
      <w:pPr>
        <w:spacing w:after="0" w:line="143"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b w:val="1"/>
          <w:bCs w:val="1"/>
          <w:i w:val="1"/>
          <w:iCs w:val="1"/>
          <w:color w:val="auto"/>
        </w:rPr>
        <w:t xml:space="preserve">Provision (Benefit) for Income Taxes </w:t>
      </w:r>
      <w:r>
        <w:rPr>
          <w:rFonts w:ascii="Arial" w:cs="Arial" w:eastAsia="Arial" w:hAnsi="Arial"/>
          <w:sz w:val="18"/>
          <w:szCs w:val="18"/>
          <w:color w:val="auto"/>
        </w:rPr>
        <w:t>– The provision for income taxes increased $6.7 million for 2021 compared to 2020. Our effective tax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26.0% in 2021 and (34.0)% in 2020. The tax benefit recognized during 2020 and the improvement in the effective tax rate was primarily due to the enactment of the Coronavirus Aid, Relief, and Economic Security Act (CARES Act), which gave us the ability to carry back federal net operating losses to years with a federal statutory tax rate of 35%.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2020 to the Year Ended December 31, 2019</w:t>
      </w:r>
    </w:p>
    <w:p>
      <w:pPr>
        <w:spacing w:after="0" w:line="175" w:lineRule="exact"/>
        <w:rPr>
          <w:sz w:val="20"/>
          <w:szCs w:val="20"/>
          <w:color w:val="auto"/>
        </w:rPr>
      </w:pPr>
    </w:p>
    <w:p>
      <w:pPr>
        <w:ind w:right="40"/>
        <w:spacing w:after="0" w:line="231" w:lineRule="auto"/>
        <w:rPr>
          <w:rFonts w:ascii="Arial" w:cs="Arial" w:eastAsia="Arial" w:hAnsi="Arial"/>
          <w:sz w:val="18"/>
          <w:szCs w:val="18"/>
          <w:color w:val="auto"/>
        </w:rPr>
      </w:pPr>
      <w:r>
        <w:rPr>
          <w:rFonts w:ascii="Arial" w:cs="Arial" w:eastAsia="Arial" w:hAnsi="Arial"/>
          <w:sz w:val="18"/>
          <w:szCs w:val="18"/>
          <w:color w:val="auto"/>
        </w:rPr>
        <w:t xml:space="preserve">A detailed discussion of the fiscal year 2020 performance compared to fiscal year 2019 is set forth in Part II, Item 7. “Management’s Discussion and Analysis of Financial Condition and Results of Operations – Comparison of the Year Ended December 31, 2020 to the Year Ended December 31, 2019,” in our </w:t>
      </w:r>
      <w:hyperlink r:id="rId44">
        <w:r>
          <w:rPr>
            <w:rFonts w:ascii="Arial" w:cs="Arial" w:eastAsia="Arial" w:hAnsi="Arial"/>
            <w:sz w:val="18"/>
            <w:szCs w:val="18"/>
            <w:u w:val="single" w:color="auto"/>
            <w:color w:val="0000FF"/>
          </w:rPr>
          <w:t>Annual Report on Form 10-K for the year ended December 31, 2020</w:t>
        </w:r>
      </w:hyperlink>
      <w:r>
        <w:rPr>
          <w:rFonts w:ascii="Arial" w:cs="Arial" w:eastAsia="Arial" w:hAnsi="Arial"/>
          <w:sz w:val="18"/>
          <w:szCs w:val="18"/>
          <w:color w:val="auto"/>
        </w:rPr>
        <w:t>, as filed with the SEC on March 11, 2021, which discussion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-144780</wp:posOffset>
            </wp:positionV>
            <wp:extent cx="3140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1407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and in comparing our financial measures with other specialty retailers, many of which present similar non-GAAP financial measures to investors.</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years ended December 31, 2021 and 2020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149"/>
              <w:spacing w:after="0"/>
              <w:rPr>
                <w:sz w:val="20"/>
                <w:szCs w:val="20"/>
                <w:color w:val="auto"/>
              </w:rPr>
            </w:pPr>
            <w:r>
              <w:rPr>
                <w:rFonts w:ascii="Arial" w:cs="Arial" w:eastAsia="Arial" w:hAnsi="Arial"/>
                <w:sz w:val="18"/>
                <w:szCs w:val="18"/>
                <w:color w:val="auto"/>
              </w:rPr>
              <w:t>Years Ended December 31,</w:t>
            </w:r>
          </w:p>
        </w:tc>
        <w:tc>
          <w:tcPr>
            <w:tcW w:w="660" w:type="dxa"/>
            <w:vAlign w:val="bottom"/>
            <w:tcBorders>
              <w:bottom w:val="single" w:sz="8" w:color="auto"/>
            </w:tcBorders>
          </w:tcPr>
          <w:p>
            <w:pPr>
              <w:spacing w:after="0"/>
              <w:rPr>
                <w:sz w:val="18"/>
                <w:szCs w:val="18"/>
                <w:color w:val="auto"/>
              </w:rPr>
            </w:pPr>
          </w:p>
        </w:tc>
      </w:tr>
      <w:tr>
        <w:trPr>
          <w:trHeight w:val="183"/>
        </w:trPr>
        <w:tc>
          <w:tcPr>
            <w:tcW w:w="5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9"/>
              <w:spacing w:after="0" w:line="182" w:lineRule="exact"/>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gridSpan w:val="4"/>
          </w:tcPr>
          <w:p>
            <w:pPr>
              <w:jc w:val="right"/>
              <w:ind w:right="629"/>
              <w:spacing w:after="0" w:line="182" w:lineRule="exact"/>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15"/>
                <w:szCs w:val="15"/>
                <w:color w:val="auto"/>
              </w:rPr>
            </w:pPr>
          </w:p>
        </w:tc>
      </w:tr>
      <w:tr>
        <w:trPr>
          <w:trHeight w:val="189"/>
        </w:trPr>
        <w:tc>
          <w:tcPr>
            <w:tcW w:w="5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620" w:type="dxa"/>
            <w:vAlign w:val="bottom"/>
            <w:gridSpan w:val="2"/>
            <w:shd w:val="clear" w:color="auto" w:fill="CCEEFF"/>
          </w:tcPr>
          <w:p>
            <w:pPr>
              <w:jc w:val="right"/>
              <w:ind w:right="976"/>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14,774</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4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656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r>
      <w:tr>
        <w:trPr>
          <w:trHeight w:val="189"/>
        </w:trPr>
        <w:tc>
          <w:tcPr>
            <w:tcW w:w="5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2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2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98"/>
              </w:rPr>
              <w:t>27,379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31,336</w:t>
            </w:r>
          </w:p>
        </w:tc>
      </w:tr>
      <w:tr>
        <w:trPr>
          <w:trHeight w:val="189"/>
        </w:trPr>
        <w:tc>
          <w:tcPr>
            <w:tcW w:w="5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4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r>
      <w:tr>
        <w:trPr>
          <w:trHeight w:val="183"/>
        </w:trPr>
        <w:tc>
          <w:tcPr>
            <w:tcW w:w="50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480" w:type="dxa"/>
            <w:vAlign w:val="bottom"/>
          </w:tcPr>
          <w:p>
            <w:pPr>
              <w:spacing w:after="0"/>
              <w:rPr>
                <w:sz w:val="15"/>
                <w:szCs w:val="15"/>
                <w:color w:val="auto"/>
              </w:rPr>
            </w:pPr>
          </w:p>
        </w:tc>
        <w:tc>
          <w:tcPr>
            <w:tcW w:w="1140" w:type="dxa"/>
            <w:vAlign w:val="bottom"/>
            <w:tcBorders>
              <w:bottom w:val="single" w:sz="8" w:color="auto"/>
            </w:tcBorders>
          </w:tcPr>
          <w:p>
            <w:pPr>
              <w:jc w:val="right"/>
              <w:ind w:right="97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50,255</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39,953</w:t>
            </w:r>
          </w:p>
        </w:tc>
      </w:tr>
      <w:tr>
        <w:trPr>
          <w:trHeight w:val="20"/>
        </w:trPr>
        <w:tc>
          <w:tcPr>
            <w:tcW w:w="5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a percentage of net sales for the years ended December 31, 2021 and 2020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jc w:val="center"/>
              <w:ind w:right="250"/>
              <w:spacing w:after="0"/>
              <w:rPr>
                <w:sz w:val="20"/>
                <w:szCs w:val="20"/>
                <w:color w:val="auto"/>
              </w:rPr>
            </w:pPr>
            <w:r>
              <w:rPr>
                <w:rFonts w:ascii="Arial" w:cs="Arial" w:eastAsia="Arial" w:hAnsi="Arial"/>
                <w:sz w:val="18"/>
                <w:szCs w:val="18"/>
                <w:color w:val="auto"/>
                <w:w w:val="88"/>
              </w:rPr>
              <w:t>Years Ended December 31,</w:t>
            </w: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5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4"/>
          </w:tcPr>
          <w:p>
            <w:pPr>
              <w:jc w:val="center"/>
              <w:ind w:left="830"/>
              <w:spacing w:after="0" w:line="182" w:lineRule="exact"/>
              <w:rPr>
                <w:sz w:val="20"/>
                <w:szCs w:val="20"/>
                <w:color w:val="auto"/>
              </w:rPr>
            </w:pPr>
            <w:r>
              <w:rPr>
                <w:rFonts w:ascii="Arial" w:cs="Arial" w:eastAsia="Arial" w:hAnsi="Arial"/>
                <w:sz w:val="18"/>
                <w:szCs w:val="18"/>
                <w:color w:val="auto"/>
                <w:w w:val="88"/>
              </w:rPr>
              <w:t>% of net sales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4.0 %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7.4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4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70"/>
              <w:spacing w:after="0" w:line="189"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83"/>
        </w:trPr>
        <w:tc>
          <w:tcPr>
            <w:tcW w:w="61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13.6 %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 in thousands)</w:t>
            </w:r>
          </w:p>
        </w:tc>
        <w:tc>
          <w:tcPr>
            <w:tcW w:w="1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center"/>
              <w:ind w:left="830"/>
              <w:spacing w:after="0"/>
              <w:rPr>
                <w:sz w:val="20"/>
                <w:szCs w:val="20"/>
                <w:color w:val="auto"/>
              </w:rPr>
            </w:pPr>
            <w:r>
              <w:rPr>
                <w:rFonts w:ascii="Arial" w:cs="Arial" w:eastAsia="Arial" w:hAnsi="Arial"/>
                <w:sz w:val="18"/>
                <w:szCs w:val="18"/>
                <w:color w:val="auto"/>
                <w:w w:val="88"/>
              </w:rPr>
              <w:t>December 31,</w:t>
            </w: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10"/>
              <w:spacing w:after="0" w:line="250" w:lineRule="exact"/>
              <w:rPr>
                <w:sz w:val="20"/>
                <w:szCs w:val="20"/>
                <w:color w:val="auto"/>
              </w:rPr>
            </w:pPr>
            <w:r>
              <w:rPr>
                <w:rFonts w:ascii="Arial" w:cs="Arial" w:eastAsia="Arial" w:hAnsi="Arial"/>
                <w:sz w:val="17"/>
                <w:szCs w:val="17"/>
                <w:color w:val="auto"/>
              </w:rPr>
              <w:t>2021</w:t>
            </w:r>
            <w:r>
              <w:rPr>
                <w:rFonts w:ascii="Arial" w:cs="Arial" w:eastAsia="Arial" w:hAnsi="Arial"/>
                <w:sz w:val="28"/>
                <w:szCs w:val="28"/>
                <w:color w:val="auto"/>
                <w:vertAlign w:val="superscript"/>
              </w:rPr>
              <w:t>(1)</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50"/>
              <w:spacing w:after="0" w:line="250" w:lineRule="exact"/>
              <w:rPr>
                <w:sz w:val="20"/>
                <w:szCs w:val="20"/>
                <w:color w:val="auto"/>
              </w:rPr>
            </w:pPr>
            <w:r>
              <w:rPr>
                <w:rFonts w:ascii="Arial" w:cs="Arial" w:eastAsia="Arial" w:hAnsi="Arial"/>
                <w:sz w:val="17"/>
                <w:szCs w:val="17"/>
                <w:color w:val="auto"/>
                <w:w w:val="95"/>
              </w:rPr>
              <w:t>2020</w:t>
            </w:r>
            <w:r>
              <w:rPr>
                <w:rFonts w:ascii="Arial" w:cs="Arial" w:eastAsia="Arial" w:hAnsi="Arial"/>
                <w:sz w:val="28"/>
                <w:szCs w:val="28"/>
                <w:color w:val="auto"/>
                <w:w w:val="95"/>
                <w:vertAlign w:val="superscript"/>
              </w:rPr>
              <w:t>(1)</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4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353,008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364,099</w:t>
            </w:r>
          </w:p>
        </w:tc>
        <w:tc>
          <w:tcPr>
            <w:tcW w:w="0" w:type="dxa"/>
            <w:vAlign w:val="bottom"/>
          </w:tcPr>
          <w:p>
            <w:pPr>
              <w:spacing w:after="0"/>
              <w:rPr>
                <w:sz w:val="1"/>
                <w:szCs w:val="1"/>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(20,785)</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(14,905)</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(297)</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(41,358)</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(38,365)</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(141,925)</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(153,427)</w:t>
            </w:r>
          </w:p>
        </w:tc>
        <w:tc>
          <w:tcPr>
            <w:tcW w:w="0" w:type="dxa"/>
            <w:vAlign w:val="bottom"/>
          </w:tcPr>
          <w:p>
            <w:pPr>
              <w:spacing w:after="0"/>
              <w:rPr>
                <w:sz w:val="1"/>
                <w:szCs w:val="1"/>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(4,865)</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143,778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153,154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340" w:hanging="332"/>
        <w:spacing w:after="0" w:line="182"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Our principal sources of liquidity include $9.4 million of cash and cash equivalents at December 31, 2021, cash provided by operating activities and borrowings available under our credit facility. We expect to use this liquidity for purchasing additional merchandise inventory, maintaining our existing stores, reducing outstanding debt and general corporate purposes.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September 18, 2018, we entered into a credit agreement with Bank of America, N.A., Fifth Third Bank and Citizens Bank, which was amended November 16, 2021 (as amended,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December 31, 2021, the LIBOR-based interest rate was 1.60% and the base rate was 3.75%.</w:t>
      </w:r>
    </w:p>
    <w:p>
      <w:pPr>
        <w:spacing w:after="0" w:line="136"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December 31, 2021.</w:t>
      </w:r>
    </w:p>
    <w:p>
      <w:pPr>
        <w:spacing w:after="0" w:line="15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We had $5.0 million outstanding on the revolving line of credit as of December 31, 2021. We also have standby letters of credit outstanding related to our workers’ compensation and medical insurance policies. The standby letters of credit totaled $2.4 million on both December 31, 2021 and December 31, 2020. There was $92.6 million available for borrowing on the revolving line of credit as of December 31, 2021, which may be used to support our growth and for working capital purposes.</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During 2022, we expect to use cash purchasing additional merchandise inventory, maintaining our existing stores, and general corporate purposes. Additionally, as described further in Note 6 of the Notes to the Consolidated Financial Statements, as of December 31, 2021, our lease liability under operating leases totaled $138.5 million as of December 31, 2021. Contractual lease payments range from $17.0 million to $37.4 million on an annual basis over the next five years. We are also obligated to fund certain self-insured employee benefits, including our medical and workers’ compensation plans. As of December 31, 2021, accrual balances related to our estimated workers’ compensation claims and medical claims totaled $2.2 million and $0.8 million, respectively. Additionally, we have contractual obligations related to software service arrangements with suppliers for fixed or minimum amounts. Future minimum payments at December 31, 2021 for purchase obligations were $1.6 million. Amounts due under these arrangements in 2022, 2023 and 2024 total $0.8 million, $0.6 million and $0.2 million, respectively.</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currently believe that our cash and cash equivalents, cash flows from operations and access to cash under our credit facility will be adequate to meet our ongoing operating requirements over the next twelve months and our long-term liquidity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 expenditures during the years ended December 31, 2021,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rPr>
              <w:t>Years Ended December 31,</w:t>
            </w:r>
          </w:p>
        </w:tc>
      </w:tr>
      <w:tr>
        <w:trPr>
          <w:trHeight w:val="183"/>
        </w:trPr>
        <w:tc>
          <w:tcPr>
            <w:tcW w:w="8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8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store building, existing store remodels and store merchandising investments</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w:t>
            </w:r>
          </w:p>
        </w:tc>
        <w:tc>
          <w:tcPr>
            <w:tcW w:w="3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w:t>
            </w:r>
          </w:p>
        </w:tc>
      </w:tr>
      <w:tr>
        <w:trPr>
          <w:trHeight w:val="189"/>
        </w:trPr>
        <w:tc>
          <w:tcPr>
            <w:tcW w:w="8240" w:type="dxa"/>
            <w:vAlign w:val="bottom"/>
          </w:tcPr>
          <w:p>
            <w:pPr>
              <w:spacing w:after="0" w:line="189" w:lineRule="exact"/>
              <w:rPr>
                <w:sz w:val="20"/>
                <w:szCs w:val="20"/>
                <w:color w:val="auto"/>
              </w:rPr>
            </w:pPr>
            <w:r>
              <w:rPr>
                <w:rFonts w:ascii="Arial" w:cs="Arial" w:eastAsia="Arial" w:hAnsi="Arial"/>
                <w:sz w:val="18"/>
                <w:szCs w:val="18"/>
                <w:color w:val="auto"/>
              </w:rPr>
              <w:t>Information technology infrastructure</w:t>
            </w: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4.9</w:t>
            </w:r>
          </w:p>
        </w:tc>
      </w:tr>
      <w:tr>
        <w:trPr>
          <w:trHeight w:val="189"/>
        </w:trPr>
        <w:tc>
          <w:tcPr>
            <w:tcW w:w="8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Distribution and manufacturing facilities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r>
      <w:tr>
        <w:trPr>
          <w:trHeight w:val="189"/>
        </w:trPr>
        <w:tc>
          <w:tcPr>
            <w:tcW w:w="82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General corporate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0.1</w:t>
            </w:r>
          </w:p>
        </w:tc>
      </w:tr>
      <w:tr>
        <w:trPr>
          <w:trHeight w:val="183"/>
        </w:trPr>
        <w:tc>
          <w:tcPr>
            <w:tcW w:w="8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27.0</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for the years ended December 31, 2021, 2020 and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For the year ended December 31,</w:t>
            </w:r>
          </w:p>
        </w:tc>
      </w:tr>
      <w:tr>
        <w:trPr>
          <w:trHeight w:val="183"/>
        </w:trPr>
        <w:tc>
          <w:tcPr>
            <w:tcW w:w="42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42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1"/>
              </w:rPr>
              <w:t>(in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496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   39,691</w:t>
            </w:r>
          </w:p>
        </w:tc>
        <w:tc>
          <w:tcPr>
            <w:tcW w:w="108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   65,596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38,563</w:t>
            </w: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49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(11,070)</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(1,968)</w:t>
            </w: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(26,390)</w:t>
            </w: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4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(28,902)</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(63,329)</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(8,622)</w:t>
            </w:r>
          </w:p>
        </w:tc>
      </w:tr>
      <w:tr>
        <w:trPr>
          <w:trHeight w:val="391"/>
        </w:trPr>
        <w:tc>
          <w:tcPr>
            <w:tcW w:w="4240" w:type="dxa"/>
            <w:vAlign w:val="bottom"/>
          </w:tcPr>
          <w:p>
            <w:pPr>
              <w:spacing w:after="0"/>
              <w:rPr>
                <w:sz w:val="24"/>
                <w:szCs w:val="24"/>
                <w:color w:val="auto"/>
              </w:rPr>
            </w:pPr>
          </w:p>
        </w:tc>
        <w:tc>
          <w:tcPr>
            <w:tcW w:w="4000" w:type="dxa"/>
            <w:vAlign w:val="bottom"/>
          </w:tcPr>
          <w:p>
            <w:pPr>
              <w:jc w:val="right"/>
              <w:ind w:right="2430"/>
              <w:spacing w:after="0"/>
              <w:rPr>
                <w:sz w:val="20"/>
                <w:szCs w:val="20"/>
                <w:color w:val="auto"/>
              </w:rPr>
            </w:pPr>
            <w:r>
              <w:rPr>
                <w:rFonts w:ascii="Arial" w:cs="Arial" w:eastAsia="Arial" w:hAnsi="Arial"/>
                <w:sz w:val="18"/>
                <w:szCs w:val="18"/>
                <w:color w:val="auto"/>
              </w:rPr>
              <w:t>28</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8"/>
        </w:trPr>
        <w:tc>
          <w:tcPr>
            <w:tcW w:w="4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operating activities provide us with a significant source of liquidity. Net cash provided by operating activities was $39.7 million,</w:t>
      </w:r>
    </w:p>
    <w:p>
      <w:pPr>
        <w:spacing w:after="0" w:line="10"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$65.6 million, and $38.6 million in 2021, 2020 and 2019, respectively. The decrease in operating cash flows in 2021 compared to 2020 was primarily due to a $46.2 million decrease in cash flows associated with the change in inventory levels that was partially offset by an $8.7 million increase in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Net cash used in investing activities was $11.1 million, $2.0 million and $26.4 million in 2021, 2020 and 2019, respectively. The increase in investing activities in 2021 was due to an increase in capital expenditures during 2021 to invest in one new store, one store relocation, store remodels, store merchandising, distribution, internal fleet and information technology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Net cash used in financing activities was $28.9 million, $63.3 million and $8.6 million in 2021, 2020 and 2019, respectively. Cash used in financing activities during 2021 included $32.9 million of dividends paid and $5.0 million of payments on long term debt that were partially offset by $10.0 million of advances on our line of credit.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included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Revenues are recognized when control of promised goods or services is transferred to our customers, in an amount that reflects the consideration received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exchange for those goods or services. We recognize service revenue, which consists primarily of freight charges for home delivery, when the service has</w:t>
      </w:r>
    </w:p>
    <w:p>
      <w:pPr>
        <w:spacing w:after="0" w:line="238" w:lineRule="auto"/>
        <w:rPr>
          <w:sz w:val="20"/>
          <w:szCs w:val="20"/>
          <w:color w:val="auto"/>
        </w:rPr>
      </w:pPr>
      <w:r>
        <w:rPr>
          <w:rFonts w:ascii="Arial" w:cs="Arial" w:eastAsia="Arial" w:hAnsi="Arial"/>
          <w:sz w:val="17"/>
          <w:szCs w:val="17"/>
          <w:color w:val="auto"/>
        </w:rPr>
        <w:t>been rendered. We are required to charge and collect sales and other taxes on sales to our customers and remit these taxes back to government</w:t>
      </w:r>
    </w:p>
    <w:p>
      <w:pPr>
        <w:spacing w:after="0"/>
        <w:rPr>
          <w:sz w:val="20"/>
          <w:szCs w:val="20"/>
          <w:color w:val="auto"/>
        </w:rPr>
      </w:pPr>
      <w:r>
        <w:rPr>
          <w:rFonts w:ascii="Arial" w:cs="Arial" w:eastAsia="Arial" w:hAnsi="Arial"/>
          <w:sz w:val="16"/>
          <w:szCs w:val="16"/>
          <w:color w:val="auto"/>
        </w:rPr>
        <w:t>authorities. Total revenues do not include sales tax because we are a pass-through conduit for collecting and remitting sales tax. Net sales are reduced by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allowance for anticipated sales returns that we estimate based on historical returns. Our process to establish a sales return reserve contains uncertainties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because it requires management to make assumptions and to apply judgment to estimate future sales returns and exchanges. The customer may receive a</w:t>
      </w:r>
    </w:p>
    <w:p>
      <w:pPr>
        <w:spacing w:after="0" w:line="238" w:lineRule="auto"/>
        <w:rPr>
          <w:sz w:val="20"/>
          <w:szCs w:val="20"/>
          <w:color w:val="auto"/>
        </w:rPr>
      </w:pPr>
      <w:r>
        <w:rPr>
          <w:rFonts w:ascii="Arial" w:cs="Arial" w:eastAsia="Arial" w:hAnsi="Arial"/>
          <w:sz w:val="17"/>
          <w:szCs w:val="17"/>
          <w:color w:val="auto"/>
        </w:rPr>
        <w:t>refund or exchange the original product for a replacement of equal or similar quality for a period of three months from the time of original purchase.</w:t>
      </w:r>
    </w:p>
    <w:p>
      <w:pPr>
        <w:spacing w:after="0"/>
        <w:rPr>
          <w:sz w:val="20"/>
          <w:szCs w:val="20"/>
          <w:color w:val="auto"/>
        </w:rPr>
      </w:pPr>
      <w:r>
        <w:rPr>
          <w:rFonts w:ascii="Arial" w:cs="Arial" w:eastAsia="Arial" w:hAnsi="Arial"/>
          <w:sz w:val="16"/>
          <w:szCs w:val="16"/>
          <w:color w:val="auto"/>
        </w:rPr>
        <w:t>Products received back under this policy are reconditioned pursuant to state laws and resold. We believe our estimate for sales returns is an accurate</w:t>
      </w:r>
    </w:p>
    <w:p>
      <w:pPr>
        <w:spacing w:after="0" w:line="238" w:lineRule="auto"/>
        <w:rPr>
          <w:sz w:val="20"/>
          <w:szCs w:val="20"/>
          <w:color w:val="auto"/>
        </w:rPr>
      </w:pPr>
      <w:r>
        <w:rPr>
          <w:rFonts w:ascii="Arial" w:cs="Arial" w:eastAsia="Arial" w:hAnsi="Arial"/>
          <w:sz w:val="17"/>
          <w:szCs w:val="17"/>
          <w:color w:val="auto"/>
        </w:rPr>
        <w:t>reflection of future returns. Actual return trends have not varied significantly from estimated amounts in prior periods. However, if the nature of sales</w:t>
      </w:r>
    </w:p>
    <w:p>
      <w:pPr>
        <w:spacing w:after="0" w:line="232" w:lineRule="auto"/>
        <w:rPr>
          <w:sz w:val="20"/>
          <w:szCs w:val="20"/>
          <w:color w:val="auto"/>
        </w:rPr>
      </w:pPr>
      <w:r>
        <w:rPr>
          <w:rFonts w:ascii="Arial" w:cs="Arial" w:eastAsia="Arial" w:hAnsi="Arial"/>
          <w:sz w:val="17"/>
          <w:szCs w:val="17"/>
          <w:color w:val="auto"/>
        </w:rPr>
        <w:t>returns changes significantly, our sales could be adversely impacted. As of December 31, 2021 and 2020, the balance of the returns reserve was</w:t>
      </w:r>
    </w:p>
    <w:p>
      <w:pPr>
        <w:spacing w:after="0"/>
        <w:rPr>
          <w:sz w:val="20"/>
          <w:szCs w:val="20"/>
          <w:color w:val="auto"/>
        </w:rPr>
      </w:pPr>
      <w:r>
        <w:rPr>
          <w:rFonts w:ascii="Arial" w:cs="Arial" w:eastAsia="Arial" w:hAnsi="Arial"/>
          <w:sz w:val="18"/>
          <w:szCs w:val="18"/>
          <w:color w:val="auto"/>
        </w:rPr>
        <w:t>$5.2 million and $5.0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inventory consists of manufactured items and purchased merchandise held for resale. Inventories are stated at the lower of cost (determined using the moving 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 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We do not believe there is a reasonable likelihood that there will be a material change in the assumptions we use to calculate our inventory provisions. However, if actual results are not consistent with our estimates and assumptions, we may be exposed to losses that could be material. As of December 31, 2021 and 2020, the balance of the inventory reserves was $0.5 million and $0.6 million,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Property, plant and equipment are carried at cost less accumulated depreciation, which is amortized over the useful life of the assets. Leasehold improvements are amortized over the shorter of their estimated useful lives or lease period (including expected renewal periods). As of December 31, 2021 and 2020, net property, plant, and equipment balances were $82.3 million and $99.0 million, respectively.</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which typically occurs at an individual store level. An impairment loss is recognized when estimated undiscounted future cash flows from the operations and/or disposition of the assets are less than the carrying amount. Significant assumptions used in developing undiscounted cash flow analyses include estimates of future sales, gross margin and operating expenses. Measurement of an impairment loss is based on the excess of the carrying amount of the asset group over its fair value. Fair value is measured using discounted cash flows or independent opinions of value, as appropriate. Significant assumptions used in the fair value analyses include estimates of future sales, gross margin, operating expenses, comparable market rents and discount rates. If actual results are not consistent with our estimates and assumptions used in determining future cash flows and asset fair values, we may be exposed to losses that could be material. During the fiscal years ended December 31, 2021 and 2020, the Company recorded asset impairment charges of $0.7 million and $2.2 million, respectively, which were classified in selling, general and administrative expenses. No impairment charges were recorded during the year ended December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Deferred tax liabilities and assets are determined based on the difference between the financial statement basis and tax basis of assets and liabilities using enacted tax rates in effect for the year in which the differences are expected to reverse. We estimate the degree to which tax assets and loss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In February 2016, the Financial Accounting Standards Board (the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5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This standard provided a number of optional practical expedients in transition. We elected the package of three practical expedients permitted under the transition guidance within this standard, which, among other things, allowed us to carryforward the historical lease classification. We did not separate non-lease components from lease components by class of underlying assets and we did not apply the recognition requirements of the standard to short-term leases, as allowed by the standard.</w:t>
      </w:r>
    </w:p>
    <w:p>
      <w:pPr>
        <w:spacing w:after="0" w:line="14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We also elected to apply the hindsight practical expedient. The election of the hindsight practical expedient resulted in the shortening of lease terms for certain existing leases and the useful lives of corresponding leasehold improvements. In the application of the hindsight practical expedient, we considered recent investments in leased properties and the overall real estate strategy, which resulted in the determination that most renewal options would not be reasonably certain in determining the expected lease term.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Upon adopting this standard, we established a right of use asset of $147.2 million and lease liabilities of $169.9 million, reduced deferred rent by</w:t>
      </w:r>
    </w:p>
    <w:p>
      <w:pPr>
        <w:spacing w:after="0" w:line="1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 deferred tax assets and a corresponding adjustment to retained earnings. The adoption of this standard did not have a material impact on net income or cash flows for the year ended December 31, 2019.</w:t>
      </w:r>
    </w:p>
    <w:p>
      <w:pPr>
        <w:spacing w:after="0" w:line="149" w:lineRule="exact"/>
        <w:rPr>
          <w:sz w:val="20"/>
          <w:szCs w:val="20"/>
          <w:color w:val="auto"/>
        </w:rPr>
      </w:pPr>
    </w:p>
    <w:p>
      <w:pPr>
        <w:jc w:val="both"/>
        <w:ind w:right="80"/>
        <w:spacing w:after="0" w:line="225" w:lineRule="auto"/>
        <w:rPr>
          <w:sz w:val="20"/>
          <w:szCs w:val="20"/>
          <w:color w:val="auto"/>
        </w:rPr>
      </w:pPr>
      <w:r>
        <w:rPr>
          <w:rFonts w:ascii="Arial" w:cs="Arial" w:eastAsia="Arial" w:hAnsi="Arial"/>
          <w:sz w:val="18"/>
          <w:szCs w:val="18"/>
          <w:color w:val="auto"/>
        </w:rPr>
        <w:t>In the first quarter of fiscal 2021, we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Our allowance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for doubtful accounts represents an estimate of expected credit losses related to our trade receivables. To estimate our allowance for doubtful accounts, we leverage information on historical losses, current conditions, and reasonable and supportable forecasts of future conditions. Account balances are written off against the allowance when we deem the amount is uncollectible. The adoption of this standard did not have a material impact on our consolidated financial statements.</w:t>
      </w:r>
    </w:p>
    <w:p>
      <w:pPr>
        <w:spacing w:after="0" w:line="148"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In the first quarter of fiscal 2021, we adopted a new accounting standard that simplifies accounting for income taxes. Specifically, the new standard simplifies aspects of accounting for franchise taxes and enacted changes in tax laws or rates and clarifies the accounting for transactions that result in a step-up in the tax basis of goodwill. The adoption of this standard did not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We are currently evaluating the impact this guidance will have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credit concentration risk and foreign currency exchange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Inflationary factors such as increases in the cost of our products and overhead costs may adversely affect our operating results. Our operating results are heavily dependent upon the prices paid to acquire manmade and natural stone products from our vendors around the world. The cost to source our products has increased over the last year due to an increase in international freight rates and vendor price increases, due in part to higher labor costs, energy prices and other inflationary pressures. Higher rates of inflation may have an adverse effect on our ability to maintain historical levels of gross profit and selling, general and administrative expenses as a percentage of revenues if the selling prices of our products do not increase with these increased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under our revolving credit facility bear interest at either a base rate or a LIBOR-based rate, at our option. The LIBOR-based rate ranges from LIBOR plus 1.50% to 2.25%, depending on our rent adjusted leverage ratio. The base rate is equal to the greatest of: (a) the Federal funds rate plus 0.50%, (b) the Bank of America “prime rate,” and (c) the Eurodollar rate plus 1.00%, in each case plus</w:t>
      </w:r>
    </w:p>
    <w:p>
      <w:pPr>
        <w:spacing w:after="0" w:line="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0.50% to 1.25% depending on our rent adjusted leverage ratio. As of December 31, 2021, the LIBOR-based rate was 1.60% and the base rate was 3.75%. Based upon balances and interest rates as of December 31, 2021, holding other variables constant, a one percentage point increase in interest rates for the next 12-month period would decrease pre-tax earnings and cash flow by approximately $0.1 million. Conversely, a one percentage point decrease in interest rates for the next 12-month period would result in an increase to pre-tax earnings and cash flow of approximately $0.1 million.</w:t>
      </w:r>
    </w:p>
    <w:p>
      <w:pPr>
        <w:spacing w:after="0" w:line="13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Banks currently reporting information used to set LIBOR will stop doing so after 2021 for certain tenors and in 2023 for the remaining tenors. Various parties, including government agencies, are seeking to identify an alternative rate to replace LIBOR. We are monitoring their efforts and we may need to amend our revolving credit facility to accommodate any replacement rate. The potential effects of any such event on our cost of capital cannot yet be determined, but we do not expect it to have a material impact on our consolidated financial condition, results of operations or cash flows.</w:t>
      </w:r>
    </w:p>
    <w:p>
      <w:pPr>
        <w:spacing w:after="0" w:line="1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currently do not engage in any interest rate hedging activity. We do not, and do not intend to, engage in the practice of trading derivative securities for profit.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75" w:lineRule="exact"/>
        <w:rPr>
          <w:sz w:val="20"/>
          <w:szCs w:val="20"/>
          <w:color w:val="auto"/>
        </w:rPr>
      </w:pPr>
    </w:p>
    <w:p>
      <w:pPr>
        <w:ind w:right="380"/>
        <w:spacing w:after="0" w:line="307" w:lineRule="auto"/>
        <w:rPr>
          <w:sz w:val="20"/>
          <w:szCs w:val="20"/>
          <w:color w:val="auto"/>
        </w:rPr>
      </w:pPr>
      <w:r>
        <w:rPr>
          <w:rFonts w:ascii="Arial" w:cs="Arial" w:eastAsia="Arial" w:hAnsi="Arial"/>
          <w:sz w:val="16"/>
          <w:szCs w:val="16"/>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2021 and 2020. Our exposure to foreign currency rate fluctuations is not significant to our financial condition or results of operations.</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currently do not engage in any exchange rate hedging activity and currently have no intention to do so in the foreseeable future. However, in the future, in an effort to mitigate losses associated with these risks, we may at times engage in these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Our consolidated financial statements and the reports of our independent registered public accounting firm, as listed under Part IV, Item 15. “Exhibits and Financial Statement Schedules,” are included as a separate section of this report beginning on page 38 and are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December 31, 2021 and have concluded that our disclosure controls and procedures were effective as of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4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2021. Management’s assessment was based on criteria set forth by the Committee of Sponsoring Organizations of the Treadway Commission in Internal Control - Integrated Framework (2013 Framework) (“COSO”). Based on management’s assessment, management has concluded that our internal control over financial reporting was effective as of December 31, 2021.</w:t>
      </w:r>
    </w:p>
    <w:p>
      <w:pPr>
        <w:spacing w:after="0" w:line="151"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Ernst &amp; Young, LLP, our independent registered public accounting firm, has issued a report on our internal control over financial reporting as of December 31, 2021. See “Report of Independent Registered Public Accounting Firm – Opinion on Internal Control over Financial Reporting” of this report.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171"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As disclosed in “Part II, Item 9A – Controls and Procedures” in our 2020 Annual Report, management concluded that there were two material weaknesses in our internal control over financial reporting arising from the implementation of a new ERP system in 2019. The two material weaknesses were:</w:t>
      </w:r>
    </w:p>
    <w:p>
      <w:pPr>
        <w:spacing w:after="0" w:line="96" w:lineRule="exact"/>
        <w:rPr>
          <w:sz w:val="20"/>
          <w:szCs w:val="20"/>
          <w:color w:val="auto"/>
        </w:rPr>
      </w:pPr>
    </w:p>
    <w:p>
      <w:pPr>
        <w:ind w:left="660" w:right="80"/>
        <w:spacing w:after="0" w:line="223"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 user training to our employees to ensure that our employees could effectively operate the system and carry out their responsibilities.</w:t>
      </w:r>
    </w:p>
    <w:p>
      <w:pPr>
        <w:spacing w:after="0" w:line="3" w:lineRule="exact"/>
        <w:rPr>
          <w:sz w:val="20"/>
          <w:szCs w:val="20"/>
          <w:color w:val="auto"/>
        </w:rPr>
      </w:pPr>
    </w:p>
    <w:p>
      <w:pPr>
        <w:ind w:left="660" w:right="120"/>
        <w:spacing w:after="0" w:line="256"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affected ITGCs and, therefore, were also deemed ineffective because they were adversely impacted by the ineffective ITGCs.</w:t>
      </w:r>
    </w:p>
    <w:p>
      <w:pPr>
        <w:spacing w:after="0" w:line="13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During 2021, we evaluated, designed and implemented controls and procedures to address these material weaknesses in our internal control over financial reporting. These measures included (i) strengthening our change management procedures, (ii) completing a project to segregate responsibilities among users with access to our ERP system, (iii) establishing controls to monitor activities when role conflicts were identified that could not be segregated, and</w:t>
      </w:r>
    </w:p>
    <w:p>
      <w:pPr>
        <w:ind w:left="320" w:hanging="312"/>
        <w:spacing w:after="0" w:line="233"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enhanced reporting on the remediation measures to the Audit Committee of the Board. We completed testing of these controls and our business</w:t>
      </w:r>
    </w:p>
    <w:p>
      <w:pPr>
        <w:ind w:right="280"/>
        <w:spacing w:after="0" w:line="233" w:lineRule="auto"/>
        <w:rPr>
          <w:rFonts w:ascii="Arial" w:cs="Arial" w:eastAsia="Arial" w:hAnsi="Arial"/>
          <w:sz w:val="17"/>
          <w:szCs w:val="17"/>
          <w:color w:val="auto"/>
        </w:rPr>
      </w:pPr>
      <w:r>
        <w:rPr>
          <w:rFonts w:ascii="Arial" w:cs="Arial" w:eastAsia="Arial" w:hAnsi="Arial"/>
          <w:sz w:val="18"/>
          <w:szCs w:val="18"/>
          <w:color w:val="auto"/>
        </w:rPr>
        <w:t>process controls, which were previously deemed ineffective because they were adversely impacted by the ineffective ITGCs during the fourth quarter of 2021 and we concluded that the previously identified material weaknesses were remediated as of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Other than the changes discussed above, there have been no changes in internal control over financial reporting (as defined by Rule 13a-15(f) under the Exchange Act) during the quarter ended December 31, 2021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 effective control system, misstatements due to error or fraud may occur and not be detected.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Company’s 2022 Annual Meeting of Stockholders is scheduled to be held on June 14, 2022. Stockholders of record as of April 25, 2022 will be entitled to receive notice of, and vote at, the annual meeting. As the annual meeting date is more than 30 days before the anniversary of the Company’s 2021 Annual Meeting of Stockholders, stockholder proposals intended to be considered for inclusion in the Company’s proxy materials for the 2022 Annual Meeting of Stockholders are required to be submitted to the Company by March 21, 2022, which the Company has determined is a reasonable time before it begins printing and sending its proxy materials.</w:t>
      </w:r>
    </w:p>
    <w:p>
      <w:pPr>
        <w:spacing w:after="0" w:line="151"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Since the date of the Company’s 2022 Annual Meeting of Stockholders has been advanced by more than 30 days from the anniversary of the Company’s 2021 Annual Meeting of Stockholders, in accordance with the Company’s Bylaws, stockholder nominations of director candidates and stockholder proposals to be presented at the 2022 Annual Meeting of Stockholders, but not submitted for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inclusion in the Company’s proxy materials, are required to be delivered to the Secretary of the Company no earlier than February 14, 2022 and no later than April 5, 2022. The Bylaws specify the information that is required to accompany any such stockholder notices.</w:t>
      </w:r>
    </w:p>
    <w:p>
      <w:pPr>
        <w:spacing w:after="0" w:line="14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sets forth, as of February 28, 2022, information regarding beneficial ownership of our common stock by each person, or group of affiliated persons, known by us to beneficially own more than 5% of our common stock.</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have based our calculation of the percentage of beneficial ownership on 51,925,256 shares of our common stock outstanding on February 28, 2022.</w:t>
      </w:r>
    </w:p>
    <w:p>
      <w:pPr>
        <w:spacing w:after="0" w:line="194"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tbl>
      <w:tblPr>
        <w:tblLayout w:type="fixed"/>
        <w:tblInd w:w="0" w:type="dxa"/>
        <w:tblCellMar>
          <w:top w:w="0" w:type="dxa"/>
          <w:left w:w="0" w:type="dxa"/>
          <w:bottom w:w="0" w:type="dxa"/>
          <w:right w:w="0" w:type="dxa"/>
        </w:tblCellMar>
      </w:tblPr>
      <w:tr>
        <w:trPr>
          <w:trHeight w:val="161"/>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80" w:type="dxa"/>
            <w:vAlign w:val="bottom"/>
            <w:gridSpan w:val="2"/>
            <w:vMerge w:val="continue"/>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Beneficially Owned</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8,370,879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6,872,802</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Philotimo Fund, LP and affiliates</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2,597,857</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right="100" w:hanging="652"/>
        <w:spacing w:after="0" w:line="237"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4, 2022 by JWTS, Inc. (“JWTS”), Peter J. Jacullo III, and the Katherine D. Jacullo Children’s 1993 Irrevocable Trust (the “Jacullo Trust”) and a Form 4 filed by Mr. Jacullo with the SEC on December 16, 2021.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473,210 shares of common stock over which he has sole voting and dispositive power, including 14,477 shares of unvested restricted common stock.</w:t>
      </w:r>
    </w:p>
    <w:p>
      <w:pPr>
        <w:spacing w:after="0" w:line="148" w:lineRule="exact"/>
        <w:rPr>
          <w:rFonts w:ascii="Arial" w:cs="Arial" w:eastAsia="Arial" w:hAnsi="Arial"/>
          <w:sz w:val="17"/>
          <w:szCs w:val="17"/>
          <w:color w:val="auto"/>
        </w:rPr>
      </w:pPr>
    </w:p>
    <w:p>
      <w:pPr>
        <w:ind w:left="660" w:right="20" w:hanging="652"/>
        <w:spacing w:after="0" w:line="25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July 21, 2021.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3,385,161 shares of common stock directly held by Mr. Kamin, including 23,918 shares of unvested restricted common stock. Mr. Kamin has sole voting and dispositive power over all such shares.</w:t>
      </w:r>
    </w:p>
    <w:p>
      <w:pPr>
        <w:spacing w:after="0" w:line="138" w:lineRule="exact"/>
        <w:rPr>
          <w:rFonts w:ascii="Arial" w:cs="Arial" w:eastAsia="Arial" w:hAnsi="Arial"/>
          <w:sz w:val="16"/>
          <w:szCs w:val="16"/>
          <w:color w:val="auto"/>
        </w:rPr>
      </w:pPr>
    </w:p>
    <w:p>
      <w:pPr>
        <w:ind w:left="660" w:right="10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50" w:lineRule="exact"/>
        <w:rPr>
          <w:rFonts w:ascii="Arial" w:cs="Arial" w:eastAsia="Arial" w:hAnsi="Arial"/>
          <w:sz w:val="17"/>
          <w:szCs w:val="17"/>
          <w:color w:val="auto"/>
        </w:rPr>
      </w:pPr>
    </w:p>
    <w:p>
      <w:pPr>
        <w:ind w:left="660" w:right="240" w:hanging="652"/>
        <w:spacing w:after="0" w:line="22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652"/>
        <w:spacing w:after="0" w:line="23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4, 2021 by Philotimo Fund, LP (“Philotimo”), Kanen Wealth Management, LLC (“KWM”), and David L. Kanen, reporting holdings as of January 22, 2021. KWM is the general partner of Philotimo. Mr. Kanen is the managing member of KWM. By virtue of these relationships, KWM may be deemed to beneficially own the shares of common stock owned by Philotimo, and Mr. Kanen may be deemed to beneficially own the shares of common stock owned by each of Philotimo and KWM. Philotimo reported beneficial ownership of, and shared voting and dispositive power over, 1,524,524 shares. KWM reported beneficial ownership of, and shared voting and dispositive power over, 2,512,155 shares. Mr. Kanen reported beneficial ownership of 2,597,857 shares, including 85,702 shares over which he has sole voting and dispositive power and 2,512,155 shares over which he has shared voting and dispositive power. The business address of the reporting persons is 5850 Coral Ridge Drive, Suite 309, Coral Springs, Florida 33076.</w:t>
      </w:r>
    </w:p>
    <w:p>
      <w:pPr>
        <w:spacing w:after="0" w:line="146" w:lineRule="exact"/>
        <w:rPr>
          <w:sz w:val="20"/>
          <w:szCs w:val="20"/>
          <w:color w:val="auto"/>
        </w:rPr>
      </w:pPr>
    </w:p>
    <w:p>
      <w:pPr>
        <w:ind w:right="3000"/>
        <w:spacing w:after="0" w:line="47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Certain information required by Part III is incorporated by reference from our definitive Proxy Statement for the Annual Meeting of Shareholders to be held on June 14, 2022 (the “Proxy Statement”), or an amendment to this Form 10-K, which we intend to file with the SEC within 120 days after the fiscal year end covered by this report. Except for those portions specifically incorporated in this Form 10-K by reference to the Proxy Statement, no other portions of the Proxy Statement are deemed to be filed as part of this Form 10-K.</w:t>
      </w:r>
    </w:p>
    <w:p>
      <w:pPr>
        <w:spacing w:after="0" w:line="144"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 xml:space="preserve">ITEM 10. DIRECTORS, EXECUTIVE OFFICERS AND CORPORATE GOVERNANCE </w:t>
      </w:r>
      <w:r>
        <w:rPr>
          <w:rFonts w:ascii="Arial" w:cs="Arial" w:eastAsia="Arial" w:hAnsi="Arial"/>
          <w:sz w:val="18"/>
          <w:szCs w:val="18"/>
          <w:color w:val="auto"/>
        </w:rPr>
        <w:t>The following sections of the Proxy Statement are incorporated herein by reference:</w:t>
      </w:r>
    </w:p>
    <w:p>
      <w:pPr>
        <w:ind w:left="660"/>
        <w:spacing w:after="0"/>
        <w:rPr>
          <w:sz w:val="20"/>
          <w:szCs w:val="20"/>
          <w:color w:val="auto"/>
        </w:rPr>
      </w:pPr>
      <w:r>
        <w:rPr>
          <w:rFonts w:ascii="Arial" w:cs="Arial" w:eastAsia="Arial" w:hAnsi="Arial"/>
          <w:sz w:val="18"/>
          <w:szCs w:val="18"/>
          <w:color w:val="auto"/>
        </w:rPr>
        <w:t>Proposal 1 – Election of Directors</w:t>
      </w:r>
    </w:p>
    <w:p>
      <w:pPr>
        <w:ind w:left="660"/>
        <w:spacing w:after="0" w:line="219" w:lineRule="auto"/>
        <w:rPr>
          <w:sz w:val="20"/>
          <w:szCs w:val="20"/>
          <w:color w:val="auto"/>
        </w:rPr>
      </w:pPr>
      <w:r>
        <w:rPr>
          <w:rFonts w:ascii="Arial" w:cs="Arial" w:eastAsia="Arial" w:hAnsi="Arial"/>
          <w:sz w:val="18"/>
          <w:szCs w:val="18"/>
          <w:color w:val="auto"/>
        </w:rPr>
        <w:t>Information about our Executive Officers</w:t>
      </w:r>
    </w:p>
    <w:p>
      <w:pPr>
        <w:ind w:left="660"/>
        <w:spacing w:after="0" w:line="219" w:lineRule="auto"/>
        <w:rPr>
          <w:sz w:val="20"/>
          <w:szCs w:val="20"/>
          <w:color w:val="auto"/>
        </w:rPr>
      </w:pPr>
      <w:r>
        <w:rPr>
          <w:rFonts w:ascii="Arial" w:cs="Arial" w:eastAsia="Arial" w:hAnsi="Arial"/>
          <w:sz w:val="18"/>
          <w:szCs w:val="18"/>
          <w:color w:val="auto"/>
        </w:rPr>
        <w:t>Certain Relationships and Related Transactions</w:t>
      </w:r>
    </w:p>
    <w:p>
      <w:pPr>
        <w:ind w:left="660"/>
        <w:spacing w:after="0"/>
        <w:rPr>
          <w:sz w:val="20"/>
          <w:szCs w:val="20"/>
          <w:color w:val="auto"/>
        </w:rPr>
      </w:pPr>
      <w:r>
        <w:rPr>
          <w:rFonts w:ascii="Arial" w:cs="Arial" w:eastAsia="Arial" w:hAnsi="Arial"/>
          <w:sz w:val="18"/>
          <w:szCs w:val="18"/>
          <w:color w:val="auto"/>
        </w:rPr>
        <w:t>Delinquent Section 16(a) Reports</w:t>
      </w:r>
    </w:p>
    <w:p>
      <w:pPr>
        <w:spacing w:after="0" w:line="15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 have adopted a Code of Business Conduct and Ethics that applies to all of our officers, directors and employees. The Code of Business Conduct and Ethics is available on the “Investor Relations” section of our website, at http://investors.tileshop.com, under the “Corporate Governance—Governance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 within four business days following the date of the amendment or waiver.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of the Proxy Statement are incorporated herein by reference: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Compensation</w:t>
      </w:r>
    </w:p>
    <w:p>
      <w:pPr>
        <w:ind w:left="660"/>
        <w:spacing w:after="0" w:line="219" w:lineRule="auto"/>
        <w:rPr>
          <w:sz w:val="20"/>
          <w:szCs w:val="20"/>
          <w:color w:val="auto"/>
        </w:rPr>
      </w:pPr>
      <w:r>
        <w:rPr>
          <w:rFonts w:ascii="Arial" w:cs="Arial" w:eastAsia="Arial" w:hAnsi="Arial"/>
          <w:sz w:val="18"/>
          <w:szCs w:val="18"/>
          <w:color w:val="auto"/>
        </w:rPr>
        <w:t>Director Compensation</w:t>
      </w:r>
    </w:p>
    <w:p>
      <w:pPr>
        <w:ind w:left="660"/>
        <w:spacing w:after="0" w:line="219" w:lineRule="auto"/>
        <w:rPr>
          <w:sz w:val="20"/>
          <w:szCs w:val="20"/>
          <w:color w:val="auto"/>
        </w:rPr>
      </w:pPr>
      <w:r>
        <w:rPr>
          <w:rFonts w:ascii="Arial" w:cs="Arial" w:eastAsia="Arial" w:hAnsi="Arial"/>
          <w:sz w:val="18"/>
          <w:szCs w:val="18"/>
          <w:color w:val="auto"/>
        </w:rPr>
        <w:t>Pay Ratio</w:t>
      </w:r>
    </w:p>
    <w:p>
      <w:pPr>
        <w:ind w:left="660" w:right="220"/>
        <w:spacing w:after="0" w:line="286" w:lineRule="auto"/>
        <w:rPr>
          <w:sz w:val="20"/>
          <w:szCs w:val="20"/>
          <w:color w:val="auto"/>
        </w:rPr>
      </w:pPr>
      <w:r>
        <w:rPr>
          <w:rFonts w:ascii="Arial" w:cs="Arial" w:eastAsia="Arial" w:hAnsi="Arial"/>
          <w:sz w:val="16"/>
          <w:szCs w:val="16"/>
          <w:color w:val="auto"/>
        </w:rPr>
        <w:t>Proposal 1 – Election of Directors – Committees of the Board of Directors – Compensation Committee Interlocks and Insider Participation Proposal 1 – Election of Directors – Information Regarding the Board of Directors and Corporate Governance – Oversight of Risk Management</w:t>
      </w:r>
    </w:p>
    <w:p>
      <w:pPr>
        <w:spacing w:after="0" w:line="109"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of the Proxy Statement is incorporated herein by reference: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16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equity compensation plan information as of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05"/>
              <w:spacing w:after="0"/>
              <w:rPr>
                <w:sz w:val="20"/>
                <w:szCs w:val="20"/>
                <w:color w:val="auto"/>
              </w:rPr>
            </w:pPr>
            <w:r>
              <w:rPr>
                <w:rFonts w:ascii="Arial" w:cs="Arial" w:eastAsia="Arial" w:hAnsi="Arial"/>
                <w:sz w:val="14"/>
                <w:szCs w:val="14"/>
                <w:b w:val="1"/>
                <w:bCs w:val="1"/>
                <w:color w:val="auto"/>
                <w:w w:val="93"/>
              </w:rPr>
              <w:t>(a)</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2960" w:type="dxa"/>
            <w:vAlign w:val="bottom"/>
            <w:gridSpan w:val="2"/>
          </w:tcPr>
          <w:p>
            <w:pPr>
              <w:jc w:val="center"/>
              <w:ind w:righ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105"/>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2960" w:type="dxa"/>
            <w:vAlign w:val="bottom"/>
            <w:gridSpan w:val="2"/>
          </w:tcPr>
          <w:p>
            <w:pPr>
              <w:jc w:val="center"/>
              <w:ind w:right="165"/>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85"/>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960" w:type="dxa"/>
            <w:vAlign w:val="bottom"/>
            <w:gridSpan w:val="2"/>
          </w:tcPr>
          <w:p>
            <w:pPr>
              <w:jc w:val="center"/>
              <w:ind w:right="165"/>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145"/>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960" w:type="dxa"/>
            <w:vAlign w:val="bottom"/>
            <w:gridSpan w:val="2"/>
          </w:tcPr>
          <w:p>
            <w:pPr>
              <w:jc w:val="center"/>
              <w:ind w:right="185"/>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2960" w:type="dxa"/>
            <w:vAlign w:val="bottom"/>
            <w:gridSpan w:val="2"/>
          </w:tcPr>
          <w:p>
            <w:pPr>
              <w:jc w:val="center"/>
              <w:ind w:right="225"/>
              <w:spacing w:after="0" w:line="149" w:lineRule="exact"/>
              <w:rPr>
                <w:sz w:val="20"/>
                <w:szCs w:val="20"/>
                <w:color w:val="auto"/>
              </w:rPr>
            </w:pPr>
            <w:r>
              <w:rPr>
                <w:rFonts w:ascii="Arial" w:cs="Arial" w:eastAsia="Arial" w:hAnsi="Arial"/>
                <w:sz w:val="14"/>
                <w:szCs w:val="14"/>
                <w:b w:val="1"/>
                <w:bCs w:val="1"/>
                <w:color w:val="auto"/>
                <w:w w:val="90"/>
              </w:rPr>
              <w:t>equity compensation plans (excluding</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780" w:type="dxa"/>
            <w:vAlign w:val="bottom"/>
            <w:gridSpan w:val="2"/>
          </w:tcPr>
          <w:p>
            <w:pPr>
              <w:jc w:val="center"/>
              <w:ind w:right="85"/>
              <w:spacing w:after="0"/>
              <w:rPr>
                <w:sz w:val="20"/>
                <w:szCs w:val="20"/>
                <w:color w:val="auto"/>
              </w:rPr>
            </w:pPr>
            <w:r>
              <w:rPr>
                <w:rFonts w:ascii="Arial" w:cs="Arial" w:eastAsia="Arial" w:hAnsi="Arial"/>
                <w:sz w:val="14"/>
                <w:szCs w:val="14"/>
                <w:b w:val="1"/>
                <w:bCs w:val="1"/>
                <w:color w:val="auto"/>
                <w:w w:val="93"/>
              </w:rPr>
              <w:t>warrants and rights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rights ($)</w:t>
            </w:r>
          </w:p>
        </w:tc>
        <w:tc>
          <w:tcPr>
            <w:tcW w:w="2960" w:type="dxa"/>
            <w:vAlign w:val="bottom"/>
            <w:gridSpan w:val="2"/>
          </w:tcPr>
          <w:p>
            <w:pPr>
              <w:jc w:val="center"/>
              <w:ind w:right="165"/>
              <w:spacing w:after="0"/>
              <w:rPr>
                <w:sz w:val="20"/>
                <w:szCs w:val="20"/>
                <w:color w:val="auto"/>
              </w:rPr>
            </w:pPr>
            <w:r>
              <w:rPr>
                <w:rFonts w:ascii="Arial" w:cs="Arial" w:eastAsia="Arial" w:hAnsi="Arial"/>
                <w:sz w:val="14"/>
                <w:szCs w:val="14"/>
                <w:b w:val="1"/>
                <w:bCs w:val="1"/>
                <w:color w:val="auto"/>
                <w:w w:val="91"/>
              </w:rPr>
              <w:t>securities reflected in column (a))</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stockholders</w:t>
            </w:r>
          </w:p>
        </w:tc>
        <w:tc>
          <w:tcPr>
            <w:tcW w:w="1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905,945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10.96</w:t>
            </w: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4,475,380</w:t>
            </w:r>
          </w:p>
        </w:tc>
        <w:tc>
          <w:tcPr>
            <w:tcW w:w="2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Equity compensation plans not approved by stockholders</w:t>
            </w: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905,945</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5"/>
                <w:szCs w:val="15"/>
                <w:color w:val="auto"/>
              </w:rPr>
            </w:pPr>
          </w:p>
        </w:tc>
        <w:tc>
          <w:tcPr>
            <w:tcW w:w="2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4,475,380</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100" w:hanging="652"/>
        <w:spacing w:after="0" w:line="22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of common stock to be issued upon exercise of outstanding options to purchase common stock granted pursuant to our Plans as of December 31, 2021.</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available for future issuance are under the 2021 Plan.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1980"/>
        <w:spacing w:after="0" w:line="440"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The following sections of the Proxy Statement are incorporated herein by reference:</w:t>
      </w:r>
    </w:p>
    <w:p>
      <w:pPr>
        <w:spacing w:after="0" w:line="1" w:lineRule="exact"/>
        <w:rPr>
          <w:sz w:val="20"/>
          <w:szCs w:val="20"/>
          <w:color w:val="auto"/>
        </w:rPr>
      </w:pPr>
    </w:p>
    <w:p>
      <w:pPr>
        <w:ind w:left="660"/>
        <w:spacing w:after="0" w:line="228" w:lineRule="auto"/>
        <w:rPr>
          <w:sz w:val="20"/>
          <w:szCs w:val="20"/>
          <w:color w:val="auto"/>
        </w:rPr>
      </w:pPr>
      <w:r>
        <w:rPr>
          <w:rFonts w:ascii="Arial" w:cs="Arial" w:eastAsia="Arial" w:hAnsi="Arial"/>
          <w:sz w:val="18"/>
          <w:szCs w:val="18"/>
          <w:color w:val="auto"/>
        </w:rPr>
        <w:t>Proposal 1 – Election of Directors – Information Regarding the Board of Directors and Corporate Governance – Independence of the Board of Directors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Relationships and Related Transactions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of the Proxy Statement is incorporated herein by reference: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2" w:right="6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ind w:right="8380" w:firstLine="8"/>
        <w:spacing w:after="0" w:line="440" w:lineRule="auto"/>
        <w:tabs>
          <w:tab w:leader="none" w:pos="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 1.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filed as part of this Form 10-K: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56"/>
        </w:trPr>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0000FF"/>
              </w:rPr>
              <w:t>(i)</w:t>
            </w:r>
          </w:p>
        </w:tc>
        <w:tc>
          <w:tcPr>
            <w:tcW w:w="340" w:type="dxa"/>
            <w:vAlign w:val="bottom"/>
            <w:tcBorders>
              <w:left w:val="single" w:sz="8" w:color="CCEEFF"/>
            </w:tcBorders>
            <w:gridSpan w:val="2"/>
            <w:shd w:val="clear" w:color="auto" w:fill="CCEEFF"/>
          </w:tcPr>
          <w:p>
            <w:pPr>
              <w:spacing w:after="0"/>
              <w:rPr>
                <w:sz w:val="13"/>
                <w:szCs w:val="13"/>
                <w:color w:val="auto"/>
              </w:rPr>
            </w:pPr>
          </w:p>
        </w:tc>
        <w:tc>
          <w:tcPr>
            <w:tcW w:w="9900" w:type="dxa"/>
            <w:vAlign w:val="bottom"/>
            <w:gridSpan w:val="7"/>
            <w:shd w:val="clear" w:color="auto" w:fill="CCEEFF"/>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39</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60" w:type="dxa"/>
            <w:vAlign w:val="bottom"/>
            <w:gridSpan w:val="3"/>
          </w:tcPr>
          <w:p>
            <w:pPr>
              <w:spacing w:after="0" w:line="162" w:lineRule="exact"/>
              <w:rPr>
                <w:sz w:val="20"/>
                <w:szCs w:val="20"/>
                <w:color w:val="auto"/>
              </w:rPr>
            </w:pPr>
            <w:r>
              <w:rPr>
                <w:rFonts w:ascii="Arial" w:cs="Arial" w:eastAsia="Arial" w:hAnsi="Arial"/>
                <w:sz w:val="18"/>
                <w:szCs w:val="18"/>
                <w:color w:val="0000FF"/>
              </w:rPr>
              <w:t>(ii)</w:t>
            </w:r>
          </w:p>
        </w:tc>
        <w:tc>
          <w:tcPr>
            <w:tcW w:w="9900" w:type="dxa"/>
            <w:vAlign w:val="bottom"/>
            <w:gridSpan w:val="7"/>
          </w:tcPr>
          <w:p>
            <w:pPr>
              <w:spacing w:after="0" w:line="162" w:lineRule="exact"/>
              <w:rPr>
                <w:rFonts w:ascii="Arial" w:cs="Arial" w:eastAsia="Arial" w:hAnsi="Arial"/>
                <w:sz w:val="18"/>
                <w:szCs w:val="18"/>
                <w:color w:val="0000FF"/>
              </w:rPr>
            </w:pPr>
            <w:hyperlink w:anchor="page45">
              <w:r>
                <w:rPr>
                  <w:rFonts w:ascii="Arial" w:cs="Arial" w:eastAsia="Arial" w:hAnsi="Arial"/>
                  <w:sz w:val="18"/>
                  <w:szCs w:val="18"/>
                  <w:color w:val="0000FF"/>
                </w:rPr>
                <w:t>Consolidated Balance Sheets as of December 31, 2021 and 2020</w:t>
              </w:r>
            </w:hyperlink>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right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0000FF"/>
                <w:w w:val="74"/>
              </w:rPr>
              <w:t>(iii)</w:t>
            </w:r>
          </w:p>
        </w:tc>
        <w:tc>
          <w:tcPr>
            <w:tcW w:w="34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6940" w:type="dxa"/>
            <w:vAlign w:val="bottom"/>
            <w:tcBorders>
              <w:bottom w:val="single" w:sz="8" w:color="0000FF"/>
              <w:right w:val="single" w:sz="8" w:color="CCEEFF"/>
            </w:tcBorders>
            <w:gridSpan w:val="4"/>
            <w:shd w:val="clear" w:color="auto" w:fill="CCEEFF"/>
          </w:tcPr>
          <w:p>
            <w:pPr>
              <w:spacing w:after="0" w:line="162"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Operations for the years ended December 31, 2021, 2020, and 2019</w:t>
              </w:r>
            </w:hyperlink>
          </w:p>
        </w:tc>
        <w:tc>
          <w:tcPr>
            <w:tcW w:w="2960" w:type="dxa"/>
            <w:vAlign w:val="bottom"/>
            <w:tcBorders>
              <w:bottom w:val="single" w:sz="8" w:color="CCEEFF"/>
            </w:tcBorders>
            <w:gridSpan w:val="3"/>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43</w:t>
            </w:r>
          </w:p>
        </w:tc>
      </w:tr>
      <w:tr>
        <w:trPr>
          <w:trHeight w:val="169"/>
        </w:trPr>
        <w:tc>
          <w:tcPr>
            <w:tcW w:w="20" w:type="dxa"/>
            <w:vAlign w:val="bottom"/>
          </w:tcPr>
          <w:p>
            <w:pPr>
              <w:spacing w:after="0"/>
              <w:rPr>
                <w:sz w:val="14"/>
                <w:szCs w:val="14"/>
                <w:color w:val="auto"/>
              </w:rPr>
            </w:pPr>
          </w:p>
        </w:tc>
        <w:tc>
          <w:tcPr>
            <w:tcW w:w="560" w:type="dxa"/>
            <w:vAlign w:val="bottom"/>
            <w:gridSpan w:val="3"/>
          </w:tcPr>
          <w:p>
            <w:pPr>
              <w:spacing w:after="0" w:line="162" w:lineRule="exact"/>
              <w:rPr>
                <w:sz w:val="20"/>
                <w:szCs w:val="20"/>
                <w:color w:val="auto"/>
              </w:rPr>
            </w:pPr>
            <w:r>
              <w:rPr>
                <w:rFonts w:ascii="Arial" w:cs="Arial" w:eastAsia="Arial" w:hAnsi="Arial"/>
                <w:sz w:val="18"/>
                <w:szCs w:val="18"/>
                <w:color w:val="0000FF"/>
              </w:rPr>
              <w:t>(iv)</w:t>
            </w:r>
          </w:p>
        </w:tc>
        <w:tc>
          <w:tcPr>
            <w:tcW w:w="9900" w:type="dxa"/>
            <w:vAlign w:val="bottom"/>
            <w:gridSpan w:val="7"/>
          </w:tcPr>
          <w:p>
            <w:pPr>
              <w:spacing w:after="0" w:line="162" w:lineRule="exact"/>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Comprehensive Income (Loss) for the years ended December 31, 2021, 2020, and 2019</w:t>
              </w:r>
            </w:hyperlink>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44</w:t>
            </w:r>
          </w:p>
        </w:tc>
      </w:tr>
      <w:tr>
        <w:trPr>
          <w:trHeight w:val="162"/>
        </w:trPr>
        <w:tc>
          <w:tcPr>
            <w:tcW w:w="20" w:type="dxa"/>
            <w:vAlign w:val="bottom"/>
            <w:shd w:val="clear" w:color="auto" w:fill="CCEEFF"/>
          </w:tcPr>
          <w:p>
            <w:pPr>
              <w:spacing w:after="0"/>
              <w:rPr>
                <w:sz w:val="14"/>
                <w:szCs w:val="14"/>
                <w:color w:val="auto"/>
              </w:rPr>
            </w:pPr>
          </w:p>
        </w:tc>
        <w:tc>
          <w:tcPr>
            <w:tcW w:w="220" w:type="dxa"/>
            <w:vAlign w:val="bottom"/>
            <w:tcBorders>
              <w:top w:val="single" w:sz="8" w:color="0000FF"/>
              <w:right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0000FF"/>
                <w:w w:val="85"/>
              </w:rPr>
              <w:t>(v)</w:t>
            </w:r>
          </w:p>
        </w:tc>
        <w:tc>
          <w:tcPr>
            <w:tcW w:w="340" w:type="dxa"/>
            <w:vAlign w:val="bottom"/>
            <w:tcBorders>
              <w:left w:val="single" w:sz="8" w:color="CCEEFF"/>
            </w:tcBorders>
            <w:gridSpan w:val="2"/>
            <w:shd w:val="clear" w:color="auto" w:fill="CCEEFF"/>
          </w:tcPr>
          <w:p>
            <w:pPr>
              <w:spacing w:after="0"/>
              <w:rPr>
                <w:sz w:val="14"/>
                <w:szCs w:val="14"/>
                <w:color w:val="auto"/>
              </w:rPr>
            </w:pPr>
          </w:p>
        </w:tc>
        <w:tc>
          <w:tcPr>
            <w:tcW w:w="8320" w:type="dxa"/>
            <w:vAlign w:val="bottom"/>
            <w:tcBorders>
              <w:top w:val="single" w:sz="8" w:color="0000FF"/>
            </w:tcBorders>
            <w:gridSpan w:val="6"/>
            <w:shd w:val="clear" w:color="auto" w:fill="CCEEFF"/>
          </w:tcPr>
          <w:p>
            <w:pPr>
              <w:spacing w:after="0" w:line="162" w:lineRule="exact"/>
              <w:rPr>
                <w:rFonts w:ascii="Arial" w:cs="Arial" w:eastAsia="Arial" w:hAnsi="Arial"/>
                <w:sz w:val="18"/>
                <w:szCs w:val="18"/>
                <w:color w:val="0000FF"/>
                <w:w w:val="97"/>
              </w:rPr>
            </w:pPr>
            <w:hyperlink w:anchor="page48">
              <w:r>
                <w:rPr>
                  <w:rFonts w:ascii="Arial" w:cs="Arial" w:eastAsia="Arial" w:hAnsi="Arial"/>
                  <w:sz w:val="18"/>
                  <w:szCs w:val="18"/>
                  <w:color w:val="0000FF"/>
                  <w:w w:val="97"/>
                </w:rPr>
                <w:t>Consolidated Statements of Stockholders’ Equity for the years ended December 31, 2021, 2020, and 2019</w:t>
              </w:r>
            </w:hyperlink>
          </w:p>
        </w:tc>
        <w:tc>
          <w:tcPr>
            <w:tcW w:w="15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45</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300" w:type="dxa"/>
            <w:vAlign w:val="bottom"/>
            <w:tcBorders>
              <w:righ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60" w:type="dxa"/>
            <w:vAlign w:val="bottom"/>
            <w:gridSpan w:val="3"/>
          </w:tcPr>
          <w:p>
            <w:pPr>
              <w:spacing w:after="0" w:line="162" w:lineRule="exact"/>
              <w:rPr>
                <w:sz w:val="20"/>
                <w:szCs w:val="20"/>
                <w:color w:val="auto"/>
              </w:rPr>
            </w:pPr>
            <w:r>
              <w:rPr>
                <w:rFonts w:ascii="Arial" w:cs="Arial" w:eastAsia="Arial" w:hAnsi="Arial"/>
                <w:sz w:val="18"/>
                <w:szCs w:val="18"/>
                <w:color w:val="0000FF"/>
              </w:rPr>
              <w:t>(vi)</w:t>
            </w:r>
          </w:p>
        </w:tc>
        <w:tc>
          <w:tcPr>
            <w:tcW w:w="9900" w:type="dxa"/>
            <w:vAlign w:val="bottom"/>
            <w:gridSpan w:val="7"/>
          </w:tcPr>
          <w:p>
            <w:pPr>
              <w:spacing w:after="0" w:line="162" w:lineRule="exact"/>
              <w:rPr>
                <w:rFonts w:ascii="Arial" w:cs="Arial" w:eastAsia="Arial" w:hAnsi="Arial"/>
                <w:sz w:val="18"/>
                <w:szCs w:val="18"/>
                <w:color w:val="0000FF"/>
              </w:rPr>
            </w:pPr>
            <w:hyperlink w:anchor="page49">
              <w:r>
                <w:rPr>
                  <w:rFonts w:ascii="Arial" w:cs="Arial" w:eastAsia="Arial" w:hAnsi="Arial"/>
                  <w:sz w:val="18"/>
                  <w:szCs w:val="18"/>
                  <w:color w:val="0000FF"/>
                </w:rPr>
                <w:t>Consolidated Statements of Cash Flows for the years ended December 31, 2021, 2020, and 2019</w:t>
              </w:r>
            </w:hyperlink>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30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0000FF"/>
              </w:rPr>
              <w:t>(vii)</w:t>
            </w:r>
          </w:p>
        </w:tc>
        <w:tc>
          <w:tcPr>
            <w:tcW w:w="200" w:type="dxa"/>
            <w:vAlign w:val="bottom"/>
            <w:shd w:val="clear" w:color="auto" w:fill="CCEEFF"/>
          </w:tcPr>
          <w:p>
            <w:pPr>
              <w:spacing w:after="0"/>
              <w:rPr>
                <w:sz w:val="14"/>
                <w:szCs w:val="14"/>
                <w:color w:val="auto"/>
              </w:rPr>
            </w:pPr>
          </w:p>
        </w:tc>
        <w:tc>
          <w:tcPr>
            <w:tcW w:w="9900" w:type="dxa"/>
            <w:vAlign w:val="bottom"/>
            <w:gridSpan w:val="7"/>
            <w:shd w:val="clear" w:color="auto" w:fill="CCEEFF"/>
          </w:tcPr>
          <w:p>
            <w:pPr>
              <w:spacing w:after="0" w:line="162" w:lineRule="exact"/>
              <w:rPr>
                <w:rFonts w:ascii="Arial" w:cs="Arial" w:eastAsia="Arial" w:hAnsi="Arial"/>
                <w:sz w:val="18"/>
                <w:szCs w:val="18"/>
                <w:color w:val="0000FF"/>
              </w:rPr>
            </w:pPr>
            <w:hyperlink w:anchor="page50">
              <w:r>
                <w:rPr>
                  <w:rFonts w:ascii="Arial" w:cs="Arial" w:eastAsia="Arial" w:hAnsi="Arial"/>
                  <w:sz w:val="18"/>
                  <w:szCs w:val="18"/>
                  <w:color w:val="0000FF"/>
                </w:rPr>
                <w:t>Notes to Consolidated Financial Statements</w:t>
              </w:r>
            </w:hyperlink>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47</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preceding the signature page of this Form 10-K,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have audited the accompanying consolidated balance sheets of Tile Shop Holdings, Inc. and Subsidiaries (the Company) as of December 31, 2021 and 2020, the related consolidated statements of operations, comprehensive income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67" w:lineRule="exact"/>
        <w:rPr>
          <w:sz w:val="20"/>
          <w:szCs w:val="20"/>
          <w:color w:val="auto"/>
        </w:rPr>
      </w:pPr>
    </w:p>
    <w:p>
      <w:pPr>
        <w:jc w:val="both"/>
        <w:ind w:right="340"/>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3, 2022 expressed an unqualified opinion thereon.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9500" w:type="dxa"/>
            <w:vAlign w:val="bottom"/>
          </w:tcPr>
          <w:p>
            <w:pPr>
              <w:spacing w:after="0"/>
              <w:rPr>
                <w:sz w:val="17"/>
                <w:szCs w:val="17"/>
                <w:color w:val="auto"/>
              </w:rPr>
            </w:pPr>
          </w:p>
        </w:tc>
      </w:tr>
      <w:tr>
        <w:trPr>
          <w:trHeight w:val="357"/>
        </w:trPr>
        <w:tc>
          <w:tcPr>
            <w:tcW w:w="12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Retail Store Impairment – Leasehold Improvements and Operating Lease Right of Use Assets</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Description of the</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7"/>
              </w:rPr>
              <w:t>As described in Notes 1, 3 and 6 to the consolidated financial statements, the Company’s long-lived assets consisted of</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Matter</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consolidated property, plant and equipment, net of $82.3 million and consolidated operating lease right of use assets balance of</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$123.1 million as of December 31, 2021. For the year ended December 31, 2021, the Company recorded an impairment charge</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9"/>
              </w:rPr>
              <w:t>of $0.7 million. The Company evaluates if there are indicators of impairment for long-lived assets in accordance with</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1"/>
              </w:rPr>
              <w:t>Accounting Standards Codification 360, Property, Plant, and Equipment when events and circumstances indicate that the long-</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2"/>
              </w:rPr>
              <w:t>lived assets may be impaired. The Company’s first step is to determine whether indicators of impairment exist in its long-lived</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2"/>
              </w:rPr>
              <w:t>assets (leasehold improvements and operating lease right of use assets) at the individual retail store level, which is the lowest</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8"/>
              </w:rPr>
              <w:t>level at which cash flows can be identified. If indicators of impairment are identified for any retail stores, the Company</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1"/>
              </w:rPr>
              <w:t>evaluates if the projected undiscounted cash flows to be generated by those stores are less than their carrying amounts. When</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this is the case, the Company compares the calculated fair value of the respective retail store to its carrying value. If fair value is</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rPr>
              <w:t>less than the carrying value, an impairment loss is recorded.</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2"/>
              </w:rPr>
              <w:t>Significant assumptions used in the Company’s projected undiscounted cash flow analyses included estimates of future sales,</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5"/>
              </w:rPr>
              <w:t>gross margin and operating expenses. Additionally, significant assumptions utilized in the fair value analyses included the</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6"/>
              </w:rPr>
              <w:t>aforementioned assumptions, as well as comparable market rents and discount rate. This led to a high degree of auditor</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5"/>
              </w:rPr>
              <w:t>judgment, subjectivity and effort in performing procedures and in evaluating management’s future cash flow projections, in</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89"/>
              </w:rPr>
              <w:t>particular, the assumptions related to estimates of future sales, gross margin and comparable market rents which can be affected</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rPr>
              <w:t>by expectations about future market or economic conditions.</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How We Addressed</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3"/>
              </w:rPr>
              <w:t>We obtained an understanding, evaluated the design, and tested the operating effectiveness of controls over the Company’s</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the Matter in Our</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processes over the identification of indicators of impairment, the assessment of the undiscounted cash flows to be generated by</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Audit</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3"/>
              </w:rPr>
              <w:t>retail stores with indicators of impairment, the determination of the fair value of the retail stores and the measurement of any</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rPr>
              <w:t>resulting impairment. These controls include, among others, management’s evaluation of indicators of impairment,</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2"/>
              </w:rPr>
              <w:t>management’s review of the assumptions utilized to develop the projected undiscounted cash flows and the related fair value</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89"/>
              </w:rPr>
              <w:t>estimates, and management’s testing of the completeness and accuracy of the underlying data utilized to project future operating</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rPr>
              <w:t>results for the retail stores.</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89"/>
              </w:rPr>
              <w:t>We performed audit procedures that included, among others, testing the completeness of retail stores evaluated for impairments,</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9"/>
              </w:rPr>
              <w:t>testing management’s process for developing the undiscounted cash flows and evaluating management’s significant</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89"/>
              </w:rPr>
              <w:t>assumptions, including, as applicable, estimates of future sales, gross margin, operating expenses, comparable market rents and</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4"/>
              </w:rPr>
              <w:t>discount rate and comparing the current performance of the retail stores with historical trends and consistency with external</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market and industry data. We involved our internal valuation specialists to assist in the evaluation of the Company’s comparable</w:t>
            </w: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rPr>
              <w:t>market rents and discount rate assumptions.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 w:right="4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have audited Tile Shop Holdings, Inc.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Tile Shop Holdings, Inc. and Subsidiaries (the Company) maintained, in all material respects, effective internal control over financial reporting as of December 31, 2021, based on the COSO criteria.</w:t>
      </w:r>
    </w:p>
    <w:p>
      <w:pPr>
        <w:spacing w:after="0" w:line="67" w:lineRule="exact"/>
        <w:rPr>
          <w:sz w:val="20"/>
          <w:szCs w:val="20"/>
          <w:color w:val="auto"/>
        </w:rPr>
      </w:pPr>
    </w:p>
    <w:p>
      <w:pPr>
        <w:ind w:right="800"/>
        <w:spacing w:after="0" w:line="27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2021 consolidated financial statements of the Company and our report dated March 3, 2022 expressed an unqualified opinion thereon.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right="300"/>
        <w:spacing w:after="0" w:line="25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1280" w:type="dxa"/>
            <w:vAlign w:val="bottom"/>
            <w:tcBorders>
              <w:top w:val="single" w:sz="8" w:color="0000FF"/>
            </w:tcBorders>
          </w:tcPr>
          <w:p>
            <w:pPr>
              <w:spacing w:after="0"/>
              <w:rPr>
                <w:sz w:val="24"/>
                <w:szCs w:val="24"/>
                <w:color w:val="auto"/>
              </w:rPr>
            </w:pPr>
          </w:p>
        </w:tc>
        <w:tc>
          <w:tcPr>
            <w:tcW w:w="708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080" w:type="dxa"/>
            <w:vAlign w:val="bottom"/>
          </w:tcPr>
          <w:p>
            <w:pPr>
              <w:jc w:val="center"/>
              <w:ind w:left="1510"/>
              <w:spacing w:after="0" w:line="189" w:lineRule="exact"/>
              <w:rPr>
                <w:sz w:val="20"/>
                <w:szCs w:val="20"/>
                <w:color w:val="auto"/>
              </w:rPr>
            </w:pPr>
            <w:r>
              <w:rPr>
                <w:rFonts w:ascii="Arial" w:cs="Arial" w:eastAsia="Arial" w:hAnsi="Arial"/>
                <w:sz w:val="18"/>
                <w:szCs w:val="18"/>
                <w:color w:val="auto"/>
                <w:w w:val="88"/>
              </w:rPr>
              <w:t>Consolidated Balance Sheets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080" w:type="dxa"/>
            <w:vAlign w:val="bottom"/>
          </w:tcPr>
          <w:p>
            <w:pPr>
              <w:jc w:val="center"/>
              <w:ind w:left="1510"/>
              <w:spacing w:after="0" w:line="189" w:lineRule="exact"/>
              <w:rPr>
                <w:sz w:val="20"/>
                <w:szCs w:val="20"/>
                <w:color w:val="auto"/>
              </w:rPr>
            </w:pPr>
            <w:r>
              <w:rPr>
                <w:rFonts w:ascii="Arial" w:cs="Arial" w:eastAsia="Arial" w:hAnsi="Arial"/>
                <w:sz w:val="18"/>
                <w:szCs w:val="18"/>
                <w:color w:val="auto"/>
                <w:w w:val="90"/>
              </w:rPr>
              <w:t>As of December 31, 2021 and 2020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7080" w:type="dxa"/>
            <w:vAlign w:val="bottom"/>
          </w:tcPr>
          <w:p>
            <w:pPr>
              <w:jc w:val="center"/>
              <w:ind w:left="1530"/>
              <w:spacing w:after="0"/>
              <w:rPr>
                <w:sz w:val="20"/>
                <w:szCs w:val="20"/>
                <w:color w:val="auto"/>
              </w:rPr>
            </w:pPr>
            <w:r>
              <w:rPr>
                <w:rFonts w:ascii="Arial" w:cs="Arial" w:eastAsia="Arial" w:hAnsi="Arial"/>
                <w:sz w:val="18"/>
                <w:szCs w:val="18"/>
                <w:color w:val="auto"/>
                <w:w w:val="88"/>
              </w:rPr>
              <w:t>(dollars in thousands, except share and per share data)</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7"/>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5"/>
        </w:trPr>
        <w:tc>
          <w:tcPr>
            <w:tcW w:w="8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97,175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74,296</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9,769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127,082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104,654</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82,285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99,035</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6,953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340,758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342,690</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30,884</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Current portion of lease liability</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28,190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27,223</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183"/>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97,713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76,804</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110,261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122,678</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218,534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203,628</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rPr>
                <w:sz w:val="15"/>
                <w:szCs w:val="15"/>
                <w:color w:val="auto"/>
              </w:rPr>
            </w:pPr>
          </w:p>
        </w:tc>
        <w:tc>
          <w:tcPr>
            <w:tcW w:w="7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5"/>
              </w:rPr>
              <w:t>Common stock, par value: $0.0001; authorized: 100,000,000 shares; issued and outstanding: 51,963,377 and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51,701,080 shares, respectively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126,920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158,556</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6"/>
                <w:szCs w:val="16"/>
                <w:color w:val="auto"/>
              </w:rPr>
            </w:pPr>
          </w:p>
        </w:tc>
        <w:tc>
          <w:tcPr>
            <w:tcW w:w="13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(4,713)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340,758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342,690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Operations</w:t>
      </w:r>
    </w:p>
    <w:p>
      <w:pPr>
        <w:jc w:val="center"/>
        <w:spacing w:after="0" w:line="219" w:lineRule="auto"/>
        <w:rPr>
          <w:sz w:val="20"/>
          <w:szCs w:val="20"/>
          <w:color w:val="auto"/>
        </w:rPr>
      </w:pPr>
      <w:r>
        <w:rPr>
          <w:rFonts w:ascii="Arial" w:cs="Arial" w:eastAsia="Arial" w:hAnsi="Arial"/>
          <w:sz w:val="18"/>
          <w:szCs w:val="18"/>
          <w:color w:val="auto"/>
        </w:rPr>
        <w:t>For the years ended December 31, 2021, 2020 and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2019</w:t>
            </w:r>
          </w:p>
        </w:tc>
      </w:tr>
      <w:tr>
        <w:trPr>
          <w:trHeight w:val="183"/>
        </w:trPr>
        <w:tc>
          <w:tcPr>
            <w:tcW w:w="4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370,700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325,057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340,351</w:t>
            </w:r>
          </w:p>
        </w:tc>
      </w:tr>
      <w:tr>
        <w:trPr>
          <w:trHeight w:val="189"/>
        </w:trPr>
        <w:tc>
          <w:tcPr>
            <w:tcW w:w="47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117,570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104,232</w:t>
            </w:r>
          </w:p>
        </w:tc>
      </w:tr>
      <w:tr>
        <w:trPr>
          <w:trHeight w:val="183"/>
        </w:trPr>
        <w:tc>
          <w:tcPr>
            <w:tcW w:w="4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253,130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236,119</w:t>
            </w:r>
          </w:p>
        </w:tc>
      </w:tr>
      <w:tr>
        <w:trPr>
          <w:trHeight w:val="189"/>
        </w:trPr>
        <w:tc>
          <w:tcPr>
            <w:tcW w:w="47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232,520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215,149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237,476</w:t>
            </w:r>
          </w:p>
        </w:tc>
      </w:tr>
      <w:tr>
        <w:trPr>
          <w:trHeight w:val="183"/>
        </w:trPr>
        <w:tc>
          <w:tcPr>
            <w:tcW w:w="4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6"/>
                <w:szCs w:val="16"/>
                <w:color w:val="auto"/>
              </w:rPr>
            </w:pPr>
          </w:p>
        </w:tc>
        <w:tc>
          <w:tcPr>
            <w:tcW w:w="16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(656)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(1,874)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(3,792)</w:t>
            </w: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476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460" w:type="dxa"/>
            <w:vAlign w:val="bottom"/>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19,954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4,502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(5,137)</w:t>
            </w: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4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(5,180)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r>
      <w:tr>
        <w:trPr>
          <w:trHeight w:val="223"/>
        </w:trPr>
        <w:tc>
          <w:tcPr>
            <w:tcW w:w="47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(4,463)</w:t>
            </w:r>
          </w:p>
        </w:tc>
      </w:tr>
      <w:tr>
        <w:trPr>
          <w:trHeight w:val="169"/>
        </w:trPr>
        <w:tc>
          <w:tcPr>
            <w:tcW w:w="4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Income (loss) per common share:</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4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r>
      <w:tr>
        <w:trPr>
          <w:trHeight w:val="189"/>
        </w:trPr>
        <w:tc>
          <w:tcPr>
            <w:tcW w:w="4760" w:type="dxa"/>
            <w:vAlign w:val="bottom"/>
          </w:tcPr>
          <w:p>
            <w:pPr>
              <w:ind w:left="120"/>
              <w:spacing w:after="0" w:line="189" w:lineRule="exact"/>
              <w:rPr>
                <w:sz w:val="20"/>
                <w:szCs w:val="20"/>
                <w:color w:val="auto"/>
              </w:rPr>
            </w:pPr>
            <w:r>
              <w:rPr>
                <w:rFonts w:ascii="Arial" w:cs="Arial" w:eastAsia="Arial" w:hAnsi="Arial"/>
                <w:sz w:val="18"/>
                <w:szCs w:val="18"/>
                <w:color w:val="auto"/>
              </w:rPr>
              <w:t>Diluted</w:t>
            </w:r>
          </w:p>
        </w:tc>
        <w:tc>
          <w:tcPr>
            <w:tcW w:w="460" w:type="dxa"/>
            <w:vAlign w:val="bottom"/>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6"/>
                <w:szCs w:val="16"/>
                <w:color w:val="auto"/>
              </w:rPr>
            </w:pPr>
          </w:p>
        </w:tc>
        <w:tc>
          <w:tcPr>
            <w:tcW w:w="58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6"/>
                <w:szCs w:val="16"/>
                <w:color w:val="auto"/>
              </w:rPr>
            </w:pPr>
          </w:p>
        </w:tc>
        <w:tc>
          <w:tcPr>
            <w:tcW w:w="58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r>
      <w:tr>
        <w:trPr>
          <w:trHeight w:val="189"/>
        </w:trPr>
        <w:tc>
          <w:tcPr>
            <w:tcW w:w="4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4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50,393,980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49,957,356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50,624,309</w:t>
            </w: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51,085,463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50,583,742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50,624,309</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46"/>
        </w:trPr>
        <w:tc>
          <w:tcPr>
            <w:tcW w:w="128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424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9"/>
              </w:rPr>
              <w:t>Consolidated Statements of Comprehensive Income (Loss)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8"/>
              </w:rPr>
              <w:t>For the years ended December 31, 2021, 2020 and 2019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40" w:type="dxa"/>
            <w:vAlign w:val="bottom"/>
            <w:gridSpan w:val="2"/>
          </w:tcPr>
          <w:p>
            <w:pPr>
              <w:jc w:val="center"/>
              <w:ind w:left="830"/>
              <w:spacing w:after="0"/>
              <w:rPr>
                <w:sz w:val="20"/>
                <w:szCs w:val="20"/>
                <w:color w:val="auto"/>
              </w:rPr>
            </w:pPr>
            <w:r>
              <w:rPr>
                <w:rFonts w:ascii="Arial" w:cs="Arial" w:eastAsia="Arial" w:hAnsi="Arial"/>
                <w:sz w:val="18"/>
                <w:szCs w:val="18"/>
                <w:color w:val="auto"/>
                <w:w w:val="90"/>
              </w:rPr>
              <w:t>(dollars in thousands)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128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2021</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83"/>
        </w:trPr>
        <w:tc>
          <w:tcPr>
            <w:tcW w:w="30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37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14,774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(4,463)</w:t>
            </w:r>
          </w:p>
        </w:tc>
      </w:tr>
      <w:tr>
        <w:trPr>
          <w:trHeight w:val="189"/>
        </w:trPr>
        <w:tc>
          <w:tcPr>
            <w:tcW w:w="304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37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w:t>
            </w:r>
          </w:p>
        </w:tc>
      </w:tr>
      <w:tr>
        <w:trPr>
          <w:trHeight w:val="183"/>
        </w:trPr>
        <w:tc>
          <w:tcPr>
            <w:tcW w:w="30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37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30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Comprehensive income (loss)</w:t>
            </w:r>
          </w:p>
        </w:tc>
        <w:tc>
          <w:tcPr>
            <w:tcW w:w="3780" w:type="dxa"/>
            <w:vAlign w:val="bottom"/>
          </w:tcPr>
          <w:p>
            <w:pPr>
              <w:spacing w:after="0"/>
              <w:rPr>
                <w:sz w:val="15"/>
                <w:szCs w:val="15"/>
                <w:color w:val="auto"/>
              </w:rPr>
            </w:pPr>
          </w:p>
        </w:tc>
        <w:tc>
          <w:tcPr>
            <w:tcW w:w="4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14,798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6,089</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(4,477)</w:t>
            </w:r>
          </w:p>
        </w:tc>
      </w:tr>
      <w:tr>
        <w:trPr>
          <w:trHeight w:val="20"/>
        </w:trPr>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120"/>
        </w:trPr>
        <w:tc>
          <w:tcPr>
            <w:tcW w:w="4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0" w:lineRule="exact"/>
              <w:rPr>
                <w:sz w:val="20"/>
                <w:szCs w:val="20"/>
                <w:color w:val="auto"/>
              </w:rPr>
            </w:pPr>
            <w:r>
              <w:rPr>
                <w:rFonts w:ascii="Arial" w:cs="Arial" w:eastAsia="Arial" w:hAnsi="Arial"/>
                <w:sz w:val="13"/>
                <w:szCs w:val="13"/>
                <w:color w:val="auto"/>
              </w:rPr>
              <w:t>Additional</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00"/>
              <w:spacing w:after="0" w:line="120" w:lineRule="exact"/>
              <w:rPr>
                <w:sz w:val="20"/>
                <w:szCs w:val="20"/>
                <w:color w:val="auto"/>
              </w:rPr>
            </w:pPr>
            <w:r>
              <w:rPr>
                <w:rFonts w:ascii="Arial" w:cs="Arial" w:eastAsia="Arial" w:hAnsi="Arial"/>
                <w:sz w:val="13"/>
                <w:szCs w:val="13"/>
                <w:color w:val="auto"/>
              </w:rPr>
              <w:t>Accumulated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8"/>
        </w:trPr>
        <w:tc>
          <w:tcPr>
            <w:tcW w:w="4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paid in-</w:t>
            </w:r>
          </w:p>
        </w:tc>
        <w:tc>
          <w:tcPr>
            <w:tcW w:w="40" w:type="dxa"/>
            <w:vAlign w:val="bottom"/>
          </w:tcPr>
          <w:p>
            <w:pPr>
              <w:spacing w:after="0"/>
              <w:rPr>
                <w:sz w:val="12"/>
                <w:szCs w:val="12"/>
                <w:color w:val="auto"/>
              </w:rPr>
            </w:pP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3"/>
              </w:rPr>
              <w:t>Retained earnings</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comprehensive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capital</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(loss) income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r>
      <w:tr>
        <w:trPr>
          <w:trHeight w:val="183"/>
        </w:trPr>
        <w:tc>
          <w:tcPr>
            <w:tcW w:w="44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January 1, 2019</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52,707,879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172,255</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4"/>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(25,857)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146,347</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Adoption of lease standard (see Note 1)</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4,802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4,802</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781,697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(375,879)</w:t>
            </w: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2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(2,307,023)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(10,456)</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(10,456)</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Stock based compensation</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2,645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2,645</w:t>
            </w:r>
          </w:p>
        </w:tc>
      </w:tr>
      <w:tr>
        <w:trPr>
          <w:trHeight w:val="161"/>
        </w:trPr>
        <w:tc>
          <w:tcPr>
            <w:tcW w:w="44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Dividends paid ($0.15 per share)</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(7,706)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(7,706)</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(4,463)</w:t>
            </w: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(4,463)</w:t>
            </w:r>
          </w:p>
        </w:tc>
      </w:tr>
      <w:tr>
        <w:trPr>
          <w:trHeight w:val="183"/>
        </w:trPr>
        <w:tc>
          <w:tcPr>
            <w:tcW w:w="44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50,806,674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156,482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4"/>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(25,518)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1,090,759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(116,594)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Stock based compensation</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r>
      <w:tr>
        <w:trPr>
          <w:trHeight w:val="161"/>
        </w:trPr>
        <w:tc>
          <w:tcPr>
            <w:tcW w:w="44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r>
      <w:tr>
        <w:trPr>
          <w:trHeight w:val="183"/>
        </w:trPr>
        <w:tc>
          <w:tcPr>
            <w:tcW w:w="4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51,701,080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158,556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jc w:val="right"/>
              <w:ind w:right="34"/>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(19,487)</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139,062</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421,547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(24,018)</w:t>
            </w: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r>
      <w:tr>
        <w:trPr>
          <w:trHeight w:val="161"/>
        </w:trPr>
        <w:tc>
          <w:tcPr>
            <w:tcW w:w="4460" w:type="dxa"/>
            <w:vAlign w:val="bottom"/>
            <w:gridSpan w:val="2"/>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7"/>
        </w:trPr>
        <w:tc>
          <w:tcPr>
            <w:tcW w:w="4460" w:type="dxa"/>
            <w:vAlign w:val="bottom"/>
            <w:gridSpan w:val="2"/>
          </w:tcPr>
          <w:p>
            <w:pPr>
              <w:spacing w:after="0"/>
              <w:rPr>
                <w:sz w:val="20"/>
                <w:szCs w:val="20"/>
                <w:color w:val="auto"/>
              </w:rPr>
            </w:pPr>
            <w:r>
              <w:rPr>
                <w:rFonts w:ascii="Arial" w:cs="Arial" w:eastAsia="Arial" w:hAnsi="Arial"/>
                <w:sz w:val="18"/>
                <w:szCs w:val="18"/>
                <w:color w:val="auto"/>
              </w:rPr>
              <w:t>based compensation awards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(135,232)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Dividends paid ($0.65 per share)</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(32,949)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(32,949)</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r>
      <w:tr>
        <w:trPr>
          <w:trHeight w:val="183"/>
        </w:trPr>
        <w:tc>
          <w:tcPr>
            <w:tcW w:w="4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51,963,377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126,920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(4,713)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120" w:type="dxa"/>
            <w:vAlign w:val="bottom"/>
          </w:tcPr>
          <w:p>
            <w:pPr>
              <w:jc w:val="center"/>
              <w:ind w:left="2470"/>
              <w:spacing w:after="0" w:line="189" w:lineRule="exact"/>
              <w:rPr>
                <w:sz w:val="20"/>
                <w:szCs w:val="20"/>
                <w:color w:val="auto"/>
              </w:rPr>
            </w:pPr>
            <w:r>
              <w:rPr>
                <w:rFonts w:ascii="Arial" w:cs="Arial" w:eastAsia="Arial" w:hAnsi="Arial"/>
                <w:sz w:val="18"/>
                <w:szCs w:val="18"/>
                <w:color w:val="auto"/>
                <w:w w:val="89"/>
              </w:rPr>
              <w:t>Consolidated Statements of Cash Flows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560" w:type="dxa"/>
            <w:vAlign w:val="bottom"/>
            <w:gridSpan w:val="3"/>
          </w:tcPr>
          <w:p>
            <w:pPr>
              <w:jc w:val="center"/>
              <w:ind w:left="2030"/>
              <w:spacing w:after="0" w:line="189" w:lineRule="exact"/>
              <w:rPr>
                <w:sz w:val="20"/>
                <w:szCs w:val="20"/>
                <w:color w:val="auto"/>
              </w:rPr>
            </w:pPr>
            <w:r>
              <w:rPr>
                <w:rFonts w:ascii="Arial" w:cs="Arial" w:eastAsia="Arial" w:hAnsi="Arial"/>
                <w:sz w:val="18"/>
                <w:szCs w:val="18"/>
                <w:color w:val="auto"/>
                <w:w w:val="88"/>
              </w:rPr>
              <w:t>For the years ended December 31, 2021, 2020 and 2019</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127"/>
              <w:spacing w:after="0"/>
              <w:rPr>
                <w:sz w:val="20"/>
                <w:szCs w:val="20"/>
                <w:color w:val="auto"/>
              </w:rPr>
            </w:pPr>
            <w:r>
              <w:rPr>
                <w:rFonts w:ascii="Arial" w:cs="Arial" w:eastAsia="Arial" w:hAnsi="Arial"/>
                <w:sz w:val="18"/>
                <w:szCs w:val="18"/>
                <w:color w:val="auto"/>
              </w:rPr>
              <w:t>For the years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7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27,379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31,336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33,546</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304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473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720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2,155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Non-cash lease expense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24,832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24,025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23,230</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2,266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(22,879)</w:t>
            </w: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23,323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Other current assets, net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(1,128)</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15,873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(3,207)</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Income tax receivable / payable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(5,020)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(22,185)</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(17,683)</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(23,627)</w:t>
            </w:r>
          </w:p>
        </w:tc>
        <w:tc>
          <w:tcPr>
            <w:tcW w:w="0" w:type="dxa"/>
            <w:vAlign w:val="bottom"/>
          </w:tcPr>
          <w:p>
            <w:pPr>
              <w:spacing w:after="0"/>
              <w:rPr>
                <w:sz w:val="1"/>
                <w:szCs w:val="1"/>
                <w:color w:val="auto"/>
              </w:rPr>
            </w:pPr>
          </w:p>
        </w:tc>
      </w:tr>
      <w:tr>
        <w:trPr>
          <w:trHeight w:val="183"/>
        </w:trPr>
        <w:tc>
          <w:tcPr>
            <w:tcW w:w="740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39,691</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65,596</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38,563</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(11,070)</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(1,968)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CEEFF"/>
            </w:tcBorders>
            <w:gridSpan w:val="2"/>
          </w:tcPr>
          <w:p>
            <w:pPr>
              <w:ind w:left="120"/>
              <w:spacing w:after="0" w:line="189" w:lineRule="exact"/>
              <w:rPr>
                <w:sz w:val="20"/>
                <w:szCs w:val="20"/>
                <w:color w:val="auto"/>
              </w:rPr>
            </w:pPr>
            <w:r>
              <w:rPr>
                <w:rFonts w:ascii="Arial" w:cs="Arial" w:eastAsia="Arial" w:hAnsi="Arial"/>
                <w:sz w:val="18"/>
                <w:szCs w:val="18"/>
                <w:color w:val="auto"/>
              </w:rPr>
              <w:t>Proceeds from insurance</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82"/>
        </w:trPr>
        <w:tc>
          <w:tcPr>
            <w:tcW w:w="740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(11,070)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(26,390)</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(127,262)</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(53,204)</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10,000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64,100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(32,949)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(10,456)</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3"/>
        </w:trPr>
        <w:tc>
          <w:tcPr>
            <w:tcW w:w="740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(28,902)</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(63,329)</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740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(259)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353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10,272</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9,919</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10,013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10,272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9,358</w:t>
            </w:r>
          </w:p>
        </w:tc>
        <w:tc>
          <w:tcPr>
            <w:tcW w:w="160" w:type="dxa"/>
            <w:vAlign w:val="bottom"/>
          </w:tcPr>
          <w:p>
            <w:pPr>
              <w:spacing w:after="0"/>
              <w:rPr>
                <w:sz w:val="16"/>
                <w:szCs w:val="16"/>
                <w:color w:val="auto"/>
              </w:rPr>
            </w:pP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9,617</w:t>
            </w:r>
          </w:p>
        </w:tc>
        <w:tc>
          <w:tcPr>
            <w:tcW w:w="16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10,013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10,272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Purchases of property, plant and equipment included in accounts payable and accrued expenses</w:t>
            </w:r>
          </w:p>
        </w:tc>
        <w:tc>
          <w:tcPr>
            <w:tcW w:w="44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Cash paid for interest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632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1,976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paid for income taxes, net of refunds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5,298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w:t>
      </w:r>
    </w:p>
    <w:p>
      <w:pPr>
        <w:spacing w:after="0" w:line="14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Natural stone products include marble, travertine, granite, quartz, sandstone, slate, and onyx tiles. Man-made products include ceramic, porcelain, glass, cement, wood look, and metal tiles.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of December 31, 2021, the Company operated 143 stores in 31 states and the District of Columbia, with an average size of approximately 20,000 square feet. The Company also has a sourcing office located in China.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12, “New Markets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Company considered the COVID-19 related impacts on its estimates, as appropriate, within its consolidated financial statements and there may be changes to those estimates in future periods. The Company believes that the accounting estimates are appropriate after giving consideration to the increased uncertainties surrounding the severity and duration of the COVID-19 pandemic.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and right of use assets, accounting for leases, valuation of inventory, and income taxes. Actual results may differ from these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75"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Certain amounts in the prior year financial statements have been reclassified for comparative purposes to conform to the presentation for the year ended December 31, 2021. Specifically, the Company elected to change the way it presents cash flows from operating leases in its Statement of Cash Flows. In the twelve months ended December 31, 2019, the Company presented the net change in the right of use asset and lease liabilities as a change in leases within the operating section of the Statement of Cash Flows. During the third quarter of 2020, the Company determined it would be more appropriate to disaggregate this activity. The amortization of the right of use assets is now presented as a non-cash lease expense within the operating section of the Statement of Cash Flows. Lease payments, net of the accretion of lease liabilities, are now presented as a change in accrued expenses and other liabilities within the operating section of the Statement of Cash Flows.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Prior to the adoption of Accounting Standards Codification (“ASC”) 842, Leases, effective January 1, 2019, the Company presented the non-cash change in deferred rent as deferred rent within the operating section of the Statement of Cash Flows. This balance is now presented as a non-cash lease expense within the operating section of the Statement of Cash Flows.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this change on the Statement of Cash Flows presented as of December 31, 2019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gridSpan w:val="7"/>
          </w:tcPr>
          <w:p>
            <w:pPr>
              <w:jc w:val="right"/>
              <w:spacing w:after="0"/>
              <w:rPr>
                <w:sz w:val="20"/>
                <w:szCs w:val="20"/>
                <w:color w:val="auto"/>
              </w:rPr>
            </w:pPr>
            <w:r>
              <w:rPr>
                <w:rFonts w:ascii="Arial" w:cs="Arial" w:eastAsia="Arial" w:hAnsi="Arial"/>
                <w:sz w:val="18"/>
                <w:szCs w:val="18"/>
                <w:color w:val="auto"/>
              </w:rPr>
              <w:t>For the year ended December 31, 2019</w:t>
            </w:r>
          </w:p>
        </w:tc>
        <w:tc>
          <w:tcPr>
            <w:tcW w:w="980" w:type="dxa"/>
            <w:vAlign w:val="bottom"/>
          </w:tcPr>
          <w:p>
            <w:pPr>
              <w:spacing w:after="0"/>
              <w:rPr>
                <w:sz w:val="17"/>
                <w:szCs w:val="17"/>
                <w:color w:val="auto"/>
              </w:rPr>
            </w:pPr>
          </w:p>
        </w:tc>
      </w:tr>
      <w:tr>
        <w:trPr>
          <w:trHeight w:val="217"/>
        </w:trPr>
        <w:tc>
          <w:tcPr>
            <w:tcW w:w="6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color w:val="auto"/>
              </w:rPr>
              <w:t>Previously Reported</w:t>
            </w: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4"/>
              </w:rPr>
              <w:t>As Revised</w:t>
            </w: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Change in leases</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(1,900)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1,900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23,230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23,230</w:t>
            </w: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6200" w:type="dxa"/>
            <w:vAlign w:val="bottom"/>
          </w:tcPr>
          <w:p>
            <w:pPr>
              <w:ind w:left="100"/>
              <w:spacing w:after="0" w:line="189"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1,503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(25,130)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(23,627)</w:t>
            </w: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38,563</w:t>
            </w:r>
          </w:p>
        </w:tc>
      </w:tr>
    </w:tbl>
    <w:p>
      <w:pPr>
        <w:spacing w:after="0" w:line="16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change in classification had no impact on the Company’s pretax earnings, earnings per share, net cash provided by operating activities, or balance sheets in any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Company had cash and cash equivalents of $9.4 million and $9.6 million at December 31, 2021 and 2020, respectively. The Company considers all highly liquid investments with an original maturity date of three months or less when purchased to be cash equivalents. The Company accepts a range of debit and credit cards, and these transactions are generally transmitted to a bank for reimbursement within 24 hours. The payments due from the banks for these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$1.7 million and $1.9 million at December 31, 2021 and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Cash and cash equivalents that are restricted as to withdrawal or are under the terms of use for current operations are included in the restricted balance on the balance sheet.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Trade receivables are carried at original invoice amount less an estimate made for doubtful accounts. Management determines the allowance for doubtful accounts on a specific identification basis and by leveraging information on historical losses, current conditions, and reasonable and supportable forecasts of future conditions. Trade receivables are written off when deemed uncollectible. Recoveries of trade receivables previously written off are recorded when received. The allowance for doubtful accounts was $0.2 million as of both December 31, 2021 and 2020. The Company does not accrue interest on accounts receivable.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Inventories were comprised of the following as of December 31:</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05"/>
        </w:trPr>
        <w:tc>
          <w:tcPr>
            <w:tcW w:w="6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r>
      <w:tr>
        <w:trPr>
          <w:trHeight w:val="183"/>
        </w:trPr>
        <w:tc>
          <w:tcPr>
            <w:tcW w:w="6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95,869</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72,619</w:t>
            </w:r>
          </w:p>
        </w:tc>
      </w:tr>
      <w:tr>
        <w:trPr>
          <w:trHeight w:val="189"/>
        </w:trPr>
        <w:tc>
          <w:tcPr>
            <w:tcW w:w="6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1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1,306</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1,677</w:t>
            </w:r>
          </w:p>
        </w:tc>
      </w:tr>
      <w:tr>
        <w:trPr>
          <w:trHeight w:val="183"/>
        </w:trPr>
        <w:tc>
          <w:tcPr>
            <w:tcW w:w="65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97,175</w:t>
            </w:r>
          </w:p>
        </w:tc>
        <w:tc>
          <w:tcPr>
            <w:tcW w:w="1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74,296</w:t>
            </w:r>
          </w:p>
        </w:tc>
      </w:tr>
      <w:tr>
        <w:trPr>
          <w:trHeight w:val="20"/>
        </w:trPr>
        <w:tc>
          <w:tcPr>
            <w:tcW w:w="6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$0.5 million and $0.6 million as of December 31, 2021 and 2020,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36"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December 31, 2021 and 2020, the Company has not recognized any liabilities for uncertain tax positions nor has the Company accrued interest and penalties related to uncertain tax positions.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Company generally requires customers to pay a deposit when purchasing inventory that is not regularly carried at the store location, or not currently in stock. These deposits are included in other current accrued liabilities until the customer takes possession of the merchandise.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three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primary costs classified in each major expense category 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Materials cost;</w:t>
      </w:r>
    </w:p>
    <w:p>
      <w:pPr>
        <w:ind w:left="660"/>
        <w:spacing w:after="0" w:line="219" w:lineRule="auto"/>
        <w:rPr>
          <w:sz w:val="20"/>
          <w:szCs w:val="20"/>
          <w:color w:val="auto"/>
        </w:rPr>
      </w:pPr>
      <w:r>
        <w:rPr>
          <w:rFonts w:ascii="Arial" w:cs="Arial" w:eastAsia="Arial" w:hAnsi="Arial"/>
          <w:sz w:val="18"/>
          <w:szCs w:val="18"/>
          <w:color w:val="auto"/>
        </w:rPr>
        <w:t>Shipping and transportation expenses to bring products into the Company's distribution centers;</w:t>
      </w:r>
    </w:p>
    <w:p>
      <w:pPr>
        <w:ind w:left="660"/>
        <w:spacing w:after="0" w:line="219" w:lineRule="auto"/>
        <w:rPr>
          <w:sz w:val="20"/>
          <w:szCs w:val="20"/>
          <w:color w:val="auto"/>
        </w:rPr>
      </w:pPr>
      <w:r>
        <w:rPr>
          <w:rFonts w:ascii="Arial" w:cs="Arial" w:eastAsia="Arial" w:hAnsi="Arial"/>
          <w:sz w:val="18"/>
          <w:szCs w:val="18"/>
          <w:color w:val="auto"/>
        </w:rPr>
        <w:t>Custom and duty expenses;</w:t>
      </w:r>
    </w:p>
    <w:p>
      <w:pPr>
        <w:ind w:left="660"/>
        <w:spacing w:after="0" w:line="219" w:lineRule="auto"/>
        <w:rPr>
          <w:sz w:val="20"/>
          <w:szCs w:val="20"/>
          <w:color w:val="auto"/>
        </w:rPr>
      </w:pPr>
      <w:r>
        <w:rPr>
          <w:rFonts w:ascii="Arial" w:cs="Arial" w:eastAsia="Arial" w:hAnsi="Arial"/>
          <w:sz w:val="18"/>
          <w:szCs w:val="18"/>
          <w:color w:val="auto"/>
        </w:rPr>
        <w:t>Customer shipping and handling expenses;</w:t>
      </w:r>
    </w:p>
    <w:p>
      <w:pPr>
        <w:ind w:left="660"/>
        <w:spacing w:after="0" w:line="219" w:lineRule="auto"/>
        <w:rPr>
          <w:sz w:val="20"/>
          <w:szCs w:val="20"/>
          <w:color w:val="auto"/>
        </w:rPr>
      </w:pPr>
      <w:r>
        <w:rPr>
          <w:rFonts w:ascii="Arial" w:cs="Arial" w:eastAsia="Arial" w:hAnsi="Arial"/>
          <w:sz w:val="18"/>
          <w:szCs w:val="18"/>
          <w:color w:val="auto"/>
        </w:rPr>
        <w:t>Physical inventory losses;</w:t>
      </w:r>
    </w:p>
    <w:p>
      <w:pPr>
        <w:ind w:left="660"/>
        <w:spacing w:after="0" w:line="219" w:lineRule="auto"/>
        <w:rPr>
          <w:sz w:val="20"/>
          <w:szCs w:val="20"/>
          <w:color w:val="auto"/>
        </w:rPr>
      </w:pPr>
      <w:r>
        <w:rPr>
          <w:rFonts w:ascii="Arial" w:cs="Arial" w:eastAsia="Arial" w:hAnsi="Arial"/>
          <w:sz w:val="18"/>
          <w:szCs w:val="18"/>
          <w:color w:val="auto"/>
        </w:rPr>
        <w:t>Costs incurred at distribution centers in connection with the receiving process;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Labor and overhead costs incurred to manufacture inventory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(sometimes referred to as “SG&amp;A”) Expenses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compensation costs for store, corporate and distribution employees;</w:t>
      </w:r>
    </w:p>
    <w:p>
      <w:pPr>
        <w:ind w:left="660"/>
        <w:spacing w:after="0" w:line="219" w:lineRule="auto"/>
        <w:rPr>
          <w:sz w:val="20"/>
          <w:szCs w:val="20"/>
          <w:color w:val="auto"/>
        </w:rPr>
      </w:pPr>
      <w:r>
        <w:rPr>
          <w:rFonts w:ascii="Arial" w:cs="Arial" w:eastAsia="Arial" w:hAnsi="Arial"/>
          <w:sz w:val="18"/>
          <w:szCs w:val="18"/>
          <w:color w:val="auto"/>
        </w:rPr>
        <w:t>Occupancy, utilities and maintenance costs of store and corporate facilities;</w:t>
      </w:r>
    </w:p>
    <w:p>
      <w:pPr>
        <w:ind w:left="660"/>
        <w:spacing w:after="0" w:line="219" w:lineRule="auto"/>
        <w:rPr>
          <w:sz w:val="20"/>
          <w:szCs w:val="20"/>
          <w:color w:val="auto"/>
        </w:rPr>
      </w:pPr>
      <w:r>
        <w:rPr>
          <w:rFonts w:ascii="Arial" w:cs="Arial" w:eastAsia="Arial" w:hAnsi="Arial"/>
          <w:sz w:val="18"/>
          <w:szCs w:val="18"/>
          <w:color w:val="auto"/>
        </w:rPr>
        <w:t>Shipping and transportation expenses to move inventory from the Company's distribution centers to the Company's stores;</w:t>
      </w:r>
    </w:p>
    <w:p>
      <w:pPr>
        <w:ind w:left="660"/>
        <w:spacing w:after="0" w:line="219" w:lineRule="auto"/>
        <w:rPr>
          <w:sz w:val="20"/>
          <w:szCs w:val="20"/>
          <w:color w:val="auto"/>
        </w:rPr>
      </w:pPr>
      <w:r>
        <w:rPr>
          <w:rFonts w:ascii="Arial" w:cs="Arial" w:eastAsia="Arial" w:hAnsi="Arial"/>
          <w:sz w:val="18"/>
          <w:szCs w:val="18"/>
          <w:color w:val="auto"/>
        </w:rPr>
        <w:t>Depreciation and amortization; and</w:t>
      </w:r>
    </w:p>
    <w:p>
      <w:pPr>
        <w:ind w:left="660"/>
        <w:spacing w:after="0" w:line="219" w:lineRule="auto"/>
        <w:rPr>
          <w:sz w:val="20"/>
          <w:szCs w:val="20"/>
          <w:color w:val="auto"/>
        </w:rPr>
      </w:pPr>
      <w:r>
        <w:rPr>
          <w:rFonts w:ascii="Arial" w:cs="Arial" w:eastAsia="Arial" w:hAnsi="Arial"/>
          <w:sz w:val="18"/>
          <w:szCs w:val="18"/>
          <w:color w:val="auto"/>
        </w:rPr>
        <w:t>Advertising costs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75"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targets. The Company adjusts the cumulative expense recognized on awards with performance conditions based on a probability of achieving the performance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75" w:lineRule="exact"/>
        <w:rPr>
          <w:sz w:val="20"/>
          <w:szCs w:val="20"/>
          <w:color w:val="auto"/>
        </w:rPr>
      </w:pPr>
    </w:p>
    <w:p>
      <w:pPr>
        <w:jc w:val="both"/>
        <w:ind w:right="540"/>
        <w:spacing w:after="0" w:line="25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Company’s operations consist primarily of retail sales of natural stone and man-made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Advertising costs were $6.1 million, $4.6 million and $9.2 million for the years ended December 31, 2021, 2020 and 2019, respectively, and are included in selling, general and administrative expenses in the consolidated statements of operations. The Company’s advertising consists primarily of digital media, direct marketing, events, traditional print media and mobile advertisements and is expensed at the time the media is distributed.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75"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the years ended December 31, 2021, 2020 and 2019, the Company recorded pre-opening costs of $0.1 million, $0.1 million and $0.6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 asset. The cost and accumulated depreciation of assets sold or otherwise disposed of are removed from the accounts and any gain or loss thereon is included in other income and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7"/>
              </w:rPr>
              <w:t>Asset life (in years)</w:t>
            </w: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Buildings and building improvements</w:t>
            </w: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40</w:t>
            </w:r>
          </w:p>
        </w:tc>
        <w:tc>
          <w:tcPr>
            <w:tcW w:w="54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5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20</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8"/>
                <w:szCs w:val="18"/>
                <w:color w:val="auto"/>
              </w:rPr>
              <w:t>Machinery and equipment</w:t>
            </w:r>
          </w:p>
        </w:tc>
        <w:tc>
          <w:tcPr>
            <w:tcW w:w="5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10</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5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Vehicles</w:t>
            </w:r>
          </w:p>
        </w:tc>
        <w:tc>
          <w:tcPr>
            <w:tcW w:w="5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40" w:type="dxa"/>
            <w:vAlign w:val="bottom"/>
          </w:tcPr>
          <w:p>
            <w:pPr>
              <w:spacing w:after="0"/>
              <w:rPr>
                <w:sz w:val="20"/>
                <w:szCs w:val="20"/>
                <w:color w:val="auto"/>
              </w:rPr>
            </w:pPr>
          </w:p>
        </w:tc>
      </w:tr>
    </w:tbl>
    <w:p>
      <w:pPr>
        <w:spacing w:after="0" w:line="120"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Company evaluates potential impairment losses on long-lived assets used in operations at the individual retail store level, which is the lowest level at which cash flows can be identified,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impairment loss is recorded based on the excess of the carrying value of the asset group over its fair value. Fair value is measured using discounted cash flows or independent opinions of value, as appropriate. During the fiscal years ended December 31, 2021 and 2020, the Company recorded asset impairment charges of $0.7 million and $2.2 million, respectively, which were classified in selling, general and administrative expenses. No impairment charges were recorded during the year ended December 31,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judgment by management with respect to certain external factors, including, but not limited to, technological and economic feasibility, and estimated economic life. As of December 31, 2021 and 2020, $5.0 million and $6.0 million was included in computer equipment and software, respectively. The internal use software costs are amortized over estimated useful lives of three to seven years. There was $1.5 million, $1.5 million and $1.6 million of amortization expense related to capitalized software during the years ended December 31, 2021, 2020 and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lease incentives. The Company’s lease terms may include options to extend or terminate the lease typically at its own discretion. The Company regularly evaluates the renewal options and when such options are reasonably certain of exercise, the Company includes the renewal period in its lease term. The Company does not separate non-lease components from lease components by class of underlying assets and does not apply the recognition requirements to short term leases. Certain lease arrangements contain provisions requiring the Company to restore the leased property to its original condition at the end of the lease. The fair values of these obligations are recorded as liabilities on a discounted basis, which occurs at the time the 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were $2.9 million and $1.9 million as of December 31, 2021 and 2020, respectively, and are included in other long-term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7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2021 and 2020, an accrual of $0.8 million and $0.6 million related to estimated employee health claims was included in other accrued liabilities, respectively. As of December 31, 2021 and 2020, an accrual of $2.2 million and $1.7 million related to estimated workers’ compensation claims was included in other accrued liabilities, respectively.</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standby letters of credit outstanding related to the Company's workers’ compensation and employee health insurance policies. As of both December 31, 2021 and 2020, the standby letters of credit totaled $2.4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the Company remain uncertain and will depend on certain future developments, including the duration, scope and severity of the pandemic and the effects of new variants of COVID-19, some of which may be more virulent or transmissible than the initial strain; its impact on the Company’s employees, customers and suppliers; the range and timing of government mandated restrictions and other measures; and the success of the deployment and widespread adoption of approved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COVID-19 vaccines and their effectiveness against new variants of COVID-19. This uncertainty could have a material impact on the accounting estimates and assumptions utilized to prepare the Company’s consolidated financial statements in future reporting periods, which could result in a material adverse impact on the Company’s financial position, results of operations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February 2016, the Financial Accounting Standards Board (the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5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This standard provided a number of optional practical expedients in transition. The Company elected the package of three practical expedients permitted under the transition guidance within this standard, which, among other things, allowed the Company to carryforward the historical lease classification. The Company did not separate non-lease components from lease components by class of underlying assets and the Company did not apply the recognition requirements of the standard to short-term leases, as allowed by the standard.</w:t>
      </w:r>
    </w:p>
    <w:p>
      <w:pPr>
        <w:spacing w:after="0" w:line="148"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also elected to apply the hindsight practical expedient. The election of the hindsight practical expedient resulted in the shortening of lease terms for certain existing leases and the useful lives of corresponding leasehold improvements. In the application of the hindsight practical expedient, the Company considered recent investments in leased properties and the overall real estate strategy, which resulted in the determination that most renewal options would not be reasonably certain in determining the expected lease term.</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Upon adopting this standard, the Company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 deferred tax assets and a corresponding adjustment to retained earnings. The adoption of this standard did not have a material impact on net income or cash flows for the year ended December 31, 2019.</w:t>
      </w:r>
    </w:p>
    <w:p>
      <w:pPr>
        <w:spacing w:after="0" w:line="14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first quarter of fiscal 2021, the Company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The Company’s allowance for doubtful accounts represents its estimate of expected credit losses related to its trade receivables. To estimate the allowance for doubtful accounts, the Company leverages information on historical losses, current conditions, and reasonable and supportable forecasts of future conditions. Account balances are written off against the allowance when the Company deems the amount is uncollectible. The adoption of this standard did not have a material impact on the Company’s consolidated financial statements.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the first quarter of fiscal 2021, the Company adopted a new accounting standard that simplifies accounting for income taxes. Specifically, the new standard simplifies aspects of accounting for franchise taxes and enacted changes in tax laws or rates and clarifies the accounting for transactions that result in a step-up in the tax basis of goodwill. The adoption of this standard did not have a material impact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The Company is currently evaluating the impact this guidance will have on its consolidated 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7560" w:type="dxa"/>
            <w:vAlign w:val="bottom"/>
          </w:tcPr>
          <w:p>
            <w:pPr>
              <w:spacing w:after="0"/>
              <w:rPr>
                <w:sz w:val="24"/>
                <w:szCs w:val="24"/>
                <w:color w:val="auto"/>
              </w:rPr>
            </w:pPr>
          </w:p>
        </w:tc>
        <w:tc>
          <w:tcPr>
            <w:tcW w:w="3680" w:type="dxa"/>
            <w:vAlign w:val="bottom"/>
            <w:gridSpan w:val="3"/>
          </w:tcPr>
          <w:p>
            <w:pPr>
              <w:jc w:val="right"/>
              <w:ind w:right="770"/>
              <w:spacing w:after="0"/>
              <w:rPr>
                <w:sz w:val="20"/>
                <w:szCs w:val="20"/>
                <w:color w:val="auto"/>
              </w:rPr>
            </w:pPr>
            <w:r>
              <w:rPr>
                <w:rFonts w:ascii="Arial" w:cs="Arial" w:eastAsia="Arial" w:hAnsi="Arial"/>
                <w:sz w:val="18"/>
                <w:szCs w:val="18"/>
                <w:color w:val="auto"/>
              </w:rPr>
              <w:t>Years Ended December 31,</w:t>
            </w:r>
          </w:p>
        </w:tc>
      </w:tr>
      <w:tr>
        <w:trPr>
          <w:trHeight w:val="217"/>
        </w:trPr>
        <w:tc>
          <w:tcPr>
            <w:tcW w:w="75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76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48 %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46 %</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29</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7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14</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9</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2</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28"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 w:lineRule="exact"/>
        <w:rPr>
          <w:sz w:val="20"/>
          <w:szCs w:val="20"/>
          <w:color w:val="auto"/>
        </w:rPr>
      </w:pPr>
    </w:p>
    <w:p>
      <w:pPr>
        <w:ind w:left="660" w:right="120"/>
        <w:spacing w:after="0" w:line="219"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1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$13.8 million and $12.2 million as of December 31, 2021 and 2020, respectively. Revenues recognized during the year ended December 31, 2021 that were included in the customer deposit balance as of the beginning of the period were $12.2 million.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Company extends financing to qualified professional customers who apply for credit. The accounts receivable balance was $3.2 million and</w:t>
      </w:r>
    </w:p>
    <w:p>
      <w:pPr>
        <w:spacing w:after="0" w:line="1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$3.0 million as of December 31, 2021 and 2020,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8"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2021 and 2020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right"/>
              <w:ind w:right="85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accrued liabilities</w:t>
            </w:r>
          </w:p>
        </w:tc>
        <w:tc>
          <w:tcPr>
            <w:tcW w:w="4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5,202</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1,658</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4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40" w:type="dxa"/>
            <w:vAlign w:val="bottom"/>
            <w:vMerge w:val="restart"/>
          </w:tcPr>
          <w:p>
            <w:pPr>
              <w:jc w:val="right"/>
              <w:ind w:right="255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9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57"/>
        </w:trPr>
        <w:tc>
          <w:tcPr>
            <w:tcW w:w="1280" w:type="dxa"/>
            <w:vAlign w:val="bottom"/>
            <w:tcBorders>
              <w:top w:val="single" w:sz="8" w:color="0000FF"/>
            </w:tcBorders>
          </w:tcPr>
          <w:p>
            <w:pPr>
              <w:spacing w:after="0"/>
              <w:rPr>
                <w:sz w:val="24"/>
                <w:szCs w:val="24"/>
                <w:color w:val="auto"/>
              </w:rPr>
            </w:pPr>
          </w:p>
        </w:tc>
        <w:tc>
          <w:tcPr>
            <w:tcW w:w="6500" w:type="dxa"/>
            <w:vAlign w:val="bottom"/>
          </w:tcPr>
          <w:p>
            <w:pPr>
              <w:ind w:left="2760"/>
              <w:spacing w:after="0"/>
              <w:rPr>
                <w:sz w:val="20"/>
                <w:szCs w:val="20"/>
                <w:color w:val="auto"/>
              </w:rPr>
            </w:pPr>
            <w:r>
              <w:rPr>
                <w:rFonts w:ascii="Arial" w:cs="Arial" w:eastAsia="Arial" w:hAnsi="Arial"/>
                <w:sz w:val="18"/>
                <w:szCs w:val="18"/>
                <w:b w:val="1"/>
                <w:bCs w:val="1"/>
                <w:color w:val="auto"/>
              </w:rPr>
              <w:t>Tile Shop Holdings, Inc. and Subsidiaries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6500" w:type="dxa"/>
            <w:vAlign w:val="bottom"/>
          </w:tcPr>
          <w:p>
            <w:pPr>
              <w:ind w:left="276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3: Property, Plant and Equipment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77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 at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r>
      <w:tr>
        <w:trPr>
          <w:trHeight w:val="183"/>
        </w:trPr>
        <w:tc>
          <w:tcPr>
            <w:tcW w:w="12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Land</w:t>
            </w:r>
          </w:p>
        </w:tc>
        <w:tc>
          <w:tcPr>
            <w:tcW w:w="86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w:t>
            </w:r>
          </w:p>
        </w:tc>
      </w:tr>
      <w:tr>
        <w:trPr>
          <w:trHeight w:val="189"/>
        </w:trPr>
        <w:tc>
          <w:tcPr>
            <w:tcW w:w="7780" w:type="dxa"/>
            <w:vAlign w:val="bottom"/>
            <w:gridSpan w:val="2"/>
          </w:tcPr>
          <w:p>
            <w:pPr>
              <w:spacing w:after="0" w:line="189" w:lineRule="exact"/>
              <w:rPr>
                <w:sz w:val="20"/>
                <w:szCs w:val="20"/>
                <w:color w:val="auto"/>
              </w:rPr>
            </w:pPr>
            <w:r>
              <w:rPr>
                <w:rFonts w:ascii="Arial" w:cs="Arial" w:eastAsia="Arial" w:hAnsi="Arial"/>
                <w:sz w:val="18"/>
                <w:szCs w:val="18"/>
                <w:color w:val="auto"/>
              </w:rPr>
              <w:t>Building and building improvements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24,755</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25,731</w:t>
            </w: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Leasehold improvements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98,529</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97,507</w:t>
            </w:r>
          </w:p>
        </w:tc>
      </w:tr>
      <w:tr>
        <w:trPr>
          <w:trHeight w:val="189"/>
        </w:trPr>
        <w:tc>
          <w:tcPr>
            <w:tcW w:w="7780" w:type="dxa"/>
            <w:vAlign w:val="bottom"/>
            <w:gridSpan w:val="2"/>
          </w:tcPr>
          <w:p>
            <w:pPr>
              <w:spacing w:after="0" w:line="189" w:lineRule="exact"/>
              <w:rPr>
                <w:sz w:val="20"/>
                <w:szCs w:val="20"/>
                <w:color w:val="auto"/>
              </w:rPr>
            </w:pPr>
            <w:r>
              <w:rPr>
                <w:rFonts w:ascii="Arial" w:cs="Arial" w:eastAsia="Arial" w:hAnsi="Arial"/>
                <w:sz w:val="18"/>
                <w:szCs w:val="18"/>
                <w:color w:val="auto"/>
              </w:rPr>
              <w:t>Furniture and fixtures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142,161</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142,501</w:t>
            </w: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Machinery and equipment</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30,461</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30,205</w:t>
            </w:r>
          </w:p>
        </w:tc>
      </w:tr>
      <w:tr>
        <w:trPr>
          <w:trHeight w:val="189"/>
        </w:trPr>
        <w:tc>
          <w:tcPr>
            <w:tcW w:w="7780" w:type="dxa"/>
            <w:vAlign w:val="bottom"/>
            <w:gridSpan w:val="2"/>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47,003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45,217</w:t>
            </w: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Vehicles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6,105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5,005</w:t>
            </w:r>
          </w:p>
        </w:tc>
      </w:tr>
      <w:tr>
        <w:trPr>
          <w:trHeight w:val="189"/>
        </w:trPr>
        <w:tc>
          <w:tcPr>
            <w:tcW w:w="77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Construction in progress</w:t>
            </w:r>
          </w:p>
        </w:tc>
        <w:tc>
          <w:tcPr>
            <w:tcW w:w="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766</w:t>
            </w:r>
          </w:p>
        </w:tc>
      </w:tr>
      <w:tr>
        <w:trPr>
          <w:trHeight w:val="183"/>
        </w:trPr>
        <w:tc>
          <w:tcPr>
            <w:tcW w:w="778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property, plant and equipment</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350,602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347,836</w:t>
            </w:r>
          </w:p>
        </w:tc>
      </w:tr>
      <w:tr>
        <w:trPr>
          <w:trHeight w:val="189"/>
        </w:trPr>
        <w:tc>
          <w:tcPr>
            <w:tcW w:w="7780" w:type="dxa"/>
            <w:vAlign w:val="bottom"/>
            <w:gridSpan w:val="2"/>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(268,317)</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(248,801)</w:t>
            </w:r>
          </w:p>
        </w:tc>
      </w:tr>
      <w:tr>
        <w:trPr>
          <w:trHeight w:val="183"/>
        </w:trPr>
        <w:tc>
          <w:tcPr>
            <w:tcW w:w="7780" w:type="dxa"/>
            <w:vAlign w:val="bottom"/>
            <w:tcBorders>
              <w:top w:val="single" w:sz="8" w:color="CCEEFF"/>
              <w:bottom w:val="single" w:sz="8" w:color="CCEEFF"/>
            </w:tcBorders>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property, plant and equipment, net</w:t>
            </w: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82,285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99,035</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Depreciation expense on property and equipment, including financing leases, was $27.4 million, $31.3 million and $33.5 million for the years ended December 31, 2021, 2020 and 2019, respectively. Property, plant and equipment is measured at fair value when an impairment is recognized and the related assets are written down to fair value. During the years ended December 31, 2021 and 2020, the Company recorded asset impairment charges of $0.7 million and $2.2 million, respectively. No impairment charges were recorded during the year ended December 31,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Note 4: Other Accrued Liabilities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80" w:type="dxa"/>
            <w:vAlign w:val="bottom"/>
          </w:tcPr>
          <w:p>
            <w:pPr>
              <w:spacing w:after="0"/>
              <w:rPr>
                <w:sz w:val="20"/>
                <w:szCs w:val="20"/>
                <w:color w:val="auto"/>
              </w:rPr>
            </w:pPr>
            <w:r>
              <w:rPr>
                <w:rFonts w:ascii="Arial" w:cs="Arial" w:eastAsia="Arial" w:hAnsi="Arial"/>
                <w:sz w:val="18"/>
                <w:szCs w:val="18"/>
                <w:color w:val="auto"/>
              </w:rPr>
              <w:t>Other accrued liabilities consisted of the following at 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deposits</w:t>
            </w:r>
          </w:p>
        </w:tc>
        <w:tc>
          <w:tcPr>
            <w:tcW w:w="1340" w:type="dxa"/>
            <w:vAlign w:val="bottom"/>
            <w:gridSpan w:val="3"/>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13,792</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189"/>
        </w:trPr>
        <w:tc>
          <w:tcPr>
            <w:tcW w:w="728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5,202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8,833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189"/>
        </w:trPr>
        <w:tc>
          <w:tcPr>
            <w:tcW w:w="728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3,796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6,626</w:t>
            </w: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183"/>
        </w:trPr>
        <w:tc>
          <w:tcPr>
            <w:tcW w:w="7280" w:type="dxa"/>
            <w:vAlign w:val="bottom"/>
          </w:tcPr>
          <w:p>
            <w:pPr>
              <w:ind w:left="120"/>
              <w:spacing w:after="0" w:line="182" w:lineRule="exact"/>
              <w:rPr>
                <w:sz w:val="20"/>
                <w:szCs w:val="20"/>
                <w:color w:val="auto"/>
              </w:rPr>
            </w:pPr>
            <w:r>
              <w:rPr>
                <w:rFonts w:ascii="Arial" w:cs="Arial" w:eastAsia="Arial" w:hAnsi="Arial"/>
                <w:sz w:val="18"/>
                <w:szCs w:val="18"/>
                <w:color w:val="auto"/>
              </w:rPr>
              <w:t>Total other accrued liabilities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38,249</w:t>
            </w:r>
          </w:p>
        </w:tc>
        <w:tc>
          <w:tcPr>
            <w:tcW w:w="160" w:type="dxa"/>
            <w:vAlign w:val="bottom"/>
          </w:tcPr>
          <w:p>
            <w:pPr>
              <w:spacing w:after="0"/>
              <w:rPr>
                <w:sz w:val="15"/>
                <w:szCs w:val="15"/>
                <w:color w:val="auto"/>
              </w:rPr>
            </w:pPr>
          </w:p>
        </w:tc>
        <w:tc>
          <w:tcPr>
            <w:tcW w:w="480" w:type="dxa"/>
            <w:vAlign w:val="bottom"/>
            <w:tcBorders>
              <w:bottom w:val="single" w:sz="8" w:color="auto"/>
            </w:tcBorders>
            <w:gridSpan w:val="2"/>
          </w:tcPr>
          <w:p>
            <w:pPr>
              <w:jc w:val="right"/>
              <w:ind w:right="307"/>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Note 5: Long-term Debt</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80" w:type="dxa"/>
            <w:vAlign w:val="bottom"/>
          </w:tcPr>
          <w:p>
            <w:pPr>
              <w:spacing w:after="0"/>
              <w:rPr>
                <w:sz w:val="20"/>
                <w:szCs w:val="20"/>
                <w:color w:val="auto"/>
              </w:rPr>
            </w:pPr>
            <w:r>
              <w:rPr>
                <w:rFonts w:ascii="Arial" w:cs="Arial" w:eastAsia="Arial" w:hAnsi="Arial"/>
                <w:sz w:val="18"/>
                <w:szCs w:val="18"/>
                <w:color w:val="auto"/>
              </w:rPr>
              <w:t>Long-term debt, net of debt issuance costs, consisted of the following at 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debt obligations</w:t>
            </w:r>
          </w:p>
        </w:tc>
        <w:tc>
          <w:tcPr>
            <w:tcW w:w="1340" w:type="dxa"/>
            <w:vAlign w:val="bottom"/>
            <w:gridSpan w:val="3"/>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current portion</w:t>
            </w: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Debt obligations, net of current portion</w:t>
            </w:r>
          </w:p>
        </w:tc>
        <w:tc>
          <w:tcPr>
            <w:tcW w:w="10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On September 18, 2018, Holdings and its operating subsidiary, The Tile Shop, entered into a credit agreement with Bank of America, N.A., Fifth Third Bank and Citizens Bank, which was amended November 16, 2021 (as amended,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December 31, 2021, the LIBOR-based interest rate was 1.60% and the base rate was 3.75%.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December 31, 2021.</w:t>
      </w:r>
    </w:p>
    <w:p>
      <w:pPr>
        <w:spacing w:after="0" w:line="15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Company had $5.0 million of borrowings outstanding on the revolving line of credit as of December 31, 2021. The Company has standby letters of credit outstanding related to its workers’ compensation and medical insurance policies. As of both December 31, 2021 and 2020, the standby letters of credit totaled $2.4 million. There was $92.6 million available for borrowing on the revolving line of credit as of December 31, 2021, which may be used to support the Company’s growth and for working capital purposes.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7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w w:val="97"/>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5"/>
              </w:rPr>
              <w:t>December 31,</w:t>
            </w:r>
          </w:p>
        </w:tc>
      </w:tr>
      <w:tr>
        <w:trPr>
          <w:trHeight w:val="21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5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Classification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2460" w:type="dxa"/>
            <w:vAlign w:val="bottom"/>
          </w:tcPr>
          <w:p>
            <w:pPr>
              <w:spacing w:after="0" w:line="182" w:lineRule="exact"/>
              <w:rPr>
                <w:sz w:val="20"/>
                <w:szCs w:val="20"/>
                <w:color w:val="auto"/>
              </w:rPr>
            </w:pPr>
            <w:r>
              <w:rPr>
                <w:rFonts w:ascii="Arial" w:cs="Arial" w:eastAsia="Arial" w:hAnsi="Arial"/>
                <w:sz w:val="18"/>
                <w:szCs w:val="18"/>
                <w:color w:val="auto"/>
              </w:rPr>
              <w:t>Assets</w:t>
            </w:r>
          </w:p>
        </w:tc>
        <w:tc>
          <w:tcPr>
            <w:tcW w:w="5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assets</w:t>
            </w:r>
          </w:p>
        </w:tc>
        <w:tc>
          <w:tcPr>
            <w:tcW w:w="54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Right of use asset</w:t>
            </w:r>
          </w:p>
        </w:tc>
        <w:tc>
          <w:tcPr>
            <w:tcW w:w="340" w:type="dxa"/>
            <w:vAlign w:val="bottom"/>
            <w:gridSpan w:val="3"/>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c>
          <w:tcPr>
            <w:tcW w:w="320" w:type="dxa"/>
            <w:vAlign w:val="bottom"/>
            <w:gridSpan w:val="4"/>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r>
      <w:tr>
        <w:trPr>
          <w:trHeight w:val="223"/>
        </w:trPr>
        <w:tc>
          <w:tcPr>
            <w:tcW w:w="24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Total leased assets</w:t>
            </w:r>
          </w:p>
        </w:tc>
        <w:tc>
          <w:tcPr>
            <w:tcW w:w="5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123,101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center"/>
              <w:ind w:right="1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132,374</w:t>
            </w:r>
          </w:p>
        </w:tc>
      </w:tr>
      <w:tr>
        <w:trPr>
          <w:trHeight w:val="170"/>
        </w:trPr>
        <w:tc>
          <w:tcPr>
            <w:tcW w:w="24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8"/>
                <w:szCs w:val="18"/>
                <w:color w:val="auto"/>
              </w:rPr>
              <w:t>Liabilities</w:t>
            </w:r>
          </w:p>
        </w:tc>
        <w:tc>
          <w:tcPr>
            <w:tcW w:w="5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5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9"/>
        </w:trPr>
        <w:tc>
          <w:tcPr>
            <w:tcW w:w="2460" w:type="dxa"/>
            <w:vAlign w:val="bottom"/>
          </w:tcPr>
          <w:p>
            <w:pPr>
              <w:ind w:left="120"/>
              <w:spacing w:after="0" w:line="189" w:lineRule="exact"/>
              <w:rPr>
                <w:sz w:val="20"/>
                <w:szCs w:val="20"/>
                <w:color w:val="auto"/>
              </w:rPr>
            </w:pPr>
            <w:r>
              <w:rPr>
                <w:rFonts w:ascii="Arial" w:cs="Arial" w:eastAsia="Arial" w:hAnsi="Arial"/>
                <w:sz w:val="18"/>
                <w:szCs w:val="18"/>
                <w:color w:val="auto"/>
              </w:rPr>
              <w:t>Operating</w:t>
            </w:r>
          </w:p>
        </w:tc>
        <w:tc>
          <w:tcPr>
            <w:tcW w:w="5480" w:type="dxa"/>
            <w:vAlign w:val="bottom"/>
          </w:tcPr>
          <w:p>
            <w:pPr>
              <w:ind w:left="240"/>
              <w:spacing w:after="0" w:line="189" w:lineRule="exact"/>
              <w:rPr>
                <w:sz w:val="20"/>
                <w:szCs w:val="20"/>
                <w:color w:val="auto"/>
              </w:rPr>
            </w:pPr>
            <w:r>
              <w:rPr>
                <w:rFonts w:ascii="Arial" w:cs="Arial" w:eastAsia="Arial" w:hAnsi="Arial"/>
                <w:sz w:val="18"/>
                <w:szCs w:val="18"/>
                <w:color w:val="auto"/>
              </w:rPr>
              <w:t>Current portion of lease liability</w:t>
            </w:r>
          </w:p>
        </w:tc>
        <w:tc>
          <w:tcPr>
            <w:tcW w:w="340" w:type="dxa"/>
            <w:vAlign w:val="bottom"/>
            <w:gridSpan w:val="3"/>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28,190</w:t>
            </w:r>
          </w:p>
        </w:tc>
        <w:tc>
          <w:tcPr>
            <w:tcW w:w="32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27,223</w:t>
            </w: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Noncurrent</w:t>
            </w:r>
          </w:p>
        </w:tc>
        <w:tc>
          <w:tcPr>
            <w:tcW w:w="5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9"/>
        </w:trPr>
        <w:tc>
          <w:tcPr>
            <w:tcW w:w="246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Operating</w:t>
            </w:r>
          </w:p>
        </w:tc>
        <w:tc>
          <w:tcPr>
            <w:tcW w:w="5480" w:type="dxa"/>
            <w:vAlign w:val="bottom"/>
            <w:tcBorders>
              <w:bottom w:val="single" w:sz="8" w:color="CCEEFF"/>
            </w:tcBorders>
          </w:tcPr>
          <w:p>
            <w:pPr>
              <w:ind w:left="240"/>
              <w:spacing w:after="0" w:line="189" w:lineRule="exact"/>
              <w:rPr>
                <w:sz w:val="20"/>
                <w:szCs w:val="20"/>
                <w:color w:val="auto"/>
              </w:rPr>
            </w:pPr>
            <w:r>
              <w:rPr>
                <w:rFonts w:ascii="Arial" w:cs="Arial" w:eastAsia="Arial" w:hAnsi="Arial"/>
                <w:sz w:val="18"/>
                <w:szCs w:val="18"/>
                <w:color w:val="auto"/>
              </w:rPr>
              <w:t>Long-term lease liability, net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110,261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122,678</w:t>
            </w:r>
          </w:p>
        </w:tc>
      </w:tr>
      <w:tr>
        <w:trPr>
          <w:trHeight w:val="183"/>
        </w:trPr>
        <w:tc>
          <w:tcPr>
            <w:tcW w:w="24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54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138,451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149,901</w:t>
            </w:r>
          </w:p>
        </w:tc>
      </w:tr>
      <w:tr>
        <w:trPr>
          <w:trHeight w:val="20"/>
        </w:trPr>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71"/>
        </w:trPr>
        <w:tc>
          <w:tcPr>
            <w:tcW w:w="2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6"/>
          </w:tcPr>
          <w:p>
            <w:pPr>
              <w:jc w:val="center"/>
              <w:spacing w:after="0"/>
              <w:rPr>
                <w:sz w:val="20"/>
                <w:szCs w:val="20"/>
                <w:color w:val="auto"/>
              </w:rPr>
            </w:pPr>
            <w:r>
              <w:rPr>
                <w:rFonts w:ascii="Arial" w:cs="Arial" w:eastAsia="Arial" w:hAnsi="Arial"/>
                <w:sz w:val="18"/>
                <w:szCs w:val="18"/>
                <w:color w:val="auto"/>
                <w:w w:val="88"/>
              </w:rPr>
              <w:t>Year Ended December 31,</w:t>
            </w:r>
          </w:p>
        </w:tc>
      </w:tr>
      <w:tr>
        <w:trPr>
          <w:trHeight w:val="21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5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Classification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183"/>
        </w:trPr>
        <w:tc>
          <w:tcPr>
            <w:tcW w:w="2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480" w:type="dxa"/>
            <w:vAlign w:val="bottom"/>
            <w:shd w:val="clear" w:color="auto" w:fill="CCEEFF"/>
          </w:tcPr>
          <w:p>
            <w:pPr>
              <w:ind w:left="300"/>
              <w:spacing w:after="0" w:line="182" w:lineRule="exact"/>
              <w:rPr>
                <w:sz w:val="20"/>
                <w:szCs w:val="20"/>
                <w:color w:val="auto"/>
              </w:rPr>
            </w:pPr>
            <w:r>
              <w:rPr>
                <w:rFonts w:ascii="Arial" w:cs="Arial" w:eastAsia="Arial" w:hAnsi="Arial"/>
                <w:sz w:val="18"/>
                <w:szCs w:val="18"/>
                <w:color w:val="auto"/>
              </w:rPr>
              <w:t>SG&amp;A expenses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34,047</w:t>
            </w: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33,167</w:t>
            </w: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5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24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8"/>
              </w:rPr>
              <w:t>Amortization of leased assets</w:t>
            </w:r>
          </w:p>
        </w:tc>
        <w:tc>
          <w:tcPr>
            <w:tcW w:w="548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SG&amp;A expenses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w:t>
            </w:r>
          </w:p>
        </w:tc>
      </w:tr>
      <w:tr>
        <w:trPr>
          <w:trHeight w:val="189"/>
        </w:trPr>
        <w:tc>
          <w:tcPr>
            <w:tcW w:w="246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5480" w:type="dxa"/>
            <w:vAlign w:val="bottom"/>
          </w:tcPr>
          <w:p>
            <w:pPr>
              <w:ind w:left="300"/>
              <w:spacing w:after="0" w:line="189" w:lineRule="exact"/>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r>
      <w:tr>
        <w:trPr>
          <w:trHeight w:val="256"/>
        </w:trPr>
        <w:tc>
          <w:tcPr>
            <w:tcW w:w="2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SG&amp;A expenses</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w:t>
            </w:r>
          </w:p>
        </w:tc>
      </w:tr>
      <w:tr>
        <w:trPr>
          <w:trHeight w:val="189"/>
        </w:trPr>
        <w:tc>
          <w:tcPr>
            <w:tcW w:w="24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548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8"/>
                <w:szCs w:val="18"/>
                <w:color w:val="auto"/>
              </w:rPr>
              <w:t>SG&amp;A expenses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709</w:t>
            </w:r>
          </w:p>
        </w:tc>
      </w:tr>
      <w:tr>
        <w:trPr>
          <w:trHeight w:val="183"/>
        </w:trPr>
        <w:tc>
          <w:tcPr>
            <w:tcW w:w="24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54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48,819</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47,833</w:t>
            </w:r>
          </w:p>
        </w:tc>
      </w:tr>
      <w:tr>
        <w:trPr>
          <w:trHeight w:val="20"/>
        </w:trPr>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Maturity of Lease Liabilities (in thousands)</w:t>
            </w:r>
          </w:p>
        </w:tc>
        <w:tc>
          <w:tcPr>
            <w:tcW w:w="3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Operating Leases</w:t>
            </w: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2022</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26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37,404</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tcPr>
          <w:p>
            <w:pPr>
              <w:jc w:val="right"/>
              <w:spacing w:after="0" w:line="189" w:lineRule="exact"/>
              <w:rPr>
                <w:sz w:val="20"/>
                <w:szCs w:val="20"/>
                <w:color w:val="auto"/>
              </w:rPr>
            </w:pPr>
            <w:r>
              <w:rPr>
                <w:rFonts w:ascii="Arial" w:cs="Arial" w:eastAsia="Arial" w:hAnsi="Arial"/>
                <w:sz w:val="18"/>
                <w:szCs w:val="18"/>
                <w:color w:val="auto"/>
              </w:rPr>
              <w:t>34,837</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2024</w:t>
            </w:r>
          </w:p>
        </w:tc>
        <w:tc>
          <w:tcPr>
            <w:tcW w:w="3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28,295</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tcPr>
          <w:p>
            <w:pPr>
              <w:jc w:val="right"/>
              <w:spacing w:after="0" w:line="189" w:lineRule="exact"/>
              <w:rPr>
                <w:sz w:val="20"/>
                <w:szCs w:val="20"/>
                <w:color w:val="auto"/>
              </w:rPr>
            </w:pPr>
            <w:r>
              <w:rPr>
                <w:rFonts w:ascii="Arial" w:cs="Arial" w:eastAsia="Arial" w:hAnsi="Arial"/>
                <w:sz w:val="18"/>
                <w:szCs w:val="18"/>
                <w:color w:val="auto"/>
              </w:rPr>
              <w:t>22,038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2026</w:t>
            </w:r>
          </w:p>
        </w:tc>
        <w:tc>
          <w:tcPr>
            <w:tcW w:w="3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Thereafter</w:t>
            </w:r>
          </w:p>
        </w:tc>
        <w:tc>
          <w:tcPr>
            <w:tcW w:w="3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28,023</w:t>
            </w: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167,579</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interest</w:t>
            </w:r>
          </w:p>
        </w:tc>
        <w:tc>
          <w:tcPr>
            <w:tcW w:w="3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182"/>
        </w:trPr>
        <w:tc>
          <w:tcPr>
            <w:tcW w:w="4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3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138,451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640" w:type="dxa"/>
            <w:vAlign w:val="bottom"/>
            <w:vMerge w:val="restart"/>
          </w:tcPr>
          <w:p>
            <w:pPr>
              <w:jc w:val="right"/>
              <w:ind w:right="217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3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24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57"/>
        </w:trPr>
        <w:tc>
          <w:tcPr>
            <w:tcW w:w="1280" w:type="dxa"/>
            <w:vAlign w:val="bottom"/>
            <w:tcBorders>
              <w:top w:val="single" w:sz="8" w:color="0000FF"/>
            </w:tcBorders>
          </w:tcPr>
          <w:p>
            <w:pPr>
              <w:spacing w:after="0"/>
              <w:rPr>
                <w:sz w:val="24"/>
                <w:szCs w:val="24"/>
                <w:color w:val="auto"/>
              </w:rPr>
            </w:pPr>
          </w:p>
        </w:tc>
        <w:tc>
          <w:tcPr>
            <w:tcW w:w="5960" w:type="dxa"/>
            <w:vAlign w:val="bottom"/>
            <w:gridSpan w:val="3"/>
          </w:tcPr>
          <w:p>
            <w:pPr>
              <w:ind w:left="276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5960" w:type="dxa"/>
            <w:vAlign w:val="bottom"/>
            <w:gridSpan w:val="3"/>
          </w:tcPr>
          <w:p>
            <w:pPr>
              <w:ind w:left="2760"/>
              <w:spacing w:after="0"/>
              <w:rPr>
                <w:sz w:val="20"/>
                <w:szCs w:val="20"/>
                <w:color w:val="auto"/>
              </w:rPr>
            </w:pPr>
            <w:r>
              <w:rPr>
                <w:rFonts w:ascii="Arial" w:cs="Arial" w:eastAsia="Arial" w:hAnsi="Arial"/>
                <w:sz w:val="18"/>
                <w:szCs w:val="18"/>
                <w:color w:val="auto"/>
                <w:w w:val="90"/>
              </w:rPr>
              <w:t>Notes to Consolidated Financial Statements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7"/>
        </w:trPr>
        <w:tc>
          <w:tcPr>
            <w:tcW w:w="1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7"/>
          </w:tcPr>
          <w:p>
            <w:pPr>
              <w:jc w:val="right"/>
              <w:ind w:right="870"/>
              <w:spacing w:after="0"/>
              <w:rPr>
                <w:sz w:val="20"/>
                <w:szCs w:val="20"/>
                <w:color w:val="auto"/>
              </w:rPr>
            </w:pPr>
            <w:r>
              <w:rPr>
                <w:rFonts w:ascii="Arial" w:cs="Arial" w:eastAsia="Arial" w:hAnsi="Arial"/>
                <w:sz w:val="18"/>
                <w:szCs w:val="18"/>
                <w:color w:val="auto"/>
              </w:rPr>
              <w:t>Year Ended December 31,</w:t>
            </w:r>
          </w:p>
        </w:tc>
      </w:tr>
      <w:tr>
        <w:trPr>
          <w:trHeight w:val="217"/>
        </w:trPr>
        <w:tc>
          <w:tcPr>
            <w:tcW w:w="7240" w:type="dxa"/>
            <w:vAlign w:val="bottom"/>
            <w:gridSpan w:val="4"/>
          </w:tcPr>
          <w:p>
            <w:pPr>
              <w:spacing w:after="0"/>
              <w:rPr>
                <w:sz w:val="20"/>
                <w:szCs w:val="20"/>
                <w:color w:val="auto"/>
              </w:rPr>
            </w:pPr>
            <w:r>
              <w:rPr>
                <w:rFonts w:ascii="Arial" w:cs="Arial" w:eastAsia="Arial" w:hAnsi="Arial"/>
                <w:sz w:val="18"/>
                <w:szCs w:val="18"/>
                <w:color w:val="auto"/>
              </w:rPr>
              <w:t>Other Information (in thousands)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2020</w:t>
            </w:r>
          </w:p>
        </w:tc>
      </w:tr>
      <w:tr>
        <w:trPr>
          <w:trHeight w:val="183"/>
        </w:trPr>
        <w:tc>
          <w:tcPr>
            <w:tcW w:w="69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r>
      <w:tr>
        <w:trPr>
          <w:trHeight w:val="189"/>
        </w:trPr>
        <w:tc>
          <w:tcPr>
            <w:tcW w:w="724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1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(37,011)</w:t>
            </w:r>
          </w:p>
        </w:tc>
        <w:tc>
          <w:tcPr>
            <w:tcW w:w="1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(37,242)</w:t>
            </w:r>
          </w:p>
        </w:tc>
      </w:tr>
      <w:tr>
        <w:trPr>
          <w:trHeight w:val="189"/>
        </w:trPr>
        <w:tc>
          <w:tcPr>
            <w:tcW w:w="7240" w:type="dxa"/>
            <w:vAlign w:val="bottom"/>
            <w:gridSpan w:val="4"/>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1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r>
      <w:tr>
        <w:trPr>
          <w:trHeight w:val="189"/>
        </w:trPr>
        <w:tc>
          <w:tcPr>
            <w:tcW w:w="724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Financing cash flows from financing leases</w:t>
            </w:r>
          </w:p>
        </w:tc>
        <w:tc>
          <w:tcPr>
            <w:tcW w:w="1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(162)</w:t>
            </w:r>
          </w:p>
        </w:tc>
      </w:tr>
      <w:tr>
        <w:trPr>
          <w:trHeight w:val="230"/>
        </w:trPr>
        <w:tc>
          <w:tcPr>
            <w:tcW w:w="7240" w:type="dxa"/>
            <w:vAlign w:val="bottom"/>
            <w:gridSpan w:val="4"/>
          </w:tcPr>
          <w:p>
            <w:pPr>
              <w:ind w:left="120"/>
              <w:spacing w:after="0"/>
              <w:rPr>
                <w:sz w:val="20"/>
                <w:szCs w:val="20"/>
                <w:color w:val="auto"/>
              </w:rPr>
            </w:pPr>
            <w:r>
              <w:rPr>
                <w:rFonts w:ascii="Arial" w:cs="Arial" w:eastAsia="Arial" w:hAnsi="Arial"/>
                <w:sz w:val="18"/>
                <w:szCs w:val="18"/>
                <w:color w:val="auto"/>
              </w:rPr>
              <w:t>Lease right-of-use assets obtained or modified in exchange for lease obligations</w:t>
            </w:r>
          </w:p>
        </w:tc>
        <w:tc>
          <w:tcPr>
            <w:tcW w:w="14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15,681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19,278</w:t>
            </w:r>
          </w:p>
        </w:tc>
      </w:tr>
      <w:tr>
        <w:trPr>
          <w:trHeight w:val="377"/>
        </w:trPr>
        <w:tc>
          <w:tcPr>
            <w:tcW w:w="7240" w:type="dxa"/>
            <w:vAlign w:val="bottom"/>
            <w:gridSpan w:val="4"/>
          </w:tcPr>
          <w:p>
            <w:pPr>
              <w:spacing w:after="0"/>
              <w:rPr>
                <w:sz w:val="20"/>
                <w:szCs w:val="20"/>
                <w:color w:val="auto"/>
              </w:rPr>
            </w:pPr>
            <w:r>
              <w:rPr>
                <w:rFonts w:ascii="Arial" w:cs="Arial" w:eastAsia="Arial" w:hAnsi="Arial"/>
                <w:sz w:val="18"/>
                <w:szCs w:val="18"/>
                <w:color w:val="auto"/>
              </w:rPr>
              <w:t>Lease Term and Discount Rate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December 31, 2021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color w:val="auto"/>
                <w:w w:val="92"/>
              </w:rPr>
              <w:t>December 31, 2020</w:t>
            </w:r>
          </w:p>
        </w:tc>
      </w:tr>
      <w:tr>
        <w:trPr>
          <w:trHeight w:val="183"/>
        </w:trPr>
        <w:tc>
          <w:tcPr>
            <w:tcW w:w="700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Weighted average remaining term (years)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r>
      <w:tr>
        <w:trPr>
          <w:trHeight w:val="189"/>
        </w:trPr>
        <w:tc>
          <w:tcPr>
            <w:tcW w:w="724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rPr>
              <w:t>5.8</w:t>
            </w:r>
          </w:p>
        </w:tc>
      </w:tr>
      <w:tr>
        <w:trPr>
          <w:trHeight w:val="189"/>
        </w:trPr>
        <w:tc>
          <w:tcPr>
            <w:tcW w:w="7240" w:type="dxa"/>
            <w:vAlign w:val="bottom"/>
            <w:gridSpan w:val="4"/>
          </w:tcPr>
          <w:p>
            <w:pPr>
              <w:spacing w:after="0" w:line="189" w:lineRule="exact"/>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9"/>
        </w:trPr>
        <w:tc>
          <w:tcPr>
            <w:tcW w:w="724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6.64 %</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6.43 %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500" w:right="46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Quoted prices for similar assets or liabilities in active markets;</w:t>
      </w:r>
    </w:p>
    <w:p>
      <w:pPr>
        <w:ind w:left="660"/>
        <w:spacing w:after="0" w:line="219" w:lineRule="auto"/>
        <w:rPr>
          <w:sz w:val="20"/>
          <w:szCs w:val="20"/>
          <w:color w:val="auto"/>
        </w:rPr>
      </w:pPr>
      <w:r>
        <w:rPr>
          <w:rFonts w:ascii="Arial" w:cs="Arial" w:eastAsia="Arial" w:hAnsi="Arial"/>
          <w:sz w:val="18"/>
          <w:szCs w:val="18"/>
          <w:color w:val="auto"/>
        </w:rPr>
        <w:t>Quoted prices for identical or similar assets or liabilities in non-active markets;</w:t>
      </w:r>
    </w:p>
    <w:p>
      <w:pPr>
        <w:ind w:left="660"/>
        <w:spacing w:after="0" w:line="219" w:lineRule="auto"/>
        <w:rPr>
          <w:sz w:val="20"/>
          <w:szCs w:val="20"/>
          <w:color w:val="auto"/>
        </w:rPr>
      </w:pPr>
      <w:r>
        <w:rPr>
          <w:rFonts w:ascii="Arial" w:cs="Arial" w:eastAsia="Arial" w:hAnsi="Arial"/>
          <w:sz w:val="18"/>
          <w:szCs w:val="18"/>
          <w:color w:val="auto"/>
        </w:rPr>
        <w:t>Inputs other than quoted prices that are observable for the asset or liability; and</w:t>
      </w:r>
    </w:p>
    <w:p>
      <w:pPr>
        <w:ind w:left="66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55" w:lineRule="exact"/>
        <w:rPr>
          <w:sz w:val="20"/>
          <w:szCs w:val="20"/>
          <w:color w:val="auto"/>
        </w:rPr>
      </w:pPr>
    </w:p>
    <w:p>
      <w:pPr>
        <w:ind w:left="500" w:right="46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December 31, 2021 and 2020 according to the valuation techniques the Company uses to determine their fair values. There have been no transfers of assets among the fair value hierarchies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December 31, 2021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9,358</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Consists of cash on hand and bank deposits. The value was measured using quoted market prices in active markets.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approximates fair value.</w:t>
      </w:r>
    </w:p>
    <w:p>
      <w:pPr>
        <w:ind w:left="660" w:right="140"/>
        <w:spacing w:after="0" w:line="286" w:lineRule="auto"/>
        <w:rPr>
          <w:sz w:val="20"/>
          <w:szCs w:val="20"/>
          <w:color w:val="auto"/>
        </w:rPr>
      </w:pPr>
      <w:r>
        <w:rPr>
          <w:rFonts w:ascii="Arial" w:cs="Arial" w:eastAsia="Arial" w:hAnsi="Arial"/>
          <w:sz w:val="16"/>
          <w:szCs w:val="16"/>
          <w:i w:val="1"/>
          <w:iCs w:val="1"/>
          <w:color w:val="auto"/>
        </w:rPr>
        <w:t>Restricted cash</w:t>
      </w:r>
      <w:r>
        <w:rPr>
          <w:rFonts w:ascii="Arial" w:cs="Arial" w:eastAsia="Arial" w:hAnsi="Arial"/>
          <w:sz w:val="16"/>
          <w:szCs w:val="16"/>
          <w:color w:val="auto"/>
        </w:rPr>
        <w:t>: Consists of cash and cash equivalents held in bank deposit accounts restricted as to withdrawal or that are under the terms of use</w:t>
      </w:r>
      <w:r>
        <w:rPr>
          <w:rFonts w:ascii="Arial" w:cs="Arial" w:eastAsia="Arial" w:hAnsi="Arial"/>
          <w:sz w:val="16"/>
          <w:szCs w:val="16"/>
          <w:i w:val="1"/>
          <w:iCs w:val="1"/>
          <w:color w:val="auto"/>
        </w:rPr>
        <w:t xml:space="preserve"> </w:t>
      </w:r>
      <w:r>
        <w:rPr>
          <w:rFonts w:ascii="Arial" w:cs="Arial" w:eastAsia="Arial" w:hAnsi="Arial"/>
          <w:sz w:val="16"/>
          <w:szCs w:val="16"/>
          <w:color w:val="auto"/>
        </w:rPr>
        <w:t>for current operations. The value was measured using quoted market prices in active markets. The carrying amount approximates fair value.</w:t>
      </w:r>
    </w:p>
    <w:p>
      <w:pPr>
        <w:spacing w:after="0" w:line="113" w:lineRule="exact"/>
        <w:rPr>
          <w:sz w:val="20"/>
          <w:szCs w:val="20"/>
          <w:color w:val="auto"/>
        </w:rPr>
      </w:pPr>
    </w:p>
    <w:p>
      <w:pPr>
        <w:jc w:val="center"/>
        <w:ind w:right="260"/>
        <w:spacing w:after="0" w:line="465" w:lineRule="auto"/>
        <w:rPr>
          <w:sz w:val="20"/>
          <w:szCs w:val="20"/>
          <w:color w:val="auto"/>
        </w:rPr>
      </w:pPr>
      <w:r>
        <w:rPr>
          <w:rFonts w:ascii="Arial" w:cs="Arial" w:eastAsia="Arial" w:hAnsi="Arial"/>
          <w:sz w:val="18"/>
          <w:szCs w:val="18"/>
          <w:color w:val="auto"/>
        </w:rPr>
        <w:t>The carrying value of accounts receivable and accounts payable approximates their estimated fair values due to the short maturities of these instruments.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years ended December 31, 2021 and 2020, the Company recognized charges in selling, general, and administrative expenses to write-down property, plant, and equipment and right of use assets to their estimated fair values of $0.7 million and $2.2 million, respectively. No impairment charges</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were recorded during the year ended December 31, 2019.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5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During the twelve months ended December 31, 2021, the Company recorded a $1.1 million adjustment to reflect an increase in the fair value to restore leased property to its original condition at the end of the lease. The change in the estimated value of the Company’s asset retirement obligation resulted in a $1.1 million increase in property, plant and equipment, a $0.1 million increase in other current liabilities, and a $1.0 million increase in other long-term liabilities. The Company measured the fair value of its asset retirement obligation based on the estimated amounts and timing of settlements, an estimated risk adjusted rate of return, and expected inflation rates, which are considered Level 2 inputs.</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carrying value of the Company’s borrowings under its Credit Agreement approximates fair value based upon Level 2 inputs of the market interest rates available to the Company for debt obligations with similar risks and maturities.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July 9, 2018, Fumitake Nishi, a former Company employee and the brother-in-law of Robert A. Rucker, the Company’s former Interim Chief Executive Officer and President, former member of the Company’s Board of Directors, and former holder of more than 5% of the Company’s common stock, informed the Company he had reacquired a majority of the equity of one of its key vendors, Nanyang Helin Stone Co. Ltd (“Nanyang”). Mr. Nishi also has an ownership interest in Tilestyling Co. Ltd (“Tile Style”), a vendor from which the Company started acquiring product in 2020. Nanyang and Tile Style supply the Company with natural stone products, including hand-crafted mosaics, listellos and other accessories. The Company paid $9.3 million,</w:t>
      </w:r>
    </w:p>
    <w:p>
      <w:pPr>
        <w:spacing w:after="0" w:line="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$7.6 million, and $5.1 million to Nanyang in connection with purchases made during the years ended December 31, 2021, 2020 and 2019, respectively. As of December 31, 2021, there were no amounts payable due to Nanyang. As of December 31, 2020, the accounts payable due to Nanyang was $0.2 million. The Company paid $3.5 million and $0.7 million to Tile Style in connection with purchases made during the year ended December 31, 2021 and 2020, respectively. The Company did not make any purchases from Tile Style during the year ended December 31, 2019. As of December 31, 2021, there were no amounts payable due to Tile Style. As of December 31 2020, the accounts payable balance due to Tile Style was $0.1 million.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50" w:lineRule="exact"/>
        <w:rPr>
          <w:sz w:val="20"/>
          <w:szCs w:val="20"/>
          <w:color w:val="auto"/>
        </w:rPr>
      </w:pPr>
    </w:p>
    <w:p>
      <w:pPr>
        <w:ind w:right="440"/>
        <w:spacing w:after="0" w:line="231"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Tile Style. The Company believes Nanyang and Tile Style each provide an important combination of quality, product availability and pricing, and relying solely on other vendors to supply similar product to the Company would not be in the Company’s best interests.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(loss) per common share</w:t>
      </w:r>
    </w:p>
    <w:p>
      <w:pPr>
        <w:spacing w:after="0" w:line="17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Basic earnings (loss) per share is calculated by dividing net income (loss) by the weighted average number of shares outstanding during the period. Diluted earnings (loss) per share is calculated by dividing net income (loss) by the weighted average number of common shares outstanding, after taking into consideration all dilutive potential common shares outstanding during the period. Dilutive shares were excluded from the calculation of diluted net loss per share for the year ended December 31, 2019, as their effect was antidilutive as a result of the net loss incurred for that period. Therefore, dilutive weighted average number of shares outstanding and diluted net loss per share were the same as basic weighted average number of shares outstanding and basic net loss per share for the year ended December 31, 2019.</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Basic and diluted net income (loss) per share was calculated as follows: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6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3"/>
                <w:szCs w:val="23"/>
                <w:color w:val="auto"/>
              </w:rPr>
            </w:pPr>
          </w:p>
        </w:tc>
      </w:tr>
      <w:tr>
        <w:trPr>
          <w:trHeight w:val="182"/>
        </w:trPr>
        <w:tc>
          <w:tcPr>
            <w:tcW w:w="6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20" w:type="dxa"/>
            <w:vAlign w:val="bottom"/>
            <w:gridSpan w:val="7"/>
          </w:tcPr>
          <w:p>
            <w:pPr>
              <w:jc w:val="right"/>
              <w:ind w:right="430"/>
              <w:spacing w:after="0" w:line="182" w:lineRule="exact"/>
              <w:rPr>
                <w:sz w:val="20"/>
                <w:szCs w:val="20"/>
                <w:color w:val="auto"/>
              </w:rPr>
            </w:pPr>
            <w:r>
              <w:rPr>
                <w:rFonts w:ascii="Arial" w:cs="Arial" w:eastAsia="Arial" w:hAnsi="Arial"/>
                <w:sz w:val="18"/>
                <w:szCs w:val="18"/>
                <w:color w:val="auto"/>
                <w:w w:val="93"/>
              </w:rPr>
              <w:t>(in thousands, except share and per share data)</w:t>
            </w:r>
          </w:p>
        </w:tc>
        <w:tc>
          <w:tcPr>
            <w:tcW w:w="20" w:type="dxa"/>
            <w:vAlign w:val="bottom"/>
          </w:tcPr>
          <w:p>
            <w:pPr>
              <w:spacing w:after="0"/>
              <w:rPr>
                <w:sz w:val="15"/>
                <w:szCs w:val="15"/>
                <w:color w:val="auto"/>
              </w:rPr>
            </w:pPr>
          </w:p>
        </w:tc>
      </w:tr>
      <w:tr>
        <w:trPr>
          <w:trHeight w:val="189"/>
        </w:trPr>
        <w:tc>
          <w:tcPr>
            <w:tcW w:w="6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4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(4,463)</w:t>
            </w:r>
          </w:p>
        </w:tc>
        <w:tc>
          <w:tcPr>
            <w:tcW w:w="20" w:type="dxa"/>
            <w:vAlign w:val="bottom"/>
          </w:tcPr>
          <w:p>
            <w:pPr>
              <w:spacing w:after="0"/>
              <w:rPr>
                <w:sz w:val="16"/>
                <w:szCs w:val="16"/>
                <w:color w:val="auto"/>
              </w:rPr>
            </w:pPr>
          </w:p>
        </w:tc>
      </w:tr>
      <w:tr>
        <w:trPr>
          <w:trHeight w:val="189"/>
        </w:trPr>
        <w:tc>
          <w:tcPr>
            <w:tcW w:w="600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50,393,980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49,957,356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50,624,309</w:t>
            </w:r>
          </w:p>
        </w:tc>
        <w:tc>
          <w:tcPr>
            <w:tcW w:w="20" w:type="dxa"/>
            <w:vAlign w:val="bottom"/>
          </w:tcPr>
          <w:p>
            <w:pPr>
              <w:spacing w:after="0"/>
              <w:rPr>
                <w:sz w:val="16"/>
                <w:szCs w:val="16"/>
                <w:color w:val="auto"/>
              </w:rPr>
            </w:pPr>
          </w:p>
        </w:tc>
      </w:tr>
      <w:tr>
        <w:trPr>
          <w:trHeight w:val="189"/>
        </w:trPr>
        <w:tc>
          <w:tcPr>
            <w:tcW w:w="60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8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691,483</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626,386</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83"/>
        </w:trPr>
        <w:tc>
          <w:tcPr>
            <w:tcW w:w="60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51,085,463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50,583,742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50,624,309</w:t>
            </w:r>
          </w:p>
        </w:tc>
        <w:tc>
          <w:tcPr>
            <w:tcW w:w="20" w:type="dxa"/>
            <w:vAlign w:val="bottom"/>
          </w:tcPr>
          <w:p>
            <w:pPr>
              <w:spacing w:after="0"/>
              <w:rPr>
                <w:sz w:val="15"/>
                <w:szCs w:val="15"/>
                <w:color w:val="auto"/>
              </w:rPr>
            </w:pPr>
          </w:p>
        </w:tc>
      </w:tr>
      <w:tr>
        <w:trPr>
          <w:trHeight w:val="183"/>
        </w:trPr>
        <w:tc>
          <w:tcPr>
            <w:tcW w:w="60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Basic net income (loss) per share</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(0.09)</w:t>
            </w:r>
          </w:p>
        </w:tc>
        <w:tc>
          <w:tcPr>
            <w:tcW w:w="20" w:type="dxa"/>
            <w:vAlign w:val="bottom"/>
          </w:tcPr>
          <w:p>
            <w:pPr>
              <w:spacing w:after="0"/>
              <w:rPr>
                <w:sz w:val="15"/>
                <w:szCs w:val="15"/>
                <w:color w:val="auto"/>
              </w:rPr>
            </w:pPr>
          </w:p>
        </w:tc>
      </w:tr>
      <w:tr>
        <w:trPr>
          <w:trHeight w:val="189"/>
        </w:trPr>
        <w:tc>
          <w:tcPr>
            <w:tcW w:w="6000" w:type="dxa"/>
            <w:vAlign w:val="bottom"/>
          </w:tcPr>
          <w:p>
            <w:pPr>
              <w:ind w:left="120"/>
              <w:spacing w:after="0" w:line="189" w:lineRule="exact"/>
              <w:rPr>
                <w:sz w:val="20"/>
                <w:szCs w:val="20"/>
                <w:color w:val="auto"/>
              </w:rPr>
            </w:pPr>
            <w:r>
              <w:rPr>
                <w:rFonts w:ascii="Arial" w:cs="Arial" w:eastAsia="Arial" w:hAnsi="Arial"/>
                <w:sz w:val="18"/>
                <w:szCs w:val="18"/>
                <w:color w:val="auto"/>
              </w:rPr>
              <w:t>Diluted net income (loss) per share</w:t>
            </w:r>
          </w:p>
        </w:tc>
        <w:tc>
          <w:tcPr>
            <w:tcW w:w="112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0.12</w:t>
            </w:r>
          </w:p>
        </w:tc>
        <w:tc>
          <w:tcPr>
            <w:tcW w:w="16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c>
          <w:tcPr>
            <w:tcW w:w="20" w:type="dxa"/>
            <w:vAlign w:val="bottom"/>
          </w:tcPr>
          <w:p>
            <w:pPr>
              <w:spacing w:after="0"/>
              <w:rPr>
                <w:sz w:val="16"/>
                <w:szCs w:val="16"/>
                <w:color w:val="auto"/>
              </w:rPr>
            </w:pPr>
          </w:p>
        </w:tc>
      </w:tr>
      <w:tr>
        <w:trPr>
          <w:trHeight w:val="189"/>
        </w:trPr>
        <w:tc>
          <w:tcPr>
            <w:tcW w:w="6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Anti-dilutive securities excluded from earnings per share calculation</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884,610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1,482,552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2,251,652</w:t>
            </w:r>
          </w:p>
        </w:tc>
        <w:tc>
          <w:tcPr>
            <w:tcW w:w="20" w:type="dxa"/>
            <w:vAlign w:val="bottom"/>
          </w:tcPr>
          <w:p>
            <w:pPr>
              <w:spacing w:after="0"/>
              <w:rPr>
                <w:sz w:val="16"/>
                <w:szCs w:val="16"/>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5"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On July 20, 2021, the stockholders of the Company approved the Tile Shop Holdings, Inc.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During the years ended December 31, 2021 and 2020, the Company did not grant any stock options to its employees. During the year ended December 31, 2019,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12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The assumptions used in the option valuation models are outlined in the following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Borders>
              <w:bottom w:val="single" w:sz="8" w:color="CCEEFF"/>
            </w:tcBorders>
          </w:tcPr>
          <w:p>
            <w:pPr>
              <w:spacing w:after="0"/>
              <w:rPr>
                <w:sz w:val="18"/>
                <w:szCs w:val="18"/>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r>
      <w:tr>
        <w:trPr>
          <w:trHeight w:val="183"/>
        </w:trPr>
        <w:tc>
          <w:tcPr>
            <w:tcW w:w="7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Risk-free interest rate</w:t>
            </w:r>
          </w:p>
        </w:tc>
        <w:tc>
          <w:tcPr>
            <w:tcW w:w="36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2.50%</w:t>
            </w: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Expected life (in years)</w:t>
            </w:r>
          </w:p>
        </w:tc>
        <w:tc>
          <w:tcPr>
            <w:tcW w:w="3640" w:type="dxa"/>
            <w:vAlign w:val="bottom"/>
          </w:tcPr>
          <w:p>
            <w:pPr>
              <w:jc w:val="center"/>
              <w:spacing w:after="0" w:line="189" w:lineRule="exact"/>
              <w:rPr>
                <w:sz w:val="20"/>
                <w:szCs w:val="20"/>
                <w:color w:val="auto"/>
              </w:rPr>
            </w:pPr>
            <w:r>
              <w:rPr>
                <w:rFonts w:ascii="Arial" w:cs="Arial" w:eastAsia="Arial" w:hAnsi="Arial"/>
                <w:sz w:val="18"/>
                <w:szCs w:val="18"/>
                <w:color w:val="auto"/>
                <w:w w:val="79"/>
              </w:rPr>
              <w:t>6</w:t>
            </w:r>
          </w:p>
        </w:tc>
      </w:tr>
      <w:tr>
        <w:trPr>
          <w:trHeight w:val="189"/>
        </w:trPr>
        <w:tc>
          <w:tcPr>
            <w:tcW w:w="7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volatility</w:t>
            </w:r>
          </w:p>
        </w:tc>
        <w:tc>
          <w:tcPr>
            <w:tcW w:w="3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56%</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Dividend yield</w:t>
            </w: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3%</w:t>
            </w:r>
          </w:p>
        </w:tc>
      </w:tr>
    </w:tbl>
    <w:p>
      <w:pPr>
        <w:spacing w:after="0" w:line="12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computation of the expected volatility assumptions used in the option valuation models was based on historical volatilities of the Company. The Company used the “simplified” method to calculate the expected term of options granted due to the lack of adequate historical data. The risk-free interest rate was based on the U.S. Treasury yield at the time of grant. The expected dividend yield was determined using the historical dividend payout and a trailing twelve month closing stock price on the grant date. To the extent that actual outcomes differ from the Company's assumptions, the Company is not required to true up grant-date fair value-based expense to final intrinsic values. The weighted average fair value of stock options granted was $2.57 during the year ended December 31, 2019.</w:t>
      </w:r>
    </w:p>
    <w:p>
      <w:pPr>
        <w:spacing w:after="0" w:line="14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Stock based compensation related to options for the years ended December 31, 2021, 2020 and 2019 was $0.3 million, $0.4 million, and $0.7 million, respectively, and was included in selling, general and administrative expenses in the consolidated statements of operations. As of December 31, 2021, the total future compensation cost related to non-vested options not yet recognized in the consolidated statement of operations was $0.1 million and is expected to be recognized over a weighted average period of 1.0 years.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2021,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Weighted</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0"/>
              </w:rPr>
              <w:t>Weighted Avg.</w:t>
            </w:r>
          </w:p>
        </w:tc>
        <w:tc>
          <w:tcPr>
            <w:tcW w:w="140" w:type="dxa"/>
            <w:vAlign w:val="bottom"/>
          </w:tcPr>
          <w:p>
            <w:pPr>
              <w:spacing w:after="0"/>
              <w:rPr>
                <w:sz w:val="17"/>
                <w:szCs w:val="17"/>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6"/>
                <w:szCs w:val="16"/>
                <w:color w:val="auto"/>
              </w:rPr>
            </w:pPr>
          </w:p>
        </w:tc>
        <w:tc>
          <w:tcPr>
            <w:tcW w:w="1120" w:type="dxa"/>
            <w:vAlign w:val="bottom"/>
          </w:tcPr>
          <w:p>
            <w:pPr>
              <w:jc w:val="center"/>
              <w:ind w:right="170"/>
              <w:spacing w:after="0" w:line="189" w:lineRule="exact"/>
              <w:rPr>
                <w:sz w:val="20"/>
                <w:szCs w:val="20"/>
                <w:color w:val="auto"/>
              </w:rPr>
            </w:pPr>
            <w:r>
              <w:rPr>
                <w:rFonts w:ascii="Arial" w:cs="Arial" w:eastAsia="Arial" w:hAnsi="Arial"/>
                <w:sz w:val="18"/>
                <w:szCs w:val="18"/>
                <w:color w:val="auto"/>
                <w:w w:val="90"/>
              </w:rPr>
              <w:t>Avg. Grant</w:t>
            </w:r>
          </w:p>
        </w:tc>
        <w:tc>
          <w:tcPr>
            <w:tcW w:w="15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Exercise</w:t>
            </w:r>
          </w:p>
        </w:tc>
        <w:tc>
          <w:tcPr>
            <w:tcW w:w="240" w:type="dxa"/>
            <w:vAlign w:val="bottom"/>
          </w:tcPr>
          <w:p>
            <w:pPr>
              <w:spacing w:after="0"/>
              <w:rPr>
                <w:sz w:val="16"/>
                <w:szCs w:val="16"/>
                <w:color w:val="auto"/>
              </w:rPr>
            </w:pPr>
          </w:p>
        </w:tc>
        <w:tc>
          <w:tcPr>
            <w:tcW w:w="112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Date</w:t>
            </w:r>
          </w:p>
        </w:tc>
        <w:tc>
          <w:tcPr>
            <w:tcW w:w="158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Price</w:t>
            </w:r>
          </w:p>
        </w:tc>
        <w:tc>
          <w:tcPr>
            <w:tcW w:w="2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0"/>
              </w:rPr>
              <w:t>Fair Value</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8"/>
              </w:rPr>
              <w:t>Term (Years)</w:t>
            </w: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January 1, 2019</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1,388,079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12.34</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5.80</w:t>
            </w:r>
          </w:p>
        </w:tc>
        <w:tc>
          <w:tcPr>
            <w:tcW w:w="15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4.9</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6.26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2.57</w:t>
            </w: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334,134</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(468,219)</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10.66</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4.81</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2019</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1,253,994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11.34</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5.31</w:t>
            </w:r>
          </w:p>
        </w:tc>
        <w:tc>
          <w:tcPr>
            <w:tcW w:w="15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4.7</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(243,547)</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12.91</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5.91</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2020</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1,010,447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5.16</w:t>
            </w:r>
          </w:p>
        </w:tc>
        <w:tc>
          <w:tcPr>
            <w:tcW w:w="15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4.6</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(104,502)</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11.03</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4.90</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2021</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905,945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5.19</w:t>
            </w:r>
          </w:p>
        </w:tc>
        <w:tc>
          <w:tcPr>
            <w:tcW w:w="15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3.7</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Exercisable at December 31, 2021</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11.53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5.52</w:t>
            </w:r>
          </w:p>
        </w:tc>
        <w:tc>
          <w:tcPr>
            <w:tcW w:w="1580" w:type="dxa"/>
            <w:vAlign w:val="bottom"/>
            <w:vMerge w:val="restart"/>
          </w:tcPr>
          <w:p>
            <w:pPr>
              <w:jc w:val="right"/>
              <w:ind w:right="11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8"/>
                <w:szCs w:val="18"/>
                <w:color w:val="auto"/>
              </w:rPr>
              <w:t>803,511</w:t>
            </w: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83"/>
        </w:trPr>
        <w:tc>
          <w:tcPr>
            <w:tcW w:w="4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Vested and expected to vest, December 31, 2021</w:t>
            </w:r>
          </w:p>
        </w:tc>
        <w:tc>
          <w:tcPr>
            <w:tcW w:w="9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905,945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10.96</w:t>
            </w:r>
          </w:p>
        </w:tc>
        <w:tc>
          <w:tcPr>
            <w:tcW w:w="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5.19</w:t>
            </w:r>
          </w:p>
        </w:tc>
        <w:tc>
          <w:tcPr>
            <w:tcW w:w="1580" w:type="dxa"/>
            <w:vAlign w:val="bottom"/>
            <w:tcBorders>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3.7</w:t>
            </w: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aggregate intrinsic value is the difference between the exercise price and the closing price of the Company’s stock on December 31. No stock options were exercised during fiscal year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as of December 31, 2021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9"/>
              </w:rPr>
              <w:t>Range of Exercise Price</w:t>
            </w: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3"/>
          </w:tcPr>
          <w:p>
            <w:pPr>
              <w:jc w:val="right"/>
              <w:ind w:right="1131"/>
              <w:spacing w:after="0"/>
              <w:rPr>
                <w:sz w:val="20"/>
                <w:szCs w:val="20"/>
                <w:color w:val="auto"/>
              </w:rPr>
            </w:pPr>
            <w:r>
              <w:rPr>
                <w:rFonts w:ascii="Arial" w:cs="Arial" w:eastAsia="Arial" w:hAnsi="Arial"/>
                <w:sz w:val="18"/>
                <w:szCs w:val="18"/>
                <w:color w:val="auto"/>
              </w:rPr>
              <w:t>Weighted Average</w:t>
            </w:r>
          </w:p>
        </w:tc>
      </w:tr>
      <w:tr>
        <w:trPr>
          <w:trHeight w:val="155"/>
        </w:trPr>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jc w:val="right"/>
              <w:ind w:right="191"/>
              <w:spacing w:after="0" w:line="154" w:lineRule="exact"/>
              <w:rPr>
                <w:sz w:val="20"/>
                <w:szCs w:val="20"/>
                <w:color w:val="auto"/>
              </w:rPr>
            </w:pPr>
            <w:r>
              <w:rPr>
                <w:rFonts w:ascii="Arial" w:cs="Arial" w:eastAsia="Arial" w:hAnsi="Arial"/>
                <w:sz w:val="17"/>
                <w:szCs w:val="17"/>
                <w:color w:val="auto"/>
              </w:rPr>
              <w:t>Remaining Contractual</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2220" w:type="dxa"/>
            <w:vAlign w:val="bottom"/>
          </w:tcPr>
          <w:p>
            <w:pPr>
              <w:jc w:val="right"/>
              <w:ind w:right="651"/>
              <w:spacing w:after="0"/>
              <w:rPr>
                <w:sz w:val="20"/>
                <w:szCs w:val="20"/>
                <w:color w:val="auto"/>
              </w:rPr>
            </w:pPr>
            <w:r>
              <w:rPr>
                <w:rFonts w:ascii="Arial" w:cs="Arial" w:eastAsia="Arial" w:hAnsi="Arial"/>
                <w:sz w:val="18"/>
                <w:szCs w:val="18"/>
                <w:color w:val="auto"/>
              </w:rPr>
              <w:t>Life-Years</w:t>
            </w:r>
          </w:p>
        </w:tc>
      </w:tr>
      <w:tr>
        <w:trPr>
          <w:trHeight w:val="183"/>
        </w:trPr>
        <w:tc>
          <w:tcPr>
            <w:tcW w:w="8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$5.00</w:t>
            </w:r>
          </w:p>
        </w:tc>
        <w:tc>
          <w:tcPr>
            <w:tcW w:w="44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to</w:t>
            </w:r>
          </w:p>
        </w:tc>
        <w:tc>
          <w:tcPr>
            <w:tcW w:w="860" w:type="dxa"/>
            <w:vAlign w:val="bottom"/>
            <w:tcBorders>
              <w:top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$10.00</w:t>
            </w:r>
          </w:p>
        </w:tc>
        <w:tc>
          <w:tcPr>
            <w:tcW w:w="39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654,687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8.29</w:t>
            </w:r>
          </w:p>
        </w:tc>
        <w:tc>
          <w:tcPr>
            <w:tcW w:w="16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4.06</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$10.01</w:t>
            </w:r>
          </w:p>
        </w:tc>
        <w:tc>
          <w:tcPr>
            <w:tcW w:w="440" w:type="dxa"/>
            <w:vAlign w:val="bottom"/>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$15.00</w:t>
            </w:r>
          </w:p>
        </w:tc>
        <w:tc>
          <w:tcPr>
            <w:tcW w:w="5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76,758</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13.28</w:t>
            </w:r>
          </w:p>
        </w:tc>
        <w:tc>
          <w:tcPr>
            <w:tcW w:w="160" w:type="dxa"/>
            <w:vAlign w:val="bottom"/>
          </w:tcPr>
          <w:p>
            <w:pPr>
              <w:spacing w:after="0"/>
              <w:rPr>
                <w:sz w:val="16"/>
                <w:szCs w:val="16"/>
                <w:color w:val="auto"/>
              </w:rPr>
            </w:pPr>
          </w:p>
        </w:tc>
        <w:tc>
          <w:tcPr>
            <w:tcW w:w="2220" w:type="dxa"/>
            <w:vAlign w:val="bottom"/>
          </w:tcPr>
          <w:p>
            <w:pPr>
              <w:jc w:val="right"/>
              <w:spacing w:after="0" w:line="189" w:lineRule="exact"/>
              <w:rPr>
                <w:sz w:val="20"/>
                <w:szCs w:val="20"/>
                <w:color w:val="auto"/>
              </w:rPr>
            </w:pPr>
            <w:r>
              <w:rPr>
                <w:rFonts w:ascii="Arial" w:cs="Arial" w:eastAsia="Arial" w:hAnsi="Arial"/>
                <w:sz w:val="18"/>
                <w:szCs w:val="18"/>
                <w:color w:val="auto"/>
              </w:rPr>
              <w:t>3.77</w:t>
            </w:r>
          </w:p>
        </w:tc>
      </w:tr>
      <w:tr>
        <w:trPr>
          <w:trHeight w:val="189"/>
        </w:trPr>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$15.01</w:t>
            </w:r>
          </w:p>
        </w:tc>
        <w:tc>
          <w:tcPr>
            <w:tcW w:w="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$20.00</w:t>
            </w:r>
          </w:p>
        </w:tc>
        <w:tc>
          <w:tcPr>
            <w:tcW w:w="5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115,500</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17.82</w:t>
            </w:r>
          </w:p>
        </w:tc>
        <w:tc>
          <w:tcPr>
            <w:tcW w:w="160" w:type="dxa"/>
            <w:vAlign w:val="bottom"/>
            <w:shd w:val="clear" w:color="auto" w:fill="CCEEFF"/>
          </w:tcPr>
          <w:p>
            <w:pPr>
              <w:spacing w:after="0"/>
              <w:rPr>
                <w:sz w:val="16"/>
                <w:szCs w:val="16"/>
                <w:color w:val="auto"/>
              </w:rPr>
            </w:pP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2.86</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$20.01</w:t>
            </w:r>
          </w:p>
        </w:tc>
        <w:tc>
          <w:tcPr>
            <w:tcW w:w="440" w:type="dxa"/>
            <w:vAlign w:val="bottom"/>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$25.00</w:t>
            </w:r>
          </w:p>
        </w:tc>
        <w:tc>
          <w:tcPr>
            <w:tcW w:w="5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51,000</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23.17</w:t>
            </w:r>
          </w:p>
        </w:tc>
        <w:tc>
          <w:tcPr>
            <w:tcW w:w="160" w:type="dxa"/>
            <w:vAlign w:val="bottom"/>
          </w:tcPr>
          <w:p>
            <w:pPr>
              <w:spacing w:after="0"/>
              <w:rPr>
                <w:sz w:val="16"/>
                <w:szCs w:val="16"/>
                <w:color w:val="auto"/>
              </w:rPr>
            </w:pPr>
          </w:p>
        </w:tc>
        <w:tc>
          <w:tcPr>
            <w:tcW w:w="2220" w:type="dxa"/>
            <w:vAlign w:val="bottom"/>
          </w:tcPr>
          <w:p>
            <w:pPr>
              <w:jc w:val="right"/>
              <w:spacing w:after="0" w:line="189" w:lineRule="exact"/>
              <w:rPr>
                <w:sz w:val="20"/>
                <w:szCs w:val="20"/>
                <w:color w:val="auto"/>
              </w:rPr>
            </w:pPr>
            <w:r>
              <w:rPr>
                <w:rFonts w:ascii="Arial" w:cs="Arial" w:eastAsia="Arial" w:hAnsi="Arial"/>
                <w:sz w:val="18"/>
                <w:szCs w:val="18"/>
                <w:color w:val="auto"/>
              </w:rPr>
              <w:t>1.76</w:t>
            </w:r>
          </w:p>
        </w:tc>
      </w:tr>
      <w:tr>
        <w:trPr>
          <w:trHeight w:val="189"/>
        </w:trPr>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$25.01</w:t>
            </w:r>
          </w:p>
        </w:tc>
        <w:tc>
          <w:tcPr>
            <w:tcW w:w="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$30.00</w:t>
            </w:r>
          </w:p>
        </w:tc>
        <w:tc>
          <w:tcPr>
            <w:tcW w:w="5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8,000</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29.44</w:t>
            </w:r>
          </w:p>
        </w:tc>
        <w:tc>
          <w:tcPr>
            <w:tcW w:w="160" w:type="dxa"/>
            <w:vAlign w:val="bottom"/>
            <w:shd w:val="clear" w:color="auto" w:fill="CCEEFF"/>
          </w:tcPr>
          <w:p>
            <w:pPr>
              <w:spacing w:after="0"/>
              <w:rPr>
                <w:sz w:val="16"/>
                <w:szCs w:val="16"/>
                <w:color w:val="auto"/>
              </w:rPr>
            </w:pP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1.56</w:t>
            </w:r>
          </w:p>
        </w:tc>
      </w:tr>
      <w:tr>
        <w:trPr>
          <w:trHeight w:val="230"/>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90"/>
        </w:trPr>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awards restricted common shares to selected employees and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or other performance targets. The restricted common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restricted stock activity during the years ended December 31, 2021, 2020 and 2019:</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January 1, 2019</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762,517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line="20" w:lineRule="exact"/>
              <w:rPr>
                <w:sz w:val="1"/>
                <w:szCs w:val="1"/>
                <w:color w:val="auto"/>
              </w:rPr>
            </w:pPr>
          </w:p>
        </w:tc>
      </w:tr>
      <w:tr>
        <w:trPr>
          <w:trHeight w:val="169"/>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781,697</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(170,677)</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(375,879)</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2019</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997,658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69"/>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1,090,759</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(329,326)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(116,594)</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2020</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1,642,497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line="20" w:lineRule="exact"/>
              <w:rPr>
                <w:sz w:val="1"/>
                <w:szCs w:val="1"/>
                <w:color w:val="auto"/>
              </w:rPr>
            </w:pPr>
          </w:p>
        </w:tc>
      </w:tr>
      <w:tr>
        <w:trPr>
          <w:trHeight w:val="169"/>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421,547</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(742,392)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(24,018)</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82"/>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2021</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1,297,634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The total expense associated with restricted stock for the years ended December 31, 2021, 2020, and 2019 was $2.0 million, $1.8 million, and $1.9 million, respectively.</w:t>
      </w:r>
    </w:p>
    <w:p>
      <w:pPr>
        <w:spacing w:after="0" w:line="14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During 2021, the Company granted 234,483 restricted share awards that are subject to forfeiture on the anniversary of the grant date if the Company fails to attain certain Adjusted EBITDA margin performance targets in 2021, 2022 and 2023. The Company did not achieve the Adjusted EBITDA margin target in 2021 and does not expect to achieve the Adjusted EBITDA margin targets in 2022 and 2023.</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As of December 31, 2021, there was $2.1 million of total unrecognized expense related to unvested restricted stock awards, which are expected to vest, and will be expensed over a weighted average period of 1.6 years. The fair value of restricted stock granted in fiscal years 2021 and 2020 was $3.0 million and $1.2 million, respectively. The total fair value of restricted stock that vested in fiscal years 2021 and 2020 was $5.4 million and $0.6 million, respectively. Using the closing stock price of $7.13 on December 31, 2021, the 1,063,151 restricted shares outstanding and expected to vest as of December 31, 2021 had an intrinsic value of $7.6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consisted of the following: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0"/>
              <w:spacing w:after="0" w:line="182" w:lineRule="exact"/>
              <w:rPr>
                <w:sz w:val="20"/>
                <w:szCs w:val="20"/>
                <w:color w:val="auto"/>
              </w:rPr>
            </w:pPr>
            <w:r>
              <w:rPr>
                <w:rFonts w:ascii="Arial" w:cs="Arial" w:eastAsia="Arial" w:hAnsi="Arial"/>
                <w:sz w:val="18"/>
                <w:szCs w:val="18"/>
                <w:color w:val="auto"/>
                <w:w w:val="89"/>
              </w:rPr>
              <w:t>2020</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4"/>
        </w:trPr>
        <w:tc>
          <w:tcPr>
            <w:tcW w:w="49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96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Federal</w:t>
            </w:r>
          </w:p>
        </w:tc>
        <w:tc>
          <w:tcPr>
            <w:tcW w:w="21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(5,397)</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Arial" w:cs="Arial" w:eastAsia="Arial" w:hAnsi="Arial"/>
                <w:sz w:val="18"/>
                <w:szCs w:val="18"/>
                <w:color w:val="auto"/>
              </w:rPr>
              <w:t>State</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(190)</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International</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4960" w:type="dxa"/>
            <w:vAlign w:val="bottom"/>
          </w:tcPr>
          <w:p>
            <w:pPr>
              <w:spacing w:after="0" w:line="182" w:lineRule="exact"/>
              <w:rPr>
                <w:sz w:val="20"/>
                <w:szCs w:val="20"/>
                <w:color w:val="auto"/>
              </w:rPr>
            </w:pPr>
            <w:r>
              <w:rPr>
                <w:rFonts w:ascii="Arial" w:cs="Arial" w:eastAsia="Arial" w:hAnsi="Arial"/>
                <w:sz w:val="18"/>
                <w:szCs w:val="18"/>
                <w:color w:val="auto"/>
              </w:rPr>
              <w:t>Total Current</w:t>
            </w:r>
          </w:p>
        </w:tc>
        <w:tc>
          <w:tcPr>
            <w:tcW w:w="18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(6,791)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3,411</w:t>
            </w: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Arial" w:cs="Arial" w:eastAsia="Arial" w:hAnsi="Arial"/>
                <w:sz w:val="18"/>
                <w:szCs w:val="18"/>
                <w:color w:val="auto"/>
              </w:rPr>
              <w:t>Federal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1,698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(1,522)</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(377)</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89"/>
        </w:trPr>
        <w:tc>
          <w:tcPr>
            <w:tcW w:w="49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Deferred</w:t>
            </w:r>
          </w:p>
        </w:tc>
        <w:tc>
          <w:tcPr>
            <w:tcW w:w="18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(1,882)</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183"/>
        </w:trPr>
        <w:tc>
          <w:tcPr>
            <w:tcW w:w="4960" w:type="dxa"/>
            <w:vAlign w:val="bottom"/>
          </w:tcPr>
          <w:p>
            <w:pPr>
              <w:spacing w:after="0" w:line="182" w:lineRule="exact"/>
              <w:rPr>
                <w:sz w:val="20"/>
                <w:szCs w:val="20"/>
                <w:color w:val="auto"/>
              </w:rPr>
            </w:pPr>
            <w:r>
              <w:rPr>
                <w:rFonts w:ascii="Arial" w:cs="Arial" w:eastAsia="Arial" w:hAnsi="Arial"/>
                <w:sz w:val="18"/>
                <w:szCs w:val="18"/>
                <w:color w:val="auto"/>
              </w:rPr>
              <w:t>Total (Provision) Benefit for Income Taxes</w:t>
            </w:r>
          </w:p>
        </w:tc>
        <w:tc>
          <w:tcPr>
            <w:tcW w:w="18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1,529</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Company's income is from domestic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March 27, 2020, the CARES Act was signed into law. The CARES Act includes a wide variety of tax and non-tax provisions aimed to provide relief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individuals and businesses adversely affected by the COVID-19 pandemic, including an array of tax benefits and incentives for businesses, including the</w:t>
      </w:r>
    </w:p>
    <w:p>
      <w:pPr>
        <w:spacing w:after="0" w:line="238" w:lineRule="auto"/>
        <w:rPr>
          <w:sz w:val="20"/>
          <w:szCs w:val="20"/>
          <w:color w:val="auto"/>
        </w:rPr>
      </w:pPr>
      <w:r>
        <w:rPr>
          <w:rFonts w:ascii="Arial" w:cs="Arial" w:eastAsia="Arial" w:hAnsi="Arial"/>
          <w:sz w:val="17"/>
          <w:szCs w:val="17"/>
          <w:color w:val="auto"/>
        </w:rPr>
        <w:t>deferral of certain employer payroll taxes. Additionally, the CARES Act modified the rules associated with net operating losses and made technical</w:t>
      </w:r>
    </w:p>
    <w:p>
      <w:pPr>
        <w:spacing w:after="0" w:line="232" w:lineRule="auto"/>
        <w:rPr>
          <w:sz w:val="20"/>
          <w:szCs w:val="20"/>
          <w:color w:val="auto"/>
        </w:rPr>
      </w:pPr>
      <w:r>
        <w:rPr>
          <w:rFonts w:ascii="Arial" w:cs="Arial" w:eastAsia="Arial" w:hAnsi="Arial"/>
          <w:sz w:val="17"/>
          <w:szCs w:val="17"/>
          <w:color w:val="auto"/>
        </w:rPr>
        <w:t>corrections to tax depreciation methods for qualified improvement property. As a result of the CARES Act tax law changes, for the year ended</w:t>
      </w:r>
    </w:p>
    <w:p>
      <w:pPr>
        <w:spacing w:after="0"/>
        <w:rPr>
          <w:sz w:val="20"/>
          <w:szCs w:val="20"/>
          <w:color w:val="auto"/>
        </w:rPr>
      </w:pPr>
      <w:r>
        <w:rPr>
          <w:rFonts w:ascii="Arial" w:cs="Arial" w:eastAsia="Arial" w:hAnsi="Arial"/>
          <w:sz w:val="16"/>
          <w:szCs w:val="16"/>
          <w:color w:val="auto"/>
        </w:rPr>
        <w:t>December 31, 2020, we recognized a $3.4 million tax benefit related to our ability to carryback net operating losses to prior years that had higher tax rates.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carryback claims of the 2019 U.S. federal income tax return are currently filed with the IRS, and the anticipated refund is $8.9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effective income tax rate reconciliation for the years ended December 31, 2021,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8"/>
                <w:szCs w:val="18"/>
                <w:color w:val="auto"/>
              </w:rPr>
            </w:pPr>
          </w:p>
        </w:tc>
      </w:tr>
      <w:tr>
        <w:trPr>
          <w:trHeight w:val="183"/>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State income taxes, net of the federal tax benefit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6.1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Remeasurement of deferred tax assets</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Tax credits</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Uncollectible state receivables</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(5.6)</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Impact of CARES Act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(76.1)</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0.4</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tcPr>
          <w:p>
            <w:pPr>
              <w:spacing w:after="0"/>
              <w:rPr>
                <w:sz w:val="16"/>
                <w:szCs w:val="16"/>
                <w:color w:val="auto"/>
              </w:rPr>
            </w:pPr>
          </w:p>
        </w:tc>
      </w:tr>
      <w:tr>
        <w:trPr>
          <w:trHeight w:val="183"/>
        </w:trPr>
        <w:tc>
          <w:tcPr>
            <w:tcW w:w="68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Effective tax rate</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26.0</w:t>
            </w:r>
          </w:p>
        </w:tc>
        <w:tc>
          <w:tcPr>
            <w:tcW w:w="30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w:t>
            </w:r>
          </w:p>
        </w:tc>
        <w:tc>
          <w:tcPr>
            <w:tcW w:w="3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Company’s effective tax rate was 26.0%, (34.0)%, and 13.1% during the years ended December 31, 2021, 2020 and 2019, respectively. The increase in the effective tax rate in 2021 when compared to 2020 as well as the decrease in the effective tax rate in 2020 when compared to 2019 was due to the tax benefit recognized during 2020 following the enactment of the CARES Act, which gave the Company the ability to carry back federal net operating losses to years with a federal statutory tax rate of 35%.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Components of net deferred income taxes were as follows at December 31:</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4"/>
        </w:trPr>
        <w:tc>
          <w:tcPr>
            <w:tcW w:w="836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Section 743 carryforward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9,509</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36,004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operating loss &amp; credit carryforwards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3,604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deferred income tax assets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51,761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56,421</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9,168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34,104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36,516</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1,536</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deferred income tax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44,808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51,080</w:t>
            </w:r>
          </w:p>
        </w:tc>
        <w:tc>
          <w:tcPr>
            <w:tcW w:w="0" w:type="dxa"/>
            <w:vAlign w:val="bottom"/>
          </w:tcPr>
          <w:p>
            <w:pPr>
              <w:spacing w:after="0"/>
              <w:rPr>
                <w:sz w:val="1"/>
                <w:szCs w:val="1"/>
                <w:color w:val="auto"/>
              </w:rPr>
            </w:pPr>
          </w:p>
        </w:tc>
      </w:tr>
      <w:tr>
        <w:trPr>
          <w:trHeight w:val="183"/>
        </w:trPr>
        <w:tc>
          <w:tcPr>
            <w:tcW w:w="8360" w:type="dxa"/>
            <w:vAlign w:val="bottom"/>
          </w:tcPr>
          <w:p>
            <w:pPr>
              <w:ind w:left="220"/>
              <w:spacing w:after="0" w:line="182" w:lineRule="exact"/>
              <w:rPr>
                <w:sz w:val="20"/>
                <w:szCs w:val="20"/>
                <w:color w:val="auto"/>
              </w:rPr>
            </w:pPr>
            <w:r>
              <w:rPr>
                <w:rFonts w:ascii="Arial" w:cs="Arial" w:eastAsia="Arial" w:hAnsi="Arial"/>
                <w:sz w:val="18"/>
                <w:szCs w:val="18"/>
                <w:color w:val="auto"/>
              </w:rPr>
              <w:t>Net deferred income tax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6,953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has recognized the tax consequences of all foreign unremitted earnings and management has no specific plans to indefinitely reinvest the unremitted earnings of its foreign subsidiary as of December 31, 2021. As of December 31, 2021, the total undistributed earnings of the Company's non-U.S. subsidiary was approximately $0.5 million. The Company has provided no deferred taxes on withholding taxes, state taxes, and foreign currency gains and losses due on the repatriation of those earnings.</w:t>
      </w:r>
    </w:p>
    <w:p>
      <w:pPr>
        <w:spacing w:after="0" w:line="148"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Company records interest and penalties through income tax relating to uncertain tax positions. As of December 31, 2021, 2020 and 2019, the Company has not recognized any liabilities for uncertain tax positions nor has the Company accrued interest and penalties related to uncertain tax positions.</w:t>
      </w:r>
    </w:p>
    <w:p>
      <w:pPr>
        <w:spacing w:after="0" w:line="9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Company's federal income tax returns for fiscal years 2018 through 2020 tax years are still subject to examination in the U.S. Various state and foreign jurisdiction tax years remain open to examination. The Company believes that any potential assessment would be immaterial to its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December 31, 2021, the balance of the contribution liability for this arrangement was $0.9 million, of which $0.5 million was classified as other accrued liabilities on the consolidated balance sheet and $0.4 million was classified as other long-term liabilities on the consolidated balance sheet.</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December 31, 2021, the remaining balance in the Investment Fund available for reimbursement to the Company was $0.7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Retirement Savings Plan</w:t>
      </w:r>
    </w:p>
    <w:p>
      <w:pPr>
        <w:spacing w:after="0" w:line="175"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The Company has a 401(k) profit sharing plan covering substantially all full-time employees. Employee contributions are limited to the maximum amount allowable by the Internal Revenue Code. The Company matched $1.8 million, $1.5 million, and $1.6 million of employee contributions in 2021, 2020, and 2019, respectively, and made no discretionary contributions for any of the years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Financial Data (Unaudited)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Quarterly results of operations for the years ended December 31, 2021 and 2020 are summarized below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First Quarter</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Second Quarter</w:t>
            </w:r>
          </w:p>
        </w:tc>
        <w:tc>
          <w:tcPr>
            <w:tcW w:w="1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Third Quarter</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Fourth Quarter</w:t>
            </w:r>
          </w:p>
        </w:tc>
      </w:tr>
      <w:tr>
        <w:trPr>
          <w:trHeight w:val="372"/>
        </w:trPr>
        <w:tc>
          <w:tcPr>
            <w:tcW w:w="454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92,084</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96,193</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92,240</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90,183</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64,186</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66,425</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62,949</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59,570</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6,908</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7,614</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3,158</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2,930</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5,297</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5,494</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2,175</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1,808</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0.11</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0.11</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0.04</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0.10</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0.11</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0.04</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r>
      <w:tr>
        <w:trPr>
          <w:trHeight w:val="189"/>
        </w:trPr>
        <w:tc>
          <w:tcPr>
            <w:tcW w:w="4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94,279</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67,730</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81,492</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81,556</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64,955</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45,414</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55,304</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55,852</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2,594</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(1,794)</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2,901</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2,675</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3,502</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(760)</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1,914</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1,375</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0.07</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(0.02)</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0.04</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0.07</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(0.02)</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5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566"/>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63</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7"/>
        </w:trPr>
        <w:tc>
          <w:tcPr>
            <w:tcW w:w="4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380" w:type="dxa"/>
            <w:vAlign w:val="bottom"/>
            <w:gridSpan w:val="7"/>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Table of Contents</w:t>
              </w:r>
            </w:hyperlink>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1"/>
        </w:trPr>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80" w:type="dxa"/>
            <w:vAlign w:val="bottom"/>
            <w:gridSpan w:val="31"/>
          </w:tcPr>
          <w:p>
            <w:pPr>
              <w:jc w:val="center"/>
              <w:ind w:right="4180"/>
              <w:spacing w:after="0"/>
              <w:rPr>
                <w:sz w:val="20"/>
                <w:szCs w:val="20"/>
                <w:color w:val="auto"/>
              </w:rPr>
            </w:pPr>
            <w:r>
              <w:rPr>
                <w:rFonts w:ascii="Arial" w:cs="Arial" w:eastAsia="Arial" w:hAnsi="Arial"/>
                <w:sz w:val="18"/>
                <w:szCs w:val="18"/>
                <w:b w:val="1"/>
                <w:bCs w:val="1"/>
                <w:color w:val="auto"/>
              </w:rPr>
              <w:t>TILE SHOP HOLDINGS, INC.</w:t>
            </w: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80" w:type="dxa"/>
            <w:vAlign w:val="bottom"/>
            <w:gridSpan w:val="31"/>
          </w:tcPr>
          <w:p>
            <w:pPr>
              <w:jc w:val="center"/>
              <w:ind w:right="41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8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36"/>
          </w:tcPr>
          <w:p>
            <w:pPr>
              <w:spacing w:after="0"/>
              <w:rPr>
                <w:sz w:val="20"/>
                <w:szCs w:val="20"/>
                <w:color w:val="auto"/>
              </w:rPr>
            </w:pPr>
            <w:r>
              <w:rPr>
                <w:rFonts w:ascii="Arial" w:cs="Arial" w:eastAsia="Arial" w:hAnsi="Arial"/>
                <w:sz w:val="18"/>
                <w:szCs w:val="18"/>
                <w:b w:val="1"/>
                <w:bCs w:val="1"/>
                <w:color w:val="auto"/>
              </w:rPr>
              <w:t>Description</w:t>
            </w:r>
          </w:p>
        </w:tc>
      </w:tr>
      <w:tr>
        <w:trPr>
          <w:trHeight w:val="162"/>
        </w:trPr>
        <w:tc>
          <w:tcPr>
            <w:tcW w:w="800" w:type="dxa"/>
            <w:vAlign w:val="bottom"/>
            <w:gridSpan w:val="3"/>
            <w:shd w:val="clear" w:color="auto" w:fill="CCEEFF"/>
          </w:tcPr>
          <w:p>
            <w:pPr>
              <w:jc w:val="center"/>
              <w:ind w:left="490"/>
              <w:spacing w:after="0" w:line="162"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Contribution and Merger Agreement, dated June 27, 2012, by and among JWC Acquisition Corp., The Tile Shop, LLC, members of The</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EE"/>
            </w:tcBorders>
            <w:gridSpan w:val="35"/>
            <w:shd w:val="clear" w:color="auto" w:fill="CCEEFF"/>
          </w:tcPr>
          <w:p>
            <w:pPr>
              <w:spacing w:after="0" w:line="169"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Tile Shop, LLC, Nabron International, Inc., Tile Shop Holdings, Inc., and Tile Shop Merger Sub, Inc. – incorporated by reference to</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580" w:type="dxa"/>
            <w:vAlign w:val="bottom"/>
            <w:tcBorders>
              <w:top w:val="single" w:sz="8" w:color="0000EE"/>
            </w:tcBorders>
            <w:gridSpan w:val="23"/>
            <w:shd w:val="clear" w:color="auto" w:fill="CCEEFF"/>
          </w:tcPr>
          <w:p>
            <w:pPr>
              <w:spacing w:after="0" w:line="169" w:lineRule="exact"/>
              <w:rPr>
                <w:rFonts w:ascii="Arial" w:cs="Arial" w:eastAsia="Arial" w:hAnsi="Arial"/>
                <w:sz w:val="18"/>
                <w:szCs w:val="18"/>
                <w:color w:val="0000EE"/>
              </w:rPr>
            </w:pPr>
            <w:hyperlink r:id="rId89">
              <w:r>
                <w:rPr>
                  <w:rFonts w:ascii="Arial" w:cs="Arial" w:eastAsia="Arial" w:hAnsi="Arial"/>
                  <w:sz w:val="18"/>
                  <w:szCs w:val="18"/>
                  <w:color w:val="0000EE"/>
                </w:rPr>
                <w:t>Exhibit 2.1 to the Current Report on Form 8-K filed by JWC Acquisition Corp. on June 27, 2012.</w:t>
              </w:r>
            </w:hyperlink>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3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800" w:type="dxa"/>
            <w:vAlign w:val="bottom"/>
            <w:gridSpan w:val="3"/>
          </w:tcPr>
          <w:p>
            <w:pPr>
              <w:jc w:val="center"/>
              <w:ind w:left="490"/>
              <w:spacing w:after="0" w:line="162"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Certificate of Incorporation of Tile Shop Holdings, Inc. – incorporated by reference to Exhibit 3.1 to the Registrant’s Form S-4 (Reg.</w:t>
              </w:r>
            </w:hyperlink>
          </w:p>
        </w:tc>
      </w:tr>
      <w:tr>
        <w:trPr>
          <w:trHeight w:val="176"/>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No. 333-182482) dated July 2, 2012.</w:t>
              </w:r>
            </w:hyperlink>
          </w:p>
        </w:tc>
        <w:tc>
          <w:tcPr>
            <w:tcW w:w="6960" w:type="dxa"/>
            <w:vAlign w:val="bottom"/>
            <w:tcBorders>
              <w:top w:val="single" w:sz="8" w:color="0000EE"/>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800" w:type="dxa"/>
            <w:vAlign w:val="bottom"/>
            <w:gridSpan w:val="3"/>
            <w:shd w:val="clear" w:color="auto" w:fill="CCEEFF"/>
          </w:tcPr>
          <w:p>
            <w:pPr>
              <w:jc w:val="center"/>
              <w:ind w:left="490"/>
              <w:spacing w:after="0" w:line="162" w:lineRule="exact"/>
              <w:rPr>
                <w:rFonts w:ascii="Arial" w:cs="Arial" w:eastAsia="Arial" w:hAnsi="Arial"/>
                <w:sz w:val="18"/>
                <w:szCs w:val="18"/>
                <w:color w:val="0000FF"/>
                <w:w w:val="87"/>
              </w:rPr>
            </w:pPr>
            <w:hyperlink r:id="rId9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Certificate of Amendment to the Certificate of Incorporation of Tile Shop Holdings, Inc. – incorporated by reference to Exhibit 3.2 to</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60" w:type="dxa"/>
            <w:vAlign w:val="bottom"/>
            <w:tcBorders>
              <w:top w:val="single" w:sz="8" w:color="0000FF"/>
            </w:tcBorders>
            <w:gridSpan w:val="25"/>
            <w:shd w:val="clear" w:color="auto" w:fill="CCEEFF"/>
          </w:tcPr>
          <w:p>
            <w:pPr>
              <w:spacing w:after="0" w:line="169" w:lineRule="exact"/>
              <w:rPr>
                <w:rFonts w:ascii="Arial" w:cs="Arial" w:eastAsia="Arial" w:hAnsi="Arial"/>
                <w:sz w:val="18"/>
                <w:szCs w:val="18"/>
                <w:color w:val="0000FF"/>
              </w:rPr>
            </w:pPr>
            <w:hyperlink r:id="rId91">
              <w:r>
                <w:rPr>
                  <w:rFonts w:ascii="Arial" w:cs="Arial" w:eastAsia="Arial" w:hAnsi="Arial"/>
                  <w:sz w:val="18"/>
                  <w:szCs w:val="18"/>
                  <w:color w:val="0000FF"/>
                </w:rPr>
                <w:t>the Registrant’s Current Report on Form 8-K filed July 21, 2021.</w:t>
              </w:r>
            </w:hyperlink>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3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800" w:type="dxa"/>
            <w:vAlign w:val="bottom"/>
            <w:gridSpan w:val="3"/>
          </w:tcPr>
          <w:p>
            <w:pPr>
              <w:jc w:val="center"/>
              <w:ind w:left="490"/>
              <w:spacing w:after="0" w:line="162"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w w:val="96"/>
              </w:rPr>
            </w:pPr>
            <w:hyperlink r:id="rId92">
              <w:r>
                <w:rPr>
                  <w:rFonts w:ascii="Arial" w:cs="Arial" w:eastAsia="Arial" w:hAnsi="Arial"/>
                  <w:sz w:val="18"/>
                  <w:szCs w:val="18"/>
                  <w:color w:val="0000EE"/>
                  <w:w w:val="96"/>
                </w:rPr>
                <w:t>Bylaws of Tile Shop Holdings, Inc. – incorporated by reference to Exhibit 3.2 to the Registrant’s Form S-4 (Reg. No. 333-182482)</w:t>
              </w:r>
            </w:hyperlink>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60" w:type="dxa"/>
            <w:vAlign w:val="bottom"/>
            <w:tcBorders>
              <w:top w:val="single" w:sz="8" w:color="0000EE"/>
            </w:tcBorders>
            <w:gridSpan w:val="18"/>
          </w:tcPr>
          <w:p>
            <w:pPr>
              <w:spacing w:after="0" w:line="169" w:lineRule="exact"/>
              <w:rPr>
                <w:rFonts w:ascii="Arial" w:cs="Arial" w:eastAsia="Arial" w:hAnsi="Arial"/>
                <w:sz w:val="18"/>
                <w:szCs w:val="18"/>
                <w:color w:val="0000EE"/>
              </w:rPr>
            </w:pPr>
            <w:hyperlink r:id="rId92">
              <w:r>
                <w:rPr>
                  <w:rFonts w:ascii="Arial" w:cs="Arial" w:eastAsia="Arial" w:hAnsi="Arial"/>
                  <w:sz w:val="18"/>
                  <w:szCs w:val="18"/>
                  <w:color w:val="0000EE"/>
                </w:rPr>
                <w:t>dated July 2, 2012.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800" w:type="dxa"/>
            <w:vAlign w:val="bottom"/>
            <w:gridSpan w:val="3"/>
            <w:shd w:val="clear" w:color="auto" w:fill="CCEEFF"/>
          </w:tcPr>
          <w:p>
            <w:pPr>
              <w:jc w:val="center"/>
              <w:ind w:left="490"/>
              <w:spacing w:after="0" w:line="162" w:lineRule="exact"/>
              <w:rPr>
                <w:rFonts w:ascii="Arial" w:cs="Arial" w:eastAsia="Arial" w:hAnsi="Arial"/>
                <w:sz w:val="18"/>
                <w:szCs w:val="18"/>
                <w:color w:val="0000EE"/>
                <w:w w:val="87"/>
              </w:rPr>
            </w:pPr>
            <w:hyperlink r:id="rId9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Specimen Common Stock Certificate – incorporated by reference to Exhibit 4.1 of Amendment No. 1 to the Registrant’s Form S-4 (Reg.</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EE"/>
            </w:tcBorders>
            <w:gridSpan w:val="35"/>
            <w:shd w:val="clear" w:color="auto" w:fill="CCEEFF"/>
          </w:tcPr>
          <w:p>
            <w:pPr>
              <w:spacing w:after="0" w:line="169" w:lineRule="exact"/>
              <w:rPr>
                <w:rFonts w:ascii="Arial" w:cs="Arial" w:eastAsia="Arial" w:hAnsi="Arial"/>
                <w:sz w:val="18"/>
                <w:szCs w:val="18"/>
                <w:color w:val="0000EE"/>
              </w:rPr>
            </w:pPr>
            <w:hyperlink r:id="rId93">
              <w:r>
                <w:rPr>
                  <w:rFonts w:ascii="Arial" w:cs="Arial" w:eastAsia="Arial" w:hAnsi="Arial"/>
                  <w:sz w:val="18"/>
                  <w:szCs w:val="18"/>
                  <w:color w:val="0000EE"/>
                </w:rPr>
                <w:t>No. 333-182482) dated July 23, 2012.</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3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800" w:type="dxa"/>
            <w:vAlign w:val="bottom"/>
            <w:gridSpan w:val="3"/>
          </w:tcPr>
          <w:p>
            <w:pPr>
              <w:jc w:val="center"/>
              <w:ind w:left="490"/>
              <w:spacing w:after="0" w:line="162" w:lineRule="exact"/>
              <w:rPr>
                <w:rFonts w:ascii="Arial" w:cs="Arial" w:eastAsia="Arial" w:hAnsi="Arial"/>
                <w:sz w:val="18"/>
                <w:szCs w:val="18"/>
                <w:color w:val="0000FF"/>
                <w:w w:val="87"/>
              </w:rPr>
            </w:pPr>
            <w:hyperlink w:anchor="page7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FF"/>
              </w:rPr>
            </w:pPr>
            <w:hyperlink w:anchor="page72">
              <w:r>
                <w:rPr>
                  <w:rFonts w:ascii="Arial" w:cs="Arial" w:eastAsia="Arial" w:hAnsi="Arial"/>
                  <w:sz w:val="18"/>
                  <w:szCs w:val="18"/>
                  <w:color w:val="0000FF"/>
                </w:rPr>
                <w:t>Description of Tile Shop Holdings, Inc.’s Registered Securities – filed herewith.</w:t>
              </w:r>
            </w:hyperlink>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20" w:type="dxa"/>
            <w:vAlign w:val="bottom"/>
            <w:gridSpan w:val="5"/>
            <w:shd w:val="clear" w:color="auto" w:fill="CCEEFF"/>
          </w:tcPr>
          <w:p>
            <w:pPr>
              <w:jc w:val="center"/>
              <w:ind w:left="270"/>
              <w:spacing w:after="0" w:line="162" w:lineRule="exact"/>
              <w:rPr>
                <w:rFonts w:ascii="Arial" w:cs="Arial" w:eastAsia="Arial" w:hAnsi="Arial"/>
                <w:sz w:val="18"/>
                <w:szCs w:val="18"/>
                <w:color w:val="0000EE"/>
                <w:w w:val="99"/>
              </w:rPr>
            </w:pPr>
            <w:hyperlink r:id="rId94">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w:t>
              </w:r>
            </w:hyperlink>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Tile Shop Holdings, Inc. 2012 Omnibus Award Plan (f/k/a 2012 Equity Award Plan) – incorporated by reference to Exhibit 10.1 to the</w:t>
              </w:r>
            </w:hyperlink>
          </w:p>
        </w:tc>
      </w:tr>
      <w:tr>
        <w:trPr>
          <w:trHeight w:val="17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left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20" w:type="dxa"/>
            <w:vAlign w:val="bottom"/>
            <w:tcBorders>
              <w:top w:val="single" w:sz="8" w:color="0000EE"/>
              <w:bottom w:val="single" w:sz="8" w:color="0000EE"/>
            </w:tcBorders>
            <w:gridSpan w:val="6"/>
            <w:shd w:val="clear" w:color="auto" w:fill="CCEEFF"/>
          </w:tcPr>
          <w:p>
            <w:pPr>
              <w:spacing w:after="0" w:line="169"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Registrant’s Current Report on Form 8-K filed July 26, 2013.</w:t>
              </w:r>
            </w:hyperlink>
          </w:p>
        </w:tc>
        <w:tc>
          <w:tcPr>
            <w:tcW w:w="5320" w:type="dxa"/>
            <w:vAlign w:val="bottom"/>
            <w:tcBorders>
              <w:top w:val="single" w:sz="8" w:color="0000EE"/>
              <w:bottom w:val="single" w:sz="8" w:color="CCEEFF"/>
            </w:tcBorders>
            <w:gridSpan w:val="21"/>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1020" w:type="dxa"/>
            <w:vAlign w:val="bottom"/>
            <w:gridSpan w:val="5"/>
          </w:tcPr>
          <w:p>
            <w:pPr>
              <w:jc w:val="center"/>
              <w:ind w:left="270"/>
              <w:spacing w:after="0" w:line="162" w:lineRule="exact"/>
              <w:rPr>
                <w:rFonts w:ascii="Arial" w:cs="Arial" w:eastAsia="Arial" w:hAnsi="Arial"/>
                <w:sz w:val="18"/>
                <w:szCs w:val="18"/>
                <w:color w:val="0000EE"/>
                <w:w w:val="99"/>
              </w:rPr>
            </w:pPr>
            <w:hyperlink r:id="rId95">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2*</w:t>
              </w:r>
            </w:hyperlink>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Amended and Restated Amendment No. 1 to the Tile Shop Holdings, Inc. 2012 Omnibus Award Plan (f/k/a 2012 Equity Award Plan) –</w:t>
              </w:r>
            </w:hyperlink>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95">
              <w:r>
                <w:rPr>
                  <w:rFonts w:ascii="Arial" w:cs="Arial" w:eastAsia="Arial" w:hAnsi="Arial"/>
                  <w:sz w:val="18"/>
                  <w:szCs w:val="18"/>
                  <w:color w:val="0000FF"/>
                </w:rPr>
                <w:t>incorporated by reference to Exhibit 10.2 to the Registrant’s Current Report on Form 8-K filed July 26,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20" w:type="dxa"/>
            <w:vAlign w:val="bottom"/>
            <w:gridSpan w:val="5"/>
            <w:shd w:val="clear" w:color="auto" w:fill="CCEEFF"/>
          </w:tcPr>
          <w:p>
            <w:pPr>
              <w:jc w:val="center"/>
              <w:ind w:left="270"/>
              <w:spacing w:after="0" w:line="16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w:t>
              </w:r>
            </w:hyperlink>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Form of Indemnification Agreement by and between Tile Shop Holdings, Inc. and each of its directors and executive officers –</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80" w:type="dxa"/>
            <w:vAlign w:val="bottom"/>
            <w:tcBorders>
              <w:top w:val="single" w:sz="8" w:color="0000FF"/>
            </w:tcBorders>
            <w:gridSpan w:val="17"/>
            <w:shd w:val="clear" w:color="auto" w:fill="CCEEFF"/>
          </w:tcPr>
          <w:p>
            <w:pPr>
              <w:spacing w:after="0" w:line="169"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incorporated by reference to Exhibit 10.13 of Amendment No. 1 to the Registrant’s Form S-4 (Reg. No. 333-182482) dated July</w:t>
              </w:r>
            </w:hyperlink>
          </w:p>
        </w:tc>
        <w:tc>
          <w:tcPr>
            <w:tcW w:w="340" w:type="dxa"/>
            <w:vAlign w:val="bottom"/>
            <w:tcBorders>
              <w:top w:val="single" w:sz="8" w:color="CCEEFF"/>
            </w:tcBorders>
            <w:gridSpan w:val="3"/>
            <w:shd w:val="clear" w:color="auto" w:fill="CCEEFF"/>
          </w:tcPr>
          <w:p>
            <w:pPr>
              <w:jc w:val="right"/>
              <w:ind w:right="20"/>
              <w:spacing w:after="0" w:line="169" w:lineRule="exact"/>
              <w:rPr>
                <w:rFonts w:ascii="Arial" w:cs="Arial" w:eastAsia="Arial" w:hAnsi="Arial"/>
                <w:sz w:val="18"/>
                <w:szCs w:val="18"/>
                <w:color w:val="0000FF"/>
              </w:rPr>
            </w:pPr>
            <w:hyperlink r:id="rId96">
              <w:r>
                <w:rPr>
                  <w:rFonts w:ascii="Arial" w:cs="Arial" w:eastAsia="Arial" w:hAnsi="Arial"/>
                  <w:sz w:val="18"/>
                  <w:szCs w:val="18"/>
                  <w:color w:val="0000FF"/>
                </w:rPr>
                <w:t>23,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0000FF"/>
            </w:tcBorders>
            <w:gridSpan w:val="2"/>
            <w:shd w:val="clear" w:color="auto" w:fill="CCEEFF"/>
          </w:tcPr>
          <w:p>
            <w:pPr>
              <w:spacing w:after="0" w:line="169" w:lineRule="exact"/>
              <w:rPr>
                <w:rFonts w:ascii="Arial" w:cs="Arial" w:eastAsia="Arial" w:hAnsi="Arial"/>
                <w:sz w:val="18"/>
                <w:szCs w:val="18"/>
                <w:color w:val="0000FF"/>
              </w:rPr>
            </w:pPr>
            <w:hyperlink r:id="rId96">
              <w:r>
                <w:rPr>
                  <w:rFonts w:ascii="Arial" w:cs="Arial" w:eastAsia="Arial" w:hAnsi="Arial"/>
                  <w:sz w:val="18"/>
                  <w:szCs w:val="18"/>
                  <w:color w:val="0000FF"/>
                </w:rPr>
                <w:t>2012.</w:t>
              </w:r>
            </w:hyperlink>
          </w:p>
        </w:tc>
        <w:tc>
          <w:tcPr>
            <w:tcW w:w="80" w:type="dxa"/>
            <w:vAlign w:val="bottom"/>
            <w:tcBorders>
              <w:top w:val="single" w:sz="8" w:color="0000FF"/>
            </w:tcBorders>
            <w:shd w:val="clear" w:color="auto" w:fill="CCEEFF"/>
          </w:tcPr>
          <w:p>
            <w:pPr>
              <w:spacing w:after="0"/>
              <w:rPr>
                <w:sz w:val="14"/>
                <w:szCs w:val="14"/>
                <w:color w:val="auto"/>
              </w:rPr>
            </w:pPr>
          </w:p>
        </w:tc>
        <w:tc>
          <w:tcPr>
            <w:tcW w:w="13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68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80" w:type="dxa"/>
            <w:vAlign w:val="bottom"/>
            <w:tcBorders>
              <w:top w:val="single" w:sz="8" w:color="0000FF"/>
            </w:tcBorders>
            <w:shd w:val="clear" w:color="auto" w:fill="CCEEFF"/>
          </w:tcPr>
          <w:p>
            <w:pPr>
              <w:spacing w:after="0"/>
              <w:rPr>
                <w:sz w:val="14"/>
                <w:szCs w:val="14"/>
                <w:color w:val="auto"/>
              </w:rPr>
            </w:pPr>
          </w:p>
        </w:tc>
        <w:tc>
          <w:tcPr>
            <w:tcW w:w="860" w:type="dxa"/>
            <w:vAlign w:val="bottom"/>
            <w:tcBorders>
              <w:top w:val="single" w:sz="8" w:color="0000FF"/>
            </w:tcBorders>
            <w:shd w:val="clear" w:color="auto" w:fill="CCEEFF"/>
          </w:tcPr>
          <w:p>
            <w:pPr>
              <w:spacing w:after="0"/>
              <w:rPr>
                <w:sz w:val="14"/>
                <w:szCs w:val="14"/>
                <w:color w:val="auto"/>
              </w:rPr>
            </w:pPr>
          </w:p>
        </w:tc>
        <w:tc>
          <w:tcPr>
            <w:tcW w:w="11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3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20" w:type="dxa"/>
            <w:vAlign w:val="bottom"/>
            <w:gridSpan w:val="5"/>
          </w:tcPr>
          <w:p>
            <w:pPr>
              <w:jc w:val="center"/>
              <w:ind w:left="270"/>
              <w:spacing w:after="0" w:line="162"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4*</w:t>
              </w:r>
            </w:hyperlink>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Tile Shop Holdings, Inc. Form of Incentive Stock Option Agreement (2012 Plan) – incorporated by reference to Exhibit 10.3 to the</w:t>
              </w:r>
            </w:hyperlink>
          </w:p>
        </w:tc>
      </w:tr>
      <w:tr>
        <w:trPr>
          <w:trHeight w:val="176"/>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Registrant’s Current Report on Form 8-K filed July 26, 2013.</w:t>
              </w:r>
            </w:hyperlink>
          </w:p>
        </w:tc>
        <w:tc>
          <w:tcPr>
            <w:tcW w:w="508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1020" w:type="dxa"/>
            <w:vAlign w:val="bottom"/>
            <w:gridSpan w:val="5"/>
            <w:shd w:val="clear" w:color="auto" w:fill="CCEEFF"/>
          </w:tcPr>
          <w:p>
            <w:pPr>
              <w:jc w:val="center"/>
              <w:ind w:left="270"/>
              <w:spacing w:after="0" w:line="162" w:lineRule="exact"/>
              <w:rPr>
                <w:rFonts w:ascii="Arial" w:cs="Arial" w:eastAsia="Arial" w:hAnsi="Arial"/>
                <w:sz w:val="18"/>
                <w:szCs w:val="18"/>
                <w:color w:val="0000EE"/>
                <w:w w:val="99"/>
              </w:rPr>
            </w:pPr>
            <w:hyperlink r:id="rId98">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5*</w:t>
              </w:r>
            </w:hyperlink>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Tile Shop Holdings, Inc. Form of Nonstatutory Stock Option Agreement (2012 Plan) – incorporated by reference to Exhibit 10.4 to the</w:t>
              </w:r>
            </w:hyperlink>
          </w:p>
        </w:tc>
      </w:tr>
      <w:tr>
        <w:trPr>
          <w:trHeight w:val="17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left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20" w:type="dxa"/>
            <w:vAlign w:val="bottom"/>
            <w:tcBorders>
              <w:top w:val="single" w:sz="8" w:color="0000EE"/>
              <w:bottom w:val="single" w:sz="8" w:color="0000EE"/>
            </w:tcBorders>
            <w:gridSpan w:val="6"/>
            <w:shd w:val="clear" w:color="auto" w:fill="CCEEFF"/>
          </w:tcPr>
          <w:p>
            <w:pPr>
              <w:spacing w:after="0" w:line="169"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Registrant’s Current Report on Form 8-K filed July 26, 2013.</w:t>
              </w:r>
            </w:hyperlink>
          </w:p>
        </w:tc>
        <w:tc>
          <w:tcPr>
            <w:tcW w:w="5360" w:type="dxa"/>
            <w:vAlign w:val="bottom"/>
            <w:tcBorders>
              <w:top w:val="single" w:sz="8" w:color="0000EE"/>
              <w:bottom w:val="single" w:sz="8" w:color="CCEEFF"/>
            </w:tcBorders>
            <w:gridSpan w:val="2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1020" w:type="dxa"/>
            <w:vAlign w:val="bottom"/>
            <w:gridSpan w:val="5"/>
          </w:tcPr>
          <w:p>
            <w:pPr>
              <w:jc w:val="center"/>
              <w:ind w:left="270"/>
              <w:spacing w:after="0" w:line="16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6*</w:t>
              </w:r>
            </w:hyperlink>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rPr>
            </w:pPr>
            <w:hyperlink r:id="rId99">
              <w:r>
                <w:rPr>
                  <w:rFonts w:ascii="Arial" w:cs="Arial" w:eastAsia="Arial" w:hAnsi="Arial"/>
                  <w:sz w:val="18"/>
                  <w:szCs w:val="18"/>
                  <w:color w:val="0000EE"/>
                </w:rPr>
                <w:t>Tile Shop Holdings, Inc. Form of Stock Restriction Agreement (2012 Plan) – incorporated by reference to Exhibit 10.5 to the</w:t>
              </w:r>
            </w:hyperlink>
          </w:p>
        </w:tc>
      </w:tr>
      <w:tr>
        <w:trPr>
          <w:trHeight w:val="176"/>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Registrant’s Current Report on Form 8-K filed July 26, 2013.</w:t>
              </w:r>
            </w:hyperlink>
          </w:p>
        </w:tc>
        <w:tc>
          <w:tcPr>
            <w:tcW w:w="4640" w:type="dxa"/>
            <w:vAlign w:val="bottom"/>
            <w:tcBorders>
              <w:top w:val="single" w:sz="8" w:color="0000EE"/>
            </w:tcBorders>
            <w:gridSpan w:val="10"/>
          </w:tcPr>
          <w:p>
            <w:pPr>
              <w:spacing w:after="0"/>
              <w:rPr>
                <w:sz w:val="15"/>
                <w:szCs w:val="15"/>
                <w:color w:val="auto"/>
              </w:rPr>
            </w:pPr>
          </w:p>
        </w:tc>
        <w:tc>
          <w:tcPr>
            <w:tcW w:w="4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00" w:type="dxa"/>
            <w:vAlign w:val="bottom"/>
            <w:tcBorders>
              <w:right w:val="single" w:sz="8" w:color="CCEEFF"/>
            </w:tcBorders>
            <w:gridSpan w:val="4"/>
            <w:shd w:val="clear" w:color="auto" w:fill="CCEEFF"/>
          </w:tcPr>
          <w:p>
            <w:pPr>
              <w:jc w:val="center"/>
              <w:ind w:left="390"/>
              <w:spacing w:after="0" w:line="162" w:lineRule="exact"/>
              <w:rPr>
                <w:rFonts w:ascii="Arial" w:cs="Arial" w:eastAsia="Arial" w:hAnsi="Arial"/>
                <w:sz w:val="18"/>
                <w:szCs w:val="18"/>
                <w:color w:val="0000EE"/>
                <w:w w:val="85"/>
              </w:rPr>
            </w:pPr>
            <w:hyperlink r:id="rId10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Stipulation of Settlement, among Tile Shop Holdings, Inc., Beaver County Employees’ Retirement Fund and the other parties thereto,</w:t>
              </w:r>
            </w:hyperlink>
          </w:p>
        </w:tc>
      </w:tr>
      <w:tr>
        <w:trPr>
          <w:trHeight w:val="20"/>
        </w:trPr>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0000EE"/>
            </w:tcBorders>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gridSpan w:val="4"/>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69"/>
        </w:trPr>
        <w:tc>
          <w:tcPr>
            <w:tcW w:w="3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9"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dated January 13, 2017 – incorporated by reference to Exhibit 10.1 to the Registrant’s Amendment to Current Report on Form 8-K filed</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EE"/>
            </w:tcBorders>
            <w:gridSpan w:val="34"/>
            <w:shd w:val="clear" w:color="auto" w:fill="CCEEFF"/>
          </w:tcPr>
          <w:p>
            <w:pPr>
              <w:spacing w:after="0" w:line="169" w:lineRule="exact"/>
              <w:rPr>
                <w:rFonts w:ascii="Arial" w:cs="Arial" w:eastAsia="Arial" w:hAnsi="Arial"/>
                <w:sz w:val="18"/>
                <w:szCs w:val="18"/>
                <w:color w:val="0000EE"/>
              </w:rPr>
            </w:pPr>
            <w:hyperlink r:id="rId100">
              <w:r>
                <w:rPr>
                  <w:rFonts w:ascii="Arial" w:cs="Arial" w:eastAsia="Arial" w:hAnsi="Arial"/>
                  <w:sz w:val="18"/>
                  <w:szCs w:val="18"/>
                  <w:color w:val="0000EE"/>
                </w:rPr>
                <w:t>January 20, 2017.</w:t>
              </w:r>
            </w:hyperlink>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3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20" w:type="dxa"/>
            <w:vAlign w:val="bottom"/>
            <w:gridSpan w:val="5"/>
          </w:tcPr>
          <w:p>
            <w:pPr>
              <w:jc w:val="center"/>
              <w:ind w:left="270"/>
              <w:spacing w:after="0" w:line="16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8*</w:t>
              </w:r>
            </w:hyperlink>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rPr>
            </w:pPr>
            <w:hyperlink r:id="rId101">
              <w:r>
                <w:rPr>
                  <w:rFonts w:ascii="Arial" w:cs="Arial" w:eastAsia="Arial" w:hAnsi="Arial"/>
                  <w:sz w:val="18"/>
                  <w:szCs w:val="18"/>
                  <w:color w:val="0000EE"/>
                </w:rPr>
                <w:t>Tile Shop Holdings, Inc. Form of Stock Restriction Agreement (2012 Plan) – incorporated by reference to Exhibit 10.2 to the</w:t>
              </w:r>
            </w:hyperlink>
          </w:p>
        </w:tc>
      </w:tr>
      <w:tr>
        <w:trPr>
          <w:trHeight w:val="176"/>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00" w:type="dxa"/>
            <w:vAlign w:val="bottom"/>
            <w:tcBorders>
              <w:top w:val="single" w:sz="8" w:color="0000EE"/>
              <w:bottom w:val="single" w:sz="8" w:color="0000EE"/>
            </w:tcBorders>
            <w:gridSpan w:val="11"/>
          </w:tcPr>
          <w:p>
            <w:pPr>
              <w:spacing w:after="0" w:line="169"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Registrant’s Quarterly Report on Form 10-Q for the quarter ended September 30, 2017.</w:t>
              </w:r>
            </w:hyperlink>
          </w:p>
        </w:tc>
        <w:tc>
          <w:tcPr>
            <w:tcW w:w="2760" w:type="dxa"/>
            <w:vAlign w:val="bottom"/>
            <w:tcBorders>
              <w:top w:val="single" w:sz="8" w:color="0000EE"/>
            </w:tcBorders>
            <w:gridSpan w:val="5"/>
          </w:tcPr>
          <w:p>
            <w:pPr>
              <w:spacing w:after="0"/>
              <w:rPr>
                <w:sz w:val="15"/>
                <w:szCs w:val="15"/>
                <w:color w:val="auto"/>
              </w:rPr>
            </w:pPr>
          </w:p>
        </w:tc>
        <w:tc>
          <w:tcPr>
            <w:tcW w:w="4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62"/>
        </w:trPr>
        <w:tc>
          <w:tcPr>
            <w:tcW w:w="1020" w:type="dxa"/>
            <w:vAlign w:val="bottom"/>
            <w:gridSpan w:val="5"/>
            <w:shd w:val="clear" w:color="auto" w:fill="CCEEFF"/>
          </w:tcPr>
          <w:p>
            <w:pPr>
              <w:jc w:val="center"/>
              <w:ind w:left="270"/>
              <w:spacing w:after="0" w:line="162"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9*</w:t>
              </w:r>
            </w:hyperlink>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Employment Agreement, dated February 19, 2018, between Tile Shop Holdings, Inc. and Cabell Lolmaugh – incorporated by reference</w:t>
              </w:r>
            </w:hyperlink>
          </w:p>
        </w:tc>
      </w:tr>
      <w:tr>
        <w:trPr>
          <w:trHeight w:val="17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left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340" w:type="dxa"/>
            <w:vAlign w:val="bottom"/>
            <w:tcBorders>
              <w:top w:val="single" w:sz="8" w:color="0000EE"/>
              <w:bottom w:val="single" w:sz="8" w:color="0000EE"/>
            </w:tcBorders>
            <w:gridSpan w:val="12"/>
            <w:shd w:val="clear" w:color="auto" w:fill="CCEEFF"/>
          </w:tcPr>
          <w:p>
            <w:pPr>
              <w:spacing w:after="0" w:line="169"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to Exhibit 10.1 to the Registrant’s Current Report on Form 8-K filed February 21, 2018.</w:t>
              </w:r>
            </w:hyperlink>
          </w:p>
        </w:tc>
        <w:tc>
          <w:tcPr>
            <w:tcW w:w="3500" w:type="dxa"/>
            <w:vAlign w:val="bottom"/>
            <w:tcBorders>
              <w:top w:val="single" w:sz="8" w:color="0000EE"/>
              <w:bottom w:val="single" w:sz="8" w:color="CCEEFF"/>
            </w:tcBorders>
            <w:gridSpan w:val="2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62"/>
        </w:trPr>
        <w:tc>
          <w:tcPr>
            <w:tcW w:w="1280" w:type="dxa"/>
            <w:vAlign w:val="bottom"/>
            <w:gridSpan w:val="6"/>
          </w:tcPr>
          <w:p>
            <w:pPr>
              <w:jc w:val="center"/>
              <w:ind w:left="10"/>
              <w:spacing w:after="0" w:line="16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10***</w:t>
              </w:r>
            </w:hyperlink>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Credit Agreement, dated as of September 18, 2018, by and among Tile Shop Holdings, Inc., as guarantor, The Tile Shop, LLC, Tile</w:t>
              </w:r>
            </w:hyperlink>
          </w:p>
        </w:tc>
      </w:tr>
      <w:tr>
        <w:trPr>
          <w:trHeight w:val="169"/>
        </w:trPr>
        <w:tc>
          <w:tcPr>
            <w:tcW w:w="36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20" w:type="dxa"/>
            <w:vAlign w:val="bottom"/>
            <w:tcBorders>
              <w:top w:val="single" w:sz="8" w:color="0000EE"/>
            </w:tcBorders>
            <w:gridSpan w:val="20"/>
          </w:tcPr>
          <w:p>
            <w:pPr>
              <w:spacing w:after="0" w:line="169"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Shop Lending, Inc., and certain subsidiaries of The Tile Shop, LLC, as borrowers, each lender from time to time party thereto, and</w:t>
              </w:r>
            </w:hyperlink>
          </w:p>
        </w:tc>
        <w:tc>
          <w:tcPr>
            <w:tcW w:w="400" w:type="dxa"/>
            <w:vAlign w:val="bottom"/>
            <w:gridSpan w:val="16"/>
          </w:tcPr>
          <w:p>
            <w:pPr>
              <w:spacing w:after="0" w:line="169"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Bank</w:t>
              </w:r>
            </w:hyperlink>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tcBorders>
              <w:top w:val="single" w:sz="8" w:color="0000EE"/>
            </w:tcBorders>
            <w:gridSpan w:val="35"/>
          </w:tcPr>
          <w:p>
            <w:pPr>
              <w:spacing w:after="0" w:line="169"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of America, N.A., as Administrative Agent, Swing Line Lender and an L/C issuer – incorporated by reference to Exhibit 10.1 to the</w:t>
              </w:r>
            </w:hyperlink>
          </w:p>
        </w:tc>
        <w:tc>
          <w:tcPr>
            <w:tcW w:w="20" w:type="dxa"/>
            <w:vAlign w:val="bottom"/>
          </w:tcPr>
          <w:p>
            <w:pPr>
              <w:spacing w:after="0"/>
              <w:rPr>
                <w:sz w:val="14"/>
                <w:szCs w:val="14"/>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Borders>
              <w:top w:val="single" w:sz="8" w:color="0000EE"/>
            </w:tcBorders>
            <w:gridSpan w:val="22"/>
          </w:tcPr>
          <w:p>
            <w:pPr>
              <w:spacing w:after="0" w:line="169" w:lineRule="exact"/>
              <w:rPr>
                <w:rFonts w:ascii="Arial" w:cs="Arial" w:eastAsia="Arial" w:hAnsi="Arial"/>
                <w:sz w:val="18"/>
                <w:szCs w:val="18"/>
                <w:color w:val="0000EE"/>
              </w:rPr>
            </w:pPr>
            <w:hyperlink r:id="rId103">
              <w:r>
                <w:rPr>
                  <w:rFonts w:ascii="Arial" w:cs="Arial" w:eastAsia="Arial" w:hAnsi="Arial"/>
                  <w:sz w:val="18"/>
                  <w:szCs w:val="18"/>
                  <w:color w:val="0000EE"/>
                </w:rPr>
                <w:t>Registrant’s Current Report on Form 8-K filed September 19, 2018.</w:t>
              </w:r>
            </w:hyperlink>
          </w:p>
        </w:tc>
        <w:tc>
          <w:tcPr>
            <w:tcW w:w="1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00" w:type="dxa"/>
            <w:vAlign w:val="bottom"/>
            <w:tcBorders>
              <w:right w:val="single" w:sz="8" w:color="CCEEFF"/>
            </w:tcBorders>
            <w:gridSpan w:val="4"/>
            <w:shd w:val="clear" w:color="auto" w:fill="CCEEFF"/>
          </w:tcPr>
          <w:p>
            <w:pPr>
              <w:jc w:val="center"/>
              <w:ind w:left="390"/>
              <w:spacing w:after="0" w:line="162" w:lineRule="exact"/>
              <w:rPr>
                <w:rFonts w:ascii="Arial" w:cs="Arial" w:eastAsia="Arial" w:hAnsi="Arial"/>
                <w:sz w:val="18"/>
                <w:szCs w:val="18"/>
                <w:color w:val="0000FF"/>
                <w:w w:val="84"/>
              </w:rPr>
            </w:pPr>
            <w:hyperlink r:id="rId10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Amendment No. 1, dated as of November 16, 2021, to Credit Agreement, dated as of September 18, 2018, by and among Tile Shop</w:t>
              </w:r>
            </w:hyperlink>
          </w:p>
        </w:tc>
      </w:tr>
      <w:tr>
        <w:trPr>
          <w:trHeight w:val="20"/>
        </w:trPr>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0000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320" w:type="dxa"/>
            <w:vAlign w:val="bottom"/>
            <w:gridSpan w:val="9"/>
            <w:shd w:val="clear" w:color="auto" w:fill="0000FF"/>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180" w:type="dxa"/>
            <w:vAlign w:val="bottom"/>
            <w:tcBorders>
              <w:right w:val="single" w:sz="8" w:color="CCEEFF"/>
            </w:tcBorders>
            <w:gridSpan w:val="5"/>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69"/>
        </w:trPr>
        <w:tc>
          <w:tcPr>
            <w:tcW w:w="3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9"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Holdings, Inc., as guarantor, The Tile Shop, LLC and Tile Shop Lending, Inc., as borrowers, each lender from time to time party thereto,</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35"/>
            <w:shd w:val="clear" w:color="auto" w:fill="CCEEFF"/>
          </w:tcPr>
          <w:p>
            <w:pPr>
              <w:spacing w:after="0" w:line="169"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and Bank of America, N.A., as Administrative Agent, Swing Line Lender and an L/C issuer – incorporated by reference to Exhibit 10.1</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rPr>
            </w:pPr>
            <w:hyperlink r:id="rId104">
              <w:r>
                <w:rPr>
                  <w:rFonts w:ascii="Arial" w:cs="Arial" w:eastAsia="Arial" w:hAnsi="Arial"/>
                  <w:sz w:val="18"/>
                  <w:szCs w:val="18"/>
                  <w:color w:val="0000FF"/>
                </w:rPr>
                <w:t>to the Registrant’s Current Report on Form 8-K filed November 17, 2021.</w:t>
              </w:r>
            </w:hyperlink>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7"/>
        </w:trPr>
        <w:tc>
          <w:tcPr>
            <w:tcW w:w="3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20" w:type="dxa"/>
            <w:vAlign w:val="bottom"/>
            <w:gridSpan w:val="5"/>
          </w:tcPr>
          <w:p>
            <w:pPr>
              <w:jc w:val="center"/>
              <w:ind w:left="270"/>
              <w:spacing w:after="0" w:line="162"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2"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Security Agreement, dated as of September 18, 2018, by and among Tile Shop Holdings, Inc., The Tile Shop, LLC, Tile Shop Lending,</w:t>
              </w:r>
            </w:hyperlink>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0" w:type="dxa"/>
            <w:vAlign w:val="bottom"/>
            <w:tcBorders>
              <w:top w:val="single" w:sz="8" w:color="0000EE"/>
              <w:bottom w:val="single" w:sz="8" w:color="0000EE"/>
            </w:tcBorders>
            <w:gridSpan w:val="15"/>
          </w:tcPr>
          <w:p>
            <w:pPr>
              <w:spacing w:after="0" w:line="169"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 and certain subsidiaries of Tile Shop Holdings, Inc. or The Tile Shop, LLC, as grantors, and Bank of America, N.A., as</w:t>
              </w:r>
            </w:hyperlink>
          </w:p>
        </w:tc>
        <w:tc>
          <w:tcPr>
            <w:tcW w:w="820" w:type="dxa"/>
            <w:vAlign w:val="bottom"/>
            <w:tcBorders>
              <w:top w:val="single" w:sz="8" w:color="0000EE"/>
            </w:tcBorders>
            <w:gridSpan w:val="16"/>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gridSpan w:val="36"/>
          </w:tcPr>
          <w:p>
            <w:pPr>
              <w:spacing w:after="0" w:line="169"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Administrative Agent – incorporated by reference to Exhibit 10.2 to the Registrant’s Current Report on Form 8-K filed September 19,</w:t>
              </w:r>
            </w:hyperlink>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0000EE"/>
            </w:tcBorders>
            <w:gridSpan w:val="2"/>
          </w:tcPr>
          <w:p>
            <w:pPr>
              <w:spacing w:after="0" w:line="169" w:lineRule="exact"/>
              <w:rPr>
                <w:rFonts w:ascii="Arial" w:cs="Arial" w:eastAsia="Arial" w:hAnsi="Arial"/>
                <w:sz w:val="18"/>
                <w:szCs w:val="18"/>
                <w:color w:val="0000EE"/>
              </w:rPr>
            </w:pPr>
            <w:hyperlink r:id="rId105">
              <w:r>
                <w:rPr>
                  <w:rFonts w:ascii="Arial" w:cs="Arial" w:eastAsia="Arial" w:hAnsi="Arial"/>
                  <w:sz w:val="18"/>
                  <w:szCs w:val="18"/>
                  <w:color w:val="0000EE"/>
                </w:rPr>
                <w:t>2018.</w:t>
              </w:r>
            </w:hyperlink>
          </w:p>
        </w:tc>
        <w:tc>
          <w:tcPr>
            <w:tcW w:w="80" w:type="dxa"/>
            <w:vAlign w:val="bottom"/>
            <w:tcBorders>
              <w:top w:val="single" w:sz="8" w:color="0000EE"/>
            </w:tcBorders>
          </w:tcPr>
          <w:p>
            <w:pPr>
              <w:spacing w:after="0"/>
              <w:rPr>
                <w:sz w:val="14"/>
                <w:szCs w:val="14"/>
                <w:color w:val="auto"/>
              </w:rPr>
            </w:pPr>
          </w:p>
        </w:tc>
        <w:tc>
          <w:tcPr>
            <w:tcW w:w="1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20" w:type="dxa"/>
            <w:vAlign w:val="bottom"/>
            <w:gridSpan w:val="5"/>
            <w:shd w:val="clear" w:color="auto" w:fill="CCEEFF"/>
          </w:tcPr>
          <w:p>
            <w:pPr>
              <w:jc w:val="center"/>
              <w:ind w:left="270"/>
              <w:spacing w:after="0" w:line="162"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20" w:type="dxa"/>
            <w:vAlign w:val="bottom"/>
            <w:gridSpan w:val="36"/>
            <w:shd w:val="clear" w:color="auto" w:fill="CCEEFF"/>
          </w:tcPr>
          <w:p>
            <w:pPr>
              <w:spacing w:after="0" w:line="162"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Securities Pledge Agreement, dated as of September 18, 2018, by and among Tile Shop Holdings, Inc., The Tile Shop, LLC, Tile Shop</w:t>
              </w:r>
            </w:hyperlink>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EE"/>
            </w:tcBorders>
            <w:gridSpan w:val="28"/>
            <w:shd w:val="clear" w:color="auto" w:fill="CCEEFF"/>
          </w:tcPr>
          <w:p>
            <w:pPr>
              <w:spacing w:after="0" w:line="169"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Lending, Inc., and certain subsidiaries of Tile Shop Holdings, Inc. or The Tile Shop, LLC, as pledgors, and Bank of America, N.A., as</w:t>
              </w:r>
            </w:hyperlink>
          </w:p>
        </w:tc>
        <w:tc>
          <w:tcPr>
            <w:tcW w:w="160" w:type="dxa"/>
            <w:vAlign w:val="bottom"/>
            <w:tcBorders>
              <w:top w:val="single" w:sz="8" w:color="CCEEFF"/>
            </w:tcBorders>
            <w:gridSpan w:val="8"/>
            <w:shd w:val="clear" w:color="auto" w:fill="CCEEFF"/>
          </w:tcPr>
          <w:p>
            <w:pPr>
              <w:spacing w:after="0"/>
              <w:rPr>
                <w:sz w:val="14"/>
                <w:szCs w:val="14"/>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EE"/>
              <w:right w:val="single" w:sz="8" w:color="CCEEFF"/>
            </w:tcBorders>
            <w:gridSpan w:val="26"/>
            <w:shd w:val="clear" w:color="auto" w:fill="CCEEFF"/>
          </w:tcPr>
          <w:p>
            <w:pPr>
              <w:spacing w:after="0" w:line="169"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Administrative Agent – incorporated by reference to Exhibit 10.3 to the Registrant’s Current Report on Form 8-K filed September 19,</w:t>
              </w:r>
            </w:hyperlink>
          </w:p>
        </w:tc>
        <w:tc>
          <w:tcPr>
            <w:tcW w:w="200" w:type="dxa"/>
            <w:vAlign w:val="bottom"/>
            <w:tcBorders>
              <w:top w:val="single" w:sz="8" w:color="CCEEFF"/>
            </w:tcBorders>
            <w:gridSpan w:val="10"/>
            <w:shd w:val="clear" w:color="auto" w:fill="CCEEFF"/>
          </w:tcPr>
          <w:p>
            <w:pPr>
              <w:spacing w:after="0"/>
              <w:rPr>
                <w:sz w:val="14"/>
                <w:szCs w:val="14"/>
                <w:color w:val="auto"/>
              </w:rPr>
            </w:pPr>
          </w:p>
        </w:tc>
      </w:tr>
      <w:tr>
        <w:trPr>
          <w:trHeight w:val="176"/>
        </w:trPr>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0000EE"/>
            </w:tcBorders>
            <w:gridSpan w:val="2"/>
            <w:shd w:val="clear" w:color="auto" w:fill="CCEEFF"/>
          </w:tcPr>
          <w:p>
            <w:pPr>
              <w:spacing w:after="0" w:line="169" w:lineRule="exact"/>
              <w:rPr>
                <w:rFonts w:ascii="Arial" w:cs="Arial" w:eastAsia="Arial" w:hAnsi="Arial"/>
                <w:sz w:val="18"/>
                <w:szCs w:val="18"/>
                <w:color w:val="0000EE"/>
              </w:rPr>
            </w:pPr>
            <w:hyperlink r:id="rId106">
              <w:r>
                <w:rPr>
                  <w:rFonts w:ascii="Arial" w:cs="Arial" w:eastAsia="Arial" w:hAnsi="Arial"/>
                  <w:sz w:val="18"/>
                  <w:szCs w:val="18"/>
                  <w:color w:val="0000EE"/>
                </w:rPr>
                <w:t>2018.</w:t>
              </w:r>
            </w:hyperlink>
          </w:p>
        </w:tc>
        <w:tc>
          <w:tcPr>
            <w:tcW w:w="80" w:type="dxa"/>
            <w:vAlign w:val="bottom"/>
            <w:tcBorders>
              <w:top w:val="single" w:sz="8" w:color="0000EE"/>
            </w:tcBorders>
            <w:shd w:val="clear" w:color="auto" w:fill="CCEEFF"/>
          </w:tcPr>
          <w:p>
            <w:pPr>
              <w:spacing w:after="0"/>
              <w:rPr>
                <w:sz w:val="15"/>
                <w:szCs w:val="15"/>
                <w:color w:val="auto"/>
              </w:rPr>
            </w:pPr>
          </w:p>
        </w:tc>
        <w:tc>
          <w:tcPr>
            <w:tcW w:w="13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1680" w:type="dxa"/>
            <w:vAlign w:val="bottom"/>
            <w:tcBorders>
              <w:top w:val="single" w:sz="8" w:color="0000EE"/>
            </w:tcBorders>
            <w:shd w:val="clear" w:color="auto" w:fill="CCEEFF"/>
          </w:tcPr>
          <w:p>
            <w:pPr>
              <w:spacing w:after="0"/>
              <w:rPr>
                <w:sz w:val="15"/>
                <w:szCs w:val="15"/>
                <w:color w:val="auto"/>
              </w:rPr>
            </w:pPr>
          </w:p>
        </w:tc>
        <w:tc>
          <w:tcPr>
            <w:tcW w:w="26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44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52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680" w:type="dxa"/>
            <w:vAlign w:val="bottom"/>
            <w:tcBorders>
              <w:top w:val="single" w:sz="8" w:color="0000EE"/>
            </w:tcBorders>
            <w:shd w:val="clear" w:color="auto" w:fill="CCEEFF"/>
          </w:tcPr>
          <w:p>
            <w:pPr>
              <w:spacing w:after="0"/>
              <w:rPr>
                <w:sz w:val="15"/>
                <w:szCs w:val="15"/>
                <w:color w:val="auto"/>
              </w:rPr>
            </w:pPr>
          </w:p>
        </w:tc>
        <w:tc>
          <w:tcPr>
            <w:tcW w:w="860" w:type="dxa"/>
            <w:vAlign w:val="bottom"/>
            <w:tcBorders>
              <w:top w:val="single" w:sz="8" w:color="0000EE"/>
            </w:tcBorders>
            <w:shd w:val="clear" w:color="auto" w:fill="CCEEFF"/>
          </w:tcPr>
          <w:p>
            <w:pPr>
              <w:spacing w:after="0"/>
              <w:rPr>
                <w:sz w:val="15"/>
                <w:szCs w:val="15"/>
                <w:color w:val="auto"/>
              </w:rPr>
            </w:pPr>
          </w:p>
        </w:tc>
        <w:tc>
          <w:tcPr>
            <w:tcW w:w="11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righ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30"/>
        </w:trPr>
        <w:tc>
          <w:tcPr>
            <w:tcW w:w="3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20" w:type="dxa"/>
            <w:vAlign w:val="bottom"/>
            <w:tcBorders>
              <w:top w:val="single" w:sz="8" w:color="CCEEFF"/>
            </w:tcBorders>
            <w:gridSpan w:val="5"/>
          </w:tcPr>
          <w:p>
            <w:pPr>
              <w:jc w:val="center"/>
              <w:ind w:left="3590"/>
              <w:spacing w:after="0"/>
              <w:rPr>
                <w:sz w:val="20"/>
                <w:szCs w:val="20"/>
                <w:color w:val="auto"/>
              </w:rPr>
            </w:pPr>
            <w:r>
              <w:rPr>
                <w:rFonts w:ascii="Arial" w:cs="Arial" w:eastAsia="Arial" w:hAnsi="Arial"/>
                <w:sz w:val="18"/>
                <w:szCs w:val="18"/>
                <w:color w:val="auto"/>
                <w:w w:val="89"/>
              </w:rPr>
              <w:t>64</w:t>
            </w:r>
          </w:p>
        </w:tc>
        <w:tc>
          <w:tcPr>
            <w:tcW w:w="2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90"/>
        </w:trPr>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Table of Contents</w:t>
              </w:r>
            </w:hyperlink>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Borders>
              <w:top w:val="single" w:sz="8" w:color="0000FF"/>
            </w:tcBorders>
            <w:gridSpan w:val="4"/>
            <w:vMerge w:val="restart"/>
          </w:tcPr>
          <w:p>
            <w:pPr>
              <w:jc w:val="center"/>
              <w:ind w:left="350"/>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3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3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Guaranty Agreement, dated as of September 18, 2018, by and among Tile Shop Holdings, Inc., The Tile Shop, LLC, Tile Shop Lending,</w:t>
              </w:r>
            </w:hyperlink>
          </w:p>
        </w:tc>
        <w:tc>
          <w:tcPr>
            <w:tcW w:w="0" w:type="dxa"/>
            <w:vAlign w:val="bottom"/>
          </w:tcPr>
          <w:p>
            <w:pPr>
              <w:spacing w:after="0"/>
              <w:rPr>
                <w:sz w:val="1"/>
                <w:szCs w:val="1"/>
                <w:color w:val="auto"/>
              </w:rPr>
            </w:pPr>
          </w:p>
        </w:tc>
      </w:tr>
      <w:tr>
        <w:trPr>
          <w:trHeight w:val="169"/>
        </w:trPr>
        <w:tc>
          <w:tcPr>
            <w:tcW w:w="940" w:type="dxa"/>
            <w:vAlign w:val="bottom"/>
            <w:tcBorders>
              <w:top w:val="single" w:sz="8" w:color="0000FF"/>
            </w:tcBorders>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40" w:type="dxa"/>
            <w:vAlign w:val="bottom"/>
            <w:tcBorders>
              <w:top w:val="single" w:sz="8" w:color="0000EE"/>
            </w:tcBorders>
            <w:gridSpan w:val="37"/>
          </w:tcPr>
          <w:p>
            <w:pPr>
              <w:spacing w:after="0" w:line="169"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Inc., The Tile Shop of Michigan, LLC, and the other guarantors from time to time party thereto, as guarantors, and Bank of America,</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20" w:type="dxa"/>
            <w:vAlign w:val="bottom"/>
            <w:tcBorders>
              <w:top w:val="single" w:sz="8" w:color="0000EE"/>
            </w:tcBorders>
            <w:gridSpan w:val="29"/>
          </w:tcPr>
          <w:p>
            <w:pPr>
              <w:spacing w:after="0" w:line="169" w:lineRule="exact"/>
              <w:rPr>
                <w:rFonts w:ascii="Arial" w:cs="Arial" w:eastAsia="Arial" w:hAnsi="Arial"/>
                <w:sz w:val="18"/>
                <w:szCs w:val="18"/>
                <w:color w:val="0000EE"/>
                <w:w w:val="96"/>
              </w:rPr>
            </w:pPr>
            <w:hyperlink r:id="rId109">
              <w:r>
                <w:rPr>
                  <w:rFonts w:ascii="Arial" w:cs="Arial" w:eastAsia="Arial" w:hAnsi="Arial"/>
                  <w:sz w:val="18"/>
                  <w:szCs w:val="18"/>
                  <w:color w:val="0000EE"/>
                  <w:w w:val="96"/>
                </w:rPr>
                <w:t>N.A., as Administrative Agent – incorporated by reference to Exhibit 10.4 to the Registrant’s Current Report on Form 8-K filed</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September 19, 2018.</w:t>
              </w:r>
            </w:hyperlink>
          </w:p>
        </w:tc>
        <w:tc>
          <w:tcPr>
            <w:tcW w:w="7740" w:type="dxa"/>
            <w:vAlign w:val="bottom"/>
            <w:tcBorders>
              <w:top w:val="single" w:sz="8" w:color="0000EE"/>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15*</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Employment Agreement, dated September 6, 2019, by and between Tile Shop Holdings, Inc. and Nancy DiMattia – incorporated by</w:t>
              </w:r>
            </w:hyperlink>
          </w:p>
        </w:tc>
        <w:tc>
          <w:tcPr>
            <w:tcW w:w="0" w:type="dxa"/>
            <w:vAlign w:val="bottom"/>
          </w:tcPr>
          <w:p>
            <w:pPr>
              <w:spacing w:after="0"/>
              <w:rPr>
                <w:sz w:val="1"/>
                <w:szCs w:val="1"/>
                <w:color w:val="auto"/>
              </w:rPr>
            </w:pPr>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580" w:type="dxa"/>
            <w:vAlign w:val="bottom"/>
            <w:tcBorders>
              <w:top w:val="single" w:sz="8" w:color="0000EE"/>
              <w:bottom w:val="single" w:sz="8" w:color="0000EE"/>
            </w:tcBorders>
            <w:gridSpan w:val="17"/>
            <w:shd w:val="clear" w:color="auto" w:fill="CCEEFF"/>
          </w:tcPr>
          <w:p>
            <w:pPr>
              <w:spacing w:after="0" w:line="169"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reference to Exhibit 10.1 to the Registrant’s Quarterly Report on Form 10-Q for the quarter ended September 30, 2019.</w:t>
              </w:r>
            </w:hyperlink>
          </w:p>
        </w:tc>
        <w:tc>
          <w:tcPr>
            <w:tcW w:w="980" w:type="dxa"/>
            <w:vAlign w:val="bottom"/>
            <w:tcBorders>
              <w:top w:val="single" w:sz="8" w:color="0000EE"/>
              <w:bottom w:val="single" w:sz="8" w:color="CCEEFF"/>
            </w:tcBorders>
            <w:gridSpan w:val="1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EE"/>
                <w:w w:val="95"/>
              </w:rPr>
            </w:pPr>
            <w:hyperlink r:id="rId11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16*</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EE"/>
                <w:w w:val="97"/>
              </w:rPr>
            </w:pPr>
            <w:hyperlink r:id="rId111">
              <w:r>
                <w:rPr>
                  <w:rFonts w:ascii="Arial" w:cs="Arial" w:eastAsia="Arial" w:hAnsi="Arial"/>
                  <w:sz w:val="18"/>
                  <w:szCs w:val="18"/>
                  <w:color w:val="0000EE"/>
                  <w:w w:val="97"/>
                </w:rPr>
                <w:t>Employment Agreement, dated September 6, 2019, by and between Tile Shop Holdings, Inc. and Mark Davis – incorporated by</w:t>
              </w:r>
            </w:hyperlink>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80" w:type="dxa"/>
            <w:vAlign w:val="bottom"/>
            <w:tcBorders>
              <w:top w:val="single" w:sz="8" w:color="0000EE"/>
              <w:bottom w:val="single" w:sz="8" w:color="0000EE"/>
            </w:tcBorders>
            <w:gridSpan w:val="17"/>
          </w:tcPr>
          <w:p>
            <w:pPr>
              <w:spacing w:after="0" w:line="169"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reference to Exhibit 10.2 to the Registrant’s Quarterly Report on Form 10-Q for the quarter ended September 30, 2019.</w:t>
              </w:r>
            </w:hyperlink>
          </w:p>
        </w:tc>
        <w:tc>
          <w:tcPr>
            <w:tcW w:w="680" w:type="dxa"/>
            <w:vAlign w:val="bottom"/>
            <w:tcBorders>
              <w:top w:val="single" w:sz="8" w:color="0000EE"/>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17*</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Letter Agreement, dated as of April 24, 2020, by and between Tile Shop Holdings, Inc. and Cabell H. Lolmaugh – incorporated by</w:t>
              </w:r>
            </w:hyperlink>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lef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500" w:type="dxa"/>
            <w:vAlign w:val="bottom"/>
            <w:tcBorders>
              <w:top w:val="single" w:sz="8" w:color="0000EE"/>
            </w:tcBorders>
            <w:gridSpan w:val="25"/>
            <w:shd w:val="clear" w:color="auto" w:fill="CCEEFF"/>
          </w:tcPr>
          <w:p>
            <w:pPr>
              <w:spacing w:after="0" w:line="169" w:lineRule="exact"/>
              <w:rPr>
                <w:rFonts w:ascii="Arial" w:cs="Arial" w:eastAsia="Arial" w:hAnsi="Arial"/>
                <w:sz w:val="18"/>
                <w:szCs w:val="18"/>
                <w:color w:val="0000EE"/>
              </w:rPr>
            </w:pPr>
            <w:hyperlink r:id="rId112">
              <w:r>
                <w:rPr>
                  <w:rFonts w:ascii="Arial" w:cs="Arial" w:eastAsia="Arial" w:hAnsi="Arial"/>
                  <w:sz w:val="18"/>
                  <w:szCs w:val="18"/>
                  <w:color w:val="0000EE"/>
                </w:rPr>
                <w:t>reference to Exhibit 10.1 to the Registrant’s Current Report on Form 8-K filed on April 27,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3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18*</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Letter Agreement, dated as of April 24, 2020, by and between Tile Shop Holdings, Inc. and Nancy DiMattia – incorporated by reference</w:t>
              </w:r>
            </w:hyperlink>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00" w:type="dxa"/>
            <w:vAlign w:val="bottom"/>
            <w:tcBorders>
              <w:top w:val="single" w:sz="8" w:color="0000EE"/>
              <w:bottom w:val="single" w:sz="8" w:color="0000EE"/>
            </w:tcBorders>
            <w:gridSpan w:val="10"/>
          </w:tcPr>
          <w:p>
            <w:pPr>
              <w:spacing w:after="0" w:line="169"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to Exhibit 10.2 to the Registrant’s Current Report on Form 8-K filed on April 27, 2020.</w:t>
              </w:r>
            </w:hyperlink>
          </w:p>
        </w:tc>
        <w:tc>
          <w:tcPr>
            <w:tcW w:w="3540" w:type="dxa"/>
            <w:vAlign w:val="bottom"/>
            <w:tcBorders>
              <w:top w:val="single" w:sz="8" w:color="0000EE"/>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EE"/>
                <w:w w:val="95"/>
              </w:rPr>
            </w:pPr>
            <w:hyperlink r:id="rId11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19*</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Letter Agreement, dated as of April 24, 2020, by and between Tile Shop Holdings, Inc. and Mark B. Davis – incorporated by reference</w:t>
              </w:r>
            </w:hyperlink>
          </w:p>
        </w:tc>
        <w:tc>
          <w:tcPr>
            <w:tcW w:w="0" w:type="dxa"/>
            <w:vAlign w:val="bottom"/>
          </w:tcPr>
          <w:p>
            <w:pPr>
              <w:spacing w:after="0"/>
              <w:rPr>
                <w:sz w:val="1"/>
                <w:szCs w:val="1"/>
                <w:color w:val="auto"/>
              </w:rPr>
            </w:pPr>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300" w:type="dxa"/>
            <w:vAlign w:val="bottom"/>
            <w:tcBorders>
              <w:top w:val="single" w:sz="8" w:color="0000EE"/>
              <w:bottom w:val="single" w:sz="8" w:color="0000EE"/>
            </w:tcBorders>
            <w:gridSpan w:val="10"/>
            <w:shd w:val="clear" w:color="auto" w:fill="CCEEFF"/>
          </w:tcPr>
          <w:p>
            <w:pPr>
              <w:spacing w:after="0" w:line="169"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to Exhibit 10.3 to the Registrant’s Current Report on Form 8-K filed on April 27, 2020.</w:t>
              </w:r>
            </w:hyperlink>
          </w:p>
        </w:tc>
        <w:tc>
          <w:tcPr>
            <w:tcW w:w="3480" w:type="dxa"/>
            <w:vAlign w:val="bottom"/>
            <w:tcBorders>
              <w:top w:val="single" w:sz="8" w:color="0000EE"/>
              <w:bottom w:val="single" w:sz="8" w:color="CCEEFF"/>
            </w:tcBorders>
            <w:gridSpan w:val="2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20*</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Employment Agreement, dated October 16, 2020, by and between Tile Shop Holdings, Inc. and Joe Kinder – incorporated by reference</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20" w:type="dxa"/>
            <w:vAlign w:val="bottom"/>
            <w:tcBorders>
              <w:top w:val="single" w:sz="8" w:color="0000EE"/>
            </w:tcBorders>
            <w:gridSpan w:val="36"/>
          </w:tcPr>
          <w:p>
            <w:pPr>
              <w:spacing w:after="0" w:line="169" w:lineRule="exact"/>
              <w:rPr>
                <w:rFonts w:ascii="Arial" w:cs="Arial" w:eastAsia="Arial" w:hAnsi="Arial"/>
                <w:sz w:val="18"/>
                <w:szCs w:val="18"/>
                <w:color w:val="0000EE"/>
              </w:rPr>
            </w:pPr>
            <w:hyperlink r:id="rId115">
              <w:r>
                <w:rPr>
                  <w:rFonts w:ascii="Arial" w:cs="Arial" w:eastAsia="Arial" w:hAnsi="Arial"/>
                  <w:sz w:val="18"/>
                  <w:szCs w:val="18"/>
                  <w:color w:val="0000EE"/>
                </w:rPr>
                <w:t>to Exhibit 10.1 to the Registrant’s Quarterly Report on Form 10-Q for the quarter ended September 30, 2020.</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3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21*</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Tile Shop Holdings, Inc. Form of Performance-Based Stock Restriction Agreement – incorporated by reference to Exhibit 10.20 to the</w:t>
              </w:r>
            </w:hyperlink>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00FF"/>
              <w:right w:val="single" w:sz="8" w:color="CCEE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lef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rPr>
            </w:pPr>
            <w:hyperlink r:id="rId116">
              <w:r>
                <w:rPr>
                  <w:rFonts w:ascii="Arial" w:cs="Arial" w:eastAsia="Arial" w:hAnsi="Arial"/>
                  <w:sz w:val="18"/>
                  <w:szCs w:val="18"/>
                  <w:color w:val="0000FF"/>
                </w:rPr>
                <w:t>Registrant’s Annual Report on Form 10-K for the year ended December 31, 2020.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1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22*</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Tile Shop Holdings, Inc. 2021 Omnibus Equity Compensation Plan – incorporated by reference to Exhibit 10.1 to the Registrant’s</w:t>
              </w:r>
            </w:hyperlink>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Current Report on Form 8-K filed July 21, 2021.</w:t>
              </w:r>
            </w:hyperlink>
          </w:p>
        </w:tc>
        <w:tc>
          <w:tcPr>
            <w:tcW w:w="5880" w:type="dxa"/>
            <w:vAlign w:val="bottom"/>
            <w:tcBorders>
              <w:top w:val="single" w:sz="8" w:color="0000FF"/>
            </w:tcBorders>
            <w:gridSpan w:val="1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23*</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Form of Nonqualified Stock Option Agreement (2021 Plan) – incorporated by reference to Exhibit 10.2 to the Registrant’s Current</w:t>
              </w:r>
            </w:hyperlink>
          </w:p>
        </w:tc>
        <w:tc>
          <w:tcPr>
            <w:tcW w:w="0" w:type="dxa"/>
            <w:vAlign w:val="bottom"/>
          </w:tcPr>
          <w:p>
            <w:pPr>
              <w:spacing w:after="0"/>
              <w:rPr>
                <w:sz w:val="1"/>
                <w:szCs w:val="1"/>
                <w:color w:val="auto"/>
              </w:rPr>
            </w:pPr>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Report on Form 8-K filed July 21, 2021.</w:t>
              </w:r>
            </w:hyperlink>
          </w:p>
        </w:tc>
        <w:tc>
          <w:tcPr>
            <w:tcW w:w="656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24*</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Form of Incentive Stock Option Agreement (2021 Plan) – incorporated by reference to Exhibit 10.3 to the Registrant’s Current Report</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2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on Form 8-K filed July 21, 2021.</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25*</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Form of Stock Restriction Agreement (2021 Plan) – incorporated by reference to Exhibit 10.4 to the Registrant’s Current Report on</w:t>
              </w:r>
            </w:hyperlink>
          </w:p>
        </w:tc>
        <w:tc>
          <w:tcPr>
            <w:tcW w:w="0" w:type="dxa"/>
            <w:vAlign w:val="bottom"/>
          </w:tcPr>
          <w:p>
            <w:pPr>
              <w:spacing w:after="0"/>
              <w:rPr>
                <w:sz w:val="1"/>
                <w:szCs w:val="1"/>
                <w:color w:val="auto"/>
              </w:rPr>
            </w:pPr>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16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Form 8-K filed July 21, 2021.</w:t>
              </w:r>
            </w:hyperlink>
          </w:p>
        </w:tc>
        <w:tc>
          <w:tcPr>
            <w:tcW w:w="7360" w:type="dxa"/>
            <w:vAlign w:val="bottom"/>
            <w:tcBorders>
              <w:top w:val="single" w:sz="8" w:color="0000FF"/>
              <w:bottom w:val="single" w:sz="8" w:color="CCEEFF"/>
            </w:tcBorders>
            <w:gridSpan w:val="2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26*</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Form of Performance-Based Stock Restriction Agreement (2021 Plan) – incorporated by reference to Exhibit 10.5 to the Registrant’s</w:t>
              </w:r>
            </w:hyperlink>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Current Report on Form 8-K filed July 21, 2021.</w:t>
              </w:r>
            </w:hyperlink>
          </w:p>
        </w:tc>
        <w:tc>
          <w:tcPr>
            <w:tcW w:w="6120" w:type="dxa"/>
            <w:vAlign w:val="bottom"/>
            <w:tcBorders>
              <w:top w:val="single" w:sz="8" w:color="0000FF"/>
            </w:tcBorders>
            <w:gridSpan w:val="2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27*</w:t>
              </w:r>
            </w:hyperlink>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Employment Agreement, effective as of January 3, 2022, by and between Tile Shop Holdings, Inc. and Karla Lunan – incorporated by</w:t>
              </w:r>
            </w:hyperlink>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00FF"/>
              <w:right w:val="single" w:sz="8" w:color="CCEE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lef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32"/>
            <w:shd w:val="clear" w:color="auto" w:fill="CCEEFF"/>
          </w:tcPr>
          <w:p>
            <w:pPr>
              <w:spacing w:after="0" w:line="169" w:lineRule="exact"/>
              <w:rPr>
                <w:rFonts w:ascii="Arial" w:cs="Arial" w:eastAsia="Arial" w:hAnsi="Arial"/>
                <w:sz w:val="18"/>
                <w:szCs w:val="18"/>
                <w:color w:val="0000FF"/>
              </w:rPr>
            </w:pPr>
            <w:hyperlink r:id="rId122">
              <w:r>
                <w:rPr>
                  <w:rFonts w:ascii="Arial" w:cs="Arial" w:eastAsia="Arial" w:hAnsi="Arial"/>
                  <w:sz w:val="18"/>
                  <w:szCs w:val="18"/>
                  <w:color w:val="0000FF"/>
                </w:rPr>
                <w:t>reference to Exhibit 10.1 to the Registrant’s Current Report on Form 8-K filed December 23, 2021.</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28*</w:t>
              </w:r>
            </w:hyperlink>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Waiver of Claims and General Release, dated December 22, 2021, by and between Tile Shop Holdings, Inc. and Nancy DiMattia –</w:t>
              </w:r>
            </w:hyperlink>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2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incorporated by reference to Exhibit 10.2 to the Registrant’s Current Report on Form 8-K filed December 23, 2021.</w:t>
              </w:r>
            </w:hyperlink>
          </w:p>
        </w:tc>
        <w:tc>
          <w:tcPr>
            <w:tcW w:w="1140" w:type="dxa"/>
            <w:vAlign w:val="bottom"/>
            <w:tcBorders>
              <w:top w:val="single" w:sz="8" w:color="0000FF"/>
            </w:tcBorders>
            <w:gridSpan w:val="8"/>
          </w:tcPr>
          <w:p>
            <w:pPr>
              <w:spacing w:after="0"/>
              <w:rPr>
                <w:sz w:val="15"/>
                <w:szCs w:val="15"/>
                <w:color w:val="auto"/>
              </w:rPr>
            </w:pPr>
          </w:p>
        </w:tc>
        <w:tc>
          <w:tcPr>
            <w:tcW w:w="120" w:type="dxa"/>
            <w:vAlign w:val="bottom"/>
            <w:gridSpan w:val="5"/>
          </w:tcPr>
          <w:p>
            <w:pPr>
              <w:spacing w:after="0"/>
              <w:rPr>
                <w:sz w:val="15"/>
                <w:szCs w:val="15"/>
                <w:color w:val="auto"/>
              </w:rPr>
            </w:pPr>
          </w:p>
        </w:tc>
        <w:tc>
          <w:tcPr>
            <w:tcW w:w="22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gridSpan w:val="3"/>
            <w:shd w:val="clear" w:color="auto" w:fill="CCEEFF"/>
          </w:tcPr>
          <w:p>
            <w:pPr>
              <w:jc w:val="center"/>
              <w:ind w:left="450"/>
              <w:spacing w:after="0" w:line="162" w:lineRule="exact"/>
              <w:rPr>
                <w:rFonts w:ascii="Arial" w:cs="Arial" w:eastAsia="Arial" w:hAnsi="Arial"/>
                <w:sz w:val="18"/>
                <w:szCs w:val="18"/>
                <w:color w:val="0000EE"/>
                <w:w w:val="85"/>
              </w:rPr>
            </w:pPr>
            <w:hyperlink r:id="rId124">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Subsidiaries of Tile Shop Holdings, Inc. – incorporated by reference to Exhibit 21.1 to the Registrant’s Annual Report on Form 10-K for</w:t>
              </w:r>
            </w:hyperlink>
          </w:p>
        </w:tc>
        <w:tc>
          <w:tcPr>
            <w:tcW w:w="0" w:type="dxa"/>
            <w:vAlign w:val="bottom"/>
          </w:tcPr>
          <w:p>
            <w:pPr>
              <w:spacing w:after="0"/>
              <w:rPr>
                <w:sz w:val="1"/>
                <w:szCs w:val="1"/>
                <w:color w:val="auto"/>
              </w:rPr>
            </w:pPr>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EE"/>
              <w:bottom w:val="single" w:sz="8" w:color="0000EE"/>
            </w:tcBorders>
            <w:gridSpan w:val="6"/>
            <w:shd w:val="clear" w:color="auto" w:fill="CCEEFF"/>
          </w:tcPr>
          <w:p>
            <w:pPr>
              <w:spacing w:after="0" w:line="169"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the year ended December 31, 2017.</w:t>
              </w:r>
            </w:hyperlink>
          </w:p>
        </w:tc>
        <w:tc>
          <w:tcPr>
            <w:tcW w:w="7280" w:type="dxa"/>
            <w:vAlign w:val="bottom"/>
            <w:tcBorders>
              <w:top w:val="single" w:sz="8" w:color="0000EE"/>
              <w:bottom w:val="single" w:sz="8" w:color="CCEEFF"/>
            </w:tcBorders>
            <w:gridSpan w:val="31"/>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gridSpan w:val="3"/>
          </w:tcPr>
          <w:p>
            <w:pPr>
              <w:jc w:val="center"/>
              <w:ind w:left="450"/>
              <w:spacing w:after="0" w:line="162" w:lineRule="exact"/>
              <w:rPr>
                <w:rFonts w:ascii="Arial" w:cs="Arial" w:eastAsia="Arial" w:hAnsi="Arial"/>
                <w:sz w:val="18"/>
                <w:szCs w:val="18"/>
                <w:color w:val="0000FF"/>
                <w:w w:val="85"/>
              </w:rPr>
            </w:pPr>
            <w:hyperlink w:anchor="page76">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rPr>
            </w:pPr>
            <w:hyperlink w:anchor="page76">
              <w:r>
                <w:rPr>
                  <w:rFonts w:ascii="Arial" w:cs="Arial" w:eastAsia="Arial" w:hAnsi="Arial"/>
                  <w:sz w:val="18"/>
                  <w:szCs w:val="18"/>
                  <w:color w:val="0000FF"/>
                </w:rPr>
                <w:t>Consent of Ernst &amp; Young LLP, independent registered public accounting firm – filed herewith.</w:t>
              </w:r>
            </w:hyperlink>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0" w:type="dxa"/>
            <w:vAlign w:val="bottom"/>
            <w:gridSpan w:val="3"/>
            <w:shd w:val="clear" w:color="auto" w:fill="CCEEFF"/>
          </w:tcPr>
          <w:p>
            <w:pPr>
              <w:jc w:val="center"/>
              <w:ind w:left="450"/>
              <w:spacing w:after="0" w:line="162" w:lineRule="exact"/>
              <w:rPr>
                <w:rFonts w:ascii="Arial" w:cs="Arial" w:eastAsia="Arial" w:hAnsi="Arial"/>
                <w:sz w:val="18"/>
                <w:szCs w:val="18"/>
                <w:color w:val="0000FF"/>
                <w:w w:val="85"/>
              </w:rPr>
            </w:pPr>
            <w:hyperlink w:anchor="page71">
              <w:r>
                <w:rPr>
                  <w:rFonts w:ascii="Arial" w:cs="Arial" w:eastAsia="Arial" w:hAnsi="Arial"/>
                  <w:sz w:val="18"/>
                  <w:szCs w:val="18"/>
                  <w:color w:val="0000FF"/>
                  <w:w w:val="85"/>
                </w:rPr>
                <w:t>24.</w:t>
              </w:r>
              <w:r>
                <w:rPr>
                  <w:rFonts w:ascii="Arial" w:cs="Arial" w:eastAsia="Arial" w:hAnsi="Arial"/>
                  <w:sz w:val="18"/>
                  <w:szCs w:val="18"/>
                  <w:u w:val="single" w:color="auto"/>
                  <w:color w:val="0000FF"/>
                  <w:w w:val="85"/>
                </w:rPr>
                <w:t>1</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FF"/>
              </w:rPr>
            </w:pPr>
            <w:hyperlink w:anchor="page71">
              <w:r>
                <w:rPr>
                  <w:rFonts w:ascii="Arial" w:cs="Arial" w:eastAsia="Arial" w:hAnsi="Arial"/>
                  <w:sz w:val="18"/>
                  <w:szCs w:val="18"/>
                  <w:color w:val="0000FF"/>
                </w:rPr>
                <w:t>Power of Attorney (included on the “Signatures” page of this Annual Report on Form 10-K) – filed herewith.</w:t>
              </w:r>
            </w:hyperlink>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0" w:type="dxa"/>
            <w:vAlign w:val="bottom"/>
            <w:gridSpan w:val="3"/>
          </w:tcPr>
          <w:p>
            <w:pPr>
              <w:jc w:val="center"/>
              <w:ind w:left="450"/>
              <w:spacing w:after="0" w:line="162" w:lineRule="exact"/>
              <w:rPr>
                <w:rFonts w:ascii="Arial" w:cs="Arial" w:eastAsia="Arial" w:hAnsi="Arial"/>
                <w:sz w:val="18"/>
                <w:szCs w:val="18"/>
                <w:color w:val="0000FF"/>
                <w:w w:val="85"/>
              </w:rPr>
            </w:pPr>
            <w:hyperlink w:anchor="page7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rPr>
            </w:pPr>
            <w:hyperlink w:anchor="page77">
              <w:r>
                <w:rPr>
                  <w:rFonts w:ascii="Arial" w:cs="Arial" w:eastAsia="Arial" w:hAnsi="Arial"/>
                  <w:sz w:val="18"/>
                  <w:szCs w:val="18"/>
                  <w:color w:val="0000FF"/>
                </w:rPr>
                <w:t>Certification by Chief Executive Officer Pursuant to Section 302 of the Sarbanes-Oxley Act of 2002 – filed herewith.</w:t>
              </w:r>
            </w:hyperlink>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0" w:type="dxa"/>
            <w:vAlign w:val="bottom"/>
            <w:gridSpan w:val="3"/>
            <w:shd w:val="clear" w:color="auto" w:fill="CCEEFF"/>
          </w:tcPr>
          <w:p>
            <w:pPr>
              <w:jc w:val="center"/>
              <w:ind w:left="450"/>
              <w:spacing w:after="0" w:line="162" w:lineRule="exact"/>
              <w:rPr>
                <w:rFonts w:ascii="Arial" w:cs="Arial" w:eastAsia="Arial" w:hAnsi="Arial"/>
                <w:sz w:val="18"/>
                <w:szCs w:val="18"/>
                <w:color w:val="0000FF"/>
                <w:w w:val="85"/>
              </w:rPr>
            </w:pPr>
            <w:hyperlink w:anchor="page7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FF"/>
              </w:rPr>
            </w:pPr>
            <w:hyperlink w:anchor="page78">
              <w:r>
                <w:rPr>
                  <w:rFonts w:ascii="Arial" w:cs="Arial" w:eastAsia="Arial" w:hAnsi="Arial"/>
                  <w:sz w:val="18"/>
                  <w:szCs w:val="18"/>
                  <w:color w:val="0000FF"/>
                </w:rPr>
                <w:t>Certification by Chief Financial Officer Pursuant to Section 302 of the Sarbanes-Oxley Act of 2002 – filed herewith.</w:t>
              </w:r>
            </w:hyperlink>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tcPr>
          <w:p>
            <w:pPr>
              <w:spacing w:after="0"/>
              <w:rPr>
                <w:sz w:val="14"/>
                <w:szCs w:val="14"/>
                <w:color w:val="auto"/>
              </w:rPr>
            </w:pPr>
          </w:p>
        </w:tc>
        <w:tc>
          <w:tcPr>
            <w:tcW w:w="500" w:type="dxa"/>
            <w:vAlign w:val="bottom"/>
            <w:gridSpan w:val="3"/>
          </w:tcPr>
          <w:p>
            <w:pPr>
              <w:jc w:val="center"/>
              <w:spacing w:after="0" w:line="162" w:lineRule="exact"/>
              <w:rPr>
                <w:rFonts w:ascii="Arial" w:cs="Arial" w:eastAsia="Arial" w:hAnsi="Arial"/>
                <w:sz w:val="18"/>
                <w:szCs w:val="18"/>
                <w:color w:val="0000FF"/>
              </w:rPr>
            </w:pPr>
            <w:hyperlink w:anchor="page7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FF"/>
              </w:rPr>
            </w:pPr>
            <w:hyperlink w:anchor="page79">
              <w:r>
                <w:rPr>
                  <w:rFonts w:ascii="Arial" w:cs="Arial" w:eastAsia="Arial" w:hAnsi="Arial"/>
                  <w:sz w:val="18"/>
                  <w:szCs w:val="18"/>
                  <w:color w:val="0000FF"/>
                </w:rPr>
                <w:t>Certification by Chief Executive Officer Pursuant to Section 906 of the Sarbanes-Oxley Act of 2002 – furnished herewith.</w:t>
              </w:r>
            </w:hyperlink>
          </w:p>
        </w:tc>
        <w:tc>
          <w:tcPr>
            <w:tcW w:w="0" w:type="dxa"/>
            <w:vAlign w:val="bottom"/>
          </w:tcPr>
          <w:p>
            <w:pPr>
              <w:spacing w:after="0"/>
              <w:rPr>
                <w:sz w:val="1"/>
                <w:szCs w:val="1"/>
                <w:color w:val="auto"/>
              </w:rPr>
            </w:pPr>
          </w:p>
        </w:tc>
      </w:tr>
      <w:tr>
        <w:trPr>
          <w:trHeight w:val="169"/>
        </w:trPr>
        <w:tc>
          <w:tcPr>
            <w:tcW w:w="4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0000FF"/>
            </w:tcBorders>
            <w:gridSpan w:val="3"/>
            <w:shd w:val="clear" w:color="auto" w:fill="CCEEFF"/>
          </w:tcPr>
          <w:p>
            <w:pPr>
              <w:jc w:val="center"/>
              <w:spacing w:after="0" w:line="162" w:lineRule="exact"/>
              <w:rPr>
                <w:rFonts w:ascii="Arial" w:cs="Arial" w:eastAsia="Arial" w:hAnsi="Arial"/>
                <w:sz w:val="18"/>
                <w:szCs w:val="18"/>
                <w:color w:val="0000FF"/>
              </w:rPr>
            </w:pPr>
            <w:hyperlink w:anchor="page80">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760" w:type="dxa"/>
            <w:vAlign w:val="bottom"/>
            <w:tcBorders>
              <w:top w:val="single" w:sz="8" w:color="0000FF"/>
              <w:bottom w:val="single" w:sz="8" w:color="0000FF"/>
            </w:tcBorders>
            <w:gridSpan w:val="18"/>
            <w:shd w:val="clear" w:color="auto" w:fill="CCEEFF"/>
          </w:tcPr>
          <w:p>
            <w:pPr>
              <w:spacing w:after="0" w:line="162"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Certification by Chief Financial Officer Pursuant to Section 906 of the Sarbanes-Oxley Act of 2002 – furnished herewith.</w:t>
              </w:r>
            </w:hyperlink>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19"/>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gridSpan w:val="3"/>
          </w:tcPr>
          <w:p>
            <w:pPr>
              <w:jc w:val="center"/>
              <w:ind w:left="450"/>
              <w:spacing w:after="0" w:line="162" w:lineRule="exact"/>
              <w:rPr>
                <w:rFonts w:ascii="Arial" w:cs="Arial" w:eastAsia="Arial" w:hAnsi="Arial"/>
                <w:sz w:val="18"/>
                <w:szCs w:val="18"/>
                <w:color w:val="0000EE"/>
                <w:w w:val="85"/>
              </w:rPr>
            </w:pPr>
            <w:hyperlink r:id="rId12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gridSpan w:val="38"/>
          </w:tcPr>
          <w:p>
            <w:pPr>
              <w:spacing w:after="0" w:line="162" w:lineRule="exact"/>
              <w:rPr>
                <w:rFonts w:ascii="Arial" w:cs="Arial" w:eastAsia="Arial" w:hAnsi="Arial"/>
                <w:sz w:val="18"/>
                <w:szCs w:val="18"/>
                <w:color w:val="0000EE"/>
                <w:w w:val="95"/>
              </w:rPr>
            </w:pPr>
            <w:hyperlink r:id="rId125">
              <w:r>
                <w:rPr>
                  <w:rFonts w:ascii="Arial" w:cs="Arial" w:eastAsia="Arial" w:hAnsi="Arial"/>
                  <w:sz w:val="18"/>
                  <w:szCs w:val="18"/>
                  <w:color w:val="0000EE"/>
                  <w:w w:val="95"/>
                </w:rPr>
                <w:t>Director Standstill Commitment – incorporated by reference to Exhibit 99.1 to the Registrant’s Current Report on Form 8-K filed on</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80" w:type="dxa"/>
            <w:vAlign w:val="bottom"/>
            <w:tcBorders>
              <w:top w:val="single" w:sz="8" w:color="0000EE"/>
            </w:tcBorders>
            <w:gridSpan w:val="28"/>
          </w:tcPr>
          <w:p>
            <w:pPr>
              <w:spacing w:after="0" w:line="169" w:lineRule="exact"/>
              <w:rPr>
                <w:rFonts w:ascii="Arial" w:cs="Arial" w:eastAsia="Arial" w:hAnsi="Arial"/>
                <w:sz w:val="18"/>
                <w:szCs w:val="18"/>
                <w:color w:val="0000EE"/>
              </w:rPr>
            </w:pPr>
            <w:hyperlink r:id="rId125">
              <w:r>
                <w:rPr>
                  <w:rFonts w:ascii="Arial" w:cs="Arial" w:eastAsia="Arial" w:hAnsi="Arial"/>
                  <w:sz w:val="18"/>
                  <w:szCs w:val="18"/>
                  <w:color w:val="0000EE"/>
                </w:rPr>
                <w:t>January 13, 2020.</w:t>
              </w:r>
            </w:hyperlink>
          </w:p>
        </w:tc>
        <w:tc>
          <w:tcPr>
            <w:tcW w:w="22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0" w:type="dxa"/>
            <w:vAlign w:val="bottom"/>
            <w:gridSpan w:val="3"/>
            <w:shd w:val="clear" w:color="auto" w:fill="CCEEFF"/>
          </w:tcPr>
          <w:p>
            <w:pPr>
              <w:jc w:val="center"/>
              <w:ind w:left="450"/>
              <w:spacing w:after="0" w:line="162" w:lineRule="exact"/>
              <w:rPr>
                <w:rFonts w:ascii="Arial" w:cs="Arial" w:eastAsia="Arial" w:hAnsi="Arial"/>
                <w:sz w:val="18"/>
                <w:szCs w:val="18"/>
                <w:color w:val="0000EE"/>
                <w:w w:val="85"/>
              </w:rPr>
            </w:pPr>
            <w:hyperlink r:id="rId12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60" w:type="dxa"/>
            <w:vAlign w:val="bottom"/>
            <w:gridSpan w:val="38"/>
            <w:shd w:val="clear" w:color="auto" w:fill="CCEEFF"/>
          </w:tcPr>
          <w:p>
            <w:pPr>
              <w:spacing w:after="0" w:line="162"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Stipulation of Settlement, dated August 7, 2020 – incorporated by reference to Exhibit 99.1 to the Registrant’s Current Report on Form</w:t>
              </w:r>
            </w:hyperlink>
          </w:p>
        </w:tc>
        <w:tc>
          <w:tcPr>
            <w:tcW w:w="0" w:type="dxa"/>
            <w:vAlign w:val="bottom"/>
          </w:tcPr>
          <w:p>
            <w:pPr>
              <w:spacing w:after="0"/>
              <w:rPr>
                <w:sz w:val="1"/>
                <w:szCs w:val="1"/>
                <w:color w:val="auto"/>
              </w:rPr>
            </w:pPr>
          </w:p>
        </w:tc>
      </w:tr>
      <w:tr>
        <w:trPr>
          <w:trHeight w:val="176"/>
        </w:trPr>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0000EE"/>
              <w:bottom w:val="single" w:sz="8" w:color="0000EE"/>
            </w:tcBorders>
            <w:gridSpan w:val="3"/>
            <w:shd w:val="clear" w:color="auto" w:fill="CCEEFF"/>
          </w:tcPr>
          <w:p>
            <w:pPr>
              <w:spacing w:after="0" w:line="169"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8-K filed on August 7, 2020.</w:t>
              </w:r>
            </w:hyperlink>
          </w:p>
        </w:tc>
        <w:tc>
          <w:tcPr>
            <w:tcW w:w="7720" w:type="dxa"/>
            <w:vAlign w:val="bottom"/>
            <w:tcBorders>
              <w:top w:val="single" w:sz="8" w:color="0000EE"/>
              <w:bottom w:val="single" w:sz="8" w:color="CCEEFF"/>
            </w:tcBorders>
            <w:gridSpan w:val="3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9"/>
          </w:tcPr>
          <w:p>
            <w:pPr>
              <w:ind w:left="416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left="1380" w:right="40" w:hanging="819"/>
        <w:spacing w:after="0" w:line="256" w:lineRule="auto"/>
        <w:tabs>
          <w:tab w:leader="none" w:pos="13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statements from the Annual Report on Form 10-K for the year ended December 31, 2021 are formatted in iXBRL (Inline eXtensible Business Reporting Language): (i) Consolidated Balance Sheets, (ii) Consolidated Statements of Operations,</w:t>
      </w:r>
    </w:p>
    <w:p>
      <w:pPr>
        <w:spacing w:after="0" w:line="1" w:lineRule="exact"/>
        <w:rPr>
          <w:sz w:val="20"/>
          <w:szCs w:val="20"/>
          <w:color w:val="auto"/>
        </w:rPr>
      </w:pPr>
    </w:p>
    <w:p>
      <w:pPr>
        <w:ind w:left="1380" w:firstLine="5"/>
        <w:spacing w:after="0" w:line="219" w:lineRule="auto"/>
        <w:tabs>
          <w:tab w:leader="none" w:pos="1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(iv) Consolidated Statements of Stockholders’ Equity, (v) Consolidated Statements of Cash Flows, and (vi) the Notes to Consolidated Financial Statements – filed herewith.</w:t>
      </w:r>
    </w:p>
    <w:p>
      <w:pPr>
        <w:ind w:left="56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rPr>
          <w:sz w:val="20"/>
          <w:szCs w:val="20"/>
          <w:color w:val="auto"/>
        </w:rPr>
      </w:pPr>
      <w:r>
        <w:rPr>
          <w:rFonts w:ascii="Arial" w:cs="Arial" w:eastAsia="Arial" w:hAnsi="Arial"/>
          <w:sz w:val="18"/>
          <w:szCs w:val="18"/>
          <w:color w:val="auto"/>
        </w:rPr>
        <w:t>*Management compensatory plan or arrangement.</w:t>
      </w:r>
    </w:p>
    <w:p>
      <w:pPr>
        <w:spacing w:after="0" w:line="15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**These certifications are not deemed filed with the Securities and Exchange Commission and are not to be incorporated by reference in any filing we make under the Securities Act of 1933, as amended, or the Exchange Act.</w:t>
      </w:r>
    </w:p>
    <w:p>
      <w:pPr>
        <w:spacing w:after="0" w:line="143" w:lineRule="exact"/>
        <w:rPr>
          <w:sz w:val="20"/>
          <w:szCs w:val="20"/>
          <w:color w:val="auto"/>
        </w:rPr>
      </w:pPr>
    </w:p>
    <w:p>
      <w:pPr>
        <w:ind w:right="140" w:firstLine="8"/>
        <w:spacing w:after="0" w:line="246"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Regulation S-K, Item 601(a)(5). The Company will provide a copy of any omitted schedule or exhibit to the Securities and Exchange Commission or its staff upon request.</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520" w:type="dxa"/>
            <w:vAlign w:val="bottom"/>
          </w:tcPr>
          <w:p>
            <w:pPr>
              <w:spacing w:after="0"/>
              <w:rPr>
                <w:sz w:val="20"/>
                <w:szCs w:val="20"/>
                <w:color w:val="auto"/>
              </w:rPr>
            </w:pPr>
            <w:r>
              <w:rPr>
                <w:rFonts w:ascii="Arial" w:cs="Arial" w:eastAsia="Arial" w:hAnsi="Arial"/>
                <w:sz w:val="18"/>
                <w:szCs w:val="18"/>
                <w:color w:val="auto"/>
              </w:rPr>
              <w:t>Date: March 3, 2022</w:t>
            </w:r>
          </w:p>
        </w:tc>
        <w:tc>
          <w:tcPr>
            <w:tcW w:w="514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CABELL H. LOLMAUGH</w:t>
            </w:r>
          </w:p>
        </w:tc>
      </w:tr>
      <w:tr>
        <w:trPr>
          <w:trHeight w:val="222"/>
        </w:trPr>
        <w:tc>
          <w:tcPr>
            <w:tcW w:w="35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Cabell H. Lolmaugh</w:t>
            </w:r>
          </w:p>
        </w:tc>
      </w:tr>
      <w:tr>
        <w:trPr>
          <w:trHeight w:val="230"/>
        </w:trPr>
        <w:tc>
          <w:tcPr>
            <w:tcW w:w="3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378"/>
        </w:trPr>
        <w:tc>
          <w:tcPr>
            <w:tcW w:w="3520" w:type="dxa"/>
            <w:vAlign w:val="bottom"/>
          </w:tcPr>
          <w:p>
            <w:pPr>
              <w:spacing w:after="0"/>
              <w:rPr>
                <w:sz w:val="24"/>
                <w:szCs w:val="24"/>
                <w:color w:val="auto"/>
              </w:rPr>
            </w:pPr>
          </w:p>
        </w:tc>
        <w:tc>
          <w:tcPr>
            <w:tcW w:w="5140" w:type="dxa"/>
            <w:vAlign w:val="bottom"/>
          </w:tcPr>
          <w:p>
            <w:pPr>
              <w:jc w:val="right"/>
              <w:ind w:right="2850"/>
              <w:spacing w:after="0"/>
              <w:rPr>
                <w:sz w:val="20"/>
                <w:szCs w:val="20"/>
                <w:color w:val="auto"/>
              </w:rPr>
            </w:pPr>
            <w:r>
              <w:rPr>
                <w:rFonts w:ascii="Arial" w:cs="Arial" w:eastAsia="Arial" w:hAnsi="Arial"/>
                <w:sz w:val="18"/>
                <w:szCs w:val="18"/>
                <w:color w:val="auto"/>
              </w:rPr>
              <w:t>67</w:t>
            </w:r>
          </w:p>
        </w:tc>
        <w:tc>
          <w:tcPr>
            <w:tcW w:w="2580" w:type="dxa"/>
            <w:vAlign w:val="bottom"/>
          </w:tcPr>
          <w:p>
            <w:pPr>
              <w:spacing w:after="0"/>
              <w:rPr>
                <w:sz w:val="24"/>
                <w:szCs w:val="24"/>
                <w:color w:val="auto"/>
              </w:rPr>
            </w:pPr>
          </w:p>
        </w:tc>
      </w:tr>
      <w:tr>
        <w:trPr>
          <w:trHeight w:val="318"/>
        </w:trPr>
        <w:tc>
          <w:tcPr>
            <w:tcW w:w="35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622"/>
        <w:spacing w:after="0" w:line="225" w:lineRule="auto"/>
        <w:rPr>
          <w:sz w:val="20"/>
          <w:szCs w:val="20"/>
          <w:color w:val="auto"/>
        </w:rPr>
      </w:pPr>
      <w:r>
        <w:rPr>
          <w:rFonts w:ascii="Arial" w:cs="Arial" w:eastAsia="Arial" w:hAnsi="Arial"/>
          <w:sz w:val="18"/>
          <w:szCs w:val="18"/>
          <w:color w:val="auto"/>
        </w:rPr>
        <w:t>Each person whose signature appears below constitutes CABELL H. LOLMAUGH, KARLA LUNAN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w:t>
      </w:r>
    </w:p>
    <w:p>
      <w:pPr>
        <w:spacing w:after="0" w:line="154" w:lineRule="exact"/>
        <w:rPr>
          <w:sz w:val="20"/>
          <w:szCs w:val="20"/>
          <w:color w:val="auto"/>
        </w:rPr>
      </w:pPr>
    </w:p>
    <w:p>
      <w:pPr>
        <w:ind w:right="180" w:firstLine="622"/>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19"/>
                <w:szCs w:val="19"/>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44"/>
        </w:trPr>
        <w:tc>
          <w:tcPr>
            <w:tcW w:w="3500" w:type="dxa"/>
            <w:vAlign w:val="bottom"/>
          </w:tcPr>
          <w:p>
            <w:pPr>
              <w:spacing w:after="0"/>
              <w:rPr>
                <w:sz w:val="20"/>
                <w:szCs w:val="20"/>
                <w:color w:val="auto"/>
              </w:rPr>
            </w:pPr>
            <w:r>
              <w:rPr>
                <w:rFonts w:ascii="Arial" w:cs="Arial" w:eastAsia="Arial" w:hAnsi="Arial"/>
                <w:sz w:val="18"/>
                <w:szCs w:val="18"/>
                <w:color w:val="auto"/>
              </w:rPr>
              <w:t>/s/ CABELL H. LOLMAUGH</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Executive Officer,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Cabell H. Lolmaugh</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auto"/>
              </w:rPr>
              <w:t>/s/ KARLA LUNAN</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Senior Vice President and 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(Principal Financial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Karla Lunan</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auto"/>
              </w:rPr>
              <w:t>/s/ MARK B. DAVIS</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Vice President, Investor Relations, and Chief</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Accounting Officer (Principal Accounting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B. Davis</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 KAMIN</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 and Chairman of the Board of Directors</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Peter H. Kamin</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BONNEY</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J. Bonney</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K. GLASSER</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Deborah K. Glasser</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JACULLO, III</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Peter J. Jacullo, III</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SOLHEID</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Linda Solheid</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3500" w:type="dxa"/>
            <w:vAlign w:val="bottom"/>
          </w:tcPr>
          <w:p>
            <w:pPr>
              <w:spacing w:after="0"/>
              <w:rPr>
                <w:sz w:val="24"/>
                <w:szCs w:val="24"/>
                <w:color w:val="auto"/>
              </w:rPr>
            </w:pPr>
          </w:p>
        </w:tc>
        <w:tc>
          <w:tcPr>
            <w:tcW w:w="5320" w:type="dxa"/>
            <w:vAlign w:val="bottom"/>
            <w:gridSpan w:val="2"/>
          </w:tcPr>
          <w:p>
            <w:pPr>
              <w:jc w:val="right"/>
              <w:ind w:right="30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71" w:name="page72"/>
    <w:bookmarkEnd w:id="71"/>
    <w:p>
      <w:pPr>
        <w:jc w:val="right"/>
        <w:ind w:right="199"/>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TILE SHOP HOLDINGS, INC. COMMON STOCK</w:t>
      </w:r>
    </w:p>
    <w:p>
      <w:pPr>
        <w:spacing w:after="0" w:line="229" w:lineRule="exact"/>
        <w:rPr>
          <w:sz w:val="20"/>
          <w:szCs w:val="20"/>
          <w:color w:val="auto"/>
        </w:rPr>
      </w:pPr>
    </w:p>
    <w:p>
      <w:pPr>
        <w:ind w:left="180" w:right="239"/>
        <w:spacing w:after="0" w:line="255" w:lineRule="auto"/>
        <w:rPr>
          <w:sz w:val="20"/>
          <w:szCs w:val="20"/>
          <w:color w:val="auto"/>
        </w:rPr>
      </w:pPr>
      <w:r>
        <w:rPr>
          <w:rFonts w:ascii="Arial" w:cs="Arial" w:eastAsia="Arial" w:hAnsi="Arial"/>
          <w:sz w:val="18"/>
          <w:szCs w:val="18"/>
          <w:i w:val="1"/>
          <w:iCs w:val="1"/>
          <w:color w:val="auto"/>
        </w:rPr>
        <w:t>The following summarizes the terms and provisions of the common stock of Tile Shop Holdings, Inc., a Delaware corporation (the “Company”), which common stock is registered under Section 12 of the Securities Exchange Act of 1934, as amended (the “Exchange Act”). The following summary does not purport to be complete and is qualified in its entirety by reference to the Company’s Certificate of Incorporation, as amended (the “Certificate of Incorporation”), and By-Laws, which the Company has previously filed with the Securities and Exchange Commission, and applicable Delaware law.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ind w:left="180" w:right="299"/>
        <w:spacing w:after="0" w:line="342" w:lineRule="auto"/>
        <w:rPr>
          <w:sz w:val="20"/>
          <w:szCs w:val="20"/>
          <w:color w:val="auto"/>
        </w:rPr>
      </w:pPr>
      <w:r>
        <w:rPr>
          <w:rFonts w:ascii="Arial" w:cs="Arial" w:eastAsia="Arial" w:hAnsi="Arial"/>
          <w:sz w:val="16"/>
          <w:szCs w:val="16"/>
          <w:color w:val="auto"/>
        </w:rPr>
        <w:t>The Company’s authorized capital stock consists of 100,000,000 shares of common stock, $0.0001 par value per share (the “Common Stock”), and 10,000,000 shares of preferred stock, $0.0001 par value per share (the “Preferred Stock”).</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 Delaware law, stockholders generally are not personally liable for a corporation’s acts or debts.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left="180" w:right="379"/>
        <w:spacing w:after="0" w:line="263" w:lineRule="auto"/>
        <w:rPr>
          <w:sz w:val="20"/>
          <w:szCs w:val="20"/>
          <w:color w:val="auto"/>
        </w:rPr>
      </w:pPr>
      <w:r>
        <w:rPr>
          <w:rFonts w:ascii="Arial" w:cs="Arial" w:eastAsia="Arial" w:hAnsi="Arial"/>
          <w:sz w:val="18"/>
          <w:szCs w:val="18"/>
          <w:color w:val="auto"/>
        </w:rPr>
        <w:t>Subject to preferences that may be applicable to any then-outstanding shares of Preferred Stock, the holders of Common Stock are entitled to receive such dividends, if any, as may be declared from time to time by the Company’s Board of Directors out of legally available funds.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80" w:right="259"/>
        <w:spacing w:after="0" w:line="291" w:lineRule="auto"/>
        <w:rPr>
          <w:sz w:val="20"/>
          <w:szCs w:val="20"/>
          <w:color w:val="auto"/>
        </w:rPr>
      </w:pPr>
      <w:r>
        <w:rPr>
          <w:rFonts w:ascii="Arial" w:cs="Arial" w:eastAsia="Arial" w:hAnsi="Arial"/>
          <w:sz w:val="16"/>
          <w:szCs w:val="16"/>
          <w:color w:val="auto"/>
        </w:rPr>
        <w:t>Holders of Common Stock are entitled to one vote for each share held of record on all matters to be voted on by the stockholders, including the election of directors. There is no cumulative voting with respect to the election of directors. Directors are elected by a plurality of the votes cast by the holders of Common Stock. Except as otherwise required by law or the Company’s Certificate of Incorporation or By-Laws, all other matters brought to a vote of the holders of Common Stock are determined by a majority in voting power of the votes cast by the holders of all shares of stock present or represented at the stockholder meeting and, except as may be provided with respect to any other outstanding class or series of the Company’s stock, the holders of shares of Common Stock possess the exclusive voting power.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left="180" w:right="259"/>
        <w:spacing w:after="0" w:line="259" w:lineRule="auto"/>
        <w:rPr>
          <w:sz w:val="20"/>
          <w:szCs w:val="20"/>
          <w:color w:val="auto"/>
        </w:rPr>
      </w:pPr>
      <w:r>
        <w:rPr>
          <w:rFonts w:ascii="Arial" w:cs="Arial" w:eastAsia="Arial" w:hAnsi="Arial"/>
          <w:sz w:val="18"/>
          <w:szCs w:val="18"/>
          <w:color w:val="auto"/>
        </w:rPr>
        <w:t>In the event of the Company’s liquidation, dissolution or winding up, the holders of Common Stock will be entitled to share ratably in the net assets legally available for distribution to stockholders after the payment of all of the Company’s known debts and other liabilities and the satisfaction of any liquidation preference granted to the holders of any then-outstanding shares of Preferred Stock.</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ind w:left="180" w:right="199"/>
        <w:spacing w:after="0" w:line="257" w:lineRule="auto"/>
        <w:rPr>
          <w:sz w:val="20"/>
          <w:szCs w:val="20"/>
          <w:color w:val="auto"/>
        </w:rPr>
      </w:pPr>
      <w:r>
        <w:rPr>
          <w:rFonts w:ascii="Arial" w:cs="Arial" w:eastAsia="Arial" w:hAnsi="Arial"/>
          <w:sz w:val="18"/>
          <w:szCs w:val="18"/>
          <w:color w:val="auto"/>
        </w:rPr>
        <w:t>All outstanding shares of Common Stock are duly authorized, fully paid and non-assessable. 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Exchange Listing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is listed on The Nasdaq Stock Market LLC under the symbol “TTSH.”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276225</wp:posOffset>
            </wp:positionV>
            <wp:extent cx="552894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80" w:right="199"/>
        <w:spacing w:after="0" w:line="270" w:lineRule="auto"/>
        <w:rPr>
          <w:sz w:val="20"/>
          <w:szCs w:val="20"/>
          <w:color w:val="auto"/>
        </w:rPr>
      </w:pPr>
      <w:r>
        <w:rPr>
          <w:rFonts w:ascii="Arial" w:cs="Arial" w:eastAsia="Arial" w:hAnsi="Arial"/>
          <w:sz w:val="17"/>
          <w:szCs w:val="17"/>
          <w:color w:val="auto"/>
        </w:rPr>
        <w:t>The Board of Directors has the authority, without further action by the holders of Common Stock,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the Company or other corporate action. The Company has no outstanding shares of Preferred Stock.</w:t>
      </w:r>
    </w:p>
    <w:p>
      <w:pPr>
        <w:spacing w:after="0" w:line="177" w:lineRule="exact"/>
        <w:rPr>
          <w:sz w:val="20"/>
          <w:szCs w:val="20"/>
          <w:color w:val="auto"/>
        </w:rPr>
      </w:pPr>
    </w:p>
    <w:p>
      <w:pPr>
        <w:ind w:left="180" w:right="379"/>
        <w:spacing w:after="0" w:line="282" w:lineRule="auto"/>
        <w:rPr>
          <w:sz w:val="20"/>
          <w:szCs w:val="20"/>
          <w:color w:val="auto"/>
        </w:rPr>
      </w:pPr>
      <w:r>
        <w:rPr>
          <w:rFonts w:ascii="Arial" w:cs="Arial" w:eastAsia="Arial" w:hAnsi="Arial"/>
          <w:sz w:val="18"/>
          <w:szCs w:val="18"/>
          <w:b w:val="1"/>
          <w:bCs w:val="1"/>
          <w:color w:val="auto"/>
        </w:rPr>
        <w:t>Anti-Takeover Effects of Provisions of Delaware Law and the Company’s Certificate of Incorporation and By-Laws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left="180" w:right="499"/>
        <w:spacing w:after="0" w:line="290" w:lineRule="auto"/>
        <w:rPr>
          <w:sz w:val="20"/>
          <w:szCs w:val="20"/>
          <w:color w:val="auto"/>
        </w:rPr>
      </w:pPr>
      <w:r>
        <w:rPr>
          <w:rFonts w:ascii="Arial" w:cs="Arial" w:eastAsia="Arial" w:hAnsi="Arial"/>
          <w:sz w:val="16"/>
          <w:szCs w:val="16"/>
          <w:color w:val="auto"/>
        </w:rPr>
        <w:t>The Company’s Certificate of Incorporation provides for the Company’s Board of Directors to be divided into three classes with staggered three-year terms. Only one class of directors will be elected at each annual meeting of stockholders, with the other classes continuing for the remainder of their respective three-year terms. Because the Company’s stockholders do not have cumulative voting rights, its stockholders holding a majority of the shares of Common Stock outstanding will be able to elect all of its directors. The Company’s Certificate of Incorporation and By-Laws provide that all stockholder actions must be effected at a duly called meeting of stockholders and not by a consent in writing, and that only the Company’s Board of Directors, Chairperson of the Board of Directors, Chief Executive Officer or President may call a special meeting of stockholders.</w:t>
      </w:r>
    </w:p>
    <w:p>
      <w:pPr>
        <w:spacing w:after="0" w:line="165" w:lineRule="exact"/>
        <w:rPr>
          <w:sz w:val="20"/>
          <w:szCs w:val="20"/>
          <w:color w:val="auto"/>
        </w:rPr>
      </w:pPr>
    </w:p>
    <w:p>
      <w:pPr>
        <w:ind w:left="180" w:right="219"/>
        <w:spacing w:after="0" w:line="284" w:lineRule="auto"/>
        <w:rPr>
          <w:sz w:val="20"/>
          <w:szCs w:val="20"/>
          <w:color w:val="auto"/>
        </w:rPr>
      </w:pPr>
      <w:r>
        <w:rPr>
          <w:rFonts w:ascii="Arial" w:cs="Arial" w:eastAsia="Arial" w:hAnsi="Arial"/>
          <w:sz w:val="16"/>
          <w:szCs w:val="16"/>
          <w:color w:val="auto"/>
        </w:rPr>
        <w:t>The Company’s Certificate of Incorporation provides that certain provisions of the Company’s Certificate of Incorporation, including those relating to the issuance of Preferred Stock, classification of the Board of Directors, and the inability of the stockholders to take action by written consent or call a special meeting, may only be altered, amended, repealed or replaced only with the affirmative vote of the holders of at least 75% of the voting power of all of the then-outstanding shares of capital stock of the Company entitled to vote generally in the election of directors. The Company’s Certificate of Incorporation and By-Laws further provide that the Company’s By-Laws may be altered, amended, repealed or replaced by the Board of Directors without stockholder approval, to the extent permitted by law; provided, however, that the stockholders may amend the By-Laws with the affirmative vote of the holders of at least 75% of the voting power of all of the then-outstanding shares of capital stock of the Company entitled to vote generally in the election of directors. The Company’s Certificate of Incorporation and By-Laws also provide that stockholders may only remove a director for cause and only by the affirmative vote of the holders of at least 75% of the voting power of all of the then-outstanding shares of capital stock of the Company entitled to vote generally in the election of directors. The Company’s Certificate of Incorporation and By-Laws allow the Company’s directors to establish the size of the Board of Directors and fill vacancies on the Board, including those created by an increase in the number of directors (subject to the rights of the holders of any series of Preferred Stock to elect additional directors under specified circumstances). The Company’s By-Laws establish advance notice procedures for stockholders to submit proposals and nominations of candidates for election to the Board of Directors to be brought before a stockholders’ meeting. The combination of the classification of the Board of Directors, the lack of cumulative voting or the ability of stockholders to take action by written consent or call a special meeting, the 75% stockholder voting requirements, the limitations on removing directors without cause, the ability of the Board of Directors to fill vacancies, and the advance notice provisions make it difficult for the Company’s existing stockholders to replace its Board of Directors, as well as for another party to obtain control of the Company by replacing its Board of Directors. Because the Company’s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the Company’s control.</w:t>
      </w:r>
    </w:p>
    <w:p>
      <w:pPr>
        <w:spacing w:after="0" w:line="171" w:lineRule="exact"/>
        <w:rPr>
          <w:sz w:val="20"/>
          <w:szCs w:val="20"/>
          <w:color w:val="auto"/>
        </w:rPr>
      </w:pPr>
    </w:p>
    <w:p>
      <w:pPr>
        <w:ind w:left="180" w:right="299"/>
        <w:spacing w:after="0" w:line="342" w:lineRule="auto"/>
        <w:rPr>
          <w:sz w:val="20"/>
          <w:szCs w:val="20"/>
          <w:color w:val="auto"/>
        </w:rPr>
      </w:pPr>
      <w:r>
        <w:rPr>
          <w:rFonts w:ascii="Arial" w:cs="Arial" w:eastAsia="Arial" w:hAnsi="Arial"/>
          <w:sz w:val="16"/>
          <w:szCs w:val="16"/>
          <w:color w:val="auto"/>
        </w:rPr>
        <w:t>In addition, the Certificate of Incorporation provides that, pursuant to the Stipulation of Settlement, dated as of August 7, 2020 (the “Stipulation”), an Independent Transaction Committee of the Board of Directors is empowered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70485</wp:posOffset>
            </wp:positionV>
            <wp:extent cx="552894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ind w:left="180" w:right="199"/>
        <w:spacing w:after="0" w:line="269" w:lineRule="auto"/>
        <w:rPr>
          <w:sz w:val="20"/>
          <w:szCs w:val="20"/>
          <w:color w:val="auto"/>
        </w:rPr>
      </w:pPr>
      <w:r>
        <w:rPr>
          <w:rFonts w:ascii="Arial" w:cs="Arial" w:eastAsia="Arial" w:hAnsi="Arial"/>
          <w:sz w:val="17"/>
          <w:szCs w:val="17"/>
          <w:color w:val="auto"/>
        </w:rPr>
        <w:t>to review, assess and negotiate certain transactions requiring approval of the Board of Directors (as further described in the Certificate of Incorporation). Requiring approval of certain transactions by the Independent Transaction Committee may deter third parties, which may include the Company’s current or former directors or officers (or parties affiliated with them), from proposing transactions covered by such approval requirements. Such approval requirements may further deter, delay, and/or make it more difficult to complete such transactions even when some or a substantial portion of the Company’s stockholders may otherwise consider them to be in their best interests and in the best interests of the Company, including transactions that might result in a premium over the market price for shares of the Common Stock. In addition, such approval requirements may deter, delay, and/or make it more difficult to complete any such transactions or certain other corporate actions, such as de-staggering of the Board of Directors, that might otherwise make a change of control easier to accomplish.</w:t>
      </w:r>
    </w:p>
    <w:p>
      <w:pPr>
        <w:spacing w:after="0" w:line="185" w:lineRule="exact"/>
        <w:rPr>
          <w:sz w:val="20"/>
          <w:szCs w:val="20"/>
          <w:color w:val="auto"/>
        </w:rPr>
      </w:pPr>
    </w:p>
    <w:p>
      <w:pPr>
        <w:ind w:left="180" w:right="1019"/>
        <w:spacing w:after="0" w:line="277" w:lineRule="auto"/>
        <w:rPr>
          <w:sz w:val="20"/>
          <w:szCs w:val="20"/>
          <w:color w:val="auto"/>
        </w:rPr>
      </w:pPr>
      <w:r>
        <w:rPr>
          <w:rFonts w:ascii="Arial" w:cs="Arial" w:eastAsia="Arial" w:hAnsi="Arial"/>
          <w:sz w:val="18"/>
          <w:szCs w:val="18"/>
          <w:color w:val="auto"/>
        </w:rPr>
        <w:t>The provisions described above may have the effect of deterring hostile takeovers or delaying changes in the Company’s control or management.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Delaware Anti-Takeover Law</w:t>
      </w:r>
    </w:p>
    <w:p>
      <w:pPr>
        <w:spacing w:after="0" w:line="225" w:lineRule="exact"/>
        <w:rPr>
          <w:sz w:val="20"/>
          <w:szCs w:val="20"/>
          <w:color w:val="auto"/>
        </w:rPr>
      </w:pPr>
    </w:p>
    <w:p>
      <w:pPr>
        <w:ind w:left="180" w:right="259"/>
        <w:spacing w:after="0" w:line="311" w:lineRule="auto"/>
        <w:rPr>
          <w:sz w:val="20"/>
          <w:szCs w:val="20"/>
          <w:color w:val="auto"/>
        </w:rPr>
      </w:pPr>
      <w:r>
        <w:rPr>
          <w:rFonts w:ascii="Arial" w:cs="Arial" w:eastAsia="Arial" w:hAnsi="Arial"/>
          <w:sz w:val="16"/>
          <w:szCs w:val="16"/>
          <w:color w:val="auto"/>
        </w:rPr>
        <w:t>The Company is subject to Section 203 of the Delaware General Corporation Law (“Section 203”),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49" w:lineRule="exact"/>
        <w:rPr>
          <w:sz w:val="20"/>
          <w:szCs w:val="20"/>
          <w:color w:val="auto"/>
        </w:rPr>
      </w:pPr>
    </w:p>
    <w:p>
      <w:pPr>
        <w:ind w:left="840" w:right="699" w:hanging="332"/>
        <w:spacing w:after="0" w:line="342"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to the date of the transaction, the board of directors of the corporation approved either the business combination or the transaction that resulted in the stockholder becoming an interested stockholder;</w:t>
      </w:r>
    </w:p>
    <w:p>
      <w:pPr>
        <w:spacing w:after="0" w:line="123" w:lineRule="exact"/>
        <w:rPr>
          <w:rFonts w:ascii="Arial" w:cs="Arial" w:eastAsia="Arial" w:hAnsi="Arial"/>
          <w:sz w:val="16"/>
          <w:szCs w:val="16"/>
          <w:color w:val="auto"/>
        </w:rPr>
      </w:pPr>
    </w:p>
    <w:p>
      <w:pPr>
        <w:ind w:left="840" w:right="319" w:hanging="332"/>
        <w:spacing w:after="0" w:line="272"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7" w:lineRule="exact"/>
        <w:rPr>
          <w:rFonts w:ascii="Arial" w:cs="Arial" w:eastAsia="Arial" w:hAnsi="Arial"/>
          <w:sz w:val="17"/>
          <w:szCs w:val="17"/>
          <w:color w:val="auto"/>
        </w:rPr>
      </w:pPr>
    </w:p>
    <w:p>
      <w:pPr>
        <w:ind w:left="840" w:right="339" w:hanging="332"/>
        <w:spacing w:after="0" w:line="286"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840" w:right="199" w:hanging="332"/>
        <w:spacing w:after="0" w:line="275"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such corporation, to or with the interested stockholder, of assets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76" w:lineRule="exact"/>
        <w:rPr>
          <w:rFonts w:ascii="Arial" w:cs="Arial" w:eastAsia="Arial" w:hAnsi="Arial"/>
          <w:sz w:val="17"/>
          <w:szCs w:val="17"/>
          <w:color w:val="auto"/>
        </w:rPr>
      </w:pPr>
    </w:p>
    <w:p>
      <w:pPr>
        <w:ind w:left="840" w:right="379" w:hanging="332"/>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840" w:right="359" w:hanging="332"/>
        <w:spacing w:after="0" w:line="286"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certain exceptions, any transaction involving the corporation that has the effect, directly or indirectly, of increasing the interested stockholder’s proportionate share of the stock of any class or series, or securities convertible into the stock of any class or series, of the corporation; and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70485</wp:posOffset>
            </wp:positionV>
            <wp:extent cx="552894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840" w:right="659" w:hanging="332"/>
        <w:spacing w:after="0" w:line="263"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such corporation), of any loans, advances, guarantees, pledges or other financial benefits provided by or through the corporation.</w:t>
      </w:r>
    </w:p>
    <w:p>
      <w:pPr>
        <w:spacing w:after="0" w:line="184" w:lineRule="exact"/>
        <w:rPr>
          <w:sz w:val="20"/>
          <w:szCs w:val="20"/>
          <w:color w:val="auto"/>
        </w:rPr>
      </w:pPr>
    </w:p>
    <w:p>
      <w:pPr>
        <w:jc w:val="both"/>
        <w:ind w:left="180" w:right="739"/>
        <w:spacing w:after="0" w:line="286" w:lineRule="auto"/>
        <w:rPr>
          <w:sz w:val="20"/>
          <w:szCs w:val="20"/>
          <w:color w:val="auto"/>
        </w:rPr>
      </w:pPr>
      <w:r>
        <w:rPr>
          <w:rFonts w:ascii="Arial" w:cs="Arial" w:eastAsia="Arial" w:hAnsi="Arial"/>
          <w:sz w:val="17"/>
          <w:szCs w:val="17"/>
          <w:color w:val="auto"/>
        </w:rPr>
        <w:t>In general, Section 203 defines an “interested stockholder” as an entity or person that, together with the person’s affiliates and associates, beneficially owns, or within three years prior to the time of determination of interested stockholder status did own, 15% or more of the outstanding voting stock of the corporation.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Authorized and Unissued Shares</w:t>
      </w:r>
    </w:p>
    <w:p>
      <w:pPr>
        <w:spacing w:after="0" w:line="225" w:lineRule="exact"/>
        <w:rPr>
          <w:sz w:val="20"/>
          <w:szCs w:val="20"/>
          <w:color w:val="auto"/>
        </w:rPr>
      </w:pPr>
    </w:p>
    <w:p>
      <w:pPr>
        <w:ind w:left="180" w:right="199"/>
        <w:spacing w:after="0" w:line="255" w:lineRule="auto"/>
        <w:rPr>
          <w:sz w:val="20"/>
          <w:szCs w:val="20"/>
          <w:color w:val="auto"/>
        </w:rPr>
      </w:pPr>
      <w:r>
        <w:rPr>
          <w:rFonts w:ascii="Arial" w:cs="Arial" w:eastAsia="Arial" w:hAnsi="Arial"/>
          <w:sz w:val="18"/>
          <w:szCs w:val="18"/>
          <w:color w:val="auto"/>
        </w:rPr>
        <w:t>The Company’s authorized and unissued shares of Common Stock are available for future issuance without stockholder approval except as may otherwise be required by applicable regulations or Delaware law. The Company may issue additional shares for a variety of purposes, including future offerings to raise additional capital, to fund acquisitions and as employee and consultant compensation. The existence of authorized but unissued shares of Common Stock could render more difficult, or discourage an attempt, to obtain control of the Company by means of a proxy contest, tender offer, merger or otherwise.</w:t>
      </w:r>
    </w:p>
    <w:p>
      <w:pPr>
        <w:spacing w:after="0" w:line="192" w:lineRule="exact"/>
        <w:rPr>
          <w:sz w:val="20"/>
          <w:szCs w:val="20"/>
          <w:color w:val="auto"/>
        </w:rPr>
      </w:pPr>
    </w:p>
    <w:p>
      <w:pPr>
        <w:ind w:left="180" w:right="199"/>
        <w:spacing w:after="0" w:line="257" w:lineRule="auto"/>
        <w:rPr>
          <w:sz w:val="20"/>
          <w:szCs w:val="20"/>
          <w:color w:val="auto"/>
        </w:rPr>
      </w:pPr>
      <w:r>
        <w:rPr>
          <w:rFonts w:ascii="Arial" w:cs="Arial" w:eastAsia="Arial" w:hAnsi="Arial"/>
          <w:sz w:val="18"/>
          <w:szCs w:val="18"/>
          <w:color w:val="auto"/>
        </w:rPr>
        <w:t>The issuance of shares of Preferred Stock by the Company could have certain anti-takeover effects under certain circumstances, and could enable the Board of Directors to render more difficult or discourage an attempt to obtain control of the Company by means of a merger, tender offer or other business combination transaction directed at the Company by, among other things, placing shares of Preferred Stock with investors who might align themselves with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Voting Provisions</w:t>
      </w:r>
    </w:p>
    <w:p>
      <w:pPr>
        <w:spacing w:after="0" w:line="225" w:lineRule="exact"/>
        <w:rPr>
          <w:sz w:val="20"/>
          <w:szCs w:val="20"/>
          <w:color w:val="auto"/>
        </w:rPr>
      </w:pPr>
    </w:p>
    <w:p>
      <w:pPr>
        <w:ind w:left="180" w:right="279"/>
        <w:spacing w:after="0" w:line="291" w:lineRule="auto"/>
        <w:rPr>
          <w:sz w:val="20"/>
          <w:szCs w:val="20"/>
          <w:color w:val="auto"/>
        </w:rPr>
      </w:pPr>
      <w:r>
        <w:rPr>
          <w:rFonts w:ascii="Arial" w:cs="Arial" w:eastAsia="Arial" w:hAnsi="Arial"/>
          <w:sz w:val="16"/>
          <w:szCs w:val="16"/>
          <w:color w:val="auto"/>
        </w:rPr>
        <w:t>Pursuant to the Stipulation, Peter J. Jacullo III and Peter H. Kamin, who are members of the Company’s Board of Directors, are required, in any stockholder vote, to vote their shares of Common Stock purchased by them or their affiliated entities between October 23, 2019 and November 9, 2019 (“Kamin and Jacullo Post-Announcement Shares”) in the same proportion as the vote of shares held by the Outside Stockholders (defined below) for a period of three years from the date of purchase of the respective Kamin and Jacullo Post-Announcement Shares. Any shares sold by Messrs. Jacullo or Kamin in open market transactions with unaffiliated persons will be deemed, respectively, Kamin and Jacullo Post-Announcement Shares, until all such shares have been disposed of.</w:t>
      </w:r>
    </w:p>
    <w:p>
      <w:pPr>
        <w:spacing w:after="0" w:line="166" w:lineRule="exact"/>
        <w:rPr>
          <w:sz w:val="20"/>
          <w:szCs w:val="20"/>
          <w:color w:val="auto"/>
        </w:rPr>
      </w:pPr>
    </w:p>
    <w:p>
      <w:pPr>
        <w:ind w:left="180" w:right="379"/>
        <w:spacing w:after="0" w:line="311" w:lineRule="auto"/>
        <w:rPr>
          <w:sz w:val="20"/>
          <w:szCs w:val="20"/>
          <w:color w:val="auto"/>
        </w:rPr>
      </w:pPr>
      <w:r>
        <w:rPr>
          <w:rFonts w:ascii="Arial" w:cs="Arial" w:eastAsia="Arial" w:hAnsi="Arial"/>
          <w:sz w:val="16"/>
          <w:szCs w:val="16"/>
          <w:color w:val="auto"/>
        </w:rPr>
        <w:t>“Outside Stockholders” means the Company’s public stockholders, excluding Cabell Lolmaugh, Robert A. Rucker, Peter J. Jacullo III, Peter H. Kamin, Todd Krasnow and Philip B. Livingston and the Company, any director or officer of the Company and their immediate family members, affiliates, or entities they control and the employees thereof.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70485</wp:posOffset>
            </wp:positionV>
            <wp:extent cx="552894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jc w:val="right"/>
        <w:ind w:right="19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80" w:right="219"/>
        <w:spacing w:after="0" w:line="244" w:lineRule="auto"/>
        <w:rPr>
          <w:sz w:val="20"/>
          <w:szCs w:val="20"/>
          <w:color w:val="auto"/>
        </w:rPr>
      </w:pPr>
      <w:r>
        <w:rPr>
          <w:rFonts w:ascii="Arial" w:cs="Arial" w:eastAsia="Arial" w:hAnsi="Arial"/>
          <w:sz w:val="16"/>
          <w:szCs w:val="16"/>
          <w:color w:val="auto"/>
        </w:rPr>
        <w:t>We consent to the incorporation by reference in the Registration Statement (Form S-8 Nos. 333-183455, 333-190088 and 333-258070) pertaining to the 2012 Omnibus Award Plan and the 2021 Equity Compensation Plan of Tile Shop Holdings, Inc. of our reports dated March 3, 2022, with respect to the consolidated financial statements of Tile Shop Holdings, Inc. and Subsidiaries, and the effectiveness of internal control over financial reporting of Tile Shop Holdings, Inc. and Subsidiaries included in this Annual Report (Form 10-K) for the year ended December 31, 2021.</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Ernst &amp; Young LLP</w:t>
      </w:r>
    </w:p>
    <w:p>
      <w:pPr>
        <w:ind w:left="180"/>
        <w:spacing w:after="0" w:line="203" w:lineRule="auto"/>
        <w:rPr>
          <w:sz w:val="20"/>
          <w:szCs w:val="20"/>
          <w:color w:val="auto"/>
        </w:rPr>
      </w:pPr>
      <w:r>
        <w:rPr>
          <w:rFonts w:ascii="Arial" w:cs="Arial" w:eastAsia="Arial" w:hAnsi="Arial"/>
          <w:sz w:val="18"/>
          <w:szCs w:val="18"/>
          <w:color w:val="auto"/>
        </w:rPr>
        <w:t>Minneapolis, Minnesota</w:t>
      </w:r>
    </w:p>
    <w:p>
      <w:pPr>
        <w:ind w:left="180"/>
        <w:spacing w:after="0"/>
        <w:rPr>
          <w:sz w:val="20"/>
          <w:szCs w:val="20"/>
          <w:color w:val="auto"/>
        </w:rPr>
      </w:pPr>
      <w:r>
        <w:rPr>
          <w:rFonts w:ascii="Arial" w:cs="Arial" w:eastAsia="Arial" w:hAnsi="Arial"/>
          <w:sz w:val="18"/>
          <w:szCs w:val="18"/>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Karla Lunan, certify that:</w:t>
      </w:r>
    </w:p>
    <w:p>
      <w:pPr>
        <w:spacing w:after="0" w:line="144" w:lineRule="exact"/>
        <w:rPr>
          <w:sz w:val="20"/>
          <w:szCs w:val="20"/>
          <w:color w:val="auto"/>
        </w:rPr>
      </w:pPr>
    </w:p>
    <w:p>
      <w:pPr>
        <w:ind w:left="500" w:hanging="316"/>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8" w:name="page79"/>
    <w:bookmarkEnd w:id="78"/>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jc w:val="both"/>
        <w:ind w:left="180" w:right="4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Annual Report on Form 10-K of the Company for the year ended December 31,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9" w:name="page80"/>
    <w:bookmarkEnd w:id="79"/>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2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Karla Lunan, the Chief Financial Officer of Tile Shop Holdings, Inc. (the “Company”), hereby certify that the Annual Report on Form 10-K of the Company for the year ended December 31,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9"/>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Roman"/>
      <w:start w:val="4"/>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5"/>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Roman"/>
      <w:start w:val="3"/>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44" Type="http://schemas.openxmlformats.org/officeDocument/2006/relationships/hyperlink" Target="https://www.sec.gov/ix?doc=/Archives/edgar/data/0001552800/000155280021000005/ttsh-20201231x10k.htm" TargetMode="External"/><Relationship Id="rId89" Type="http://schemas.openxmlformats.org/officeDocument/2006/relationships/hyperlink" Target="http://www.sec.gov/Archives/edgar/data/1498157/000114420412036699/v317004_ex2-1.htm" TargetMode="External"/><Relationship Id="rId90" Type="http://schemas.openxmlformats.org/officeDocument/2006/relationships/hyperlink" Target="http://www.sec.gov/Archives/edgar/data/1552800/000114420412037509/v316486_ex3-1.htm" TargetMode="External"/><Relationship Id="rId91" Type="http://schemas.openxmlformats.org/officeDocument/2006/relationships/hyperlink" Target="http://www.sec.gov/Archives/edgar/data/0001552800/000110465921094416/tm2122262d1_ex3-2.htm" TargetMode="External"/><Relationship Id="rId92" Type="http://schemas.openxmlformats.org/officeDocument/2006/relationships/hyperlink" Target="http://www.sec.gov/Archives/edgar/data/1552800/000114420412037509/v316486_ex3-2.htm" TargetMode="External"/><Relationship Id="rId93" Type="http://schemas.openxmlformats.org/officeDocument/2006/relationships/hyperlink" Target="http://www.sec.gov/Archives/edgar/data/1552800/000114420412040584/v318344_ex4-1.htm" TargetMode="External"/><Relationship Id="rId94" Type="http://schemas.openxmlformats.org/officeDocument/2006/relationships/hyperlink" Target="http://www.sec.gov/Archives/edgar/data/1552800/000114420413041320/v350939_ex10-1.htm" TargetMode="External"/><Relationship Id="rId95" Type="http://schemas.openxmlformats.org/officeDocument/2006/relationships/hyperlink" Target="http://www.sec.gov/Archives/edgar/data/1552800/000114420413041320/v350939_ex10-2.htm" TargetMode="External"/><Relationship Id="rId96" Type="http://schemas.openxmlformats.org/officeDocument/2006/relationships/hyperlink" Target="http://www.sec.gov/Archives/edgar/data/1552800/000114420412040584/v318344_ex10-13.htm" TargetMode="External"/><Relationship Id="rId97" Type="http://schemas.openxmlformats.org/officeDocument/2006/relationships/hyperlink" Target="http://www.sec.gov/Archives/edgar/data/1552800/000114420413041320/v350939_ex10-3.htm" TargetMode="External"/><Relationship Id="rId98" Type="http://schemas.openxmlformats.org/officeDocument/2006/relationships/hyperlink" Target="http://www.sec.gov/Archives/edgar/data/1552800/000114420413041320/v350939_ex10-4.htm" TargetMode="External"/><Relationship Id="rId99" Type="http://schemas.openxmlformats.org/officeDocument/2006/relationships/hyperlink" Target="http://www.sec.gov/Archives/edgar/data/1552800/000114420413041320/v350939_ex10-5.htm" TargetMode="External"/><Relationship Id="rId100" Type="http://schemas.openxmlformats.org/officeDocument/2006/relationships/hyperlink" Target="http://www.sec.gov/Archives/edgar/data/1552800/000155280017000005/tts-20170119xex10_1.htm" TargetMode="External"/><Relationship Id="rId101" Type="http://schemas.openxmlformats.org/officeDocument/2006/relationships/hyperlink" Target="http://www.sec.gov/Archives/edgar/data/1552800/000155280017000057/tts-20170930xex10_2.htm" TargetMode="External"/><Relationship Id="rId102" Type="http://schemas.openxmlformats.org/officeDocument/2006/relationships/hyperlink" Target="http://www.sec.gov/Archives/edgar/data/1552800/000155280018000003/tts-20180219xex10_1.htm" TargetMode="External"/><Relationship Id="rId103" Type="http://schemas.openxmlformats.org/officeDocument/2006/relationships/hyperlink" Target="http://www.sec.gov/Archives/edgar/data/1552800/000155280018000031/tts-20180918xex10_1.htm" TargetMode="External"/><Relationship Id="rId104" Type="http://schemas.openxmlformats.org/officeDocument/2006/relationships/hyperlink" Target="http://www.sec.gov/Archives/edgar/data/0001552800/000110465921140107/tm2133197d1_ex10-1.htm" TargetMode="External"/><Relationship Id="rId105" Type="http://schemas.openxmlformats.org/officeDocument/2006/relationships/hyperlink" Target="http://www.sec.gov/Archives/edgar/data/1552800/000155280018000031/tts-20180918xex10_2.htm" TargetMode="External"/><Relationship Id="rId106" Type="http://schemas.openxmlformats.org/officeDocument/2006/relationships/hyperlink" Target="http://www.sec.gov/Archives/edgar/data/1552800/000155280018000031/tts-20180918xex10_3.htm" TargetMode="External"/><Relationship Id="rId109" Type="http://schemas.openxmlformats.org/officeDocument/2006/relationships/hyperlink" Target="http://www.sec.gov/Archives/edgar/data/1552800/000155280018000031/tts-20180918xex10_4.htm" TargetMode="External"/><Relationship Id="rId110" Type="http://schemas.openxmlformats.org/officeDocument/2006/relationships/hyperlink" Target="http://www.sec.gov/Archives/edgar/data/1552800/000155280019000029/tts-20190930xex10_1.htm" TargetMode="External"/><Relationship Id="rId111" Type="http://schemas.openxmlformats.org/officeDocument/2006/relationships/hyperlink" Target="http://www.sec.gov/Archives/edgar/data/1552800/000155280019000029/tts-20190930xex10_2.htm" TargetMode="External"/><Relationship Id="rId112" Type="http://schemas.openxmlformats.org/officeDocument/2006/relationships/hyperlink" Target="http://www.sec.gov/Archives/edgar/data/1552800/000110465920051211/tm2016895d1_ex10-1.htm" TargetMode="External"/><Relationship Id="rId113" Type="http://schemas.openxmlformats.org/officeDocument/2006/relationships/hyperlink" Target="http://www.sec.gov/Archives/edgar/data/1552800/000110465920051211/tm2016895d1_ex10-2.htm" TargetMode="External"/><Relationship Id="rId114" Type="http://schemas.openxmlformats.org/officeDocument/2006/relationships/hyperlink" Target="http://www.sec.gov/Archives/edgar/data/1552800/000110465920051211/tm2016895d1_ex10-3.htm" TargetMode="External"/><Relationship Id="rId115" Type="http://schemas.openxmlformats.org/officeDocument/2006/relationships/hyperlink" Target="http://www.sec.gov/Archives/edgar/data/1552800/000155280020000027/ttsh-20200930xex10_1.htm" TargetMode="External"/><Relationship Id="rId116" Type="http://schemas.openxmlformats.org/officeDocument/2006/relationships/hyperlink" Target="http://www.sec.gov/Archives/edgar/data/0001552800/000155280021000005/ttsh-20201231xex10_20.htm" TargetMode="External"/><Relationship Id="rId117" Type="http://schemas.openxmlformats.org/officeDocument/2006/relationships/hyperlink" Target="http://www.sec.gov/Archives/edgar/data/0001552800/000110465921094416/tm2122262d1_ex10-1.htm" TargetMode="External"/><Relationship Id="rId118" Type="http://schemas.openxmlformats.org/officeDocument/2006/relationships/hyperlink" Target="http://www.sec.gov/Archives/edgar/data/0001552800/000110465921094416/tm2122262d1_ex10-2.htm" TargetMode="External"/><Relationship Id="rId119" Type="http://schemas.openxmlformats.org/officeDocument/2006/relationships/hyperlink" Target="http://www.sec.gov/Archives/edgar/data/0001552800/000110465921094416/tm2122262d1_ex10-3.htm" TargetMode="External"/><Relationship Id="rId120" Type="http://schemas.openxmlformats.org/officeDocument/2006/relationships/hyperlink" Target="http://www.sec.gov/Archives/edgar/data/0001552800/000110465921094416/tm2122262d1_ex10-4.htm" TargetMode="External"/><Relationship Id="rId121" Type="http://schemas.openxmlformats.org/officeDocument/2006/relationships/hyperlink" Target="http://www.sec.gov/Archives/edgar/data/0001552800/000110465921094416/tm2122262d1_ex10-5.htm" TargetMode="External"/><Relationship Id="rId122" Type="http://schemas.openxmlformats.org/officeDocument/2006/relationships/hyperlink" Target="http://www.sec.gov/Archives/edgar/data/0001552800/000110465921152908/tm2136188d1_ex10-1.htm" TargetMode="External"/><Relationship Id="rId123" Type="http://schemas.openxmlformats.org/officeDocument/2006/relationships/hyperlink" Target="http://www.sec.gov/Archives/edgar/data/0001552800/000110465921152908/tm2136188d1_ex10-2.htm" TargetMode="External"/><Relationship Id="rId124" Type="http://schemas.openxmlformats.org/officeDocument/2006/relationships/hyperlink" Target="http://www.sec.gov/Archives/edgar/data/1552800/000155280017000012/tts-20161231xex21_1.htm" TargetMode="External"/><Relationship Id="rId125" Type="http://schemas.openxmlformats.org/officeDocument/2006/relationships/hyperlink" Target="http://www.sec.gov/Archives/edgar/data/1552800/000110465920003488/tm203308d1_ex99-1.htm" TargetMode="External"/><Relationship Id="rId126" Type="http://schemas.openxmlformats.org/officeDocument/2006/relationships/hyperlink" Target="http://www.sec.gov/Archives/edgar/data/1552800/000110465920092178/tm202695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2022-03-03T16:16:22Z</dcterms:created>
  <dcterms:modified xsi:type="dcterms:W3CDTF">2022-03-03T16:16:22Z</dcterms:modified>
</cp:coreProperties>
</file>