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31"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4"/>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84" w:right="66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25"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TILE SHOP HOLDINGS, INC.</w:t>
      </w:r>
    </w:p>
    <w:p>
      <w:pPr>
        <w:spacing w:after="0" w:line="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34" w:lineRule="exact"/>
        <w:rPr>
          <w:sz w:val="24"/>
          <w:szCs w:val="24"/>
          <w:color w:val="auto"/>
        </w:rPr>
      </w:pPr>
    </w:p>
    <w:tbl>
      <w:tblPr>
        <w:tblLayout w:type="fixed"/>
        <w:tblInd w:w="824" w:type="dxa"/>
        <w:tblCellMar>
          <w:top w:w="0" w:type="dxa"/>
          <w:left w:w="0" w:type="dxa"/>
          <w:bottom w:w="0" w:type="dxa"/>
          <w:right w:w="0" w:type="dxa"/>
        </w:tblCellMar>
      </w:tblPr>
      <w:tr>
        <w:trPr>
          <w:trHeight w:val="216"/>
        </w:trPr>
        <w:tc>
          <w:tcPr>
            <w:tcW w:w="44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45-5538095</w:t>
            </w:r>
          </w:p>
        </w:tc>
      </w:tr>
      <w:tr>
        <w:trPr>
          <w:trHeight w:val="238"/>
        </w:trPr>
        <w:tc>
          <w:tcPr>
            <w:tcW w:w="44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37"/>
        </w:trPr>
        <w:tc>
          <w:tcPr>
            <w:tcW w:w="44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14000 Carlson Parkway</w:t>
            </w:r>
          </w:p>
        </w:tc>
        <w:tc>
          <w:tcPr>
            <w:tcW w:w="3740" w:type="dxa"/>
            <w:vAlign w:val="bottom"/>
          </w:tcPr>
          <w:p>
            <w:pPr>
              <w:spacing w:after="0"/>
              <w:rPr>
                <w:sz w:val="24"/>
                <w:szCs w:val="24"/>
                <w:color w:val="auto"/>
              </w:rPr>
            </w:pPr>
          </w:p>
        </w:tc>
      </w:tr>
      <w:tr>
        <w:trPr>
          <w:trHeight w:val="216"/>
        </w:trPr>
        <w:tc>
          <w:tcPr>
            <w:tcW w:w="44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Plymouth, Minnesota</w:t>
            </w:r>
          </w:p>
        </w:tc>
        <w:tc>
          <w:tcPr>
            <w:tcW w:w="37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55441</w:t>
            </w:r>
          </w:p>
        </w:tc>
      </w:tr>
      <w:tr>
        <w:trPr>
          <w:trHeight w:val="238"/>
        </w:trPr>
        <w:tc>
          <w:tcPr>
            <w:tcW w:w="44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(763) 852-2950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5" w:lineRule="exact"/>
        <w:rPr>
          <w:sz w:val="24"/>
          <w:szCs w:val="24"/>
          <w:color w:val="auto"/>
        </w:rPr>
      </w:pPr>
    </w:p>
    <w:p>
      <w:pPr>
        <w:ind w:left="4"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jc w:val="both"/>
        <w:ind w:left="4"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04"/>
          </w:cols>
          <w:pgMar w:left="896" w:top="698" w:right="899" w:bottom="1440" w:gutter="0" w:footer="0" w:header="0"/>
        </w:sectPr>
      </w:pPr>
    </w:p>
    <w:p>
      <w:pPr>
        <w:spacing w:after="0" w:line="12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tabs>
          <w:tab w:leader="none" w:pos="5400" w:val="left"/>
          <w:tab w:leader="none" w:pos="75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5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71" w:lineRule="exact"/>
        <w:rPr>
          <w:sz w:val="24"/>
          <w:szCs w:val="24"/>
          <w:color w:val="auto"/>
        </w:rPr>
      </w:pPr>
    </w:p>
    <w:p>
      <w:pPr>
        <w:sectPr>
          <w:pgSz w:w="11900" w:h="16838" w:orient="portrait"/>
          <w:cols w:equalWidth="0" w:num="2">
            <w:col w:w="1964" w:space="320"/>
            <w:col w:w="7820"/>
          </w:cols>
          <w:pgMar w:left="896" w:top="698" w:right="899" w:bottom="1440" w:gutter="0" w:footer="0" w:header="0"/>
          <w:type w:val="continuous"/>
        </w:sectPr>
      </w:pPr>
    </w:p>
    <w:p>
      <w:pPr>
        <w:ind w:left="4"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80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As of April 24, 2017, there were 51,638,312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146685</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906145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698" w:right="8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9180" w:type="dxa"/>
            <w:vAlign w:val="bottom"/>
            <w:gridSpan w:val="24"/>
            <w:shd w:val="clear" w:color="auto" w:fill="CCEEFF"/>
          </w:tcPr>
          <w:p>
            <w:pPr>
              <w:spacing w:after="0" w:line="15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8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2300" w:type="dxa"/>
            <w:vAlign w:val="bottom"/>
            <w:tcBorders>
              <w:top w:val="single" w:sz="8" w:color="0000EE"/>
            </w:tcBorders>
            <w:gridSpan w:val="11"/>
          </w:tcPr>
          <w:p>
            <w:pPr>
              <w:ind w:left="20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120" w:type="dxa"/>
            <w:vAlign w:val="bottom"/>
            <w:tcBorders>
              <w:top w:val="single" w:sz="8" w:color="CCEEFF"/>
            </w:tcBorders>
            <w:gridSpan w:val="10"/>
          </w:tcPr>
          <w:p>
            <w:pPr>
              <w:spacing w:after="0"/>
              <w:rPr>
                <w:sz w:val="15"/>
                <w:szCs w:val="15"/>
                <w:color w:val="auto"/>
              </w:rPr>
            </w:pPr>
          </w:p>
        </w:tc>
        <w:tc>
          <w:tcPr>
            <w:tcW w:w="8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Stockholders’ Equity (Deficit)</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2.</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3.</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Quantitative and Qualitative Disclosures About Market Risk</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4.</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9180" w:type="dxa"/>
            <w:vAlign w:val="bottom"/>
            <w:gridSpan w:val="24"/>
          </w:tcPr>
          <w:p>
            <w:pPr>
              <w:spacing w:after="0" w:line="176" w:lineRule="exact"/>
              <w:rPr>
                <w:rFonts w:ascii="Times New Roman" w:cs="Times New Roman" w:eastAsia="Times New Roman" w:hAnsi="Times New Roman"/>
                <w:sz w:val="18"/>
                <w:szCs w:val="18"/>
                <w:b w:val="1"/>
                <w:bCs w:val="1"/>
                <w:color w:val="0000EE"/>
              </w:rPr>
            </w:pPr>
            <w:hyperlink w:anchor="page23">
              <w:r>
                <w:rPr>
                  <w:rFonts w:ascii="Times New Roman" w:cs="Times New Roman" w:eastAsia="Times New Roman" w:hAnsi="Times New Roman"/>
                  <w:sz w:val="18"/>
                  <w:szCs w:val="18"/>
                  <w:b w:val="1"/>
                  <w:bCs w:val="1"/>
                  <w:color w:val="0000EE"/>
                </w:rPr>
                <w:t>PART II. OTHER INFORMATION</w:t>
              </w:r>
            </w:hyperlink>
          </w:p>
        </w:tc>
        <w:tc>
          <w:tcPr>
            <w:tcW w:w="8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1A.</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Risk Factors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Unregistered Sales of Equity Securities and Use of Proceeds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3.</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Defaults Upon Senior Securities</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4.</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5.</w:t>
              </w:r>
            </w:hyperlink>
          </w:p>
        </w:tc>
        <w:tc>
          <w:tcPr>
            <w:tcW w:w="8420" w:type="dxa"/>
            <w:vAlign w:val="bottom"/>
            <w:gridSpan w:val="21"/>
          </w:tcPr>
          <w:p>
            <w:pPr>
              <w:ind w:left="200"/>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Other Information</w:t>
              </w:r>
            </w:hyperlink>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w:t>
              </w:r>
            </w:hyperlink>
          </w:p>
        </w:tc>
        <w:tc>
          <w:tcPr>
            <w:tcW w:w="8420" w:type="dxa"/>
            <w:vAlign w:val="bottom"/>
            <w:gridSpan w:val="21"/>
            <w:shd w:val="clear" w:color="auto" w:fill="CCEEFF"/>
          </w:tcPr>
          <w:p>
            <w:pPr>
              <w:ind w:left="200"/>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Signatures</w:t>
              </w:r>
            </w:hyperlink>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9180" w:type="dxa"/>
            <w:vAlign w:val="bottom"/>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 Index</w:t>
              </w:r>
            </w:hyperlink>
          </w:p>
        </w:tc>
        <w:tc>
          <w:tcPr>
            <w:tcW w:w="8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1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$0.0001; authorized: 100,000,000 shares; issued and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51,629,260 and 51,607,143 shares,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(41,630)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138,899</w:t>
            </w:r>
          </w:p>
        </w:tc>
        <w:tc>
          <w:tcPr>
            <w:tcW w:w="0" w:type="dxa"/>
            <w:vAlign w:val="bottom"/>
          </w:tcPr>
          <w:p>
            <w:pPr>
              <w:spacing w:after="0"/>
              <w:rPr>
                <w:sz w:val="1"/>
                <w:szCs w:val="1"/>
                <w:color w:val="auto"/>
              </w:rPr>
            </w:pPr>
          </w:p>
        </w:tc>
      </w:tr>
      <w:tr>
        <w:trPr>
          <w:trHeight w:val="21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263,729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380" w:type="dxa"/>
            <w:vAlign w:val="bottom"/>
            <w:gridSpan w:val="2"/>
          </w:tcPr>
          <w:p>
            <w:pPr>
              <w:jc w:val="center"/>
              <w:ind w:right="875"/>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75"/>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380" w:type="dxa"/>
            <w:vAlign w:val="bottom"/>
            <w:gridSpan w:val="2"/>
          </w:tcPr>
          <w:p>
            <w:pPr>
              <w:jc w:val="center"/>
              <w:ind w:right="855"/>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80" w:type="dxa"/>
            <w:vAlign w:val="bottom"/>
            <w:gridSpan w:val="2"/>
          </w:tcPr>
          <w:p>
            <w:pPr>
              <w:jc w:val="center"/>
              <w:ind w:right="875"/>
              <w:spacing w:after="0"/>
              <w:rPr>
                <w:sz w:val="20"/>
                <w:szCs w:val="20"/>
                <w:color w:val="auto"/>
              </w:rPr>
            </w:pPr>
            <w:r>
              <w:rPr>
                <w:rFonts w:ascii="Times New Roman" w:cs="Times New Roman" w:eastAsia="Times New Roman" w:hAnsi="Times New Roman"/>
                <w:sz w:val="18"/>
                <w:szCs w:val="18"/>
                <w:color w:val="auto"/>
                <w:w w:val="98"/>
              </w:rPr>
              <w:t>(unaudited)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4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(5,075)</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16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3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9"/>
                <w:szCs w:val="19"/>
                <w:color w:val="auto"/>
              </w:rPr>
            </w:pPr>
          </w:p>
        </w:tc>
        <w:tc>
          <w:tcPr>
            <w:tcW w:w="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51,523,627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51,359,167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52,140,945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51,666,432</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34"/>
        </w:trPr>
        <w:tc>
          <w:tcPr>
            <w:tcW w:w="134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5020" w:type="dxa"/>
            <w:vAlign w:val="bottom"/>
            <w:gridSpan w:val="2"/>
          </w:tcPr>
          <w:p>
            <w:pPr>
              <w:jc w:val="center"/>
              <w:ind w:right="315"/>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gridSpan w:val="2"/>
          </w:tcPr>
          <w:p>
            <w:pPr>
              <w:jc w:val="center"/>
              <w:ind w:right="315"/>
              <w:spacing w:after="0"/>
              <w:rPr>
                <w:sz w:val="20"/>
                <w:szCs w:val="20"/>
                <w:color w:val="auto"/>
              </w:rPr>
            </w:pPr>
            <w:r>
              <w:rPr>
                <w:rFonts w:ascii="Times New Roman" w:cs="Times New Roman" w:eastAsia="Times New Roman" w:hAnsi="Times New Roman"/>
                <w:sz w:val="18"/>
                <w:szCs w:val="18"/>
                <w:color w:val="auto"/>
                <w:w w:val="99"/>
              </w:rPr>
              <w:t>Consolidated Statements of Comprehensive Income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gridSpan w:val="2"/>
          </w:tcPr>
          <w:p>
            <w:pPr>
              <w:jc w:val="center"/>
              <w:ind w:right="295"/>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20" w:type="dxa"/>
            <w:vAlign w:val="bottom"/>
            <w:gridSpan w:val="2"/>
          </w:tcPr>
          <w:p>
            <w:pPr>
              <w:jc w:val="center"/>
              <w:ind w:right="315"/>
              <w:spacing w:after="0"/>
              <w:rPr>
                <w:sz w:val="20"/>
                <w:szCs w:val="20"/>
                <w:color w:val="auto"/>
              </w:rPr>
            </w:pPr>
            <w:r>
              <w:rPr>
                <w:rFonts w:ascii="Times New Roman" w:cs="Times New Roman" w:eastAsia="Times New Roman" w:hAnsi="Times New Roman"/>
                <w:sz w:val="18"/>
                <w:szCs w:val="18"/>
                <w:color w:val="auto"/>
                <w:w w:val="98"/>
              </w:rPr>
              <w:t>(unaudited)</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1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13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30"/>
        </w:trPr>
        <w:tc>
          <w:tcPr>
            <w:tcW w:w="2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4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7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760" w:type="dxa"/>
            <w:vAlign w:val="bottom"/>
          </w:tcPr>
          <w:p>
            <w:pPr>
              <w:spacing w:after="0"/>
              <w:rPr>
                <w:sz w:val="18"/>
                <w:szCs w:val="18"/>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6,760</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060" w:type="dxa"/>
            <w:vAlign w:val="bottom"/>
            <w:gridSpan w:val="5"/>
          </w:tcPr>
          <w:p>
            <w:pPr>
              <w:ind w:left="5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7"/>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3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8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51,437,973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impact of ASU 2016-</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09 (see Note 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51,437,973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51,607,143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138,899</w:t>
            </w:r>
          </w:p>
        </w:tc>
        <w:tc>
          <w:tcPr>
            <w:tcW w:w="0" w:type="dxa"/>
            <w:vAlign w:val="bottom"/>
          </w:tcPr>
          <w:p>
            <w:pPr>
              <w:spacing w:after="0"/>
              <w:rPr>
                <w:sz w:val="1"/>
                <w:szCs w:val="1"/>
                <w:color w:val="auto"/>
              </w:rPr>
            </w:pPr>
          </w:p>
        </w:tc>
      </w:tr>
      <w:tr>
        <w:trPr>
          <w:trHeight w:val="203"/>
        </w:trPr>
        <w:tc>
          <w:tcPr>
            <w:tcW w:w="31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center"/>
              <w:ind w:left="31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restricted shares</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51,629,260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7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80" w:type="dxa"/>
            <w:vAlign w:val="bottom"/>
          </w:tcPr>
          <w:p>
            <w:pPr>
              <w:spacing w:after="0"/>
              <w:rPr>
                <w:sz w:val="18"/>
                <w:szCs w:val="18"/>
                <w:color w:val="auto"/>
              </w:rPr>
            </w:pP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r>
      <w:tr>
        <w:trPr>
          <w:trHeight w:val="216"/>
        </w:trPr>
        <w:tc>
          <w:tcPr>
            <w:tcW w:w="7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16"/>
        </w:trPr>
        <w:tc>
          <w:tcPr>
            <w:tcW w:w="7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7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Trade receivables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7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r>
      <w:tr>
        <w:trPr>
          <w:trHeight w:val="216"/>
        </w:trPr>
        <w:tc>
          <w:tcPr>
            <w:tcW w:w="7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7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7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 receivable /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16"/>
        </w:trPr>
        <w:tc>
          <w:tcPr>
            <w:tcW w:w="7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r>
      <w:tr>
        <w:trPr>
          <w:trHeight w:val="210"/>
        </w:trPr>
        <w:tc>
          <w:tcPr>
            <w:tcW w:w="7280" w:type="dxa"/>
            <w:vAlign w:val="bottom"/>
            <w:tcBorders>
              <w:top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10"/>
        </w:trPr>
        <w:tc>
          <w:tcPr>
            <w:tcW w:w="72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long-term debt and capital lease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(16,272)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on line of credit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taxes paid for shares withheld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Security deposits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7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16"/>
        </w:trPr>
        <w:tc>
          <w:tcPr>
            <w:tcW w:w="7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r>
      <w:tr>
        <w:trPr>
          <w:trHeight w:val="23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r>
      <w:tr>
        <w:trPr>
          <w:trHeight w:val="203"/>
        </w:trPr>
        <w:tc>
          <w:tcPr>
            <w:tcW w:w="7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4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Tile Shop, LLC (“The Tile Shop”) was formed on December 30, 2002, as a Delaware limited liability company and began operations on January 1, 2003. Tile Shop Holdings, Inc. (“Holdings,” and together with its wholly owned subsidiaries, the “Company”) was incorporated under the laws of the state of Delaware in June 2012 to become the parent company of The Tile Shop, LLC.</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is a specialty retailer of manufactured and natural stone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2017, the Company had 126 stores in 31 states and the District of Columbia, as well as an on-line retail operation. The Company also has distribution centers located in Michigan, New Jersey, Oklahoma, Virginia and Wisconsin. The Company has a sourcing operation located in China.</w:t>
      </w:r>
    </w:p>
    <w:p>
      <w:pPr>
        <w:spacing w:after="0" w:line="18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2017 are not necessarily indicative of the results that may be expected for the fiscal year ending December 31, 2017.</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statements should be read in conjunction with the Consolidated Financial Statements and footnotes included in our Annual Report on Form 10-K for the fiscal year ended December 31, 2016. The accounting policies used in preparing these Consolidated Financial Statements are the same as those described in Note 1 to the Consolidated Financial Statements in such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 standard which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2017. The adoption of this new standard did not have a material effect on the Company’s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2014,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The Company continues to assess the impacts of this standard, including evaluating if its current polices to account for samples, gift cards, and sales returns will change under the new standard. As the Company finalizes its assessment, the Company will take steps to define its accounting policies under the new standard, establish new processes and controls when warranted, and ensure these processes are designed to capture the information necessary to conform to the transitional disclosure requirements.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9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retrospectively for fiscal years and interim periods beginning after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December 15, 2017, with early adoption permitted. The Company is currently assessing the effect the new standard will have on its consolidated financial statements.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years, and interim periods within those fiscal years, beginning after December 15, 2017, with early adoption permitted. The guidance should be applied retrospectively after adoption. The Company’s restricted cash and long-term restricted cash balances were $3.0 million and $2.6 million, respectively, as of March 31, 2017. Upon adopting the new standard, the Company anticipates that the fluctuations in the restricted cash and long-term restricted cash balances will impact its statement of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Inventories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weighted-average cost method) or market. Inventories consist primarily of merchandise held for sale. Inventories were comprised of the following as of March 31, 2017 and December 31,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61,949</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 transit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1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74,295</w:t>
            </w:r>
          </w:p>
        </w:tc>
      </w:tr>
    </w:tbl>
    <w:p>
      <w:pPr>
        <w:spacing w:after="0" w:line="19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The Company records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$365,000 and $163,000 as of March 31, 2017 and December 31, 2016,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Income taxes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on net income before income taxes for the three months ended March 31, 2017 and 2016 was 38.8% and 39.8%, respectively. The improvement in the effective tax rate in 2017 was due to the vesting of certain incentive stock option awards that resulted in a decrease in non-deductible stock-based compensation expense. For the three months ended March 31, 2017 and 2016, the Company recorded a provision for income taxes of $5.1 million and $4.5 million, respectively.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March 31, 2017 and 2016, the Company has not recognized any liabilities for uncertain tax positions, nor have interest and penalties related to uncertain tax positions been accrued.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5"/>
        </w:trPr>
        <w:tc>
          <w:tcPr>
            <w:tcW w:w="6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30"/>
        </w:trPr>
        <w:tc>
          <w:tcPr>
            <w:tcW w:w="6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For the three months ended</w:t>
            </w:r>
          </w:p>
        </w:tc>
      </w:tr>
      <w:tr>
        <w:trPr>
          <w:trHeight w:val="234"/>
        </w:trPr>
        <w:tc>
          <w:tcPr>
            <w:tcW w:w="6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10"/>
        </w:trPr>
        <w:tc>
          <w:tcPr>
            <w:tcW w:w="6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51,523,627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51,359,167</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 attributable to stock-based awards</w:t>
            </w:r>
          </w:p>
        </w:tc>
        <w:tc>
          <w:tcPr>
            <w:tcW w:w="1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617,318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307,265</w:t>
            </w:r>
          </w:p>
        </w:tc>
      </w:tr>
      <w:tr>
        <w:trPr>
          <w:trHeight w:val="210"/>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52,140,945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51,666,432</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earnings per share calculation</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272,336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303,008</w:t>
            </w:r>
          </w:p>
        </w:tc>
      </w:tr>
      <w:tr>
        <w:trPr>
          <w:trHeight w:val="643"/>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Other Accrued Liabilities</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95"/>
        </w:trPr>
        <w:tc>
          <w:tcPr>
            <w:tcW w:w="6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6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March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62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litigation accrual</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and salaries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sales taxes</w:t>
            </w: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30"/>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w:t>
            </w:r>
          </w:p>
        </w:tc>
      </w:tr>
      <w:tr>
        <w:trPr>
          <w:trHeight w:val="217"/>
        </w:trPr>
        <w:tc>
          <w:tcPr>
            <w:tcW w:w="6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June 2, 2015, the Company and its operating subsidiary, The Tile Shop, LLC, entered into a credit agreement with Fifth Third Bank, Bank of America, N.A., and Huntington National Bank (as amended, the “Credit Agreement”). On December 9, 2016, the Credit Agreement was amended to permit an additional New Markets Tax Credit Financing arrangement and on February 10, 2017, the Credit Agreement was amended to permit the Company to make certain dividend payments. The Credit Agreement provides the Company with a $125.0 million senior secured credit facility, comprised of a five-year $50.0 million term loan and a $75.0 million revolving line of credit. The Credit Agreement is secured by virtually all of the assets of the Company, including but not limited to, inventory, receivables, equipment and real property. Borrowings pursuant to the Credit Agreement bear interest at either a base rate or a LIBOR-based rate, at the option of the Company. The LIBOR-based rate will range from LIBOR plus 1.50% to 2.00%, depending on The Tile Shop’s leverage ratio. The base rate is equal to the greatest of: (a) the Federal funds rate plus 0.50%, (b) the Fifth Third Bank “prime rate,” and (c) the Eurodollar rate plus 1.00%, in each case plus 0.50% to 1.00% depending on The Tile Shop’s leverage ratio. At March 31, 2017 the base interest rate was 4.50% and the LIBOR-based interest rate was 2.48%. Borrowings outstanding consisted of $10.0 million on the revolving line of credit and $16.5 million on the term loan as of March 31, 2017. There was $65.0 million available for borrowing on the revolving line of credit as of March 31, 2017. The Company can elect to prepay the term loan without incurring a penalty. Additional borrowings pursuant to the Credit Agreement may be used to support the Company’s growth and for working capital purposes. The Company incurred $1.0 million of debt issuance costs in connection with the Credit Agreement. These costs were capitalized as other current and other noncurrent assets, and will be amortized over the five-year life of the Credit Agreement. The term loan requires quarterly principal payments as follows (in thousands):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6180" w:type="dxa"/>
            <w:vAlign w:val="bottom"/>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800" w:type="dxa"/>
            <w:vAlign w:val="bottom"/>
          </w:tcPr>
          <w:p>
            <w:pPr>
              <w:spacing w:after="0"/>
              <w:rPr>
                <w:sz w:val="17"/>
                <w:szCs w:val="17"/>
                <w:color w:val="auto"/>
              </w:rPr>
            </w:pPr>
          </w:p>
        </w:tc>
      </w:tr>
      <w:tr>
        <w:trPr>
          <w:trHeight w:val="216"/>
        </w:trPr>
        <w:tc>
          <w:tcPr>
            <w:tcW w:w="3140" w:type="dxa"/>
            <w:vAlign w:val="bottom"/>
          </w:tcPr>
          <w:p>
            <w:pPr>
              <w:spacing w:after="0"/>
              <w:rPr>
                <w:sz w:val="18"/>
                <w:szCs w:val="18"/>
                <w:color w:val="auto"/>
              </w:rPr>
            </w:pPr>
          </w:p>
        </w:tc>
        <w:tc>
          <w:tcPr>
            <w:tcW w:w="618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80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6180" w:type="dxa"/>
            <w:vAlign w:val="bottom"/>
          </w:tcPr>
          <w:p>
            <w:pPr>
              <w:jc w:val="center"/>
              <w:ind w:right="2270"/>
              <w:spacing w:after="0"/>
              <w:rPr>
                <w:sz w:val="20"/>
                <w:szCs w:val="20"/>
                <w:color w:val="auto"/>
              </w:rPr>
            </w:pPr>
            <w:r>
              <w:rPr>
                <w:rFonts w:ascii="Times New Roman" w:cs="Times New Roman" w:eastAsia="Times New Roman" w:hAnsi="Times New Roman"/>
                <w:sz w:val="18"/>
                <w:szCs w:val="18"/>
                <w:color w:val="auto"/>
                <w:w w:val="98"/>
              </w:rPr>
              <w:t>(unaudited)</w:t>
            </w:r>
          </w:p>
        </w:tc>
        <w:tc>
          <w:tcPr>
            <w:tcW w:w="800" w:type="dxa"/>
            <w:vAlign w:val="bottom"/>
          </w:tcPr>
          <w:p>
            <w:pPr>
              <w:spacing w:after="0"/>
              <w:rPr>
                <w:sz w:val="20"/>
                <w:szCs w:val="20"/>
                <w:color w:val="auto"/>
              </w:rPr>
            </w:pPr>
          </w:p>
        </w:tc>
      </w:tr>
      <w:tr>
        <w:trPr>
          <w:trHeight w:val="716"/>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6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6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2017 to June 30, 2018</w:t>
            </w:r>
          </w:p>
        </w:tc>
        <w:tc>
          <w:tcPr>
            <w:tcW w:w="6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 to March 31, 2020</w:t>
            </w:r>
          </w:p>
        </w:tc>
        <w:tc>
          <w:tcPr>
            <w:tcW w:w="6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conditions to borrowings, and restrictive covenants, including restrictions on the Company’s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The Company was in compliance with the covenants as of March 31, 2017.</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a standby letter of credit outstanding related to our workers compensation insurance policy. As of March 31, 2017 and 2016, the standby letter of credit totaled $1.1 million and $0.9 million, respectively.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March 31, 2017 and December 31, 2016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March 31, 2017</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December 31, 2016</w:t>
            </w:r>
          </w:p>
        </w:tc>
      </w:tr>
      <w:tr>
        <w:trPr>
          <w:trHeight w:val="205"/>
        </w:trPr>
        <w:tc>
          <w:tcPr>
            <w:tcW w:w="6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Unamortized</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Unamortized</w:t>
            </w:r>
          </w:p>
        </w:tc>
        <w:tc>
          <w:tcPr>
            <w:tcW w:w="20" w:type="dxa"/>
            <w:vAlign w:val="bottom"/>
          </w:tcPr>
          <w:p>
            <w:pPr>
              <w:spacing w:after="0"/>
              <w:rPr>
                <w:sz w:val="17"/>
                <w:szCs w:val="17"/>
                <w:color w:val="auto"/>
              </w:rPr>
            </w:pPr>
          </w:p>
        </w:tc>
      </w:tr>
      <w:tr>
        <w:trPr>
          <w:trHeight w:val="230"/>
        </w:trPr>
        <w:tc>
          <w:tcPr>
            <w:tcW w:w="6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Debt Issuance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Debt Issuance</w:t>
            </w:r>
          </w:p>
        </w:tc>
      </w:t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Costs</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Costs</w:t>
            </w:r>
          </w:p>
        </w:tc>
      </w:tr>
      <w:tr>
        <w:trPr>
          <w:trHeight w:val="178"/>
        </w:trPr>
        <w:tc>
          <w:tcPr>
            <w:tcW w:w="60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Term note payable - interest at 2.48% and 2.27% at March 31, 2017 and December</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2016,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bank credit facility</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interest rate bonds (0.99% and 0.89% at March 31, 2017 and December</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2016), which mature April 1, 2023, collateralized by buildings and equipment</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debt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r>
      <w:tr>
        <w:trPr>
          <w:trHeight w:val="21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76" w:lineRule="exact"/>
        <w:rPr>
          <w:sz w:val="20"/>
          <w:szCs w:val="20"/>
          <w:color w:val="auto"/>
        </w:rPr>
      </w:pPr>
    </w:p>
    <w:p>
      <w:pPr>
        <w:ind w:left="640" w:right="44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62" w:lineRule="exact"/>
        <w:rPr>
          <w:sz w:val="20"/>
          <w:szCs w:val="20"/>
          <w:color w:val="auto"/>
        </w:rPr>
      </w:pPr>
    </w:p>
    <w:p>
      <w:pPr>
        <w:ind w:left="640" w:right="520"/>
        <w:spacing w:after="0" w:line="282"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21" w:lineRule="exact"/>
        <w:rPr>
          <w:sz w:val="20"/>
          <w:szCs w:val="20"/>
          <w:color w:val="auto"/>
        </w:rPr>
      </w:pPr>
    </w:p>
    <w:p>
      <w:pPr>
        <w:ind w:left="1220" w:hanging="575"/>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84" w:lineRule="exact"/>
        <w:rPr>
          <w:rFonts w:ascii="Times New Roman" w:cs="Times New Roman" w:eastAsia="Times New Roman" w:hAnsi="Times New Roman"/>
          <w:sz w:val="18"/>
          <w:szCs w:val="18"/>
          <w:color w:val="auto"/>
        </w:rPr>
      </w:pPr>
    </w:p>
    <w:p>
      <w:pPr>
        <w:ind w:left="1200" w:hanging="555"/>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184" w:lineRule="exact"/>
        <w:rPr>
          <w:rFonts w:ascii="Times New Roman" w:cs="Times New Roman" w:eastAsia="Times New Roman" w:hAnsi="Times New Roman"/>
          <w:sz w:val="18"/>
          <w:szCs w:val="18"/>
          <w:color w:val="auto"/>
        </w:rPr>
      </w:pPr>
    </w:p>
    <w:p>
      <w:pPr>
        <w:ind w:left="1120" w:hanging="475"/>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184" w:lineRule="exact"/>
        <w:rPr>
          <w:rFonts w:ascii="Times New Roman" w:cs="Times New Roman" w:eastAsia="Times New Roman" w:hAnsi="Times New Roman"/>
          <w:sz w:val="18"/>
          <w:szCs w:val="18"/>
          <w:color w:val="auto"/>
        </w:rPr>
      </w:pPr>
    </w:p>
    <w:p>
      <w:pPr>
        <w:ind w:left="1060" w:hanging="41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240"/>
        <w:spacing w:after="0" w:line="282"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spacing w:after="0" w:line="200" w:lineRule="exact"/>
        <w:rPr>
          <w:sz w:val="20"/>
          <w:szCs w:val="20"/>
          <w:color w:val="auto"/>
        </w:rPr>
      </w:pPr>
    </w:p>
    <w:p>
      <w:pPr>
        <w:spacing w:after="0" w:line="3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00"/>
          </w:cols>
          <w:pgMar w:left="900" w:top="117" w:right="7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March 31, 2017 and December 31, 2016 according to the valuation techniques the Company uses to determine their fair values. There have been no transfers of assets among the fair value hierarchies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280" w:type="dxa"/>
            <w:vAlign w:val="bottom"/>
          </w:tcPr>
          <w:p>
            <w:pPr>
              <w:spacing w:after="0"/>
              <w:rPr>
                <w:sz w:val="19"/>
                <w:szCs w:val="19"/>
                <w:color w:val="auto"/>
              </w:rPr>
            </w:pPr>
          </w:p>
        </w:tc>
        <w:tc>
          <w:tcPr>
            <w:tcW w:w="2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Category</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31, 2017</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2016</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13,589</w:t>
            </w:r>
          </w:p>
        </w:tc>
        <w:tc>
          <w:tcPr>
            <w:tcW w:w="7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2,612</w:t>
            </w:r>
          </w:p>
        </w:tc>
        <w:tc>
          <w:tcPr>
            <w:tcW w:w="7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60" w:lineRule="exact"/>
        <w:rPr>
          <w:sz w:val="20"/>
          <w:szCs w:val="20"/>
          <w:color w:val="auto"/>
        </w:rPr>
      </w:pPr>
    </w:p>
    <w:p>
      <w:pPr>
        <w:ind w:left="700" w:right="180" w:hanging="5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Consists of cash on hand and bank deposits. The value was measured using quoted market prices in active markets. The carrying amount approximates fair value.</w:t>
      </w:r>
    </w:p>
    <w:p>
      <w:pPr>
        <w:spacing w:after="0" w:line="158" w:lineRule="exact"/>
        <w:rPr>
          <w:sz w:val="20"/>
          <w:szCs w:val="20"/>
          <w:color w:val="auto"/>
        </w:rPr>
      </w:pPr>
    </w:p>
    <w:p>
      <w:pPr>
        <w:ind w:left="700" w:right="120" w:hanging="5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Consists of cash and cash equivalents held in bank deposit accounts restricted as to withdrawal or are under the terms of use for current operations. The value was measured using quoted market prices in active markets. The carrying amount approximates fair value.</w:t>
      </w:r>
    </w:p>
    <w:p>
      <w:pPr>
        <w:spacing w:after="0" w:line="174" w:lineRule="exact"/>
        <w:rPr>
          <w:sz w:val="20"/>
          <w:szCs w:val="20"/>
          <w:color w:val="auto"/>
        </w:rPr>
      </w:pPr>
    </w:p>
    <w:p>
      <w:pPr>
        <w:ind w:left="700" w:right="80" w:hanging="53"/>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 term restricted cash:</w:t>
      </w:r>
      <w:r>
        <w:rPr>
          <w:rFonts w:ascii="Times New Roman" w:cs="Times New Roman" w:eastAsia="Times New Roman" w:hAnsi="Times New Roman"/>
          <w:sz w:val="18"/>
          <w:szCs w:val="18"/>
          <w:color w:val="auto"/>
        </w:rPr>
        <w:t xml:space="preserve"> Consists of cash and cash equivalents held in bank deposit accounts restricted as to withdrawal and designated for expenditure in the construction of noncurrent assets. The value was measured using quoted market prices in active markets. The carrying amount approximates fair value.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 value. The Company did not recognize any significant impairment losses during 2017 or 2016. The carrying value of the Company’s borrowings under its credit agreement approximate fair value based upon the market interest rates available to the Company for debt obligations with similar risks and maturities.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at fair value. The financial statements for the three months ended March 31, 2017 and 2016 include compensation cost for the portion of outstanding awards that vested during those periods. The Company recognizes stock-based compensation costs on a straight-line basis over the requisite service period of the award, which is generally the option vesting term. Total stock-based compensation expense related to stock options was $0.5 million and $1.0 million for the three months ended March 31, 2017 and 2016, respectively. Stock-based compensation expense is included in selling, general and administrative expenses in the accompanying Consolidated Statements of Operations.</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2017, the Company had outstanding stock options to purchase 2,390,872 shares of common stock at a weighted average exercise price of $13.99.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to non-employee directors. Recipients are not required to provide any consideration other than continued service. Restricted share awards are subject to certain restrictions on transfer, and all or part of the shares awarded may be subject to forfeiture upon the occurrence of certain events, including employment termination. The restricted stock is valued at its grant date fair value and expensed over the requisite service period or the vesting term of the awards. Total stock-based compensation expense related to restricted stock was $0.3 million and $0.2 million for the three months ended March 31, 2017 and 2016, respectively. Stock-based compensation expense is included in selling, general and administrative expenses in the accompanying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the Company had 100,884 outstanding restricted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New Market Tax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New Market Tax Credit</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December 2016, Tile Shop Lending loaned $6.7 million to the Investment Fund at an interest rate of 1.37% per year and with a maturity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2016, U.S. Bank also contributed $3.1 million to the Investment Funds and, by virtue of such contribution, is entitled to substantially all of the tax benefits derived from the NMTCs,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$3.1 million, net of syndications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March 31, 2017, the balance of the contribution liability was $3.1 million, of which $0.5 million is classified as other accrued liabilities on the Consolidated Balance Sheet and $2.6 million is classified as other long-term liabilities on the Consolidated Balance Sheet.</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closing on this transaction, 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March 31, 2017, the balance available in the Investment Fund available for reimbursement to the Company was $5.6 million. The Company classified $3.0 million of the Investment Fund balance to be used toward the purchase of current assets as restricted cash and $2.6 million of the Investment Fund balance to be used toward the purchase of long-term assets as long-term restricted cash in</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40"/>
          </w:cols>
          <w:pgMar w:left="900" w:top="117" w:right="10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March 31, 2017. Subsequent to March 31, 2017, the restriction on the Company’s ability to access $4.8 million of the balance in the Investment Fund was lifted and this amount was transferred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New Market Tax Credit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July 2013, the Company entered into a financing transaction with U.S. Bank and Chase Community Equity (“Chase”, and collectively with Chase, the “investors”) related to a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that this financing arrangement contains a VIE. The ongoing activities of the Tile Shop Investment Fund LLC</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Investment Fund.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March 31, 2017, the balance of the contribution liability was $2.2 million, of which $0.7 million is classified as other accrued liabilities on the Consolidated Balance Sheet and $1.5 million is classified as other long-term liabilities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two of its former executive officers, three of its outside directors, two of its former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subsequently consolidated. The plaintiffs are three investors who represent classes consisting of (1) all purchasers of Tile Shop common stock between August 22, 2012 and January 28, 2014 (the “class period”), seeking to pursue remedies under the Securities Exchange Act of 1934; and (2) all purchasers of Tile Shop common stock pursuant and/or traceable to the Company’s December 2012 registration statement, seeking to pursue remedies under the Securities Act of 1933. Six firms who were underwriters in the December 2012 secondary public offering are also named as defendants. The plaintiffs allege that during the class period, defendants failed to disclose certain related party transactions in the Company’s SEC filings and press releases. The plaintiffs assert claims under Sections 11, 12(a)(2), and 15 of the Securities Act of 1933, and under Sections 10(b) and 20(a) of the Securities Exchange Act of 1934. In addition to attorneys’ fees and costs, the plaintiffs seek to recover damages on behalf of class members. Subsequent to December 31, 2016, the parties entered into a Stipulation of Settlement (“Stipulation”) dated January 13, 2017 to settle all claims. Pursuant to the Stipulation, $9.5 million was paid on behalf of all defendants. The Company has agreed to pay $5.0 million of that amount and the insurance company providing coverage for the initial tier of the Company’s directors and officers liability insurance policy has agreed to pay $4.5 million of that amount. The Company and the insurance provider subsequently deposited money into an escrow account that had been established to hold the settlement fund. The settlement is subject to court approval. The court has scheduled a hearing on whether to grant final approval of the settlement for May 3, 2017.</w:t>
      </w:r>
    </w:p>
    <w:p>
      <w:pPr>
        <w:spacing w:after="0" w:line="19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also is a nominal defendant in three actions brought derivatively on behalf of the Company by three shareholders in the Court of Chancery for the State of Delaware. Two of the actions were filed in 2015 and then consolidated (the “Consolidated Actions”). On July 31, 2015, the plaintiff-shareholders in the Consolidated Actions filed a consolidated complaint. The</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17" w:right="10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consolidated complaint names as defendants four current members of the Company’s Board of Directors, two of its former directors, and a former employee of the Company. The third action (the “Third Action”) was filed on or about September 28, 2016 against seven members of the Company’s Board of Directors, a former officer, and a former employee. All of the complaints track many of the same factual allegations as have been made in the above-described federal securities class action. They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complaints seek damages, disgorgement, an award of attorneys’ fees and other expenses, and an order compelling changes to the Company’s corporate governance and internal procedures. In 2015, the defendants moved to dismiss the Consolidated Actions, or in the alternative, to stay the Consolidated Actions pending resolution of the Beaver County Employees’ Retirement Fund action described above. Subsequently, upon agreement of the parties, the court entered an order staying the Consolidated Actions. Recently the Company moved to dismiss the newly-filed Third Action, or in the alternative, to stay the Third Action until resolution of the Beaver County Employees’ Retirement Fund action described above, or until the Company’s Board of Directors takes action on the demand described below. That motion has not yet been decided.</w:t>
      </w:r>
    </w:p>
    <w:p>
      <w:pPr>
        <w:spacing w:after="0" w:line="1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letter dated May 19, 2016, a shareholder of the Company, through his attorney and prior to filing the Third Action,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8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Given the uncertainty of litigation and the current stage of the derivative actions, the Company cannot reasonably estimate the possible loss or range of loss that may result.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18, 2017, the Company declared a $0.05 dividend to stockholders of record as of the close of business on May 2, 2017. The dividend will be paid on May 16, 2017.</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17" w:right="10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Annual Report on Form 10-K for the year ended December 31, 2016 and our consolidated financial statements and related notes appearing elsewhere in this Quarterly Report on Form 10-Q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or Securities Act, and Section 21E of the Securities Exchange Act of 1934, as amended, or Exchange Act. Forward-looking statements are often identified by the use of words such as, but not limited to, “anticipate,” “believe,” “can,” “continue,” “could,” “estimate,” “expect,” “intend,” “may,” “might,” “plan,” “project,” “seek,” “should,” “target,” “will,” “will likely result,”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unexpected delays or expenses related to opening new stores and maintaining or renovating existing stores, changes to economic conditions and customer preferences, disruptions in our supply chain, or inventory management, competitive factors, increases to interest rates or other impacts on our ability to obtain or maintain financing, unanticipated expenses related to operating as a public company including but not limited to litigation-related expenses, and those factors disclosed in the section captioned “Risk Factors” in our Annual Report for the fiscal year ended December 31, 2016, filed with the Securities and Exchange Commission.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22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are a specialty retailer of manufactured and natural stone tiles, setting and maintenance materials, and related accessories in the United States. We offer a wide selection of products, attractive prices, and exceptional customer service in an extensive showroom setting. As of March 31, 2017, we operated 126 stores in 31 states, with an average size of 20,900 square feet. We also sell our products on our website.</w:t>
      </w:r>
    </w:p>
    <w:p>
      <w:pPr>
        <w:spacing w:after="0" w:line="15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manufactured and natural stone tiles, accessories, and related materials in the United States.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the highly-fragmented United States retail tile market provides us with a significant opportunity to expand our store base. We opened 3 new stores in the first three months of 2017, and opened 9 new stores in the United States during 2016. We plan to open 12 to 15 stores in 2017.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8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2017 and 2016, we reported net sales of $92.1 million and $84.7 million, respectively, and income from operations of $13.5 million and $11.8 million, respectively. The increase in sales and income from operations was primarily due to same store sales growth of 4.9% and 13.2% for the three months ended March 31, 2017 and 2016, respectively.</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$20.1 million and $27.5 million for three months ended March 31, 2017 and 2016, respectively, which was used to fund operations, new store construction activities, and debt repayments. We expect to continue to fund our capital expenditures and daily operations from our operating cash flows. As of March 31, 2017, we had cash of $13.6 million and working capital of $39.7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Operations</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represents total charges to customers, net of returns, and includes freight charged to customers. We recognize sales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time that the customer takes possession of the merchandise or final delivery of the product has occurred.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Comparable store sales for the three months ended March 31, 2017 increased $4.0 million, compared to the three months ended March 31, 2016. The table below sets forth information about our same store sales growth for the three months ended March 31, 2017 and 2016.</w:t>
      </w:r>
    </w:p>
    <w:p>
      <w:pPr>
        <w:spacing w:after="0" w:line="22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 store sales growth</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13.2 %</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increase in same store sales growth is primarily attributable to an increase in the volume of transactions, as well as increases in average transaction size. Same store sales amounts include total charges to customers less any actual returns, and the change in the returns provision related to comparable stores. In general, we consider a new or relocated store in the comparable store sales calculation on the first day of the 13th full month of operation.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Between April 1, 2016 and March 31, 2017, we opened 11 new store locations. Incremental net sales of $3.4 million occurred in the three months ended March 31, 2017 from stores not included in the comparable store base.</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consists primarily of material costs, freight, duties, and storage and delivery of product to the customers, as well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costs associated with manufacturing of setting and maintenance materials. For the three months ended March 31, 2017 and 2016, our cost of sales as a percentage of net sales was 29.7% and 29.5%, respectively. The increase was primarily attributable to an increased level of discounting during the three months ended March 31, 2017.</w:t>
      </w:r>
    </w:p>
    <w:p>
      <w:pPr>
        <w:spacing w:after="0" w:line="17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For the three months ended March 31, 2017 and 2016, our selling, general,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expenses as a percentage of net sales were 55.6% and 56.6%, respectively. The decrease was primarily attributable to an increase in same store sales, which outpaced the growth of selling, general, and administrative expenses for the three months ended March 31, 2017.</w:t>
      </w:r>
    </w:p>
    <w:p>
      <w:pPr>
        <w:spacing w:after="0" w:line="1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We are subject to income tax in the United States as well as other tax jurisdictions in which we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Our effective tax rate for the three months ended March 31, 2017 and 2016 was 38.8% and 39.8%, respectively. The Company’s tax rate benefited from a decrease in non-deductible incentive stock-based compensation expense in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22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(“GAAP”), and adjusting for interest expense, income taxes, depreciation and amortization, stock based compensation expense, and special charges, which consist of shareholder and other litigation costs. Adjusted EBITDA margin is equal to Adjusted EBITDA divided by net sales. Free cash flows is calculated by taking net cash provided by operating activities and subtracting net cash used for the purchase of property, plant and equipment. Non-GAAP net income excludes the special charges, which consist of shareholder and other litigation costs, and is net of tax.</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for the three months ended March 31, 2017 and 2016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7"/>
          </w:tcPr>
          <w:p>
            <w:pPr>
              <w:ind w:left="60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ind w:right="660"/>
              <w:spacing w:after="0"/>
              <w:rPr>
                <w:sz w:val="20"/>
                <w:szCs w:val="20"/>
                <w:color w:val="auto"/>
              </w:rPr>
            </w:pPr>
            <w:r>
              <w:rPr>
                <w:rFonts w:ascii="Times New Roman" w:cs="Times New Roman" w:eastAsia="Times New Roman" w:hAnsi="Times New Roman"/>
                <w:sz w:val="18"/>
                <w:szCs w:val="18"/>
                <w:color w:val="auto"/>
                <w:w w:val="99"/>
              </w:rPr>
              <w:t>March 31,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64"/>
        </w:trPr>
        <w:tc>
          <w:tcPr>
            <w:tcW w:w="5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2"/>
                <w:szCs w:val="22"/>
                <w:color w:val="auto"/>
              </w:rPr>
            </w:pPr>
          </w:p>
        </w:tc>
        <w:tc>
          <w:tcPr>
            <w:tcW w:w="12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18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2"/>
                <w:szCs w:val="22"/>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5.3 %</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6.6 %</w:t>
            </w:r>
          </w:p>
        </w:tc>
      </w:tr>
      <w:tr>
        <w:trPr>
          <w:trHeight w:val="23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0.9 %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1.5 %</w:t>
            </w:r>
          </w:p>
        </w:tc>
      </w:tr>
      <w:tr>
        <w:trPr>
          <w:trHeight w:val="217"/>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r>
    </w:tbl>
    <w:p>
      <w:pPr>
        <w:ind w:left="160" w:hanging="141"/>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may not foot due to rounding.</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reconciliation of free cash flow to net cash provided by operating activities for the three months ended March 31, 2017 and 2016 is as follows:</w:t>
      </w:r>
    </w:p>
    <w:p>
      <w:pPr>
        <w:spacing w:after="0" w:line="22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27,473</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(9,963)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(6,375)</w:t>
            </w:r>
          </w:p>
        </w:tc>
      </w:tr>
      <w:tr>
        <w:trPr>
          <w:trHeight w:val="217"/>
        </w:trPr>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flows</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21,098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GAAP income to Non-GAAP income for the three months ended March 31, 2017 and 2016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31, 2017</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86"/>
        </w:trPr>
        <w:tc>
          <w:tcPr>
            <w:tcW w:w="4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Per Share</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Pretax</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Net of Tax</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Amounts</w:t>
            </w:r>
            <w:r>
              <w:rPr>
                <w:rFonts w:ascii="Times New Roman" w:cs="Times New Roman" w:eastAsia="Times New Roman" w:hAnsi="Times New Roman"/>
                <w:sz w:val="8"/>
                <w:szCs w:val="8"/>
                <w:color w:val="auto"/>
              </w:rPr>
              <w:t>(1)</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 and other litigation costs</w:t>
            </w:r>
          </w:p>
        </w:tc>
        <w:tc>
          <w:tcPr>
            <w:tcW w:w="1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11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may not foot due to rounding.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March 31, 2017 to the three months ended March 31,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p>
        </w:tc>
        <w:tc>
          <w:tcPr>
            <w:tcW w:w="1760" w:type="dxa"/>
            <w:vAlign w:val="bottom"/>
            <w:gridSpan w:val="3"/>
          </w:tcPr>
          <w:p>
            <w:pPr>
              <w:jc w:val="right"/>
              <w:ind w:right="715"/>
              <w:spacing w:after="0"/>
              <w:rPr>
                <w:sz w:val="20"/>
                <w:szCs w:val="20"/>
                <w:color w:val="auto"/>
              </w:rPr>
            </w:pPr>
            <w:r>
              <w:rPr>
                <w:rFonts w:ascii="Times New Roman" w:cs="Times New Roman" w:eastAsia="Times New Roman" w:hAnsi="Times New Roman"/>
                <w:sz w:val="18"/>
                <w:szCs w:val="18"/>
                <w:color w:val="auto"/>
              </w:rPr>
              <w:t>% of sales</w:t>
            </w: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92,135</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84,714</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25,009</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70.5 %</w:t>
            </w: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51,212</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55.6 %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47,949</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13.9 %</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13.2 %</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(5,075)</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(4,459)</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1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may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94"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Sales </w:t>
      </w:r>
      <w:r>
        <w:rPr>
          <w:rFonts w:ascii="Times New Roman" w:cs="Times New Roman" w:eastAsia="Times New Roman" w:hAnsi="Times New Roman"/>
          <w:sz w:val="17"/>
          <w:szCs w:val="17"/>
          <w:color w:val="auto"/>
        </w:rPr>
        <w:t>Net sales for the first quarter of 2017 increased $7.4 million, or 8.8%, over the first quarter of 2016. Comparable store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$4.0 million for the first quarter of 2017 due to an increase in the volume of transactions, as well as an increase in the average transaction size. Net sales for the 11 new stores open less than twelve months were $3.4 million during the first quarter of 2017.</w:t>
      </w:r>
    </w:p>
    <w:p>
      <w:pPr>
        <w:spacing w:after="0" w:line="15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first quarter of 2017 increased $5.0 million, or 8.4%, compared to the first quarter of 2016,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increase in net sales. The gross margin rate decreased from 70.5% for the first quarter of 2016 to 70.3% for the first quarter of 2017. The decrease was primarily attributable to an increased level of discounting during the three months ended March 31, 2017.</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first quarter of 2017 increased $3.3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6.8%, compared to the first quarter of 2016. The increase in selling, general, and administrative expenses was primarily due to an increase in occupancy costs of $2.0 million as a result of opening 11 new stores during the period from April 1, 2016 through March 31, 2017 The remainder of the increase was driven primarily by an increase in variable compensation associated with a 4.9% increase in comparable store sales for the three months ended March 31, 2017. Selling, general, and administrative expenses as a percentage of net sales decreased to 55.6% for the first quarter of 2017 compared to 56.6% for the first quarter of 2016. The decrease in selling, general, and administrative expenses as a percentage of net sales was primarily due to a maturing store base that has higher net sales levels, which outpaced the growth of selling, general, and administrative expenses.</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costs of $0.4 million and $0.7 million for the first quarters of 2017 and 2016, respectively, which relate to special charges consisting of shareholder and other litigation expenses.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Our pre-opening costs are those typically associated with the opening of a new store and generally include rent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costs and promotional costs. We expense pre-opening costs as incurred and include these costs in selling, general and administrative expenses. During the first quarter of 2017 and 2016, we incurred pre-opening costs of $0.3 million and $0.2 million, respectively.</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$0.1 million for the first quarter of 2017 compared to the first quarter of 2016. The decrease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decrease in the debt balance in 2017.</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Income tax provision increased $0.6 million for the first quarter of 2017 compared to the first quarter of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higher income before income taxes in the first quarter of 2017. Our effective tax rate for the three months ended March 31, 2017 and 2016 was 38.8% and 39.8%, respectively. The improvement in the effective tax rate in 2017 was due to the vesting of certain incentive stock option awards that resulted in a decrease in non-deductible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Our principal uses of liquidity have been investments in working capital and capital expenditures. Our principal sources of liquidity are $13.6 million of cash and cash equivalents at March 31, 2017, our cash flow from operations, and borrowings available under our credit facility. We expect to use this liquidity for opening new stores, purchasing additional merchandise inventory, maintaining our existing stores, reducing outstanding debt, and general corporate purposes. We also recently approved the establishment of a regular quarterly dividend that will enable us to return excess cash to stockholders. Future dividend payments are subject to the approval of the Board of Directors each quarter.</w:t>
      </w:r>
    </w:p>
    <w:p>
      <w:pPr>
        <w:spacing w:after="0" w:line="18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June 2, 2015, we, and our operating subsidiary, The Tile Shop, LLC, entered into a credit agreement with Fifth Third Bank, Bank of America, N.A., and Huntington National Bank (as subsequently amended, the “Credit Agreement”). On December 9, 2016, the Credit Agreement was amended to permit an additional New Markets Tax Credit Financing arrangement and on February 10, 2017, the Credit Agreement was amended to permit us to make certain dividend payments. The Credit Agreement provides us with a $125.0 million senior secured credit facility, comprised of a five-year $50.0 million term loan and a $75.0 million revolving line of credit. The Credit Agreement is secured by virtually all of our assets, including but not limited to inventory, receivables, equipment and real property. Borrowings pursuant to the Credit Agreement bear interest at either a base rate or a LIBOR-based rate, at our option. The LIBOR-based rate will range from LIBOR plus 1.50% to 2.00%, depending on our leverage ratio. The base rate is equal to the greatest of: (a) the Federal funds rate plus 0.50%, (b) the Fifth Third Bank “prime rate,” and (c) the Eurodollar rate plus 1.00%, in each case plus 0.50% to 1.00% depending on our leverage ratio. At March 31, 2017 the base interest rate was 4.50% and the LIBOR-based interest rate was 2.48%. Borrowings outstanding consisted of $10.0 million on the revolving line of credit and $16.5 million on the term loan as of March 31, 2017. There was $65.0 million available for borrowing on the revolving line of credit as of March 31, 2017. We can elect to prepay the term loan without incurring a penalty. To the extent we have an outstanding balance on our term loan, the credit agreement requires quarterly principal payments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3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2017 to June 30, 2018</w:t>
            </w: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2018 to March 31, 2020</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9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Credit Agreement contains customary events of default, conditions to borrowings, and restrictive covenants, including restrictions on our ability to dispose of assets, make acquisitions, incur additional debt, incur liens, make investments, or enter into transactions with affiliates on other than terms that could be obtained in an arm’s length transaction. The Credit Agreement also includes financial and other covenants, including covenants to maintain certain fixed charge coverage ratios and rent adjusted leverage ratios. We were in compliance with the covenants as of March 31, 2017. We intend to make principal payments due in future periods using cash from operations.</w:t>
      </w:r>
    </w:p>
    <w:p>
      <w:pPr>
        <w:spacing w:after="0" w:line="1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a standby letter of credit outstanding related to our workers compensation insurance policy. As of March 31, 2017 and 2016, the standby letter of credit totaled $1.1 million and $0.9 million, respectively.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Capital expenditures paid in the three months ended March 31, 2017 were $10.0 million. Approximately $8.2 million of this was for new store build-out, remodels of existing stores, and merchandising projects. The remainder was for general corporate and information technology purposes.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plan to open 12 to 15 stores during 2017. Total capital expenditures are expected to be between $30 million and $35 million in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0" w:name="page21"/>
    <w:bookmarkEnd w:id="20"/>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2017 and 2016.</w:t>
      </w:r>
    </w:p>
    <w:p>
      <w:pPr>
        <w:spacing w:after="0" w:line="29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March 31,</w:t>
      </w: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20,054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(9,963)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(2,574)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w:t>
            </w:r>
          </w:p>
        </w:tc>
      </w:tr>
    </w:tbl>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160" w:right="160"/>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during the three months ended March 31, 2017 was $20.1 million, compared to $27.5 million during the three months ended March 31, 2016. The decrease is attributable to payment of the shareholder litigation settlement to an escrow account, which occurred during the three months ended March 31, 2017.</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160" w:right="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totaled $10.0 million for the three months ended March 31, 2017, compared to $6.4 million for the three months ended March 31, 2016. Net cash used in investing activities in each period was primarily for capital purchases of store fixtures, equipment, building improvements and leasehold improvements for stores opened or remodeled, asset additions in our distribution and manufacturing facilities, and general corporate information technology assets.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160" w:right="18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$2.6 million for the three months ended March 31, 2017, compared to $15.0 million for the three months ended March 31, 2016. Cash used in financing activities during the three months ended March 31, 2017 was primarily for the payment of an aggregate $2.6 million in dividends during the quarter. Payments of long-term debt and capital lease obligations of $1.3 million were offset by the release of restricted cash of $1.3 million. Net cash used in financing activities during the three months ended March 31, 2016 was primarily for payments of long-term debt and capital lease obligations of $15.0 million.</w:t>
      </w:r>
    </w:p>
    <w:p>
      <w:pPr>
        <w:spacing w:after="0" w:line="184" w:lineRule="exact"/>
        <w:rPr>
          <w:sz w:val="20"/>
          <w:szCs w:val="20"/>
          <w:color w:val="auto"/>
        </w:rPr>
      </w:pPr>
    </w:p>
    <w:p>
      <w:pPr>
        <w:ind w:left="160" w:right="220"/>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$13.6 million at March 31, 2017, versus $6.1 million at December 31, 2016. We had working capital of $39.7 million at March 31, 2017, compared to working capital of $36.0 million at December 31, 2016.</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160" w:right="160"/>
        <w:spacing w:after="0" w:line="266" w:lineRule="auto"/>
        <w:rPr>
          <w:sz w:val="20"/>
          <w:szCs w:val="20"/>
          <w:color w:val="auto"/>
        </w:rPr>
      </w:pPr>
      <w:r>
        <w:rPr>
          <w:rFonts w:ascii="Times New Roman" w:cs="Times New Roman" w:eastAsia="Times New Roman" w:hAnsi="Times New Roman"/>
          <w:sz w:val="18"/>
          <w:szCs w:val="18"/>
          <w:color w:val="auto"/>
        </w:rPr>
        <w:t>As of March 31, 2017 and December 31, 2016,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March 31, 2017, there were no material changes to our contractual obligations outside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 standard which simplifies the subsequent measurement of inventory. Previously, an entity was required to measure inventory at the lower of cost or market, whereby market can be replacement cost, net realizable value, or net realizable value less an approximately normal profit margin. The changes required that inventory be measured at the lower of cost and net realizable value, thereby eliminating the use of the other two market methodologies. Net realizable value is defined as the estimated selling prices in the ordinary course of business less reasonably predictable costs of completion, disposal, and transportation. The standard was effective for the Company at the beginning of fiscal 2017. The adoption of this new standard did not have a material effect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May 2014, the FASB issued a final standard on revenue from contracts with customers. This new standard introduces a comprehensive revenue recognition model that requires a company to recognize revenue to depict the transfer of goods or services to a</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17" w:right="879" w:bottom="1440" w:gutter="0" w:footer="0" w:header="0"/>
        </w:sectPr>
      </w:pPr>
    </w:p>
    <w:bookmarkStart w:id="21" w:name="page22"/>
    <w:bookmarkEnd w:id="21"/>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customer at an amount that reflects the consideration it expects to receive in exchange for those goods or services. In 2016, the FASB issued several amendments to the standard, including principal versus agent considerations when another party is involved in providing goods or services to a customer, the application of identifying performance obligations, and the recognition of expected breakage amounts either proportionally in earnings as redemptions occur or when redemption is remote. The Company continues to assess the impacts of this standard, including evaluating if its current polices to account for samples, gift cards, and sales returns will change under the new standard. As the Company finalizes its assessment, the Company will take steps to define its accounting policies under the new standard, establish new processes and controls when warranted, and ensure these processes are designed to capture the information necessary to conform to the transitional disclosure requirements. The standard is effective for the Company in fiscal 2018 and provides for either full retrospective adoption or modified retrospective adoption by which the cumulative effect of the change is recognized in retained earnings at the date of initial application. The Company has elected to adopt this standard using the modified retrospective approach.</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 standard that primarily requires organizations that lease assets to recognize the rights and obligations created by those leases on the Consolidated Balance Sheet. The standard is effective in 2019, with early adoption permitted. The Company is currently assessing the effect the new standard will have on its consolidated financial statements.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August 2016, the FASB issued an accounting standards update with new guidance on how certain cash receipts and cash payments are presented and classified in the statement of cash flows. The amendments in the standards update provide guidance on eight specific cash flow issues. The standards update is effective retrospectively for fiscal years and interim periods beginning after December 15, 2017, with early adoption permitted. The Company is currently assessing the effect the new standard will have on its consolidated financial statements.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on the statement of cash flows. The new standard is effective for fiscal years, and interim periods within those fiscal years, beginning after December 15, 2017, with early adoption permitted. The guidance should be applied retrospectively after adoption. The Company’s restricted cash and long-term restricted cash balances were $3.0 million and $2.6 million, respectively, as of March 31, 2017. Upon adopting the new standard, the Company anticipates that the fluctuations in the restricted cash and long-term restricted cash balances will impact its statement of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March 31, 2017 and have concluded that such disclosure controls and procedures were effective as of the end of the period covered by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changes to our internal control over financial reporting occurring during the quarter ended March 31, 2017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17" w:right="879" w:bottom="1440" w:gutter="0" w:footer="0" w:header="0"/>
        </w:sectPr>
      </w:pPr>
    </w:p>
    <w:bookmarkStart w:id="22" w:name="page23"/>
    <w:bookmarkEnd w:id="22"/>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two of its former executive officers, three of its outside directors, two of its former directors, and certain companies affiliated with the directors, are defendants in a consolidated class action brought under the federal securities laws and now pending in the United States District Court for the District of Minnesota under the caption Beaver County Employees’ Retirement Fund, et al. v. Tile Shop Holdings, Inc., et al. Several related actions were filed in 2013 and subsequently consolidated. The plaintiffs are three investors who represent classes consisting of (1) all purchasers of Tile Shop common stock between August 22, 2012 and January 28, 2014 (the “class period”), seeking to pursue remedies under the Securities Exchange Act of 1934; and (2) all purchasers of Tile Shop common stock pursuant and/or traceable to the Company’s December 2012 registration statement, seeking to pursue remedies under the Securities Act of 1933. Six firms who were underwriters in the December 2012 secondary public offering are also named as defendants. The plaintiffs allege that during the class period, defendants failed to disclose certain related party transactions in the Company’s SEC filings and press releases. The plaintiffs assert claims under Sections 11, 12(a)(2), and 15 of the Securities Act of 1933, and under Sections 10(b) and 20(a) of the Securities Exchange Act of 1934. In addition to attorneys’ fees and costs, the plaintiffs seek to recover damages on behalf of class members. Subsequent to December 31, 2016, the parties entered into a Stipulation of Settlement (“Stipulation”) dated January 13, 2017 to settle all claims. Pursuant to the Stipulation, $9.5 million was paid on behalf of all defendants. The Company has agreed to pay $5.0 million of that amount and the insurance company providing coverage for the initial tier of the Company’s directors and officers liability insurance policy has agreed to pay $4.5 million of that amount. The Company and the insurance provider subsequently deposited money into an escrow account that had been established to hold the settlement fund. The settlement is subject to court approval. The court has scheduled a hearing on whether to grant final approval of the settlement for May 3, 2017.</w:t>
      </w:r>
    </w:p>
    <w:p>
      <w:pPr>
        <w:spacing w:after="0" w:line="19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also is a nominal defendant in three actions brought derivatively on behalf of the Company by three shareholders in the Court of Chancery for the State of Delaware. Two of the actions were filed in 2015 and then consolidated (the “Consolidated Actions”). On July 31, 2015, the plaintiff-shareholders in the Consolidated Actions filed a consolidated complaint. The consolidated complaint names as defendants four current members of the Company’s Board of Directors, two of its former directors, and a former employee of the Company. The third action (the “Third Action”) was filed on or about September 28, 2016 against seven members of the Company’s Board of Directors, a former officer, and a former employee. All of the complaints track many of the same factual allegations as have been made in the above-described federal securities class action. They allege that the defendant-directors and/or officer breached their fiduciary duties by failing to adopt adequate internal controls for the Company, by approving false and misleading statements issued by the Company, by causing the Company to violate generally accepted accounting principles and SEC regulations, by engaging in or approving alleged insider trading, and by permitting the Company’s primary product to contain illegal amounts of lead. The complaints also allege claims for insider trading and/or unjust enrichment. The complaints seek damages, disgorgement, an award of attorneys’ fees and other expenses, and an order compelling changes to the Company’s corporate governance and internal procedures. In 2015, the defendants moved to dismiss the Consolidated Actions, or in the alternative, to stay the Consolidated Actions pending resolution of the Beaver County Employees’ Retirement Fund action described above. Subsequently, upon agreement of the parties, the court entered an order staying the Consolidated Actions. Recently the Company moved to dismiss the newly-filed Third Action, or in the alternative, to stay the Third Action until resolution of the Beaver County Employees’ Retirement Fund action described above, or until the Company’s Board of Directors takes action on the demand described below. That motion has not yet been decided.</w:t>
      </w:r>
    </w:p>
    <w:p>
      <w:pPr>
        <w:spacing w:after="0" w:line="19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By letter dated May 19, 2016, a shareholder of the Company, through his attorney and prior to filing the Third Action, demanded that the Board of Directors investigate alleged breaches of fiduciary duty related to the same matters described above, and take action against certain present and former officers and directors of the Company. The Board of Directors has appointed a committee of two independent directors to investigate and evaluate the matters raised in the demand letter, and to recommend to the Company’s Board of Directors what actions, if any should be taken by the Company with respect to the matters raised in the demand letter.</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the uncertainty of litigation and the current stage of the derivative actions, the Company cannot reasonably estimate the possible loss or range of loss that may result. The Company maintains directors and officers liability insurance policies that may reduce the Company’s exposure, if any. In the event the Company incurs a loss, the Company will pursue recoveries to the maximum extent available under these policies.</w:t>
      </w:r>
    </w:p>
    <w:p>
      <w:pPr>
        <w:spacing w:after="0" w:line="18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2016.</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60"/>
          </w:cols>
          <w:pgMar w:left="740" w:top="117" w:right="899" w:bottom="1440" w:gutter="0" w:footer="0" w:header="0"/>
        </w:sectPr>
      </w:pPr>
    </w:p>
    <w:bookmarkStart w:id="23" w:name="page24"/>
    <w:bookmarkEnd w:id="23"/>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Geadelmann Amendment</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April 21, 2017, the Company and Kirk Geadelmann entered into an amendment to Mr. Geadelmann’s offer letter, which provides that Mr. Geadelmann, upon termination, is entitled to continued payment of his base salary for six months and an additional payment in an amount equal to six times the Company’s contribution amount for the monthly health insurance premium for him during the month immediately prior to termination. Upon a change of control, Mr. Geadelmann is also entitled to full vesting acceleration with respect to any unvested equity awards if he is not offered employment by the successor entity, or if he is terminated without cause or is constructively terminated prior to the first anniversary of the change of control.</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summary of the amendment to Mr. Geadelmann’s offer letter is not complete and is qualified in its entirety by reference to the full text of the amendment, which is attached as Exhibit 10.3 to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Kinder Separation</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March 1, 2017, management of the Company notified Joseph Kinder that his employment as Senior Vice President–Operations would be terminated, effective as the close of business on March 3, 2017. In connection with his termination, the Company proposed a Confidential Separation Agreement and Release with Mr. Kinder (the “Separation Agreement”), which was executed on March 20, 2017.</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Separation Agreement provides for severance payments in exchange for a full release in the Company’s favor. Under the terms of the Separation Agreement, the Company has agreed to pay to Mr. Kinder the sum of $109,000.00 (an amount equal to six months’ annual base salary as of the termination date), payable in accordance with the Company’s regular payroll practices. In addition, the Company agreed to pay to Mr. Kinder the sum of $5,446.86 (an amount equal to six times the Company’s contribution amount for the monthly health insurance premium for Mr. Kinder during the month immediately prior to termination). The severance arrangements under the Separation Agreement are in lieu of, and not in addition to, the severance arrangements set forth in Mr. Kinder’s employment Offer Letter Agreement dated June 24, 2012 (the “Offer Letter Agreement”).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Mr. Kinder agreed to comply with all obligations stated in his Offer Letter Agreement that, by their terms, continue after termination of his employment, including obligations not to compete, directly or indirectly, with the Company or solicit any of the Company’s employees or business contacts for a period of one year after termination. The Company may elect to extend the term of Mr. Kinder’s non-compete and non-solicit obligations for a period of two years following termination of employment, provided that the Company continues to pay his base salary for a period of twelve months (in lieu of six months) and makes an additional payment in an amount equal to twelve times (in lieu of six times) the Company’s contribution amount for the monthly health insurance premium for him during the month immediately prior to termination.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summary of the arrangements with Mr. Kinder is not complete and is qualified in its entirety by reference to the full text of the Separation Agreement, which is attached as Exhibit 10.5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17" w:right="879" w:bottom="1440" w:gutter="0" w:footer="0" w:header="0"/>
        </w:sectPr>
      </w:pPr>
    </w:p>
    <w:bookmarkStart w:id="24" w:name="page25"/>
    <w:bookmarkEnd w:id="24"/>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 of Tile Shop Holdings, Inc. (incorporated by reference to Exhibit 3.1 to the Company’s Registration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9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9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Stipulation of Settlement, among Tile Shop Holdings, Inc., Beaver County Employees’ Retirement Fund and the other parties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thereto, dated January 13, 2017 (incorporated by reference to Exhibit 10.1 to the Company’s Current Report on Form 8-K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the Securities and Exchange Commission on January 20, 2017).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9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Second Amendment to Credit Agreement, dated February 10, 2017, among The Tile Shop, LLC, Tile Shop Holdings, Inc., Fifth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Bank, and the other parties named therein (incorporated by reference to Exhibit 10.1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February 14, 2017).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w:t>
            </w: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 to Offer Letter Agreement, dated April 21, 2017, between Tile Shop Holdings, Inc. and Kirk Geadelmann.</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Letter Agreement, dated February 17, 2017, between Tile Shop Holdings, Inc. and Joyce Maruniak.</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Confidential Separation Agreement and Release dated March 20, 2017 between the Tile Shop Holdings, Inc. and Joseph Kinder.</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640" w:type="dxa"/>
            <w:vAlign w:val="bottom"/>
          </w:tcPr>
          <w:p>
            <w:pPr>
              <w:spacing w:after="0"/>
              <w:rPr>
                <w:sz w:val="13"/>
                <w:szCs w:val="13"/>
                <w:color w:val="auto"/>
              </w:rPr>
            </w:pPr>
          </w:p>
        </w:tc>
        <w:tc>
          <w:tcPr>
            <w:tcW w:w="9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32.2**</w:t>
            </w:r>
          </w:p>
        </w:tc>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160"/>
        <w:spacing w:after="0"/>
        <w:tabs>
          <w:tab w:leader="none" w:pos="9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ind w:left="160"/>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17" w:right="8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27, 2017</w:t>
            </w:r>
          </w:p>
        </w:tc>
        <w:tc>
          <w:tcPr>
            <w:tcW w:w="55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CHRIS R. HOMEISTER</w:t>
            </w:r>
          </w:p>
        </w:tc>
      </w:tr>
      <w:tr>
        <w:trPr>
          <w:trHeight w:val="191"/>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Chris R. Homeister</w:t>
            </w:r>
          </w:p>
        </w:tc>
      </w:t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27, 2017</w:t>
            </w:r>
          </w:p>
        </w:tc>
        <w:tc>
          <w:tcPr>
            <w:tcW w:w="55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KIRK L. GEADELMANN</w:t>
            </w:r>
          </w:p>
        </w:tc>
      </w:tr>
      <w:tr>
        <w:trPr>
          <w:trHeight w:val="191"/>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Kirk L. Geadelmann</w:t>
            </w:r>
          </w:p>
        </w:tc>
      </w:t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17" w:right="9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2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3.1</w:t>
            </w:r>
          </w:p>
        </w:tc>
        <w:tc>
          <w:tcPr>
            <w:tcW w:w="92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Certificate of Incorporation of Tile Shop Holdings, Inc. (incorporated by reference to Exhibit 3.1 to the Company’s Registration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on 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3.2</w:t>
            </w:r>
          </w:p>
        </w:tc>
        <w:tc>
          <w:tcPr>
            <w:tcW w:w="9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By-Laws of Tile Shop Holdings, Inc. (incorporated by reference to Exhibit 3.2 to the Company’s Registration Statement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S-4 filed with the Securities and Exchange Commission on July 2, 2012).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9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Stipulation of Settlement, among Tile Shop Holdings, Inc., Beaver County Employees’ Retirement Fund and the other parties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thereto, dated January 13, 2017 (incorporated by reference to Exhibit 10.1 to the Company’s Current Report on Form 8-K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Securities and Exchange Commission on January 20, 2017).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9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 Amendment to Credit Agreement, dated February 10, 2017, among The Tile Shop, LLC, Tile Shop Holdings, Inc., Fifth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Bank, and the other parties named therein (incorporated by reference to Exhibit 10.1 to the Company’s Current Report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 filed with the Securities and Exchange Commission on February 14, 2017).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to Offer Letter Agreement, dated April 21, 2017, between Tile Shop Holdings, Inc. and Kirk Geadelmann.</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Letter Agreement, dated February 17, 2017, between Tile Shop Holdings, Inc. and Joyce Maruniak.</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 Separation Agreement and Release dated March 20, 2017 between the Tile Shop Holdings, Inc. and Joseph Kinder.</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Certifications of Chief Executive Officer Pursuant to Section 906 of the Sarbanes Oxley Act of 2002.</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32.2**</w:t>
            </w: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Certifications of Chief Financial Officer Pursuant to Section 906 of the Sarbanes Oxley Act of 2002.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423025" cy="248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423025"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423025"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38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TO terms of employment</w:t>
      </w:r>
    </w:p>
    <w:p>
      <w:pPr>
        <w:spacing w:after="0" w:line="200" w:lineRule="exact"/>
        <w:rPr>
          <w:sz w:val="20"/>
          <w:szCs w:val="20"/>
          <w:color w:val="auto"/>
        </w:rPr>
      </w:pPr>
    </w:p>
    <w:p>
      <w:pPr>
        <w:spacing w:after="0" w:line="205" w:lineRule="exact"/>
        <w:rPr>
          <w:sz w:val="20"/>
          <w:szCs w:val="20"/>
          <w:color w:val="auto"/>
        </w:rPr>
      </w:pPr>
    </w:p>
    <w:p>
      <w:pPr>
        <w:jc w:val="both"/>
        <w:ind w:left="4" w:right="20"/>
        <w:spacing w:after="0" w:line="237" w:lineRule="auto"/>
        <w:rPr>
          <w:sz w:val="20"/>
          <w:szCs w:val="20"/>
          <w:color w:val="auto"/>
        </w:rPr>
      </w:pPr>
      <w:r>
        <w:rPr>
          <w:rFonts w:ascii="Times New Roman" w:cs="Times New Roman" w:eastAsia="Times New Roman" w:hAnsi="Times New Roman"/>
          <w:sz w:val="18"/>
          <w:szCs w:val="18"/>
          <w:color w:val="auto"/>
        </w:rPr>
        <w:t>THIS AMENDMENT TO TERMS OF EMPLOYMENT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April 21, 2017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Tile Shop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Kirk Geadelmann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9" w:lineRule="exact"/>
        <w:rPr>
          <w:sz w:val="20"/>
          <w:szCs w:val="20"/>
          <w:color w:val="auto"/>
        </w:rPr>
      </w:pPr>
    </w:p>
    <w:p>
      <w:pPr>
        <w:jc w:val="both"/>
        <w:ind w:left="4"/>
        <w:spacing w:after="0" w:line="226" w:lineRule="auto"/>
        <w:rPr>
          <w:sz w:val="20"/>
          <w:szCs w:val="20"/>
          <w:color w:val="auto"/>
        </w:rPr>
      </w:pPr>
      <w:r>
        <w:rPr>
          <w:rFonts w:ascii="Times New Roman" w:cs="Times New Roman" w:eastAsia="Times New Roman" w:hAnsi="Times New Roman"/>
          <w:sz w:val="18"/>
          <w:szCs w:val="18"/>
          <w:color w:val="auto"/>
        </w:rPr>
        <w:t>WHEREAS, the parties entered into a written agreement governing Executive’s employment with the Company as its Chief Financial Officer on August 12, 2014, which includes the Company’s Nondisclosure, Confidentiality, Assignment and Noncompetition Agreement attached as Exhibit A thereto (together,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 w:right="20"/>
        <w:spacing w:after="0" w:line="237" w:lineRule="auto"/>
        <w:rPr>
          <w:sz w:val="20"/>
          <w:szCs w:val="20"/>
          <w:color w:val="auto"/>
        </w:rPr>
      </w:pPr>
      <w:r>
        <w:rPr>
          <w:rFonts w:ascii="Times New Roman" w:cs="Times New Roman" w:eastAsia="Times New Roman" w:hAnsi="Times New Roman"/>
          <w:sz w:val="18"/>
          <w:szCs w:val="18"/>
          <w:color w:val="auto"/>
        </w:rPr>
        <w:t>WHEREAS, the Company intends to provide the Executive certain benefits in the event of a Change of Control (as defined herein) or in the event of Executive’s termination without Severance Cause (as defined herein) or resignation for Good Reason (as defined herein); and</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WHEREAS, the parties have mutually agreed to memorialize the terms of such agreement.</w:t>
      </w:r>
    </w:p>
    <w:p>
      <w:pPr>
        <w:spacing w:after="0" w:line="185" w:lineRule="exact"/>
        <w:rPr>
          <w:sz w:val="20"/>
          <w:szCs w:val="20"/>
          <w:color w:val="auto"/>
        </w:rPr>
      </w:pPr>
    </w:p>
    <w:p>
      <w:pPr>
        <w:jc w:val="both"/>
        <w:ind w:left="4" w:right="20"/>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mutual promises and provisions contained in this Amendment, the parties, intending to be legally bound, agree as follows:</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89" w:lineRule="exact"/>
        <w:rPr>
          <w:sz w:val="20"/>
          <w:szCs w:val="20"/>
          <w:color w:val="auto"/>
        </w:rPr>
      </w:pPr>
    </w:p>
    <w:p>
      <w:pPr>
        <w:ind w:left="4" w:right="20" w:hanging="4"/>
        <w:spacing w:after="0" w:line="237" w:lineRule="auto"/>
        <w:tabs>
          <w:tab w:leader="none" w:pos="7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parties agree that the terms of the Employment Agreement remain in full force and effect except as modified by a specific provision of this Amendment.</w:t>
      </w:r>
    </w:p>
    <w:p>
      <w:pPr>
        <w:spacing w:after="0" w:line="158"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44" w:right="20" w:firstLine="5"/>
        <w:spacing w:after="0" w:line="213" w:lineRule="auto"/>
        <w:tabs>
          <w:tab w:leader="none" w:pos="152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Change of Control of the Company (as defined in the Company’s 2012 Omnibus Award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if the Executive is (a) not offered employment or continued employment by the Successor Entity (as defined in the Plan) upon consummation of such Change of Control, or (b) if prior to the first anniversary of such Change of Control, (i) the Executive is discharged by the Successor Entity other than for Cause (as defined in the Plan) or (ii) the Executive resigns from his employment with the Successor Entity as a result of a Constructive Termination (as defined below), all of the Executive’s unvested stock options will vest and become exercisable immediately prior to such Change of Control or cessation of employment, as applicable.</w:t>
      </w:r>
    </w:p>
    <w:p>
      <w:pPr>
        <w:spacing w:after="0" w:line="159" w:lineRule="exact"/>
        <w:rPr>
          <w:rFonts w:ascii="Times New Roman" w:cs="Times New Roman" w:eastAsia="Times New Roman" w:hAnsi="Times New Roman"/>
          <w:sz w:val="18"/>
          <w:szCs w:val="18"/>
          <w:color w:val="auto"/>
        </w:rPr>
      </w:pPr>
    </w:p>
    <w:p>
      <w:pPr>
        <w:jc w:val="both"/>
        <w:ind w:left="644" w:right="20" w:firstLine="5"/>
        <w:spacing w:after="0" w:line="220" w:lineRule="auto"/>
        <w:tabs>
          <w:tab w:leader="none" w:pos="150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will occur if the Executive resigns from his employment with the Successor Entity within thirty (30) days following (i) a material reduction in his annual base salary or job responsibility or (ii) the relocation of his principal office location to a facility or location located more than fifty (50) miles from his principal office location on the date of the Change of Control.</w:t>
      </w:r>
    </w:p>
    <w:p>
      <w:pPr>
        <w:spacing w:after="0" w:line="159"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44" w:firstLine="5"/>
        <w:spacing w:after="0" w:line="207" w:lineRule="auto"/>
        <w:tabs>
          <w:tab w:leader="none" w:pos="146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terminated without Severance Cause (as defined below) or resigns for Good Reason (as defined below), he will be entitled to receive an amount equal to (i) his then-current base salary for a six-month period commencing with the effective date of his termination of employment with the Company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and (ii) an amount equal to six (6) times the monthly amount that the Company paid for his participation in the Company’s health insurance plan during the month immediately preceding his termination date. The foregoing amounts will be payable pro rata over the Severance Period in accordance with the Company’s normal payroll practices; provided, however, that the Company will not make any severance payments unless and until (x) the Executive executes and delivers to the Company a general release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(y) such Release is executed and delivered to the Company within twenty-one (21) days after his termination date and (z) all time periods for revoking the Release have lapsed. If the Executive is terminated during the month of December of any calendar year and is owed severance hereunder, no severance payments will be made prior to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of the next calendar year and any amount that would have otherwise been payable to the Executive in December of the preceding calendar year will be paid to the Executive on the first date in January on which he would otherwise be entitled to any payment. Following the Executive’s termination date, all benefits offered by the Company, including health insurance benefits, will cease. From and after such date, the Executive may elect to continue his participation in the Company’s health insurance benefits at his expense pursuant to COBRA by notifying the Company in the time specified in the COBRA notice he will be provided and paying the monthly premium himself. Notwithstanding the above, if the Executive is a “specified employee”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then any amounts payable to him during the first six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4" w:right="879" w:bottom="1440" w:gutter="0" w:footer="0" w:header="0"/>
        </w:sectPr>
      </w:pPr>
    </w:p>
    <w:bookmarkStart w:id="28" w:name="page29"/>
    <w:bookmarkEnd w:id="28"/>
    <w:p>
      <w:pPr>
        <w:jc w:val="both"/>
        <w:ind w:left="644"/>
        <w:spacing w:after="0" w:line="220" w:lineRule="auto"/>
        <w:rPr>
          <w:sz w:val="20"/>
          <w:szCs w:val="20"/>
          <w:color w:val="auto"/>
        </w:rPr>
      </w:pPr>
      <w:r>
        <w:rPr>
          <w:rFonts w:ascii="Times New Roman" w:cs="Times New Roman" w:eastAsia="Times New Roman" w:hAnsi="Times New Roman"/>
          <w:sz w:val="18"/>
          <w:szCs w:val="18"/>
          <w:color w:val="auto"/>
        </w:rPr>
        <w:t>months and one day following the date of termination that constitute nonqualified deferred compensation within the meaning of Section 409A of the Code (as determined by the Company in its sole discretion) will not be paid to the Executive until the date that is six (6) months and one day following such termination to the extent necessary to avoid adverse tax consequences under Section 409A of the Code.</w:t>
      </w:r>
    </w:p>
    <w:p>
      <w:pPr>
        <w:spacing w:after="0" w:line="160" w:lineRule="exact"/>
        <w:rPr>
          <w:sz w:val="20"/>
          <w:szCs w:val="20"/>
          <w:color w:val="auto"/>
        </w:rPr>
      </w:pPr>
    </w:p>
    <w:p>
      <w:pPr>
        <w:jc w:val="both"/>
        <w:ind w:left="644" w:firstLine="5"/>
        <w:spacing w:after="0" w:line="213" w:lineRule="auto"/>
        <w:tabs>
          <w:tab w:leader="none" w:pos="150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Cause</w:t>
      </w:r>
      <w:r>
        <w:rPr>
          <w:rFonts w:ascii="Times New Roman" w:cs="Times New Roman" w:eastAsia="Times New Roman" w:hAnsi="Times New Roman"/>
          <w:sz w:val="18"/>
          <w:szCs w:val="18"/>
          <w:color w:val="auto"/>
        </w:rPr>
        <w:t>” will mean (i) willful misconduct in connection with the Executive’s employment or willful failure to perform his responsibilities in the best interests of the Company, as determined by the Company’s Board of Directors; (ii) conviction of, or plea of nolo contendre or guilty to, a felony other than an act involving a traffic related infraction; (iii) any act of fraud, theft, embezzlement or other material dishonesty by him which harmed the Company; (iv) intentional violation of a federal or state law or regulation applicable to the Company’s business which violation was or is reasonably likely to be injurious to the Company; or (v) repeated failure to perform his duties and obligations of his position with the Company which failure is not cured within thirty (30) days after notice of such failure from the Company’s Board of Directors to him.</w:t>
      </w:r>
    </w:p>
    <w:p>
      <w:pPr>
        <w:spacing w:after="0" w:line="159" w:lineRule="exact"/>
        <w:rPr>
          <w:rFonts w:ascii="Times New Roman" w:cs="Times New Roman" w:eastAsia="Times New Roman" w:hAnsi="Times New Roman"/>
          <w:sz w:val="18"/>
          <w:szCs w:val="18"/>
          <w:color w:val="auto"/>
        </w:rPr>
      </w:pPr>
    </w:p>
    <w:p>
      <w:pPr>
        <w:jc w:val="both"/>
        <w:ind w:left="644" w:right="20" w:firstLine="5"/>
        <w:spacing w:after="0" w:line="226" w:lineRule="auto"/>
        <w:tabs>
          <w:tab w:leader="none" w:pos="152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the Executive’s resignation will exist if the Executive resigns from his employment with the Company as a result of (i) a material reduction in his annual base salary or job responsibility or (ii) the relocation of his principal office location to a facility or location located more than fifty (50) miles from your current principal office location.</w:t>
      </w:r>
    </w:p>
    <w:p>
      <w:pPr>
        <w:spacing w:after="0" w:line="158" w:lineRule="exact"/>
        <w:rPr>
          <w:rFonts w:ascii="Times New Roman" w:cs="Times New Roman" w:eastAsia="Times New Roman" w:hAnsi="Times New Roman"/>
          <w:sz w:val="18"/>
          <w:szCs w:val="18"/>
          <w:color w:val="auto"/>
        </w:rPr>
      </w:pPr>
    </w:p>
    <w:p>
      <w:pPr>
        <w:jc w:val="both"/>
        <w:ind w:left="4" w:hanging="4"/>
        <w:spacing w:after="0" w:line="232" w:lineRule="auto"/>
        <w:tabs>
          <w:tab w:leader="none" w:pos="8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Executive represents and warrants that: (1) he has had the opportunity to review this Amendment with counsel of his own selection before signing it, (2) he has carefully read and understands this Amendment, and (3) he acknowledges that he is bound by the Company’s Nondisclosure, Confidentiality, Assignment and Noncompetition Agreement, and that he has complied with its terms in all respects and that he will continue to do so.</w:t>
      </w: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340360</wp:posOffset>
            </wp:positionV>
            <wp:extent cx="646557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29" w:name="page30"/>
    <w:bookmarkEnd w:id="29"/>
    <w:p>
      <w:pPr>
        <w:spacing w:after="0" w:line="237"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duly executed and delivered as of the day and year first above written.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TILE SHOP HOLDINGS,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574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Chris Homeister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Kirk Geadelmann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2242820</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08" w:right="8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rPr>
          <w:sz w:val="20"/>
          <w:szCs w:val="20"/>
          <w:color w:val="auto"/>
        </w:rPr>
      </w:pPr>
      <w:r>
        <w:rPr>
          <w:rFonts w:ascii="Times New Roman" w:cs="Times New Roman" w:eastAsia="Times New Roman" w:hAnsi="Times New Roman"/>
          <w:sz w:val="18"/>
          <w:szCs w:val="18"/>
          <w:color w:val="auto"/>
        </w:rPr>
        <w:t>February 17, 2017</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Maruniak</w:t>
      </w:r>
    </w:p>
    <w:p>
      <w:pPr>
        <w:spacing w:after="0" w:line="203" w:lineRule="auto"/>
        <w:rPr>
          <w:sz w:val="20"/>
          <w:szCs w:val="20"/>
          <w:color w:val="auto"/>
        </w:rPr>
      </w:pPr>
      <w:r>
        <w:rPr>
          <w:rFonts w:ascii="Times New Roman" w:cs="Times New Roman" w:eastAsia="Times New Roman" w:hAnsi="Times New Roman"/>
          <w:sz w:val="18"/>
          <w:szCs w:val="18"/>
          <w:color w:val="auto"/>
        </w:rPr>
        <w:t>17199 Acorn Ridge</w:t>
      </w:r>
    </w:p>
    <w:p>
      <w:pPr>
        <w:spacing w:after="0"/>
        <w:rPr>
          <w:sz w:val="20"/>
          <w:szCs w:val="20"/>
          <w:color w:val="auto"/>
        </w:rPr>
      </w:pPr>
      <w:r>
        <w:rPr>
          <w:rFonts w:ascii="Times New Roman" w:cs="Times New Roman" w:eastAsia="Times New Roman" w:hAnsi="Times New Roman"/>
          <w:sz w:val="18"/>
          <w:szCs w:val="18"/>
          <w:color w:val="auto"/>
        </w:rPr>
        <w:t>Eden Prairie, MN 55347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Joyce:</w:t>
      </w:r>
    </w:p>
    <w:p>
      <w:pPr>
        <w:spacing w:after="0" w:line="30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 am delighted to offer you a position at Tile Shop Holdings, Inc. (the “Company”). This letter serves to confirm the terms of our offer of employment:</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Position:</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Senior Vice President – Supply Chain, Logistics, Store Warehouses, and</w:t>
            </w:r>
          </w:p>
        </w:tc>
        <w:tc>
          <w:tcPr>
            <w:tcW w:w="0" w:type="dxa"/>
            <w:vAlign w:val="bottom"/>
          </w:tcPr>
          <w:p>
            <w:pPr>
              <w:spacing w:after="0"/>
              <w:rPr>
                <w:sz w:val="1"/>
                <w:szCs w:val="1"/>
                <w:color w:val="auto"/>
              </w:rPr>
            </w:pPr>
          </w:p>
        </w:tc>
      </w:tr>
      <w:tr>
        <w:trPr>
          <w:trHeight w:val="17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Start date:</w:t>
            </w:r>
          </w:p>
        </w:tc>
        <w:tc>
          <w:tcPr>
            <w:tcW w:w="7480" w:type="dxa"/>
            <w:vAlign w:val="bottom"/>
          </w:tcPr>
          <w:p>
            <w:pPr>
              <w:ind w:left="3100"/>
              <w:spacing w:after="0" w:line="176" w:lineRule="exact"/>
              <w:rPr>
                <w:sz w:val="20"/>
                <w:szCs w:val="20"/>
                <w:color w:val="auto"/>
              </w:rPr>
            </w:pPr>
            <w:r>
              <w:rPr>
                <w:rFonts w:ascii="Times New Roman" w:cs="Times New Roman" w:eastAsia="Times New Roman" w:hAnsi="Times New Roman"/>
                <w:sz w:val="18"/>
                <w:szCs w:val="18"/>
                <w:color w:val="auto"/>
              </w:rPr>
              <w:t>Manufacturing</w:t>
            </w:r>
          </w:p>
        </w:tc>
        <w:tc>
          <w:tcPr>
            <w:tcW w:w="0" w:type="dxa"/>
            <w:vAlign w:val="bottom"/>
          </w:tcPr>
          <w:p>
            <w:pPr>
              <w:spacing w:after="0"/>
              <w:rPr>
                <w:sz w:val="1"/>
                <w:szCs w:val="1"/>
                <w:color w:val="auto"/>
              </w:rPr>
            </w:pPr>
          </w:p>
        </w:tc>
      </w:tr>
      <w:tr>
        <w:trPr>
          <w:trHeight w:val="234"/>
        </w:trPr>
        <w:tc>
          <w:tcPr>
            <w:tcW w:w="2400" w:type="dxa"/>
            <w:vAlign w:val="bottom"/>
            <w:vMerge w:val="continue"/>
          </w:tcPr>
          <w:p>
            <w:pPr>
              <w:spacing w:after="0"/>
              <w:rPr>
                <w:sz w:val="20"/>
                <w:szCs w:val="20"/>
                <w:color w:val="auto"/>
              </w:rPr>
            </w:pP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March 6, 2017</w:t>
            </w:r>
          </w:p>
        </w:tc>
        <w:tc>
          <w:tcPr>
            <w:tcW w:w="0" w:type="dxa"/>
            <w:vAlign w:val="bottom"/>
          </w:tcPr>
          <w:p>
            <w:pPr>
              <w:spacing w:after="0"/>
              <w:rPr>
                <w:sz w:val="1"/>
                <w:szCs w:val="1"/>
                <w:color w:val="auto"/>
              </w:rPr>
            </w:pPr>
          </w:p>
        </w:tc>
      </w:tr>
      <w:tr>
        <w:trPr>
          <w:trHeight w:val="37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Status:</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Full-time, Regular</w:t>
            </w:r>
          </w:p>
        </w:tc>
        <w:tc>
          <w:tcPr>
            <w:tcW w:w="0" w:type="dxa"/>
            <w:vAlign w:val="bottom"/>
          </w:tcPr>
          <w:p>
            <w:pPr>
              <w:spacing w:after="0"/>
              <w:rPr>
                <w:sz w:val="1"/>
                <w:szCs w:val="1"/>
                <w:color w:val="auto"/>
              </w:rPr>
            </w:pPr>
          </w:p>
        </w:tc>
      </w:tr>
      <w:tr>
        <w:trPr>
          <w:trHeight w:val="37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Reporting to:</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Chris Homeister, CEO</w:t>
            </w: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Base salary (annualized) of $240,000, paid in accordance with the Company’s normal</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payroll procedures.</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You should note that the Company may modify salaries and benefits from time to time</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as its Board of Directors or the Compensation Committee thereof deems necessary or</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appropriate, and all forms of compensation which are referred to in this offer letter are</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subject to applicable withholding and payroll taxes.</w:t>
            </w:r>
          </w:p>
        </w:tc>
        <w:tc>
          <w:tcPr>
            <w:tcW w:w="0" w:type="dxa"/>
            <w:vAlign w:val="bottom"/>
          </w:tcPr>
          <w:p>
            <w:pPr>
              <w:spacing w:after="0"/>
              <w:rPr>
                <w:sz w:val="1"/>
                <w:szCs w:val="1"/>
                <w:color w:val="auto"/>
              </w:rPr>
            </w:pPr>
          </w:p>
        </w:tc>
      </w:tr>
      <w:tr>
        <w:trPr>
          <w:trHeight w:val="33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Bonus:</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Bonus opportunity would be 50% of pay and it would be based on achieving</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Company-wide goals and personal goals and objectives, pro-rated for the partial year</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during which you are employed by the Company.</w:t>
            </w: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You will be eligible to receive the Company’s standard benefit package for employees</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your level.</w:t>
            </w: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Subject to approval by the Company’s Board of Directors, you will be granted options</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to purchase 40,000 shares of the Company’s common stock. The exercise price of the</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options will be the fair market value of the Company’s common stock as of the date of</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grant. These options will vest over a five-year period and will otherwise be subject to</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the terms of the Company’s 2012 Equity Award Plan (the “Plan”) and your Stock</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Option Agreement entered into pursuant thereto. The options will vest evenly over the</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course of 5 years at 20% per year. The options will have a 7-year life upon issuance.</w:t>
            </w:r>
          </w:p>
        </w:tc>
        <w:tc>
          <w:tcPr>
            <w:tcW w:w="0" w:type="dxa"/>
            <w:vAlign w:val="bottom"/>
          </w:tcPr>
          <w:p>
            <w:pPr>
              <w:spacing w:after="0"/>
              <w:rPr>
                <w:sz w:val="1"/>
                <w:szCs w:val="1"/>
                <w:color w:val="auto"/>
              </w:rPr>
            </w:pPr>
          </w:p>
        </w:tc>
      </w:tr>
      <w:tr>
        <w:trPr>
          <w:trHeight w:val="34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Subject to approval by the Company’s Board of Directors, you will be granted</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Restricted Stock Shares in the amount of 20,000 shares of the Company’s common</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stock. These restricted shares will vest over a five-year period and will otherwise be</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w w:val="99"/>
              </w:rPr>
              <w:t>subject to the terms of the Company’s 2012 Equity Award Plan (the “Plan”) Agreement</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7480" w:type="dxa"/>
            <w:vAlign w:val="bottom"/>
          </w:tcPr>
          <w:p>
            <w:pPr>
              <w:ind w:left="1160"/>
              <w:spacing w:after="0" w:line="176" w:lineRule="exact"/>
              <w:rPr>
                <w:sz w:val="20"/>
                <w:szCs w:val="20"/>
                <w:color w:val="auto"/>
              </w:rPr>
            </w:pPr>
            <w:r>
              <w:rPr>
                <w:rFonts w:ascii="Times New Roman" w:cs="Times New Roman" w:eastAsia="Times New Roman" w:hAnsi="Times New Roman"/>
                <w:sz w:val="18"/>
                <w:szCs w:val="18"/>
                <w:color w:val="auto"/>
              </w:rPr>
              <w:t>entered into pursuant thereto. The restricted shares will vest evenly over the course of</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years at 20% per year.</w:t>
            </w:r>
          </w:p>
        </w:tc>
        <w:tc>
          <w:tcPr>
            <w:tcW w:w="0" w:type="dxa"/>
            <w:vAlign w:val="bottom"/>
          </w:tcPr>
          <w:p>
            <w:pPr>
              <w:spacing w:after="0"/>
              <w:rPr>
                <w:sz w:val="1"/>
                <w:szCs w:val="1"/>
                <w:color w:val="auto"/>
              </w:rPr>
            </w:pPr>
          </w:p>
        </w:tc>
      </w:tr>
      <w:tr>
        <w:trPr>
          <w:trHeight w:val="34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74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 laptop, tablet, and cell phone of your choosing will be issued on your start date.</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If a copy of your Social Security Card is not already on file with the Company, please provide the Company with your Social Security Card when you execute and return this letter. We will make a copy of your card and it will be kept in your employee file for payroll purposes.</w:t>
      </w:r>
    </w:p>
    <w:p>
      <w:pPr>
        <w:spacing w:after="0" w:line="118"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Please understand that your employment with the Company is for no specified period and constitutes “at-will” employment. As a result, you are free to resign at any time, for any reason or for no reason, with or without notice. Similarly, the Company is free to conclude its employment relationship with you at any time, with or without cause, and with or without notice. This offer of employment is valid for consideration by the candidate until Friday,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220345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31" w:name="page32"/>
    <w:bookmarkEnd w:id="31"/>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purposes of federal immigration law, you will be required to provide to the Company documentary evidence of your identity and eligibility for employment in the United States, if you have not already done so. Such documentation must be provided to the Company within three (3) business days of your date of hire, or our employment relationship with you may be terminated.</w:t>
      </w:r>
    </w:p>
    <w:p>
      <w:pPr>
        <w:spacing w:after="0" w:line="11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Like all Company employees of your level, you will be required, as a condition of your employment with the Company, to sign the Company’s Nondisclosure, Confidentiality, Assignment and Noncompetition Agreement,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“Non-Competition and Non-Disclosure Agreement”).</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11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To indicate your acceptance of our offer, please sign and date the attached Acceptance and Acknowledgement. This letter, along with the Company’s Non-Competition and Non-Disclosure Agreement, set forth the terms of your employment with the Company and supersede any prior representations or agreements, whether written or oral. This letter may not be modified or amended except by a written agreement, signed by an Officer of the Company and by you.</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I am looking forward to your arrival and expect your direct contributions to have a significant positive impact on the organization.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Kindest personal regards,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 Homeister</w:t>
      </w:r>
    </w:p>
    <w:p>
      <w:pPr>
        <w:spacing w:after="0" w:line="203" w:lineRule="auto"/>
        <w:rPr>
          <w:sz w:val="20"/>
          <w:szCs w:val="20"/>
          <w:color w:val="auto"/>
        </w:rPr>
      </w:pPr>
      <w:r>
        <w:rPr>
          <w:rFonts w:ascii="Times New Roman" w:cs="Times New Roman" w:eastAsia="Times New Roman" w:hAnsi="Times New Roman"/>
          <w:sz w:val="18"/>
          <w:szCs w:val="18"/>
          <w:color w:val="auto"/>
        </w:rPr>
        <w:t>Chris Homeister, Chief Executive Officer</w:t>
      </w:r>
    </w:p>
    <w:p>
      <w:pPr>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112395</wp:posOffset>
            </wp:positionV>
            <wp:extent cx="646557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18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CONFIDENTIAL SEPARATION AGREEMENT AND RELEASE</w:t>
      </w:r>
    </w:p>
    <w:p>
      <w:pPr>
        <w:spacing w:after="0" w:line="18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THIS CONFIDENTIAL SEPARATION AGREEMENT AND RELEASE (the “Agreement”) is by and between Tile Shop Holdings, Inc. (the “Company”) and Joseph Kinder (“Executive”). The Agreement shall be effective as of the date signed by both parties (the “Effective Date”).</w:t>
      </w:r>
    </w:p>
    <w:p>
      <w:pPr>
        <w:spacing w:after="0" w:line="1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Executive served as the Senior Vice President—Operations of the Company beginning August, 2012;</w:t>
      </w:r>
    </w:p>
    <w:p>
      <w:pPr>
        <w:spacing w:after="0" w:line="18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WHEREAS, the Company and Executive entered into an Offer Letter Agreement dated June 24, 2012 (the “Offer Letter Agreement”) that includes, among other provisions, a Nondisclosure, Confidentiality, Assignment and Noncompetition Agreement (the “Nondisclosure Agreement”), a true and accurate copy of which is attached as Exhibit A;</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Executive’s last day of employment with the Company is March 3, 2017 (the “Separation Date”); and</w:t>
      </w:r>
    </w:p>
    <w:p>
      <w:pPr>
        <w:spacing w:after="0" w:line="185"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WHEREAS, the Company and Executive desire to resolve all present and potential issues between them relating to Executive’s employment and the termination of Executive’s employment to the full extent allowed by law, and have agreed to a full resolution of any such issues as set forth in the Agreement.</w:t>
      </w:r>
    </w:p>
    <w:p>
      <w:pPr>
        <w:spacing w:after="0" w:line="158"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mutual promises and provisions contained in the Agreement, the parties, intending to be legally bound, agree as follows:</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89" w:lineRule="exact"/>
        <w:rPr>
          <w:sz w:val="20"/>
          <w:szCs w:val="20"/>
          <w:color w:val="auto"/>
        </w:rPr>
      </w:pPr>
    </w:p>
    <w:p>
      <w:pPr>
        <w:jc w:val="both"/>
        <w:ind w:firstLine="645"/>
        <w:spacing w:after="0" w:line="217" w:lineRule="auto"/>
        <w:tabs>
          <w:tab w:leader="none" w:pos="1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Executive’s employment with the Company will end on the Separation Date without further action required by either party. Executive’s eligibility for all Company benefit plans, salary, and other compensation ended as of the Separation Date, except as set forth in the Agreement or as may be required by applicable law. As of the Separation Date, Executive has no authority to act on behalf of the Company or to authorize others to do so and shall not represent himself, directly or indirectly, as an employee, agent, or other representative of the Company to any third party.</w:t>
      </w:r>
    </w:p>
    <w:p>
      <w:pPr>
        <w:spacing w:after="0" w:line="158" w:lineRule="exact"/>
        <w:rPr>
          <w:rFonts w:ascii="Times New Roman" w:cs="Times New Roman" w:eastAsia="Times New Roman" w:hAnsi="Times New Roman"/>
          <w:sz w:val="18"/>
          <w:szCs w:val="18"/>
          <w:color w:val="auto"/>
        </w:rPr>
      </w:pPr>
    </w:p>
    <w:p>
      <w:pPr>
        <w:jc w:val="both"/>
        <w:ind w:right="20" w:firstLine="645"/>
        <w:spacing w:after="0" w:line="217" w:lineRule="auto"/>
        <w:tabs>
          <w:tab w:leader="none" w:pos="1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Earned Compensation</w:t>
      </w:r>
      <w:r>
        <w:rPr>
          <w:rFonts w:ascii="Times New Roman" w:cs="Times New Roman" w:eastAsia="Times New Roman" w:hAnsi="Times New Roman"/>
          <w:sz w:val="18"/>
          <w:szCs w:val="18"/>
          <w:color w:val="auto"/>
        </w:rPr>
        <w:t>. Executive hereby acknowledges that as of the first regularly scheduled payroll date following the Separation Date, the Company has paid Executive all wages, benefits, bonuses, and other compensation to which he was entitled as an employee of the Company and under the Offer Letter Agreement, subject to all applicable withholdings and deductions. To the extent that Executive is a beneficiary of certain employee benefit plans as may have been provided during his employment, the benefits or payments received under such plans are governed exclusively by the applicable plan documents.</w:t>
      </w:r>
    </w:p>
    <w:p>
      <w:pPr>
        <w:spacing w:after="0" w:line="158" w:lineRule="exact"/>
        <w:rPr>
          <w:rFonts w:ascii="Times New Roman" w:cs="Times New Roman" w:eastAsia="Times New Roman" w:hAnsi="Times New Roman"/>
          <w:sz w:val="18"/>
          <w:szCs w:val="18"/>
          <w:color w:val="auto"/>
        </w:rPr>
      </w:pPr>
    </w:p>
    <w:p>
      <w:pPr>
        <w:jc w:val="both"/>
        <w:ind w:right="20" w:firstLine="645"/>
        <w:spacing w:after="0" w:line="226" w:lineRule="auto"/>
        <w:tabs>
          <w:tab w:leader="none" w:pos="14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Severance Payment and Benefits</w:t>
      </w:r>
      <w:r>
        <w:rPr>
          <w:rFonts w:ascii="Times New Roman" w:cs="Times New Roman" w:eastAsia="Times New Roman" w:hAnsi="Times New Roman"/>
          <w:sz w:val="18"/>
          <w:szCs w:val="18"/>
          <w:color w:val="auto"/>
        </w:rPr>
        <w:t>. In consideration of Executive’s promises contained in the Agreement, specifically including, but not limited to, Executive’s Obligations as set forth in Section 5, and in accordance with the terms of the Offer Letter Agreement, the Company agrees to provide the following payments and benefits:</w:t>
      </w:r>
    </w:p>
    <w:p>
      <w:pPr>
        <w:spacing w:after="0" w:line="158" w:lineRule="exact"/>
        <w:rPr>
          <w:rFonts w:ascii="Times New Roman" w:cs="Times New Roman" w:eastAsia="Times New Roman" w:hAnsi="Times New Roman"/>
          <w:sz w:val="18"/>
          <w:szCs w:val="18"/>
          <w:color w:val="auto"/>
        </w:rPr>
      </w:pPr>
    </w:p>
    <w:p>
      <w:pPr>
        <w:jc w:val="both"/>
        <w:ind w:left="640" w:firstLine="653"/>
        <w:spacing w:after="0" w:line="213" w:lineRule="auto"/>
        <w:tabs>
          <w:tab w:leader="none" w:pos="21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Unless increased by the Company as provided in Section 3.C. below, Executive shall receive the sum of $109,000.00, less all applicable withholdings and deductions, as Severance Pay. The Severance Pay is six months of Executive’s annual Base Salary. Executive shall be paid on a pro rata basis on the Company’s regular payroll dates in accordance with the Company’s regular payroll practices. The Severance Pay payments shall begin on the Company’s first regularly scheduled payroll date after expiration of the rescission periods set forth in Section 6.B. of the Agreement and a three day mailing period, provided that Executive has signed and not rescinded the Agreement, and shall continue on each payroll date thereafter for the period described above.</w:t>
      </w:r>
    </w:p>
    <w:p>
      <w:pPr>
        <w:spacing w:after="0" w:line="200" w:lineRule="exact"/>
        <w:rPr>
          <w:rFonts w:ascii="Times New Roman" w:cs="Times New Roman" w:eastAsia="Times New Roman" w:hAnsi="Times New Roman"/>
          <w:sz w:val="18"/>
          <w:szCs w:val="18"/>
          <w:color w:val="auto"/>
        </w:rPr>
      </w:pPr>
    </w:p>
    <w:p>
      <w:pPr>
        <w:spacing w:after="0" w:line="350" w:lineRule="exact"/>
        <w:rPr>
          <w:rFonts w:ascii="Times New Roman" w:cs="Times New Roman" w:eastAsia="Times New Roman" w:hAnsi="Times New Roman"/>
          <w:sz w:val="18"/>
          <w:szCs w:val="18"/>
          <w:color w:val="auto"/>
        </w:rPr>
      </w:pPr>
    </w:p>
    <w:p>
      <w:pPr>
        <w:jc w:val="both"/>
        <w:ind w:left="640" w:right="20" w:firstLine="653"/>
        <w:spacing w:after="0" w:line="210" w:lineRule="auto"/>
        <w:tabs>
          <w:tab w:leader="none" w:pos="21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Benefits Severance. Unless increased by the Company as provided in Section 3.C. below, Executive shall receive the sum of $5446.86, less all applicable withholdings and deductions, as Health Benefits Severance. The Health Benefits Severance payment is six times the monthly amount that the Company paid for Executive’s participation in the Company’s health insurance plan during the month immediately preceding the Separation Date, which is February 2017. Executive shall be paid on a pro rata basis on the Company’s regular payroll dates in accordance with the Company’s regular payroll practices. The Health Benefits Severance payments shall begin on the Company’s first regularly scheduled payroll date after expiration of the rescission periods set forth in Section 6.B. of the Agreement and a three day mailing period, provided that Executive has signed and not rescinded the Agreement, and shall continue on each payroll date thereafter for the period described above. Executive may, but is not obligated to, use the Health Benefits Severance payments toward the cost of the premiums for health care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4" w:right="879" w:bottom="1440" w:gutter="0" w:footer="0" w:header="0"/>
        </w:sectPr>
      </w:pPr>
    </w:p>
    <w:bookmarkStart w:id="33" w:name="page34"/>
    <w:bookmarkEnd w:id="33"/>
    <w:p>
      <w:pPr>
        <w:jc w:val="both"/>
        <w:ind w:left="640" w:right="20" w:firstLine="653"/>
        <w:spacing w:after="0" w:line="217" w:lineRule="auto"/>
        <w:tabs>
          <w:tab w:leader="none" w:pos="21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its sole and absolute discretion, extend the periods of non-competition, non-solicitation, and notice of subsequent employment or engagement set forth in Sections 5, 6, 7, and 8 of the Nondisclosure Agreement pursuant to Section 9 of the Nondisclosure Agreement. If the Company elects to extend these covenant periods to two (2) years, it shall advise Executive in writing no later than the date the final payment is due pursuant to Section 3.A. above of its intent and shall provide the Severance Pay and Health Benefits Severance for an additional six (6) months, for a total of twelve (12) months.</w:t>
      </w:r>
    </w:p>
    <w:p>
      <w:pPr>
        <w:spacing w:after="0" w:line="158" w:lineRule="exact"/>
        <w:rPr>
          <w:rFonts w:ascii="Times New Roman" w:cs="Times New Roman" w:eastAsia="Times New Roman" w:hAnsi="Times New Roman"/>
          <w:sz w:val="18"/>
          <w:szCs w:val="18"/>
          <w:color w:val="auto"/>
        </w:rPr>
      </w:pPr>
    </w:p>
    <w:p>
      <w:pPr>
        <w:jc w:val="both"/>
        <w:ind w:firstLine="645"/>
        <w:spacing w:after="0" w:line="207" w:lineRule="auto"/>
        <w:tabs>
          <w:tab w:leader="none" w:pos="14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xml:space="preserve"> As consideration for the payments and benefits described in Section 3 of the Agreement and as a condition for the receipt of these payments and benefits, Executive releases the Company, all of its subsidiaries, affiliates and parents, equity holders, agents, representatives, administrators, trustees, attorneys, insurers, fiduciaries, directors, officers and all employees of these (collectively “Released Parties”), on behalf of Executive and Executive’s heirs, successors, agents, representatives, executors and assigns, from any and all causes of action and claims of any nature whatsoever, known or unknown, arising from the Company’s employment of Executive, the termination of his employment, any agreement entered into between Executive and any of the Released Parties, rights under the Released Parties' policies and procedures, or any other matter or event occurring prior to the date of this Release (“Claims”), including, without limitation, claims arising under federal, state, or local laws prohibiting wrongful termination, retaliation, whistleblower claims, employment discrimination, age discrimination, including claims under the Age Discrimination In Employment Act of 1967, as amended (“ADEA”), the National Labor Relations Act, the Civil Rights Act of 1991, the Americans with Disabilities Act of 1990, Title VII of the Civil Rights Act of 1964, the Employee Retirement Income Security Act of 1974, the Family Medical Leave Act, the Equal Pay Act, the Securities Act of 1933, the Securities Exchange Act of 1934, the Rehabilitation Act of 1973, the Worker Adjustment and Retraining Notification Act, the Minnesota Human Rights Act, the Minnesota Fair Labor Standards Act, the Minnesota Payment of Wages Act and any provision of Minnesota Statutes Chapters 177, 181 or 363A or other Minnesota statute, each as amended, or claims growing out of any legal restrictions on the Company’s right to terminate its employees, any and all claims in contract or in tort, and any claims pursuant to any federal or state wage and hour laws.</w:t>
      </w:r>
    </w:p>
    <w:p>
      <w:pPr>
        <w:spacing w:after="0" w:line="16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Notwithstanding anything in the Agreement to the contrary, Executive does not waive or release Claims (i) with respect to any vested right Executive may have under any employee pension or welfare benefit plan of the Company, (ii) any rights to indemnification Executive may have under the Company’s articles of incorporation and by-laws, and/or applicable law, (iii) the right to enforce the Agreement, (iv) any right or claim that arises after the effective date of the Agreement, and (v) any rights to unemployment compensation, workers’ compensation benefits, or other rights which cannot be waived under applicable law.</w:t>
      </w:r>
    </w:p>
    <w:p>
      <w:pPr>
        <w:spacing w:after="0" w:line="158"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Nothing in the Agreement shall prohibit Executive from filing a charge of discrimination with a federal, state, and/or local agency that enforces discrimination laws (collectively “Anti-discrimination Agencies”), participating in proceedings before such Anti-discrimination Agencies, or cooperating with one or more of them in an investigation. However, Executive acknowledges that all payments and benefits he receives under the Agreement shall be offset against any damages or other payments he may recover as a result of a charge of discrimination brought with one or more Anti-discrimination Agencies.</w:t>
      </w:r>
    </w:p>
    <w:p>
      <w:pPr>
        <w:spacing w:after="0" w:line="158" w:lineRule="exact"/>
        <w:rPr>
          <w:sz w:val="20"/>
          <w:szCs w:val="20"/>
          <w:color w:val="auto"/>
        </w:rPr>
      </w:pPr>
    </w:p>
    <w:p>
      <w:pPr>
        <w:ind w:right="20" w:firstLine="645"/>
        <w:spacing w:after="0" w:line="237"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Obligations</w:t>
      </w:r>
      <w:r>
        <w:rPr>
          <w:rFonts w:ascii="Times New Roman" w:cs="Times New Roman" w:eastAsia="Times New Roman" w:hAnsi="Times New Roman"/>
          <w:sz w:val="18"/>
          <w:szCs w:val="18"/>
          <w:color w:val="auto"/>
        </w:rPr>
        <w:t>. As a material inducement to the Company in entering into the Agreement and providing the consideration described herein, Executive agrees as follows (the “Obligations”):</w:t>
      </w:r>
    </w:p>
    <w:p>
      <w:pPr>
        <w:spacing w:after="0" w:line="158" w:lineRule="exact"/>
        <w:rPr>
          <w:rFonts w:ascii="Times New Roman" w:cs="Times New Roman" w:eastAsia="Times New Roman" w:hAnsi="Times New Roman"/>
          <w:sz w:val="18"/>
          <w:szCs w:val="18"/>
          <w:color w:val="auto"/>
        </w:rPr>
      </w:pPr>
    </w:p>
    <w:p>
      <w:pPr>
        <w:jc w:val="both"/>
        <w:ind w:left="640" w:right="20" w:firstLine="653"/>
        <w:spacing w:after="0" w:line="217" w:lineRule="auto"/>
        <w:tabs>
          <w:tab w:leader="none" w:pos="21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Property. Executive shall return all of the Company's property, including, without limitation, automobiles, laptops, phones, Company products, demonstration equipment, parts, credit cards, tools, keys, customer files, Company brochures, business plans, other business documents, and other Company items in the possession of Executive on the Separation Date, and shall keep no copies thereof. In addition, Executive shall provide the Company with passwords to all computers and programs used by Executive while employed at the Company.</w:t>
      </w:r>
    </w:p>
    <w:p>
      <w:pPr>
        <w:spacing w:after="0" w:line="158" w:lineRule="exact"/>
        <w:rPr>
          <w:rFonts w:ascii="Times New Roman" w:cs="Times New Roman" w:eastAsia="Times New Roman" w:hAnsi="Times New Roman"/>
          <w:sz w:val="18"/>
          <w:szCs w:val="18"/>
          <w:color w:val="auto"/>
        </w:rPr>
      </w:pPr>
    </w:p>
    <w:p>
      <w:pPr>
        <w:jc w:val="both"/>
        <w:ind w:left="640" w:firstLine="653"/>
        <w:spacing w:after="0" w:line="220" w:lineRule="auto"/>
        <w:tabs>
          <w:tab w:leader="none" w:pos="21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Obligations. Executive shall comply with all obligations stated in the Offer Letter Agreement which by their explicit or implicit terms continue after the Separation Date, including, without limitation, the obligations concerning nondisclosure, confidentiality, assignment, and noncompetition set forth in the Nondisclosure Agreement for the term stated in the Nondisclosure Agreement or the term as extended by the Company pursuant to Section 3.C. of the Agreement.</w:t>
      </w:r>
    </w:p>
    <w:p>
      <w:pPr>
        <w:spacing w:after="0" w:line="159" w:lineRule="exact"/>
        <w:rPr>
          <w:rFonts w:ascii="Times New Roman" w:cs="Times New Roman" w:eastAsia="Times New Roman" w:hAnsi="Times New Roman"/>
          <w:sz w:val="18"/>
          <w:szCs w:val="18"/>
          <w:color w:val="auto"/>
        </w:rPr>
      </w:pPr>
    </w:p>
    <w:p>
      <w:pPr>
        <w:jc w:val="both"/>
        <w:ind w:left="640" w:right="20" w:firstLine="653"/>
        <w:spacing w:after="0" w:line="220" w:lineRule="auto"/>
        <w:tabs>
          <w:tab w:leader="none" w:pos="21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Executive shall not disclose the existence and/or any of the terms or conditions of the Agreement, other than to his spouse, attorney and/or tax preparer, in which case he shall first advise them of the confidential nature of any contents he discloses. Nothing in the Agreement shall be construed to prevent Executive or the Company from making any disclosure required by applicable law.</w:t>
      </w:r>
    </w:p>
    <w:p>
      <w:pPr>
        <w:spacing w:after="0" w:line="159" w:lineRule="exact"/>
        <w:rPr>
          <w:rFonts w:ascii="Times New Roman" w:cs="Times New Roman" w:eastAsia="Times New Roman" w:hAnsi="Times New Roman"/>
          <w:sz w:val="18"/>
          <w:szCs w:val="18"/>
          <w:color w:val="auto"/>
        </w:rPr>
      </w:pPr>
    </w:p>
    <w:p>
      <w:pPr>
        <w:jc w:val="both"/>
        <w:ind w:left="640" w:firstLine="653"/>
        <w:spacing w:after="0" w:line="220" w:lineRule="auto"/>
        <w:tabs>
          <w:tab w:leader="none" w:pos="21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Non-Disparagement. Executive agrees that he shall not disparage or defame the Company, its products or employees in any respect, whether in writing, orally, electronically, or otherwise, or induce any other person or entity to do so, directly or indirectly. The preceding shall not prevent Executive from providing complete and truthful testimony to a court or local, state, or federal government agency.</w:t>
      </w:r>
    </w:p>
    <w:p>
      <w:pPr>
        <w:spacing w:after="0" w:line="159" w:lineRule="exact"/>
        <w:rPr>
          <w:rFonts w:ascii="Times New Roman" w:cs="Times New Roman" w:eastAsia="Times New Roman" w:hAnsi="Times New Roman"/>
          <w:sz w:val="18"/>
          <w:szCs w:val="18"/>
          <w:color w:val="auto"/>
        </w:rPr>
      </w:pPr>
    </w:p>
    <w:p>
      <w:pPr>
        <w:ind w:right="20" w:firstLine="645"/>
        <w:spacing w:after="0" w:line="237" w:lineRule="auto"/>
        <w:tabs>
          <w:tab w:leader="none" w:pos="15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Legal Rights and Right to Rescind.</w:t>
      </w:r>
      <w:r>
        <w:rPr>
          <w:rFonts w:ascii="Times New Roman" w:cs="Times New Roman" w:eastAsia="Times New Roman" w:hAnsi="Times New Roman"/>
          <w:sz w:val="18"/>
          <w:szCs w:val="18"/>
          <w:color w:val="auto"/>
        </w:rPr>
        <w:t xml:space="preserve"> Executive is advised to consult with an attorney regarding the terms of the Agreement before deciding whether to sign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107950</wp:posOffset>
            </wp:positionV>
            <wp:extent cx="646557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34" w:name="page35"/>
    <w:bookmarkEnd w:id="34"/>
    <w:p>
      <w:pPr>
        <w:ind w:left="100" w:right="20" w:firstLine="5"/>
        <w:spacing w:after="0" w:line="237" w:lineRule="auto"/>
        <w:tabs>
          <w:tab w:leader="none" w:pos="4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Consider. Executive understands that he has a period of twenty-one (21) consecutive calendar days from the date he receives an unsigned copy of the Agreement to consider whether or not to sign the Agreement.</w:t>
      </w:r>
    </w:p>
    <w:p>
      <w:pPr>
        <w:spacing w:after="0" w:line="158" w:lineRule="exact"/>
        <w:rPr>
          <w:rFonts w:ascii="Times New Roman" w:cs="Times New Roman" w:eastAsia="Times New Roman" w:hAnsi="Times New Roman"/>
          <w:sz w:val="18"/>
          <w:szCs w:val="18"/>
          <w:color w:val="auto"/>
        </w:rPr>
      </w:pPr>
    </w:p>
    <w:p>
      <w:pPr>
        <w:jc w:val="both"/>
        <w:ind w:left="100" w:right="20" w:firstLine="5"/>
        <w:spacing w:after="0" w:line="213" w:lineRule="auto"/>
        <w:tabs>
          <w:tab w:leader="none" w:pos="4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Rescission. Executive understands that he may rescind (that is, cancel) the Agreement within seven (7) calendar days of signing the Agreement with respect to claims arising under the Age Discrimination in Employment Act and within fifteen (15) calendar days of signing the Agreement with respect to claims arising under the Minnesota Human Rights Act (collectively, “Rescission Period”). To be effective, any rescission must be in writing, delivered to the Company at 14000 Carlson Parkway, Plymouth, Minnesota 55441 Attention: Chris Homeister within the applicable Rescission Period, or sent to the Company, at such address, by certified mail, return receipt requested, postmarked within the Rescission Period. The Rescission Period shall begin on the date Executive signs the Agreement.</w:t>
      </w:r>
    </w:p>
    <w:p>
      <w:pPr>
        <w:spacing w:after="0" w:line="159" w:lineRule="exact"/>
        <w:rPr>
          <w:sz w:val="20"/>
          <w:szCs w:val="20"/>
          <w:color w:val="auto"/>
        </w:rPr>
      </w:pPr>
    </w:p>
    <w:p>
      <w:pPr>
        <w:jc w:val="both"/>
        <w:ind w:left="-540" w:right="20" w:firstLine="645"/>
        <w:spacing w:after="0" w:line="226" w:lineRule="auto"/>
        <w:tabs>
          <w:tab w:leader="none" w:pos="9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Agreement by the Company</w:t>
      </w:r>
      <w:r>
        <w:rPr>
          <w:rFonts w:ascii="Times New Roman" w:cs="Times New Roman" w:eastAsia="Times New Roman" w:hAnsi="Times New Roman"/>
          <w:sz w:val="18"/>
          <w:szCs w:val="18"/>
          <w:color w:val="auto"/>
        </w:rPr>
        <w:t>. If Executive exercises any right of rescission under Section 6.B. of the Agreement, the Company shall have the right to terminate the Agreement in its entirety, in which event the Company shall have no obligation whatsoever to Executive hereunder.</w:t>
      </w:r>
    </w:p>
    <w:p>
      <w:pPr>
        <w:spacing w:after="0" w:line="158" w:lineRule="exact"/>
        <w:rPr>
          <w:rFonts w:ascii="Times New Roman" w:cs="Times New Roman" w:eastAsia="Times New Roman" w:hAnsi="Times New Roman"/>
          <w:sz w:val="18"/>
          <w:szCs w:val="18"/>
          <w:color w:val="auto"/>
        </w:rPr>
      </w:pPr>
    </w:p>
    <w:p>
      <w:pPr>
        <w:jc w:val="both"/>
        <w:ind w:left="-540" w:right="20" w:firstLine="645"/>
        <w:spacing w:after="0" w:line="226" w:lineRule="auto"/>
        <w:tabs>
          <w:tab w:leader="none" w:pos="8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and Unexpired Stock Options. All of Executive’s currently vested and unexpired stock options must be exercised within three (3) months of the Separation Date, after which time all of Executive’s currently vested and unexpired stock options shall automatically expire without further action.</w:t>
      </w:r>
    </w:p>
    <w:p>
      <w:pPr>
        <w:spacing w:after="0" w:line="158" w:lineRule="exact"/>
        <w:rPr>
          <w:rFonts w:ascii="Times New Roman" w:cs="Times New Roman" w:eastAsia="Times New Roman" w:hAnsi="Times New Roman"/>
          <w:sz w:val="18"/>
          <w:szCs w:val="18"/>
          <w:color w:val="auto"/>
        </w:rPr>
      </w:pPr>
    </w:p>
    <w:p>
      <w:pPr>
        <w:jc w:val="both"/>
        <w:ind w:left="-540" w:right="20" w:firstLine="645"/>
        <w:spacing w:after="0" w:line="220"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Executive</w:t>
      </w:r>
      <w:r>
        <w:rPr>
          <w:rFonts w:ascii="Times New Roman" w:cs="Times New Roman" w:eastAsia="Times New Roman" w:hAnsi="Times New Roman"/>
          <w:sz w:val="18"/>
          <w:szCs w:val="18"/>
          <w:color w:val="auto"/>
        </w:rPr>
        <w:t>. Nothing contained herein shall operate as a waiver or an election of remedies by the Company should Executive fail to perform any duty or obligation imposed upon him hereunder or under the Offer Letter Agreement. No breach or alleged breach of any provision of the Agreement can be waived by any party unless done in writing. Moreover, the waiver of any breach or alleged breach shall not be deemed to be a waiver of any other breach.</w:t>
      </w:r>
    </w:p>
    <w:p>
      <w:pPr>
        <w:spacing w:after="0" w:line="159" w:lineRule="exact"/>
        <w:rPr>
          <w:rFonts w:ascii="Times New Roman" w:cs="Times New Roman" w:eastAsia="Times New Roman" w:hAnsi="Times New Roman"/>
          <w:sz w:val="18"/>
          <w:szCs w:val="18"/>
          <w:color w:val="auto"/>
        </w:rPr>
      </w:pPr>
    </w:p>
    <w:p>
      <w:pPr>
        <w:jc w:val="both"/>
        <w:ind w:left="-540" w:right="20" w:firstLine="645"/>
        <w:spacing w:after="0" w:line="226" w:lineRule="auto"/>
        <w:tabs>
          <w:tab w:leader="none" w:pos="9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The parties agree that the Agreement shall not be considered an admission of liability or wrongdoing of any nature by the Company. The Company expressly denies that it is in any way liable to Executive or that it has engaged in any wrongdoing with respect to Executive.</w:t>
      </w:r>
    </w:p>
    <w:p>
      <w:pPr>
        <w:spacing w:after="0" w:line="158" w:lineRule="exact"/>
        <w:rPr>
          <w:rFonts w:ascii="Times New Roman" w:cs="Times New Roman" w:eastAsia="Times New Roman" w:hAnsi="Times New Roman"/>
          <w:sz w:val="18"/>
          <w:szCs w:val="18"/>
          <w:color w:val="auto"/>
        </w:rPr>
      </w:pPr>
    </w:p>
    <w:p>
      <w:pPr>
        <w:ind w:left="980" w:hanging="875"/>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Acknowledgments and Affirmations</w:t>
      </w:r>
      <w:r>
        <w:rPr>
          <w:rFonts w:ascii="Times New Roman" w:cs="Times New Roman" w:eastAsia="Times New Roman" w:hAnsi="Times New Roman"/>
          <w:sz w:val="18"/>
          <w:szCs w:val="18"/>
          <w:color w:val="auto"/>
        </w:rPr>
        <w:t>. Executive acknowledges and represents that:</w:t>
      </w:r>
    </w:p>
    <w:p>
      <w:pPr>
        <w:spacing w:after="0" w:line="184" w:lineRule="exact"/>
        <w:rPr>
          <w:rFonts w:ascii="Times New Roman" w:cs="Times New Roman" w:eastAsia="Times New Roman" w:hAnsi="Times New Roman"/>
          <w:sz w:val="18"/>
          <w:szCs w:val="18"/>
          <w:color w:val="auto"/>
        </w:rPr>
      </w:pPr>
    </w:p>
    <w:p>
      <w:pPr>
        <w:jc w:val="both"/>
        <w:ind w:left="100" w:right="20" w:firstLine="653"/>
        <w:spacing w:after="0" w:line="217" w:lineRule="auto"/>
        <w:tabs>
          <w:tab w:leader="none" w:pos="15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 and Voluntary. Executive has read the Agreement and understands its contents; he has received adequate opportunity to read and consider the Agreement; he has received adequate opportunity to consult an attorney regarding the Agreement, and either has consulted an attorney or decided of his own free will not to consult an attorney; and he has determined to execute the Agreement knowingly and voluntarily and has not relied upon any statements or explanations made by the Company regarding the Agreement.</w:t>
      </w:r>
    </w:p>
    <w:p>
      <w:pPr>
        <w:spacing w:after="0" w:line="158" w:lineRule="exact"/>
        <w:rPr>
          <w:rFonts w:ascii="Times New Roman" w:cs="Times New Roman" w:eastAsia="Times New Roman" w:hAnsi="Times New Roman"/>
          <w:sz w:val="18"/>
          <w:szCs w:val="18"/>
          <w:color w:val="auto"/>
        </w:rPr>
      </w:pPr>
    </w:p>
    <w:p>
      <w:pPr>
        <w:jc w:val="both"/>
        <w:ind w:left="100" w:firstLine="653"/>
        <w:spacing w:after="0" w:line="210" w:lineRule="auto"/>
        <w:tabs>
          <w:tab w:leader="none" w:pos="15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Agreement, the Offer Letter Agreement or the Nondisclosure Agreement, Executive understands that nothing contained in the Agreement or any other agreement between Executive and the Company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also understands that the Agreement does not limit Executive’s ability to communicate with any Government Agencies or otherwise participate in any investigation or proceeding that may be conducted by any Government Agencies, including providing documents or other information, without notice to the Company and that the Agreement does not limit Executive’s right to receive and retain a payment for information provided to the Securities and Exchange Commission or other governmental entity for providing information to it pursuant to a government-administered whistleblower award program.</w:t>
      </w:r>
    </w:p>
    <w:p>
      <w:pPr>
        <w:spacing w:after="0" w:line="160" w:lineRule="exact"/>
        <w:rPr>
          <w:rFonts w:ascii="Times New Roman" w:cs="Times New Roman" w:eastAsia="Times New Roman" w:hAnsi="Times New Roman"/>
          <w:sz w:val="18"/>
          <w:szCs w:val="18"/>
          <w:color w:val="auto"/>
        </w:rPr>
      </w:pPr>
    </w:p>
    <w:p>
      <w:pPr>
        <w:jc w:val="both"/>
        <w:ind w:left="100" w:right="20" w:firstLine="653"/>
        <w:spacing w:after="0" w:line="213" w:lineRule="auto"/>
        <w:tabs>
          <w:tab w:leader="none" w:pos="15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Compensation. Except as set forth herein, all payments, benefits and other items provided by the Company to Executive hereunder, including, without limitation, the Severance Payments and benefits described in Section 3 of the Agreement fully compensate Executive for all payments, benefits and other items due to Executive, whether under the Offer Letter Agreement or otherwise, and such payments and benefits constitute good and valuable consideration for Executive’s promises in the Agreement. Executive has been paid all amounts, benefits and other items due him under the Offer Letter Agreement or otherwise due him from the Company including, but not limited to, all paid and unpaid leave, compensation, wages, bonuses, commissions and/or other benefits.</w:t>
      </w:r>
    </w:p>
    <w:p>
      <w:pPr>
        <w:spacing w:after="0" w:line="159" w:lineRule="exact"/>
        <w:rPr>
          <w:rFonts w:ascii="Times New Roman" w:cs="Times New Roman" w:eastAsia="Times New Roman" w:hAnsi="Times New Roman"/>
          <w:sz w:val="18"/>
          <w:szCs w:val="18"/>
          <w:color w:val="auto"/>
        </w:rPr>
      </w:pPr>
    </w:p>
    <w:p>
      <w:pPr>
        <w:jc w:val="both"/>
        <w:ind w:left="100" w:firstLine="653"/>
        <w:spacing w:after="0" w:line="220" w:lineRule="auto"/>
        <w:tabs>
          <w:tab w:leader="none" w:pos="15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 Executive will submit his last business expenses for reimbursement within thirty (30) calendar days from the Separation Date and understands that the Company reserves its right to review and deny payment of any expenses submitted by Executive that do not comply with the Company’s policies and procedures regarding expense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108585</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580"/>
          </w:cols>
          <w:pgMar w:left="1440" w:top="499" w:right="879" w:bottom="1440" w:gutter="0" w:footer="0" w:header="0"/>
        </w:sectPr>
      </w:pPr>
    </w:p>
    <w:bookmarkStart w:id="35" w:name="page36"/>
    <w:bookmarkEnd w:id="35"/>
    <w:p>
      <w:pPr>
        <w:ind w:left="640" w:right="20" w:firstLine="653"/>
        <w:spacing w:after="0" w:line="237" w:lineRule="auto"/>
        <w:tabs>
          <w:tab w:leader="none" w:pos="20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Property. Executive has returned all Company property as described in Section 5.A. of the Agreement and has not kept any copy of any Company property.</w:t>
      </w:r>
    </w:p>
    <w:p>
      <w:pPr>
        <w:spacing w:after="0" w:line="158" w:lineRule="exact"/>
        <w:rPr>
          <w:rFonts w:ascii="Times New Roman" w:cs="Times New Roman" w:eastAsia="Times New Roman" w:hAnsi="Times New Roman"/>
          <w:sz w:val="18"/>
          <w:szCs w:val="18"/>
          <w:color w:val="auto"/>
        </w:rPr>
      </w:pPr>
    </w:p>
    <w:p>
      <w:pPr>
        <w:ind w:left="2080" w:hanging="787"/>
        <w:spacing w:after="0"/>
        <w:tabs>
          <w:tab w:leader="none" w:pos="20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Agreement. Executive acknowledges that he received the Agreement on March 1, 2017.</w:t>
      </w:r>
    </w:p>
    <w:p>
      <w:pPr>
        <w:spacing w:after="0" w:line="184" w:lineRule="exact"/>
        <w:rPr>
          <w:rFonts w:ascii="Times New Roman" w:cs="Times New Roman" w:eastAsia="Times New Roman" w:hAnsi="Times New Roman"/>
          <w:sz w:val="18"/>
          <w:szCs w:val="18"/>
          <w:color w:val="auto"/>
        </w:rPr>
      </w:pPr>
    </w:p>
    <w:p>
      <w:pPr>
        <w:jc w:val="both"/>
        <w:ind w:left="640" w:firstLine="653"/>
        <w:spacing w:after="0" w:line="220" w:lineRule="auto"/>
        <w:tabs>
          <w:tab w:leader="none" w:pos="21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has not filed, caused to be filed, or presently is a party to any claim, complaint, or action against the Company in any forum or form, that he has not transferred any rights he may have against the Company to anyone, he has no known workplace injuries or occupational diseases and he has been provided with and/or not denied any leave requested under the Family and Medical Leave Act.</w:t>
      </w:r>
    </w:p>
    <w:p>
      <w:pPr>
        <w:spacing w:after="0" w:line="159" w:lineRule="exact"/>
        <w:rPr>
          <w:rFonts w:ascii="Times New Roman" w:cs="Times New Roman" w:eastAsia="Times New Roman" w:hAnsi="Times New Roman"/>
          <w:sz w:val="18"/>
          <w:szCs w:val="18"/>
          <w:color w:val="auto"/>
        </w:rPr>
      </w:pPr>
    </w:p>
    <w:p>
      <w:pPr>
        <w:jc w:val="both"/>
        <w:ind w:firstLine="645"/>
        <w:spacing w:after="0" w:line="220" w:lineRule="auto"/>
        <w:tabs>
          <w:tab w:leader="none" w:pos="15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Executive shall reasonably cooperate with the Company regarding any and all legal proceedings or potential legal proceedings at the request of the Company that in any way relate to events that are alleged to have occurred or alleged to have failed to occur during Executive’s employment with the Company. Executive shall also reasonably cooperate with the Company to transition his duties.</w:t>
      </w:r>
    </w:p>
    <w:p>
      <w:pPr>
        <w:spacing w:after="0" w:line="159" w:lineRule="exact"/>
        <w:rPr>
          <w:rFonts w:ascii="Times New Roman" w:cs="Times New Roman" w:eastAsia="Times New Roman" w:hAnsi="Times New Roman"/>
          <w:sz w:val="18"/>
          <w:szCs w:val="18"/>
          <w:color w:val="auto"/>
        </w:rPr>
      </w:pPr>
    </w:p>
    <w:p>
      <w:pPr>
        <w:jc w:val="both"/>
        <w:ind w:right="20" w:firstLine="645"/>
        <w:spacing w:after="0" w:line="209" w:lineRule="auto"/>
        <w:tabs>
          <w:tab w:leader="none" w:pos="15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Executive acknowledges that any breach of any of Executive’s representations and promises set forth in the Agreement shall cause the Company irreparable harm for which there is no adequate remedy at law. Executive therefore consents to the issuance by any court of competent jurisdiction of any injunction in favor of Company enjoining the breach of any of the promises. If any provision of the Agreement should be held to be unenforceable because of its scope or duration, or the area or subject matter covered thereby, Executive agrees that the court making such determination shall have the power to reduce or modify the scope, duration, subject matter or area of that promise to the extent that allows the maximum scope, duration, subject matter or area permitted by applicable law. Executive further agrees that the remedies provided for herein are in addition to, and are not to be construed as replacements for, or a limitation of, rights and remedies otherwise available to the Company. If any portion of the Release set forth in Section 4 cannot be enforced, the remaining provisions of the Agreement are voidable at the Company’s sole option and Executive shall repay all sums that he received in return for the release of claims other than one month of Severance Pay, which is given in exchange for the release of claims under the Age Discrimination in Employment Act, as amended. If any provision of the Agreement, other than the Release, cannot be enforced, all other provisions of the Agreement shall remain in full force and effect.</w:t>
      </w:r>
    </w:p>
    <w:p>
      <w:pPr>
        <w:spacing w:after="0" w:line="159" w:lineRule="exact"/>
        <w:rPr>
          <w:rFonts w:ascii="Times New Roman" w:cs="Times New Roman" w:eastAsia="Times New Roman" w:hAnsi="Times New Roman"/>
          <w:sz w:val="18"/>
          <w:szCs w:val="18"/>
          <w:color w:val="auto"/>
        </w:rPr>
      </w:pPr>
    </w:p>
    <w:p>
      <w:pPr>
        <w:jc w:val="both"/>
        <w:ind w:right="20" w:firstLine="645"/>
        <w:spacing w:after="0" w:line="239" w:lineRule="auto"/>
        <w:tabs>
          <w:tab w:leader="none" w:pos="152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xml:space="preserve"> The Agreement contains the entire agreement between the Company and Executive with respect to its subject matter, and supersedes and cancels any and all other agreements, whether oral or in writing, between the Company and Executive with respect to his employment, the terms and conditions of his employment, and his separation from employment with the Company.</w:t>
      </w:r>
    </w:p>
    <w:p>
      <w:pPr>
        <w:spacing w:after="0" w:line="158" w:lineRule="exact"/>
        <w:rPr>
          <w:rFonts w:ascii="Times New Roman" w:cs="Times New Roman" w:eastAsia="Times New Roman" w:hAnsi="Times New Roman"/>
          <w:sz w:val="17"/>
          <w:szCs w:val="17"/>
          <w:color w:val="auto"/>
        </w:rPr>
      </w:pPr>
    </w:p>
    <w:p>
      <w:pPr>
        <w:ind w:right="20" w:firstLine="645"/>
        <w:spacing w:after="0" w:line="237" w:lineRule="auto"/>
        <w:tabs>
          <w:tab w:leader="none" w:pos="15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Modification.</w:t>
      </w:r>
      <w:r>
        <w:rPr>
          <w:rFonts w:ascii="Times New Roman" w:cs="Times New Roman" w:eastAsia="Times New Roman" w:hAnsi="Times New Roman"/>
          <w:sz w:val="18"/>
          <w:szCs w:val="18"/>
          <w:color w:val="auto"/>
        </w:rPr>
        <w:t xml:space="preserve"> The Agreement may not be modified, altered, or changed, except upon written consent of Executive and a duly authorized representative of the Company.</w:t>
      </w:r>
    </w:p>
    <w:p>
      <w:pPr>
        <w:spacing w:after="0" w:line="158" w:lineRule="exact"/>
        <w:rPr>
          <w:rFonts w:ascii="Times New Roman" w:cs="Times New Roman" w:eastAsia="Times New Roman" w:hAnsi="Times New Roman"/>
          <w:sz w:val="18"/>
          <w:szCs w:val="18"/>
          <w:color w:val="auto"/>
        </w:rPr>
      </w:pPr>
    </w:p>
    <w:p>
      <w:pPr>
        <w:ind w:right="20" w:firstLine="645"/>
        <w:spacing w:after="0" w:line="237" w:lineRule="auto"/>
        <w:tabs>
          <w:tab w:leader="none" w:pos="15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Agreement is personal to Executive and cannot be assigned to anyone without the prior written consent of the Company. The rights and obligations of the Agreement shall inure to the successors and assigns of the Company.</w:t>
      </w:r>
    </w:p>
    <w:p>
      <w:pPr>
        <w:spacing w:after="0" w:line="158" w:lineRule="exact"/>
        <w:rPr>
          <w:rFonts w:ascii="Times New Roman" w:cs="Times New Roman" w:eastAsia="Times New Roman" w:hAnsi="Times New Roman"/>
          <w:sz w:val="18"/>
          <w:szCs w:val="18"/>
          <w:color w:val="auto"/>
        </w:rPr>
      </w:pPr>
    </w:p>
    <w:p>
      <w:pPr>
        <w:jc w:val="both"/>
        <w:ind w:firstLine="645"/>
        <w:spacing w:after="0" w:line="209" w:lineRule="auto"/>
        <w:tabs>
          <w:tab w:leader="none" w:pos="15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and Taxes Generally.</w:t>
      </w:r>
      <w:r>
        <w:rPr>
          <w:rFonts w:ascii="Times New Roman" w:cs="Times New Roman" w:eastAsia="Times New Roman" w:hAnsi="Times New Roman"/>
          <w:sz w:val="18"/>
          <w:szCs w:val="18"/>
          <w:color w:val="auto"/>
        </w:rPr>
        <w:t xml:space="preserve"> This Agreement is intended to comply with Section 409A of the Internal Revenue Code of 1986, as amended, and the regulations, notices and other guidance of general applicability issued thereunder (collectively,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if such termination of employment constitutes a “separation from service” under Section 409A. Notwithstanding the foregoing, Company makes no representations that the payments and benefits provided under this Agreement comply with Section 409A and in no event shall Company be liable for all or any portion of any taxes, penalties, interest or other expenses that may be incurred by Executive on account of non-compliance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-1026795</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0"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Notwithstanding any other provision of this Agreement, if at the time of Executive’s termination of employment, he is a “specified employee” within the meaning of Section 409A(a)(2)(B)(i) and determined in accordance with Section 409A, any payments and benefits provided under this Agreement that constitute “nonqualified deferred compensation” subject to Section 409A that are provided to Executive on account of his separation from service shall not be paid until the first payroll date to occur following the six-month anniversary of Executive’s termination date (“Specified Employee Payment Date”). The aggregate amount of any payments that would otherwise have been made during such six-month period shall be paid in a lump sum on the Specified Employee Payment Date, without interest, and thereafter, any remaining payments shall be paid without delay in accordance with their original schedule. If Executive dies during the six-month period, any delayed payments shall be paid to Executive’s estate in a lump sum upon Executive’s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107950</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499" w:right="879" w:bottom="1440" w:gutter="0" w:footer="0" w:header="0"/>
        </w:sectPr>
      </w:pPr>
    </w:p>
    <w:bookmarkStart w:id="36" w:name="page37"/>
    <w:bookmarkEnd w:id="36"/>
    <w:p>
      <w:pPr>
        <w:jc w:val="both"/>
        <w:ind w:firstLine="645"/>
        <w:spacing w:after="0" w:line="226" w:lineRule="auto"/>
        <w:tabs>
          <w:tab w:leader="none" w:pos="15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Agreement shall be construed and enforced in accordance with the laws of the state of Minnesota without regard to any state law regarding conflict of laws or any other law that would render this choice of law ineffective. Any action to enforce its terms shall be venued solely in state or federal court in the state of Minnesota.</w:t>
      </w:r>
    </w:p>
    <w:p>
      <w:pPr>
        <w:spacing w:after="0" w:line="158" w:lineRule="exact"/>
        <w:rPr>
          <w:rFonts w:ascii="Times New Roman" w:cs="Times New Roman" w:eastAsia="Times New Roman" w:hAnsi="Times New Roman"/>
          <w:sz w:val="18"/>
          <w:szCs w:val="18"/>
          <w:color w:val="auto"/>
        </w:rPr>
      </w:pPr>
    </w:p>
    <w:p>
      <w:pPr>
        <w:jc w:val="both"/>
        <w:ind w:right="20" w:firstLine="645"/>
        <w:spacing w:after="0" w:line="226" w:lineRule="auto"/>
        <w:tabs>
          <w:tab w:leader="none" w:pos="15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The Agreement shall be considered to have been drafted by each party or his/its attorney. Accordingly, no rule of strict construction shall be applied against either party. The headings of all sections and subsections of the Agreement are inserted for ease of reference only, and shall not affect the construction or interpretation of the Agreement.</w:t>
      </w:r>
    </w:p>
    <w:p>
      <w:pPr>
        <w:spacing w:after="0" w:line="158" w:lineRule="exact"/>
        <w:rPr>
          <w:rFonts w:ascii="Times New Roman" w:cs="Times New Roman" w:eastAsia="Times New Roman" w:hAnsi="Times New Roman"/>
          <w:sz w:val="18"/>
          <w:szCs w:val="18"/>
          <w:color w:val="auto"/>
        </w:rPr>
      </w:pPr>
    </w:p>
    <w:p>
      <w:pPr>
        <w:ind w:right="20" w:firstLine="645"/>
        <w:spacing w:after="0" w:line="237" w:lineRule="auto"/>
        <w:tabs>
          <w:tab w:leader="none" w:pos="15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required or permitted to be given shall be given or sent by certified mail, return receipt requested, to the parties at the following addresses or to such other addresses as either may designate in writing to the other party: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14000 Carlson Parkway</w:t>
            </w:r>
          </w:p>
        </w:tc>
      </w:tr>
      <w:tr>
        <w:trPr>
          <w:trHeight w:val="176"/>
        </w:trPr>
        <w:tc>
          <w:tcPr>
            <w:tcW w:w="2660" w:type="dxa"/>
            <w:vAlign w:val="bottom"/>
          </w:tcPr>
          <w:p>
            <w:pPr>
              <w:spacing w:after="0"/>
              <w:rPr>
                <w:sz w:val="15"/>
                <w:szCs w:val="15"/>
                <w:color w:val="auto"/>
              </w:rPr>
            </w:pPr>
          </w:p>
        </w:tc>
        <w:tc>
          <w:tcPr>
            <w:tcW w:w="3260" w:type="dxa"/>
            <w:vAlign w:val="bottom"/>
          </w:tcPr>
          <w:p>
            <w:pPr>
              <w:ind w:left="1300"/>
              <w:spacing w:after="0" w:line="176" w:lineRule="exact"/>
              <w:rPr>
                <w:sz w:val="20"/>
                <w:szCs w:val="20"/>
                <w:color w:val="auto"/>
              </w:rPr>
            </w:pPr>
            <w:r>
              <w:rPr>
                <w:rFonts w:ascii="Times New Roman" w:cs="Times New Roman" w:eastAsia="Times New Roman" w:hAnsi="Times New Roman"/>
                <w:sz w:val="18"/>
                <w:szCs w:val="18"/>
                <w:color w:val="auto"/>
              </w:rPr>
              <w:t>Plymouth, MN 55441</w:t>
            </w:r>
          </w:p>
        </w:tc>
      </w:tr>
      <w:tr>
        <w:trPr>
          <w:trHeight w:val="234"/>
        </w:trPr>
        <w:tc>
          <w:tcPr>
            <w:tcW w:w="266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8"/>
              </w:rPr>
              <w:t>Attention: Chris Homeister</w:t>
            </w:r>
          </w:p>
        </w:tc>
      </w:tr>
      <w:tr>
        <w:trPr>
          <w:trHeight w:val="73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If to Executive:</w:t>
            </w:r>
          </w:p>
        </w:tc>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Joseph Kinder</w:t>
            </w:r>
          </w:p>
        </w:tc>
      </w:tr>
      <w:tr>
        <w:trPr>
          <w:trHeight w:val="176"/>
        </w:trPr>
        <w:tc>
          <w:tcPr>
            <w:tcW w:w="2660" w:type="dxa"/>
            <w:vAlign w:val="bottom"/>
          </w:tcPr>
          <w:p>
            <w:pPr>
              <w:spacing w:after="0"/>
              <w:rPr>
                <w:sz w:val="15"/>
                <w:szCs w:val="15"/>
                <w:color w:val="auto"/>
              </w:rPr>
            </w:pPr>
          </w:p>
        </w:tc>
        <w:tc>
          <w:tcPr>
            <w:tcW w:w="3260" w:type="dxa"/>
            <w:vAlign w:val="bottom"/>
          </w:tcPr>
          <w:p>
            <w:pPr>
              <w:ind w:left="1300"/>
              <w:spacing w:after="0" w:line="176" w:lineRule="exact"/>
              <w:rPr>
                <w:sz w:val="20"/>
                <w:szCs w:val="20"/>
                <w:color w:val="auto"/>
              </w:rPr>
            </w:pPr>
            <w:r>
              <w:rPr>
                <w:rFonts w:ascii="Times New Roman" w:cs="Times New Roman" w:eastAsia="Times New Roman" w:hAnsi="Times New Roman"/>
                <w:sz w:val="18"/>
                <w:szCs w:val="18"/>
                <w:color w:val="auto"/>
              </w:rPr>
              <w:t>300 White Street SE</w:t>
            </w:r>
          </w:p>
        </w:tc>
      </w:tr>
      <w:tr>
        <w:trPr>
          <w:trHeight w:val="234"/>
        </w:trPr>
        <w:tc>
          <w:tcPr>
            <w:tcW w:w="2660" w:type="dxa"/>
            <w:vAlign w:val="bottom"/>
          </w:tcPr>
          <w:p>
            <w:pPr>
              <w:spacing w:after="0"/>
              <w:rPr>
                <w:sz w:val="20"/>
                <w:szCs w:val="20"/>
                <w:color w:val="auto"/>
              </w:rPr>
            </w:pPr>
          </w:p>
        </w:tc>
        <w:tc>
          <w:tcPr>
            <w:tcW w:w="32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Watertown, MN 55388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645"/>
        <w:spacing w:after="0" w:line="237" w:lineRule="auto"/>
        <w:tabs>
          <w:tab w:leader="none" w:pos="15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of Agreement</w:t>
      </w:r>
      <w:r>
        <w:rPr>
          <w:rFonts w:ascii="Times New Roman" w:cs="Times New Roman" w:eastAsia="Times New Roman" w:hAnsi="Times New Roman"/>
          <w:sz w:val="18"/>
          <w:szCs w:val="18"/>
          <w:color w:val="auto"/>
        </w:rPr>
        <w:t>. If Executive desires to accept the Agreement, Executive shall execute the Agreement and return the same to the Company at the address set forth in Section 20.</w:t>
      </w:r>
    </w:p>
    <w:p>
      <w:pPr>
        <w:spacing w:after="0" w:line="158" w:lineRule="exact"/>
        <w:rPr>
          <w:rFonts w:ascii="Times New Roman" w:cs="Times New Roman" w:eastAsia="Times New Roman" w:hAnsi="Times New Roman"/>
          <w:sz w:val="18"/>
          <w:szCs w:val="18"/>
          <w:color w:val="auto"/>
        </w:rPr>
      </w:pPr>
    </w:p>
    <w:p>
      <w:pPr>
        <w:ind w:right="20" w:firstLine="645"/>
        <w:spacing w:after="0" w:line="237" w:lineRule="auto"/>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Agreement may be executed in counterparts with an executed counterpart to be delivered to the other party. Each such executed counterpart shall be deemed an original but shall constitute one and the same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125095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499" w:right="879" w:bottom="1440" w:gutter="0" w:footer="0" w:header="0"/>
        </w:sectPr>
      </w:pPr>
    </w:p>
    <w:bookmarkStart w:id="37" w:name="page38"/>
    <w:bookmarkEnd w:id="37"/>
    <w:p>
      <w:pPr>
        <w:jc w:val="right"/>
        <w:ind w:right="1019"/>
        <w:spacing w:after="0"/>
        <w:rPr>
          <w:sz w:val="20"/>
          <w:szCs w:val="20"/>
          <w:color w:val="auto"/>
        </w:rPr>
      </w:pPr>
      <w:r>
        <w:rPr>
          <w:rFonts w:ascii="Times New Roman" w:cs="Times New Roman" w:eastAsia="Times New Roman" w:hAnsi="Times New Roman"/>
          <w:sz w:val="18"/>
          <w:szCs w:val="18"/>
          <w:color w:val="auto"/>
        </w:rPr>
        <w:t>IN WITNESS WHEREOF, the parties have executed the Agreement on the dates set forth below.</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TILE SHOP HOLDINGS, INC.</w:t>
            </w:r>
          </w:p>
        </w:tc>
      </w:tr>
      <w:tr>
        <w:trPr>
          <w:trHeight w:val="365"/>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2017</w:t>
            </w: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Chris Homeister</w:t>
            </w:r>
          </w:p>
        </w:tc>
      </w:tr>
      <w:tr>
        <w:trPr>
          <w:trHeight w:val="164"/>
        </w:trPr>
        <w:tc>
          <w:tcPr>
            <w:tcW w:w="5040" w:type="dxa"/>
            <w:vAlign w:val="bottom"/>
          </w:tcPr>
          <w:p>
            <w:pPr>
              <w:spacing w:after="0"/>
              <w:rPr>
                <w:sz w:val="14"/>
                <w:szCs w:val="14"/>
                <w:color w:val="auto"/>
              </w:rPr>
            </w:pPr>
          </w:p>
        </w:tc>
        <w:tc>
          <w:tcPr>
            <w:tcW w:w="1400" w:type="dxa"/>
            <w:vAlign w:val="bottom"/>
            <w:tcBorders>
              <w:top w:val="single" w:sz="8" w:color="auto"/>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w w:val="92"/>
              </w:rPr>
              <w:t>By: Chris Homeister</w:t>
            </w:r>
          </w:p>
        </w:tc>
        <w:tc>
          <w:tcPr>
            <w:tcW w:w="1340" w:type="dxa"/>
            <w:vAlign w:val="bottom"/>
          </w:tcPr>
          <w:p>
            <w:pPr>
              <w:spacing w:after="0"/>
              <w:rPr>
                <w:sz w:val="14"/>
                <w:szCs w:val="14"/>
                <w:color w:val="auto"/>
              </w:rPr>
            </w:pPr>
          </w:p>
        </w:tc>
      </w:tr>
      <w:tr>
        <w:trPr>
          <w:trHeight w:val="234"/>
        </w:trPr>
        <w:tc>
          <w:tcPr>
            <w:tcW w:w="504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55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2017</w:t>
            </w: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Joseph Kinder</w:t>
            </w:r>
          </w:p>
        </w:tc>
      </w:tr>
      <w:tr>
        <w:trPr>
          <w:trHeight w:val="228"/>
        </w:trPr>
        <w:tc>
          <w:tcPr>
            <w:tcW w:w="504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Kinder</w:t>
            </w:r>
          </w:p>
        </w:tc>
        <w:tc>
          <w:tcPr>
            <w:tcW w:w="1480" w:type="dxa"/>
            <w:vAlign w:val="bottom"/>
            <w:gridSpan w:val="2"/>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6064250</wp:posOffset>
            </wp:positionV>
            <wp:extent cx="646557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439"/>
          </w:cols>
          <w:pgMar w:left="1020" w:top="108" w:right="1440" w:bottom="1440" w:gutter="0" w:footer="0" w:header="0"/>
        </w:sectPr>
      </w:pPr>
    </w:p>
    <w:bookmarkStart w:id="38" w:name="page39"/>
    <w:bookmarkEnd w:id="38"/>
    <w:p>
      <w:pPr>
        <w:ind w:left="35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38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Offer Letter Agreement with attached Exhibits A (Waiver of Claims and General Release) and B (Nondisclosure, Confidentiality, Assignment and Noncompetition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605790</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4" w:right="879" w:bottom="1440" w:gutter="0" w:footer="0" w:header="0"/>
        </w:sectPr>
      </w:pPr>
    </w:p>
    <w:bookmarkStart w:id="39" w:name="page40"/>
    <w:bookmarkEnd w:id="39"/>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Chris R. Homeister, certify that:</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sz w:val="20"/>
          <w:szCs w:val="20"/>
          <w:color w:val="auto"/>
        </w:rPr>
      </w:pPr>
    </w:p>
    <w:p>
      <w:pPr>
        <w:ind w:left="240" w:right="199" w:hanging="134"/>
        <w:spacing w:after="0" w:line="22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sz w:val="20"/>
          <w:szCs w:val="20"/>
          <w:color w:val="auto"/>
        </w:rPr>
      </w:pPr>
    </w:p>
    <w:p>
      <w:pPr>
        <w:ind w:left="240" w:right="139" w:hanging="134"/>
        <w:spacing w:after="0" w:line="22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8" w:lineRule="exact"/>
        <w:rPr>
          <w:sz w:val="20"/>
          <w:szCs w:val="20"/>
          <w:color w:val="auto"/>
        </w:rPr>
      </w:pPr>
    </w:p>
    <w:p>
      <w:pPr>
        <w:ind w:left="580" w:right="479" w:hanging="148"/>
        <w:spacing w:after="0" w:line="22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sz w:val="20"/>
          <w:szCs w:val="20"/>
          <w:color w:val="auto"/>
        </w:rPr>
      </w:pPr>
    </w:p>
    <w:p>
      <w:pPr>
        <w:jc w:val="both"/>
        <w:ind w:left="600" w:right="179" w:hanging="161"/>
        <w:spacing w:after="0" w:line="22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sz w:val="20"/>
          <w:szCs w:val="20"/>
          <w:color w:val="auto"/>
        </w:rPr>
      </w:pPr>
    </w:p>
    <w:p>
      <w:pPr>
        <w:jc w:val="both"/>
        <w:ind w:left="580" w:right="319" w:hanging="148"/>
        <w:spacing w:after="0" w:line="22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sz w:val="20"/>
          <w:szCs w:val="20"/>
          <w:color w:val="auto"/>
        </w:rPr>
      </w:pPr>
    </w:p>
    <w:p>
      <w:pPr>
        <w:ind w:left="600" w:right="199" w:hanging="161"/>
        <w:spacing w:after="0" w:line="22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jc w:val="both"/>
        <w:ind w:left="240" w:right="439" w:hanging="134"/>
        <w:spacing w:after="0" w:line="22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ind w:left="580" w:right="259" w:hanging="148"/>
        <w:spacing w:after="0" w:line="22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sz w:val="20"/>
          <w:szCs w:val="20"/>
          <w:color w:val="auto"/>
        </w:rPr>
      </w:pPr>
    </w:p>
    <w:p>
      <w:pPr>
        <w:ind w:left="600" w:right="339" w:hanging="161"/>
        <w:spacing w:after="0" w:line="237"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April 27, 2017</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Chris R. Homeister</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Kirk L. Geadelmann, certify that:</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I have reviewed this quarterly report on Form 10-Q of Tile Shop Holdings, Inc.;</w:t>
      </w:r>
    </w:p>
    <w:p>
      <w:pPr>
        <w:spacing w:after="0" w:line="144" w:lineRule="exact"/>
        <w:rPr>
          <w:sz w:val="20"/>
          <w:szCs w:val="20"/>
          <w:color w:val="auto"/>
        </w:rPr>
      </w:pPr>
    </w:p>
    <w:p>
      <w:pPr>
        <w:jc w:val="both"/>
        <w:ind w:left="240" w:right="239" w:hanging="134"/>
        <w:spacing w:after="0" w:line="22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sz w:val="20"/>
          <w:szCs w:val="20"/>
          <w:color w:val="auto"/>
        </w:rPr>
      </w:pPr>
    </w:p>
    <w:p>
      <w:pPr>
        <w:ind w:left="240" w:right="199" w:hanging="134"/>
        <w:spacing w:after="0" w:line="22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sz w:val="20"/>
          <w:szCs w:val="20"/>
          <w:color w:val="auto"/>
        </w:rPr>
      </w:pPr>
    </w:p>
    <w:p>
      <w:pPr>
        <w:ind w:left="240" w:right="139" w:hanging="134"/>
        <w:spacing w:after="0" w:line="22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8" w:lineRule="exact"/>
        <w:rPr>
          <w:sz w:val="20"/>
          <w:szCs w:val="20"/>
          <w:color w:val="auto"/>
        </w:rPr>
      </w:pPr>
    </w:p>
    <w:p>
      <w:pPr>
        <w:ind w:left="580" w:right="479" w:hanging="148"/>
        <w:spacing w:after="0" w:line="22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sz w:val="20"/>
          <w:szCs w:val="20"/>
          <w:color w:val="auto"/>
        </w:rPr>
      </w:pPr>
    </w:p>
    <w:p>
      <w:pPr>
        <w:jc w:val="both"/>
        <w:ind w:left="600" w:right="179" w:hanging="161"/>
        <w:spacing w:after="0" w:line="22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sz w:val="20"/>
          <w:szCs w:val="20"/>
          <w:color w:val="auto"/>
        </w:rPr>
      </w:pPr>
    </w:p>
    <w:p>
      <w:pPr>
        <w:jc w:val="both"/>
        <w:ind w:left="580" w:right="319" w:hanging="148"/>
        <w:spacing w:after="0" w:line="22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sz w:val="20"/>
          <w:szCs w:val="20"/>
          <w:color w:val="auto"/>
        </w:rPr>
      </w:pPr>
    </w:p>
    <w:p>
      <w:pPr>
        <w:ind w:left="600" w:right="199" w:hanging="161"/>
        <w:spacing w:after="0" w:line="220"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jc w:val="both"/>
        <w:ind w:left="240" w:right="439" w:hanging="134"/>
        <w:spacing w:after="0" w:line="22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ind w:left="580" w:right="259" w:hanging="148"/>
        <w:spacing w:after="0" w:line="22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sz w:val="20"/>
          <w:szCs w:val="20"/>
          <w:color w:val="auto"/>
        </w:rPr>
      </w:pPr>
    </w:p>
    <w:p>
      <w:pPr>
        <w:ind w:left="600" w:right="339" w:hanging="161"/>
        <w:spacing w:after="0" w:line="237"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April 27, 2017</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Kirk L. Geadelmann</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March 31, 2017 as filed with the Securities and Exchange Commission on the date hereof (the “Report”), I, Chris R. Homeister, Chief Executive Officer of the Company, certify, pursuant to 18 U.S.C. Section 1350, as adopted pursuant to Section 906 of the Sarbanes-Oxley Act of 2002, that:</w:t>
      </w:r>
    </w:p>
    <w:p>
      <w:pPr>
        <w:spacing w:after="0" w:line="294" w:lineRule="exact"/>
        <w:rPr>
          <w:sz w:val="20"/>
          <w:szCs w:val="20"/>
          <w:color w:val="auto"/>
        </w:rPr>
      </w:pPr>
    </w:p>
    <w:p>
      <w:pPr>
        <w:ind w:left="760" w:right="459" w:hanging="331"/>
        <w:spacing w:after="0" w:line="237"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CHRIS R. HOMEISTER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Chris R. Homeister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April 27, 2017</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219710</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March 31, 2017 as filed with the Securities and Exchange Commission on the date hereof (the “Report”), I, Kirk L. Geadelmann, Chief Financial Officer of the Company, certify, pursuant to 18 U.S.C. Section 1350, as adopted pursuant to Section 906 of the Sarbanes-Oxley Act of 2002, that:</w:t>
      </w:r>
    </w:p>
    <w:p>
      <w:pPr>
        <w:spacing w:after="0" w:line="119" w:lineRule="exact"/>
        <w:rPr>
          <w:sz w:val="20"/>
          <w:szCs w:val="20"/>
          <w:color w:val="auto"/>
        </w:rPr>
      </w:pPr>
    </w:p>
    <w:p>
      <w:pPr>
        <w:ind w:left="760" w:right="459" w:hanging="331"/>
        <w:spacing w:after="0" w:line="23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Kirk L. Geadelmann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April 27, 2017</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330835</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endash "/>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lvl w:ilvl="1">
      <w:lvlJc w:val="left"/>
      <w:lvlText w:val="%2."/>
      <w:numFmt w:val="upperLetter"/>
      <w:start w:val="1"/>
    </w:lvl>
  </w:abstractNum>
  <w:abstractNum w:abstractNumId="7">
    <w:nsid w:val="7FDCC233"/>
    <w:multiLevelType w:val="hybridMultilevel"/>
    <w:lvl w:ilvl="0">
      <w:lvlJc w:val="left"/>
      <w:lvlText w:val="%1"/>
      <w:numFmt w:val="decimal"/>
      <w:start w:val="1"/>
    </w:lvl>
    <w:lvl w:ilvl="1">
      <w:lvlJc w:val="left"/>
      <w:lvlText w:val="%2."/>
      <w:numFmt w:val="upperLetter"/>
      <w:start w:val="2"/>
    </w:lvl>
  </w:abstractNum>
  <w:abstractNum w:abstractNumId="8">
    <w:nsid w:val="1BEFD79F"/>
    <w:multiLevelType w:val="hybridMultilevel"/>
    <w:lvl w:ilvl="0">
      <w:lvlJc w:val="left"/>
      <w:lvlText w:val="%1."/>
      <w:numFmt w:val="decimal"/>
      <w:start w:val="4"/>
    </w:lvl>
    <w:lvl w:ilvl="1">
      <w:lvlJc w:val="left"/>
      <w:lvlText w:val="%2"/>
      <w:numFmt w:val="upperLetter"/>
      <w:start w:val="1"/>
    </w:lvl>
  </w:abstractNum>
  <w:abstractNum w:abstractNumId="9">
    <w:nsid w:val="41A7C4C9"/>
    <w:multiLevelType w:val="hybridMultilevel"/>
    <w:lvl w:ilvl="0">
      <w:lvlJc w:val="left"/>
      <w:lvlText w:val="%1."/>
      <w:numFmt w:val="decimal"/>
      <w:start w:val="1"/>
    </w:lvl>
    <w:lvl w:ilvl="1">
      <w:lvlJc w:val="left"/>
      <w:lvlText w:val="%2."/>
      <w:numFmt w:val="upperLetter"/>
      <w:start w:val="1"/>
    </w:lvl>
  </w:abstractNum>
  <w:abstractNum w:abstractNumId="10">
    <w:nsid w:val="6B68079A"/>
    <w:multiLevelType w:val="hybridMultilevel"/>
    <w:lvl w:ilvl="0">
      <w:lvlJc w:val="left"/>
      <w:lvlText w:val="%1"/>
      <w:numFmt w:val="decimal"/>
      <w:start w:val="1"/>
    </w:lvl>
    <w:lvl w:ilvl="1">
      <w:lvlJc w:val="left"/>
      <w:lvlText w:val="%2."/>
      <w:numFmt w:val="upperLetter"/>
      <w:start w:val="3"/>
    </w:lvl>
  </w:abstractNum>
  <w:abstractNum w:abstractNumId="11">
    <w:nsid w:val="4E6AFB66"/>
    <w:multiLevelType w:val="hybridMultilevel"/>
    <w:lvl w:ilvl="0">
      <w:lvlJc w:val="left"/>
      <w:lvlText w:val="%1."/>
      <w:numFmt w:val="decimal"/>
      <w:start w:val="4"/>
    </w:lvl>
    <w:lvl w:ilvl="1">
      <w:lvlJc w:val="left"/>
      <w:lvlText w:val="%2"/>
      <w:numFmt w:val="upperLetter"/>
      <w:start w:val="1"/>
    </w:lvl>
  </w:abstractNum>
  <w:abstractNum w:abstractNumId="12">
    <w:nsid w:val="25E45D32"/>
    <w:multiLevelType w:val="hybridMultilevel"/>
    <w:lvl w:ilvl="0">
      <w:lvlJc w:val="left"/>
      <w:lvlText w:val="%1."/>
      <w:numFmt w:val="decimal"/>
      <w:start w:val="5"/>
    </w:lvl>
    <w:lvl w:ilvl="1">
      <w:lvlJc w:val="left"/>
      <w:lvlText w:val="%2."/>
      <w:numFmt w:val="upperLetter"/>
      <w:start w:val="1"/>
    </w:lvl>
  </w:abstractNum>
  <w:abstractNum w:abstractNumId="13">
    <w:nsid w:val="519B500D"/>
    <w:multiLevelType w:val="hybridMultilevel"/>
    <w:lvl w:ilvl="0">
      <w:lvlJc w:val="left"/>
      <w:lvlText w:val="%1."/>
      <w:numFmt w:val="upperLetter"/>
      <w:start w:val="1"/>
    </w:lvl>
  </w:abstractNum>
  <w:abstractNum w:abstractNumId="14">
    <w:nsid w:val="431BD7B7"/>
    <w:multiLevelType w:val="hybridMultilevel"/>
    <w:lvl w:ilvl="0">
      <w:lvlJc w:val="left"/>
      <w:lvlText w:val="%1."/>
      <w:numFmt w:val="decimal"/>
      <w:start w:val="7"/>
    </w:lvl>
    <w:lvl w:ilvl="1">
      <w:lvlJc w:val="left"/>
      <w:lvlText w:val="%2."/>
      <w:numFmt w:val="upperLetter"/>
      <w:start w:val="1"/>
    </w:lvl>
  </w:abstractNum>
  <w:abstractNum w:abstractNumId="15">
    <w:nsid w:val="3F2DBA31"/>
    <w:multiLevelType w:val="hybridMultilevel"/>
    <w:lvl w:ilvl="0">
      <w:lvlJc w:val="left"/>
      <w:lvlText w:val="%1"/>
      <w:numFmt w:val="decimal"/>
      <w:start w:val="1"/>
    </w:lvl>
    <w:lvl w:ilvl="1">
      <w:lvlJc w:val="left"/>
      <w:lvlText w:val="%2."/>
      <w:numFmt w:val="upperLetter"/>
      <w:start w:val="5"/>
    </w:lvl>
  </w:abstractNum>
  <w:abstractNum w:abstractNumId="16">
    <w:nsid w:val="7C83E458"/>
    <w:multiLevelType w:val="hybridMultilevel"/>
    <w:lvl w:ilvl="0">
      <w:lvlJc w:val="left"/>
      <w:lvlText w:val="%1."/>
      <w:numFmt w:val="decimal"/>
      <w:start w:val="12"/>
    </w:lvl>
    <w:lvl w:ilvl="1">
      <w:lvlJc w:val="left"/>
      <w:lvlText w:val="%2"/>
      <w:numFmt w:val="upperLetter"/>
      <w:start w:val="1"/>
    </w:lvl>
  </w:abstractNum>
  <w:abstractNum w:abstractNumId="17">
    <w:nsid w:val="257130A3"/>
    <w:multiLevelType w:val="hybridMultilevel"/>
    <w:lvl w:ilvl="0">
      <w:lvlJc w:val="left"/>
      <w:lvlText w:val="%1."/>
      <w:numFmt w:val="decimal"/>
      <w:start w:val="18"/>
    </w:lvl>
  </w:abstractNum>
  <w:abstractNum w:abstractNumId="18">
    <w:nsid w:val="62BBD95A"/>
    <w:multiLevelType w:val="hybridMultilevel"/>
    <w:lvl w:ilvl="0">
      <w:lvlJc w:val="left"/>
      <w:lvlText w:val="%1."/>
      <w:numFmt w:val="decimal"/>
      <w:start w:val="2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2019-12-29T06:35:32Z</dcterms:created>
  <dcterms:modified xsi:type="dcterms:W3CDTF">2019-12-29T06:35:32Z</dcterms:modified>
</cp:coreProperties>
</file>