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right="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left="4"/>
        <w:spacing w:after="0" w:line="196" w:lineRule="exact"/>
        <w:tabs>
          <w:tab w:leader="none" w:pos="8843"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6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0104"/>
          </w:cols>
          <w:pgMar w:left="896" w:top="702" w:right="899" w:bottom="1440" w:gutter="0" w:footer="0" w:header="0"/>
        </w:sectPr>
      </w:pPr>
    </w:p>
    <w:p>
      <w:pPr>
        <w:spacing w:after="0" w:line="23" w:lineRule="exact"/>
        <w:rPr>
          <w:sz w:val="24"/>
          <w:szCs w:val="24"/>
          <w:color w:val="auto"/>
        </w:rPr>
      </w:pPr>
    </w:p>
    <w:p>
      <w:pPr>
        <w:jc w:val="center"/>
        <w:ind w:right="56"/>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
        <w:spacing w:after="0"/>
        <w:rPr>
          <w:sz w:val="20"/>
          <w:szCs w:val="20"/>
          <w:color w:val="auto"/>
        </w:rPr>
      </w:pPr>
      <w:r>
        <w:rPr>
          <w:rFonts w:ascii="Arial" w:cs="Arial" w:eastAsia="Arial" w:hAnsi="Arial"/>
          <w:sz w:val="16"/>
          <w:szCs w:val="16"/>
          <w:color w:val="auto"/>
        </w:rPr>
        <w:t>Common stock, $0.0001 par value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TTS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The Nasdaq Stock Market LLC</w:t>
      </w:r>
    </w:p>
    <w:p>
      <w:pPr>
        <w:spacing w:after="0" w:line="143" w:lineRule="exact"/>
        <w:rPr>
          <w:sz w:val="24"/>
          <w:szCs w:val="24"/>
          <w:color w:val="auto"/>
        </w:rPr>
      </w:pPr>
    </w:p>
    <w:p>
      <w:pPr>
        <w:sectPr>
          <w:pgSz w:w="11900" w:h="16838" w:orient="portrait"/>
          <w:cols w:equalWidth="0" w:num="3">
            <w:col w:w="3664" w:space="720"/>
            <w:col w:w="1620" w:space="720"/>
            <w:col w:w="3380"/>
          </w:cols>
          <w:pgMar w:left="896" w:top="702" w:right="8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As of May 2, 2019, there were 52,951,217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702945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702" w:right="8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rPr>
              <w:t>TILE SHOP HOLDINGS, INC.</w:t>
            </w:r>
          </w:p>
        </w:tc>
        <w:tc>
          <w:tcPr>
            <w:tcW w:w="2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430,928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31,811</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lease liability,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278,643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$0.0001; authorized: 100,000,000 shares; issued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52,901,733 and 52,707,879 shares, 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(17,997)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430,928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380" w:type="dxa"/>
            <w:vAlign w:val="bottom"/>
            <w:gridSpan w:val="2"/>
          </w:tcPr>
          <w:p>
            <w:pPr>
              <w:jc w:val="center"/>
              <w:ind w:right="885"/>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65"/>
              <w:spacing w:after="0"/>
              <w:rPr>
                <w:sz w:val="20"/>
                <w:szCs w:val="20"/>
                <w:color w:val="auto"/>
              </w:rPr>
            </w:pPr>
            <w:r>
              <w:rPr>
                <w:rFonts w:ascii="Arial" w:cs="Arial" w:eastAsia="Arial" w:hAnsi="Arial"/>
                <w:sz w:val="18"/>
                <w:szCs w:val="18"/>
                <w:color w:val="auto"/>
                <w:w w:val="89"/>
              </w:rPr>
              <w:t>Consolidated Statements of Income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65"/>
              <w:spacing w:after="0"/>
              <w:rPr>
                <w:sz w:val="20"/>
                <w:szCs w:val="20"/>
                <w:color w:val="auto"/>
              </w:rPr>
            </w:pPr>
            <w:r>
              <w:rPr>
                <w:rFonts w:ascii="Arial" w:cs="Arial" w:eastAsia="Arial" w:hAnsi="Arial"/>
                <w:sz w:val="18"/>
                <w:szCs w:val="18"/>
                <w:color w:val="auto"/>
                <w:w w:val="88"/>
              </w:rPr>
              <w:t>(dollars in thousands, except per share data)</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80" w:type="dxa"/>
            <w:vAlign w:val="bottom"/>
            <w:gridSpan w:val="2"/>
          </w:tcPr>
          <w:p>
            <w:pPr>
              <w:jc w:val="center"/>
              <w:ind w:right="885"/>
              <w:spacing w:after="0"/>
              <w:rPr>
                <w:sz w:val="20"/>
                <w:szCs w:val="20"/>
                <w:color w:val="auto"/>
              </w:rPr>
            </w:pPr>
            <w:r>
              <w:rPr>
                <w:rFonts w:ascii="Arial" w:cs="Arial" w:eastAsia="Arial" w:hAnsi="Arial"/>
                <w:sz w:val="18"/>
                <w:szCs w:val="18"/>
                <w:color w:val="auto"/>
                <w:w w:val="90"/>
              </w:rPr>
              <w:t>(unaudited)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41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51,961,780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51,881,681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52,037,996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51,899,210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4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8"/>
        </w:trPr>
        <w:tc>
          <w:tcPr>
            <w:tcW w:w="13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020" w:type="dxa"/>
            <w:vAlign w:val="bottom"/>
            <w:gridSpan w:val="2"/>
          </w:tcPr>
          <w:p>
            <w:pPr>
              <w:jc w:val="center"/>
              <w:ind w:right="325"/>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2"/>
          </w:tcPr>
          <w:p>
            <w:pPr>
              <w:jc w:val="center"/>
              <w:ind w:right="325"/>
              <w:spacing w:after="0"/>
              <w:rPr>
                <w:sz w:val="20"/>
                <w:szCs w:val="20"/>
                <w:color w:val="auto"/>
              </w:rPr>
            </w:pPr>
            <w:r>
              <w:rPr>
                <w:rFonts w:ascii="Arial" w:cs="Arial" w:eastAsia="Arial" w:hAnsi="Arial"/>
                <w:sz w:val="18"/>
                <w:szCs w:val="18"/>
                <w:color w:val="auto"/>
                <w:w w:val="89"/>
              </w:rPr>
              <w:t>Consolidated Statements of Comprehensive Income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2"/>
          </w:tcPr>
          <w:p>
            <w:pPr>
              <w:jc w:val="center"/>
              <w:ind w:right="305"/>
              <w:spacing w:after="0"/>
              <w:rPr>
                <w:sz w:val="20"/>
                <w:szCs w:val="20"/>
                <w:color w:val="auto"/>
              </w:rPr>
            </w:pPr>
            <w:r>
              <w:rPr>
                <w:rFonts w:ascii="Arial" w:cs="Arial" w:eastAsia="Arial" w:hAnsi="Arial"/>
                <w:sz w:val="18"/>
                <w:szCs w:val="18"/>
                <w:color w:val="auto"/>
                <w:w w:val="90"/>
              </w:rPr>
              <w:t>(dollars in thousands)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20" w:type="dxa"/>
            <w:vAlign w:val="bottom"/>
            <w:gridSpan w:val="2"/>
          </w:tcPr>
          <w:p>
            <w:pPr>
              <w:jc w:val="center"/>
              <w:ind w:right="325"/>
              <w:spacing w:after="0"/>
              <w:rPr>
                <w:sz w:val="20"/>
                <w:szCs w:val="20"/>
                <w:color w:val="auto"/>
              </w:rPr>
            </w:pPr>
            <w:r>
              <w:rPr>
                <w:rFonts w:ascii="Arial" w:cs="Arial" w:eastAsia="Arial" w:hAnsi="Arial"/>
                <w:sz w:val="18"/>
                <w:szCs w:val="18"/>
                <w:color w:val="auto"/>
                <w:w w:val="90"/>
              </w:rPr>
              <w:t>(unaudited)</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r>
      <w:tr>
        <w:trPr>
          <w:trHeight w:val="230"/>
        </w:trPr>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0"/>
        </w:trPr>
        <w:tc>
          <w:tcPr>
            <w:tcW w:w="2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Currency translation adjustment</w:t>
            </w:r>
          </w:p>
        </w:tc>
        <w:tc>
          <w:tcPr>
            <w:tcW w:w="4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47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4,041</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52,156,850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Adoption of revenue recognition standard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52,156,850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281,945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52,429,157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178,126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(32,288)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52,707,879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(25,857)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Adoption of lease standard (see Note 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52,707,879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restricted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(87,319)</w:t>
            </w: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settlements of stock based compensation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awards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52,901,733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(2,858)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tax receivable /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(12,198)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insurance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Payments of long-term debt and financing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(18,054)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7,936</w:t>
            </w:r>
          </w:p>
        </w:tc>
        <w:tc>
          <w:tcPr>
            <w:tcW w:w="8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 for income taxes,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w:t>
      </w:r>
    </w:p>
    <w:p>
      <w:pPr>
        <w:spacing w:after="0" w:line="170"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2019, the Company had 140 stores in 31 states and the District of Columbia, with an average size of approximately 20,200 square feet. The Company has distribution centers located in Michigan, New Jersey, Oklahoma, Virginia and Wisconsin. The Company has a sourcing operation located in China.</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2019 are not necessarily indicative of the results that may be expected for the fiscal year ending December 31, 2019.</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statements should be read in conjunction with the Consolidated Financial Statements and footnotes included in our Annual Report on Form 10-K for the fiscal year ended December 31, 2018. The accounting policies used in preparing these Consolidated Financial Statements are the same as those described in Note 1 to the Consolidated Financial Statements in such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The Company adopted this standard effective January 1, 2019 using a modified retrospective approach through a cumulative effect adjustment to retained earnings as of the beginning of the period of adoption.</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excludes lease incentives and initial direct costs incurred. The Company’s lease terms may include options to extend or terminate the lease typically at the Company’s own discretion. The Company regularly evaluates the renewal options and when they are reasonably certain of exercise, the Company includes the renewal period in its lease term.</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standard provides a number of optional practical expedients in transition. The Company elected the package of three practical expedients permitted under the transition guidance within this standard, which among other things, allows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5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also elected to apply the hindsight practical expedient. Its election of the hindsight practical expedient resulted in the shortening of lease terms for certain existing leases and the useful lives of corresponding leasehold improvements. In its application of the hindsight practical expedient, the Company considered recent investments in leased properties and its overall real estate strategy, which resulted in the determination that most renewal options would not be reasonably certain in determining the expected lease term.</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fixed assets and retained earnings. The adoption of this standard did not have a material impact on net income or cash flows during the three months ended March 31, 2019. See Note 8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June 2016, the FASB issued a final standard on accounting for credit losses. The standard is effective for the Company in fiscal 2020 and requires a change in credit loss calculations using the expected loss method. The Company is evaluating the effect of this standard on its consolidated financial statements and related disclosures.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the Company at the beginning of its 2020 fiscal year, although early adoption is permitted for all entities. The Company is evaluating the effect of the standard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3"/>
        </w:trPr>
        <w:tc>
          <w:tcPr>
            <w:tcW w:w="7360" w:type="dxa"/>
            <w:vAlign w:val="bottom"/>
          </w:tcPr>
          <w:p>
            <w:pPr>
              <w:spacing w:after="0"/>
              <w:rPr>
                <w:sz w:val="24"/>
                <w:szCs w:val="24"/>
                <w:color w:val="auto"/>
              </w:rPr>
            </w:pPr>
          </w:p>
        </w:tc>
        <w:tc>
          <w:tcPr>
            <w:tcW w:w="2760" w:type="dxa"/>
            <w:vAlign w:val="bottom"/>
            <w:gridSpan w:val="4"/>
          </w:tcPr>
          <w:p>
            <w:pPr>
              <w:jc w:val="center"/>
              <w:spacing w:after="0"/>
              <w:rPr>
                <w:sz w:val="20"/>
                <w:szCs w:val="20"/>
                <w:color w:val="auto"/>
              </w:rPr>
            </w:pPr>
            <w:r>
              <w:rPr>
                <w:rFonts w:ascii="Arial" w:cs="Arial" w:eastAsia="Arial" w:hAnsi="Arial"/>
                <w:sz w:val="18"/>
                <w:szCs w:val="18"/>
                <w:color w:val="auto"/>
                <w:w w:val="89"/>
              </w:rPr>
              <w:t>For the three months ended</w:t>
            </w:r>
          </w:p>
        </w:tc>
      </w:tr>
      <w:tr>
        <w:trPr>
          <w:trHeight w:val="230"/>
        </w:trPr>
        <w:tc>
          <w:tcPr>
            <w:tcW w:w="736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Natural stone tiles</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Accessories</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11</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r>
      <w:tr>
        <w:trPr>
          <w:trHeight w:val="217"/>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81"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jc w:val="both"/>
        <w:ind w:left="640" w:hanging="320"/>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86" w:lineRule="exact"/>
        <w:rPr>
          <w:rFonts w:ascii="Arial" w:cs="Arial" w:eastAsia="Arial" w:hAnsi="Arial"/>
          <w:sz w:val="18"/>
          <w:szCs w:val="18"/>
          <w:color w:val="auto"/>
        </w:rPr>
      </w:pPr>
    </w:p>
    <w:p>
      <w:pPr>
        <w:jc w:val="both"/>
        <w:ind w:left="640" w:hanging="320"/>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8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$9.8 million and $7.4 million as of March 31, 2019 and December 31, 2018, respectively. Revenues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during the three-month period ended March 31, 2019 that were included in the customer deposit balance as of the beginning of the period were $6.6 million.</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Accounts receivable include amounts due from qualified professional customers who apply for credit. Customers who qualify for an account receive 30-day payment terms. The accounts receivable balance was $5.9 million and $3.1 million at March 31, 2019 and December 31, 2018,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March 31, 2019 and December 31,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4"/>
          </w:tcPr>
          <w:p>
            <w:pPr>
              <w:ind w:left="62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5,875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3"/>
              </w:rPr>
              <w:t>1,746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3"/>
              </w:rPr>
              <w:t>4,129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29" w:lineRule="exact"/>
        <w:rPr>
          <w:sz w:val="20"/>
          <w:szCs w:val="20"/>
          <w:color w:val="auto"/>
        </w:rPr>
      </w:pPr>
    </w:p>
    <w:p>
      <w:pPr>
        <w:ind w:right="360"/>
        <w:spacing w:after="0" w:line="325" w:lineRule="auto"/>
        <w:rPr>
          <w:sz w:val="20"/>
          <w:szCs w:val="20"/>
          <w:color w:val="auto"/>
        </w:rPr>
      </w:pPr>
      <w:r>
        <w:rPr>
          <w:rFonts w:ascii="Arial" w:cs="Arial" w:eastAsia="Arial" w:hAnsi="Arial"/>
          <w:sz w:val="16"/>
          <w:szCs w:val="16"/>
          <w:color w:val="auto"/>
        </w:rPr>
        <w:t>Inventories are stated at the lower of cost (determined on the weighted-average cost method) or net realizable value. Inventories consist primarily of merchandise held for sale. Inventories were comprised of the following as of March 31, 2019 and 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98,776</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110,095</w:t>
            </w: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$0.9 million and $0.3 million as of March 31, 2019 and December 31,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The Company's effective tax rate on net income before income taxes for the three months ended March 31, 2019 and 2018 was 31.6% and 28.3%, respectively. The difference between the Company’s effective rate of 31.6% and the expected federal statutory rate of 21.0% for the three months ended March 31, 2019 is primarily due to state income taxes and stock based compensation tax shortfall charges. For the three months ended March 31, 2019 and 2018, the Company recorded a provision for income taxes of $0.6 million and $1.6 million, respectively. The decrease in the provision for income taxes is due to lower pretax earnings.</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March 31, 2019 and 2018, the Company has not recognized any liabilities for uncertain tax positions, nor have interest and penalties related to uncertain tax positions been accrued.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9"/>
        </w:trPr>
        <w:tc>
          <w:tcPr>
            <w:tcW w:w="6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20" w:type="dxa"/>
            <w:vAlign w:val="bottom"/>
            <w:gridSpan w:val="6"/>
          </w:tcPr>
          <w:p>
            <w:pPr>
              <w:jc w:val="right"/>
              <w:ind w:right="130"/>
              <w:spacing w:after="0"/>
              <w:rPr>
                <w:sz w:val="20"/>
                <w:szCs w:val="20"/>
                <w:color w:val="auto"/>
              </w:rPr>
            </w:pPr>
            <w:r>
              <w:rPr>
                <w:rFonts w:ascii="Arial" w:cs="Arial" w:eastAsia="Arial" w:hAnsi="Arial"/>
                <w:sz w:val="18"/>
                <w:szCs w:val="18"/>
                <w:color w:val="auto"/>
                <w:w w:val="90"/>
              </w:rPr>
              <w:t>(all amounts in thousands except</w:t>
            </w:r>
          </w:p>
        </w:tc>
      </w:tr>
      <w:tr>
        <w:trPr>
          <w:trHeight w:val="230"/>
        </w:trPr>
        <w:tc>
          <w:tcPr>
            <w:tcW w:w="6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410"/>
              <w:spacing w:after="0"/>
              <w:rPr>
                <w:sz w:val="20"/>
                <w:szCs w:val="20"/>
                <w:color w:val="auto"/>
              </w:rPr>
            </w:pPr>
            <w:r>
              <w:rPr>
                <w:rFonts w:ascii="Arial" w:cs="Arial" w:eastAsia="Arial" w:hAnsi="Arial"/>
                <w:sz w:val="18"/>
                <w:szCs w:val="18"/>
                <w:color w:val="auto"/>
                <w:w w:val="93"/>
              </w:rPr>
              <w:t>share and per share data)</w:t>
            </w:r>
          </w:p>
        </w:tc>
      </w:tr>
      <w:tr>
        <w:trPr>
          <w:trHeight w:val="230"/>
        </w:trPr>
        <w:tc>
          <w:tcPr>
            <w:tcW w:w="6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center"/>
              <w:ind w:right="90"/>
              <w:spacing w:after="0"/>
              <w:rPr>
                <w:sz w:val="20"/>
                <w:szCs w:val="20"/>
                <w:color w:val="auto"/>
              </w:rPr>
            </w:pPr>
            <w:r>
              <w:rPr>
                <w:rFonts w:ascii="Arial" w:cs="Arial" w:eastAsia="Arial" w:hAnsi="Arial"/>
                <w:sz w:val="18"/>
                <w:szCs w:val="18"/>
                <w:color w:val="auto"/>
                <w:w w:val="88"/>
              </w:rPr>
              <w:t>For the three months ended</w:t>
            </w:r>
          </w:p>
        </w:tc>
      </w:tr>
      <w:tr>
        <w:trPr>
          <w:trHeight w:val="230"/>
        </w:trPr>
        <w:tc>
          <w:tcPr>
            <w:tcW w:w="6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92"/>
              </w:rPr>
              <w:t>March 31,</w:t>
            </w:r>
          </w:p>
        </w:tc>
      </w:tr>
      <w:tr>
        <w:trPr>
          <w:trHeight w:val="210"/>
        </w:trPr>
        <w:tc>
          <w:tcPr>
            <w:tcW w:w="6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51,961,780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51,881,681</w:t>
            </w: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 attributable to stock based awards</w:t>
            </w:r>
          </w:p>
        </w:tc>
        <w:tc>
          <w:tcPr>
            <w:tcW w:w="1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r>
      <w:tr>
        <w:trPr>
          <w:trHeight w:val="210"/>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52,037,996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51,899,210</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Anti-dilutive securities excluded from earnings per share calculation</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1,639,659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1,971,066</w:t>
            </w:r>
          </w:p>
        </w:tc>
      </w:tr>
      <w:tr>
        <w:trPr>
          <w:trHeight w:val="431"/>
        </w:trPr>
        <w:tc>
          <w:tcPr>
            <w:tcW w:w="622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9"/>
        </w:trPr>
        <w:tc>
          <w:tcPr>
            <w:tcW w:w="6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jc w:val="center"/>
              <w:ind w:right="90"/>
              <w:spacing w:after="0"/>
              <w:rPr>
                <w:sz w:val="20"/>
                <w:szCs w:val="20"/>
                <w:color w:val="auto"/>
              </w:rPr>
            </w:pPr>
            <w:r>
              <w:rPr>
                <w:rFonts w:ascii="Arial" w:cs="Arial" w:eastAsia="Arial" w:hAnsi="Arial"/>
                <w:sz w:val="18"/>
                <w:szCs w:val="18"/>
                <w:color w:val="auto"/>
                <w:w w:val="91"/>
              </w:rPr>
              <w:t>(in thousands)</w:t>
            </w:r>
          </w:p>
        </w:tc>
      </w:tr>
      <w:tr>
        <w:trPr>
          <w:trHeight w:val="230"/>
        </w:trPr>
        <w:tc>
          <w:tcPr>
            <w:tcW w:w="6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9"/>
              </w:rPr>
              <w:t>March 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62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Sales returns reserve</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2,929</w:t>
            </w: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r>
      <w:tr>
        <w:trPr>
          <w:trHeight w:val="217"/>
        </w:trPr>
        <w:tc>
          <w:tcPr>
            <w:tcW w:w="622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128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March 31, 2019 the base interest rate was 6.50% and the LIBOR-based interest rate was 4.49%. Borrowings outstanding consisted of $50.0 million on the revolving line of credit as of March 31, 2019. In addition, the Company has standby letters of credit outstanding related to its workers compensation and medical insurance policies. As of March 31, 2019 and 2018, the standby letters of credit totaled $1.2 million and $1.1 million, respectively. There was $48.8 million available for borrowing on the revolving line of credit as of March 31, 2019, which may be used to support the Company’s growth and for working capital purposes.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March 31,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ind w:left="4" w:right="280"/>
        <w:spacing w:after="0" w:line="290" w:lineRule="auto"/>
        <w:rPr>
          <w:sz w:val="20"/>
          <w:szCs w:val="20"/>
          <w:color w:val="auto"/>
        </w:rPr>
      </w:pPr>
      <w:r>
        <w:rPr>
          <w:rFonts w:ascii="Arial" w:cs="Arial" w:eastAsia="Arial" w:hAnsi="Arial"/>
          <w:sz w:val="16"/>
          <w:szCs w:val="16"/>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Leases (in thousands)</w:t>
            </w:r>
          </w:p>
        </w:tc>
        <w:tc>
          <w:tcPr>
            <w:tcW w:w="6020" w:type="dxa"/>
            <w:vAlign w:val="bottom"/>
          </w:tcPr>
          <w:p>
            <w:pPr>
              <w:ind w:left="66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6020" w:type="dxa"/>
            <w:vAlign w:val="bottom"/>
          </w:tcPr>
          <w:p>
            <w:pPr>
              <w:ind w:left="660"/>
              <w:spacing w:after="0"/>
              <w:rPr>
                <w:sz w:val="20"/>
                <w:szCs w:val="20"/>
                <w:color w:val="auto"/>
              </w:rPr>
            </w:pPr>
            <w:r>
              <w:rPr>
                <w:rFonts w:ascii="Arial" w:cs="Arial" w:eastAsia="Arial" w:hAnsi="Arial"/>
                <w:sz w:val="18"/>
                <w:szCs w:val="18"/>
                <w:color w:val="auto"/>
              </w:rPr>
              <w:t>Right of use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assets</w:t>
            </w: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Property, plant and equipment, net of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Total leased assets</w:t>
            </w:r>
          </w:p>
        </w:tc>
        <w:tc>
          <w:tcPr>
            <w:tcW w:w="6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Liabilities</w:t>
            </w:r>
          </w:p>
        </w:tc>
        <w:tc>
          <w:tcPr>
            <w:tcW w:w="6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Operating</w:t>
            </w:r>
          </w:p>
        </w:tc>
        <w:tc>
          <w:tcPr>
            <w:tcW w:w="6020" w:type="dxa"/>
            <w:vAlign w:val="bottom"/>
          </w:tcPr>
          <w:p>
            <w:pPr>
              <w:ind w:left="660"/>
              <w:spacing w:after="0"/>
              <w:rPr>
                <w:sz w:val="20"/>
                <w:szCs w:val="20"/>
                <w:color w:val="auto"/>
              </w:rPr>
            </w:pPr>
            <w:r>
              <w:rPr>
                <w:rFonts w:ascii="Arial" w:cs="Arial" w:eastAsia="Arial" w:hAnsi="Arial"/>
                <w:sz w:val="18"/>
                <w:szCs w:val="18"/>
                <w:color w:val="auto"/>
              </w:rPr>
              <w:t>Current portion of lease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Financing</w:t>
            </w: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Noncurrent</w:t>
            </w:r>
          </w:p>
        </w:tc>
        <w:tc>
          <w:tcPr>
            <w:tcW w:w="6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lease liability,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Financing</w:t>
            </w:r>
          </w:p>
        </w:tc>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6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164,329</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Lease cost (in thousands)</w:t>
            </w:r>
          </w:p>
        </w:tc>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0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SG&amp;A expenses</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Financing lease cost</w:t>
            </w: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leased assets</w:t>
            </w: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Interest on lease liabilities</w:t>
            </w:r>
          </w:p>
        </w:tc>
        <w:tc>
          <w:tcPr>
            <w:tcW w:w="602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8"/>
                <w:szCs w:val="8"/>
                <w:color w:val="auto"/>
              </w:rPr>
              <w:t>(1)</w:t>
            </w:r>
          </w:p>
        </w:tc>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 term lease cost</w:t>
            </w:r>
          </w:p>
        </w:tc>
        <w:tc>
          <w:tcPr>
            <w:tcW w:w="6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6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bl>
    <w:p>
      <w:pPr>
        <w:ind w:left="124" w:hanging="124"/>
        <w:spacing w:after="0"/>
        <w:tabs>
          <w:tab w:leader="none" w:pos="124" w:val="left"/>
        </w:tabs>
        <w:numPr>
          <w:ilvl w:val="0"/>
          <w:numId w:val="4"/>
        </w:numPr>
        <w:rPr>
          <w:rFonts w:ascii="Arial" w:cs="Arial" w:eastAsia="Arial" w:hAnsi="Arial"/>
          <w:sz w:val="9"/>
          <w:szCs w:val="9"/>
          <w:color w:val="auto"/>
        </w:rPr>
      </w:pPr>
      <w:r>
        <w:rPr>
          <w:rFonts w:ascii="Arial" w:cs="Arial" w:eastAsia="Arial" w:hAnsi="Arial"/>
          <w:sz w:val="17"/>
          <w:szCs w:val="17"/>
          <w:color w:val="auto"/>
        </w:rPr>
        <w:t>Variable lease costs consist primarily of taxes, insurance, and common area or other maintenance costs for our leased facilities.</w:t>
      </w:r>
    </w:p>
    <w:p>
      <w:pPr>
        <w:spacing w:after="0" w:line="29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Maturity of Lease Liabilities (in thousands)</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Operating Leases</w:t>
            </w:r>
          </w:p>
        </w:tc>
        <w:tc>
          <w:tcPr>
            <w:tcW w:w="80" w:type="dxa"/>
            <w:vAlign w:val="bottom"/>
          </w:tcPr>
          <w:p>
            <w:pPr>
              <w:spacing w:after="0"/>
              <w:rPr>
                <w:sz w:val="20"/>
                <w:szCs w:val="20"/>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Financing Leases</w:t>
            </w:r>
          </w:p>
        </w:tc>
        <w:tc>
          <w:tcPr>
            <w:tcW w:w="28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26,339</w:t>
            </w:r>
          </w:p>
        </w:tc>
        <w:tc>
          <w:tcPr>
            <w:tcW w:w="2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34,468</w:t>
            </w:r>
          </w:p>
        </w:tc>
        <w:tc>
          <w:tcPr>
            <w:tcW w:w="20" w:type="dxa"/>
            <w:vAlign w:val="bottom"/>
          </w:tcPr>
          <w:p>
            <w:pPr>
              <w:spacing w:after="0"/>
              <w:rPr>
                <w:sz w:val="19"/>
                <w:szCs w:val="19"/>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32,892</w:t>
            </w:r>
          </w:p>
        </w:tc>
        <w:tc>
          <w:tcPr>
            <w:tcW w:w="2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29,831</w:t>
            </w:r>
          </w:p>
        </w:tc>
        <w:tc>
          <w:tcPr>
            <w:tcW w:w="20" w:type="dxa"/>
            <w:vAlign w:val="bottom"/>
          </w:tcPr>
          <w:p>
            <w:pPr>
              <w:spacing w:after="0"/>
              <w:rPr>
                <w:sz w:val="19"/>
                <w:szCs w:val="19"/>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20" w:type="dxa"/>
            <w:vAlign w:val="bottom"/>
          </w:tcPr>
          <w:p>
            <w:pPr>
              <w:spacing w:after="0"/>
              <w:rPr>
                <w:sz w:val="19"/>
                <w:szCs w:val="19"/>
                <w:color w:val="auto"/>
              </w:rPr>
            </w:pPr>
          </w:p>
        </w:tc>
      </w:tr>
      <w:tr>
        <w:trPr>
          <w:trHeight w:val="23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52,125</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52,125</w:t>
            </w:r>
          </w:p>
        </w:tc>
        <w:tc>
          <w:tcPr>
            <w:tcW w:w="20" w:type="dxa"/>
            <w:vAlign w:val="bottom"/>
          </w:tcPr>
          <w:p>
            <w:pPr>
              <w:spacing w:after="0"/>
              <w:rPr>
                <w:sz w:val="19"/>
                <w:szCs w:val="19"/>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200,346</w:t>
            </w:r>
          </w:p>
        </w:tc>
        <w:tc>
          <w:tcPr>
            <w:tcW w:w="2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(35,877)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(36,017)</w:t>
            </w:r>
          </w:p>
        </w:tc>
        <w:tc>
          <w:tcPr>
            <w:tcW w:w="20" w:type="dxa"/>
            <w:vAlign w:val="bottom"/>
          </w:tcPr>
          <w:p>
            <w:pPr>
              <w:spacing w:after="0"/>
              <w:rPr>
                <w:sz w:val="19"/>
                <w:szCs w:val="19"/>
                <w:color w:val="auto"/>
              </w:rPr>
            </w:pPr>
          </w:p>
        </w:tc>
      </w:tr>
      <w:tr>
        <w:trPr>
          <w:trHeight w:val="217"/>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164,329</w:t>
            </w:r>
          </w:p>
        </w:tc>
        <w:tc>
          <w:tcPr>
            <w:tcW w:w="20" w:type="dxa"/>
            <w:vAlign w:val="bottom"/>
          </w:tcPr>
          <w:p>
            <w:pPr>
              <w:spacing w:after="0"/>
              <w:rPr>
                <w:sz w:val="18"/>
                <w:szCs w:val="18"/>
                <w:color w:val="auto"/>
              </w:rPr>
            </w:pPr>
          </w:p>
        </w:tc>
      </w:tr>
      <w:tr>
        <w:trPr>
          <w:trHeight w:val="864"/>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March 31,</w:t>
            </w:r>
          </w:p>
        </w:tc>
      </w:tr>
      <w:tr>
        <w:trPr>
          <w:trHeight w:val="23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8,602</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financing leases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5740" w:type="dxa"/>
            <w:vAlign w:val="bottom"/>
          </w:tcPr>
          <w:p>
            <w:pPr>
              <w:ind w:left="10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850"/>
        </w:trPr>
        <w:tc>
          <w:tcPr>
            <w:tcW w:w="5740" w:type="dxa"/>
            <w:vAlign w:val="bottom"/>
          </w:tcPr>
          <w:p>
            <w:pPr>
              <w:ind w:left="496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7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57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21" w:right="8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694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w w:val="90"/>
              </w:rPr>
              <w:t>Tile Shop Holdings, Inc. and Subsidiaries</w:t>
            </w:r>
          </w:p>
        </w:tc>
      </w:tr>
      <w:tr>
        <w:trPr>
          <w:trHeight w:val="216"/>
        </w:trPr>
        <w:tc>
          <w:tcPr>
            <w:tcW w:w="3180" w:type="dxa"/>
            <w:vAlign w:val="bottom"/>
          </w:tcPr>
          <w:p>
            <w:pPr>
              <w:spacing w:after="0"/>
              <w:rPr>
                <w:sz w:val="18"/>
                <w:szCs w:val="18"/>
                <w:color w:val="auto"/>
              </w:rPr>
            </w:pPr>
          </w:p>
        </w:tc>
        <w:tc>
          <w:tcPr>
            <w:tcW w:w="694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234"/>
        </w:trPr>
        <w:tc>
          <w:tcPr>
            <w:tcW w:w="3180" w:type="dxa"/>
            <w:vAlign w:val="bottom"/>
          </w:tcPr>
          <w:p>
            <w:pPr>
              <w:spacing w:after="0"/>
              <w:rPr>
                <w:sz w:val="20"/>
                <w:szCs w:val="20"/>
                <w:color w:val="auto"/>
              </w:rPr>
            </w:pPr>
          </w:p>
        </w:tc>
        <w:tc>
          <w:tcPr>
            <w:tcW w:w="694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w w:val="91"/>
              </w:rPr>
              <w:t>(unaudited)</w:t>
            </w:r>
          </w:p>
        </w:tc>
      </w:tr>
      <w:tr>
        <w:trPr>
          <w:trHeight w:val="864"/>
        </w:trPr>
        <w:tc>
          <w:tcPr>
            <w:tcW w:w="3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March 31,</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Lease Term and Discount Rate</w:t>
            </w:r>
          </w:p>
        </w:tc>
        <w:tc>
          <w:tcPr>
            <w:tcW w:w="6740" w:type="dxa"/>
            <w:vAlign w:val="bottom"/>
            <w:gridSpan w:val="3"/>
          </w:tcPr>
          <w:p>
            <w:pPr>
              <w:jc w:val="right"/>
              <w:ind w:right="1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Weighted-average remaining term (years)</w:t>
            </w:r>
          </w:p>
        </w:tc>
        <w:tc>
          <w:tcPr>
            <w:tcW w:w="48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67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r>
      <w:tr>
        <w:trPr>
          <w:trHeight w:val="216"/>
        </w:trPr>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leases</w:t>
            </w:r>
          </w:p>
        </w:tc>
        <w:tc>
          <w:tcPr>
            <w:tcW w:w="6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6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6.21 %</w:t>
            </w:r>
          </w:p>
        </w:tc>
      </w:tr>
      <w:tr>
        <w:trPr>
          <w:trHeight w:val="230"/>
        </w:trPr>
        <w:tc>
          <w:tcPr>
            <w:tcW w:w="3180" w:type="dxa"/>
            <w:vAlign w:val="bottom"/>
          </w:tcPr>
          <w:p>
            <w:pPr>
              <w:ind w:left="100"/>
              <w:spacing w:after="0"/>
              <w:rPr>
                <w:sz w:val="20"/>
                <w:szCs w:val="20"/>
                <w:color w:val="auto"/>
              </w:rPr>
            </w:pPr>
            <w:r>
              <w:rPr>
                <w:rFonts w:ascii="Arial" w:cs="Arial" w:eastAsia="Arial" w:hAnsi="Arial"/>
                <w:sz w:val="18"/>
                <w:szCs w:val="18"/>
                <w:color w:val="auto"/>
              </w:rPr>
              <w:t>Financing leases</w:t>
            </w:r>
          </w:p>
        </w:tc>
        <w:tc>
          <w:tcPr>
            <w:tcW w:w="6940" w:type="dxa"/>
            <w:vAlign w:val="bottom"/>
            <w:gridSpan w:val="4"/>
          </w:tcPr>
          <w:p>
            <w:pPr>
              <w:jc w:val="right"/>
              <w:ind w:right="40"/>
              <w:spacing w:after="0"/>
              <w:rPr>
                <w:sz w:val="20"/>
                <w:szCs w:val="20"/>
                <w:color w:val="auto"/>
              </w:rPr>
            </w:pPr>
            <w:r>
              <w:rPr>
                <w:rFonts w:ascii="Arial" w:cs="Arial" w:eastAsia="Arial" w:hAnsi="Arial"/>
                <w:sz w:val="18"/>
                <w:szCs w:val="18"/>
                <w:color w:val="auto"/>
              </w:rPr>
              <w:t>14.73 %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March 31, 2019 and December 31, 2018 according to the valuation techniques the Company uses to determine their fair values. There have been no transfers of assets among the fair value hierarchies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280" w:type="dxa"/>
            <w:vAlign w:val="bottom"/>
          </w:tcPr>
          <w:p>
            <w:pPr>
              <w:spacing w:after="0"/>
              <w:rPr>
                <w:sz w:val="19"/>
                <w:szCs w:val="19"/>
                <w:color w:val="auto"/>
              </w:rPr>
            </w:pPr>
          </w:p>
        </w:tc>
        <w:tc>
          <w:tcPr>
            <w:tcW w:w="2200" w:type="dxa"/>
            <w:vAlign w:val="bottom"/>
            <w:gridSpan w:val="2"/>
          </w:tcPr>
          <w:p>
            <w:pPr>
              <w:jc w:val="right"/>
              <w:ind w:right="230"/>
              <w:spacing w:after="0"/>
              <w:rPr>
                <w:sz w:val="20"/>
                <w:szCs w:val="20"/>
                <w:color w:val="auto"/>
              </w:rPr>
            </w:pPr>
            <w:r>
              <w:rPr>
                <w:rFonts w:ascii="Arial" w:cs="Arial" w:eastAsia="Arial" w:hAnsi="Arial"/>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March 31, 2019</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7,936</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340" w:hanging="315"/>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assets are written down to fair value. The Company did not recognize any significant impairment losses during the three months ended March 31, 2019 and 2018.</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months ended March 31, 2019 and 2018 include compensation cost for the portion of outstanding awards that vested during those periods. The Company recognizes stock based compensation costs on a straight-line basis over the requisite service period of the award, which is generally the option vesting term. Total stock based compensation expense related to stock options was $0.3 million for both the three months ended March 31, 2019 and 2018. Stock based compensation expense pertaining to stock options is included in selling, general and administrative expenses in the accompanying Consolidated Statements of Income.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2019, the Company had outstanding stock options to purchase 1,632,585 shares of common stock at a weighted average exercise price of $11.17.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 million and $0.3 million for the three months ended March 31, 2019 and 2018, respectively. Stock based compensation expense pertaining to restricted stock awards is included in selling, general and administrative expenses in the accompanying Consolidated Statements of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Company had 916,434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In this transaction, which was conducted under a qualified New Markets Tax Credit (“NMTC”) program, Tile Shop Lending, Inc. (“Tile Shop Lending”) loaned $6.7 million to Twain Investment Fund 192 LLC (the “Investment Fund”) at an interest rate of 1.37% per year and with a maturity date of December 31, 2046. The Investment Fund then contributed the loan to a community development entity (a “CDE”), which, in turn, loaned the funds on similar terms to Tile Shop of Oklahoma, LLC, an indirect, wholly-owned subsidiary of Holdings. 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69"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1" w:right="9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syndications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March 31, 2019, the balance of the contribution liability was $2.2 million, of which $0.5 million was classified as other accrued liabilities on the Consolidated Balance Sheet and $1.7 million was classified as other long-term liabilities on the Consolidated Balance Sheet.</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March 31, 2019, the balance in the Investment Fund available for reimbursement to the Company was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March 31, 2019, the balance of the contribution liability was $0.9 million, of which $0.7 million was classified as other accrued liabilities on the Consolidated Balance Sheet and $0.2 million was classified as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July 9, 2018, Fumitake Nishi, the brother-in-law of the Company’s Director Robert Rucker and a former Company employee,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informed the Company he had reacquired a majority of the equity of one of its key vendors, Nanyang Helin Stone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(“Nanyang”). Nanyang supplies the Company with natural stone products including hand-crafted mosaics, listellos and other accessories.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months ended December 31, 2018, the Company purchased $12.0 million of products from Nanyang.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2019, the Company purchased $1.2 million of products from Nanyang. Mr. Nishi’s employment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was terminated on January 1, 2014 as a result of several violations of the Company’s code of business conduct and ethics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policy. Certain of those violations involved his undisclosed ownership of Nanyang at that time.</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Committee has and will continue to review future purchases from Nanyang and compare the pricing for products purchased from Nanyang to the pricing of same or similar products purchased from unrelated vendors.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April 30, 2019, the Company declared a $0.05 dividend to stockholders of record as of the close of business on May 6, 2019. The dividend will be paid on May 17, 2019.</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April 29, 2019, the Board of Directors of the Company authorized a share repurchase program (the “Program”), pursuant to which the Company may, from time to time, purchase shares of its common stock for an aggregate repurchase price not to exceed $15,000,000. The Program began on May 2, 2019 and will continue indefinitely until the full repurchase amount has been utilized or the Board of Directors terminates the Program.</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2018 and our consolidated financial statements and related notes appearing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anticipated new store openings, remodeling plans, and growth opportunities; our business strengths, marketing strategies, competitive advantages and role in our industry and markets; our expectations regarding financing arrangements; our expectations with respect to dividend payments; our expectations with respect to ongoing compliance with the terms of our credit facility; and our expectations with respect to remediation of our identified material weaknesses.</w:t>
      </w:r>
    </w:p>
    <w:p>
      <w:pPr>
        <w:spacing w:after="0" w:line="17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 the level of demand for our products and our ability to introduce new products that satisfy market demand; our ability to grow and remain profitable in the highly competitive retail tile industry, our ability to access additional capital; our ability to attract and retain qualified personnel; unexpected delays or expenses related to opening new stores and maintaining or renovating existing stores; changes to economic or market conditions and customer preferences; disruptions in our supply chain or inventory management; unanticipated issues with respect to remediation of our identified material weaknesses; and those factors set forth in the section captioned “Risk Factors” in our Annual Report on Form 10-K for the year ended December 31, 2018 and the additional Risk Factors set forth in Part II, Item 1A of this Quarterly Report on Form 10-Q.</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2019, we operated 140 stores in 31 states and the District of Columbia, with an average size of approximately 20,200 square feet.</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the highly-fragmented United States retail tile market provides us with a significant opportunity to expand our store base. We opened one new store and closed one store at the end of its lease in the first three months of 2019, and opened two new stores during 2018. Between April 1, 2018 and March 31, 2019, we opened one new store and closed one store. We plan to open an additional five stores in 2019, of which one is a relocation.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7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three months ended March 31, 2019 and 2018, we reported net sales of $86.9 million and $91.1 million, respectively. The decrease in sales for the three months ended March 31, 2019 compared to the three months ended March 31, 2018 was primarily due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a decline in comparable stores sales of 4.2%, or $3.8 million. In addition, we had one less store in the comparable base during the three months ended March 31, 2019, which resulted in a $0.4 million decrease in net sales. The decrease in sales at comparable stores for the three months ended March 31, 2019 was due to weaker store traffic and customer experience issues following the implementation of a new enterprise resource planning system and the launch of our new website. Poor weather in the Midwest and Northeast as well as a $0.8 million reduction in advertising spend also contributed to the decrease in traffic during the three months ended March 31,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about our comparable store sales decline for the three months ended March 31, 2019 and 2018.</w:t>
      </w:r>
    </w:p>
    <w:p>
      <w:pPr>
        <w:spacing w:after="0" w:line="345"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decline</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three months ended March 31, 2019 and 2018, we reported gross profit of $61.8 million and $64.0 million, respectively. The gross margin rate was 71.2% and 70.3% for the three months ended March 31, 2019 and 2018, respectively. The increase in gross margin rate was primarily driven by higher pricing on new products added to our assortment over the last twelve months.</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the three months ended March 31, 2019 and 2018, we reported income from operations of $2.9 million and $6.1 million, respectively. The decrease in income from operations was primarily driven by a decrease in net sales and increased selling, general and administrative expenses.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operating activities was $19.7 million and $9.9 million for the three months ended March 31, 2019 and 2018, respectively, which was used to fund operations, new store construction activities, store remodels, merchandising and information technology investment, dividends and debt repayments. We expect to continue to fund our capital expenditures and daily operations from our operating cash flows.</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April 29, 2019, our Board of Directors authorized a share repurchase program (the “Program”), pursuant to which we may, from time to time, purchase shares of our common stock for an aggregate repurchase price not to exceed $15,000,000. The Program began on May 2, 2019 and will continue indefinitely until the full repurchase amount has been utilized or our Board of Directors terminates the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 Cost of sales consists primarily of material costs, freight, customs and duties fees, and storage and delivery of product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customers, as well as physical inventory losses and costs associated with manufacturing of setting and maintenance materials.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depreciation and amortization.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compensation costs and promotional costs. We expense pre-opening costs as incurred and include these costs in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8" w:name="page19"/>
    <w:bookmarkEnd w:id="18"/>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Measure</w:t>
      </w:r>
    </w:p>
    <w:p>
      <w:pPr>
        <w:spacing w:after="0" w:line="229" w:lineRule="exact"/>
        <w:rPr>
          <w:sz w:val="20"/>
          <w:szCs w:val="20"/>
          <w:color w:val="auto"/>
        </w:rPr>
      </w:pPr>
    </w:p>
    <w:p>
      <w:pPr>
        <w:ind w:left="4" w:right="100"/>
        <w:spacing w:after="0" w:line="264"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81"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We believe that this non-GAAP financial measure provides useful information to management and investors regarding certain financial and business trends relating to our financial condition and results of operations. Our management uses this non-GAAP financial measure to compare our performance to that of prior periods for trend analyses, for purposes of determining management incentive compensation, and for budgeting and planning purposes. This non-GAAP financial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 retailers, many of which present a similar non-GAAP financial measure to investors.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Adjusted EBITDA to net income for the three months ended March 31, 2019 and 2018 is as follows:</w:t>
      </w:r>
    </w:p>
    <w:p>
      <w:pPr>
        <w:spacing w:after="0" w:line="29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ind w:left="600"/>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jc w:val="center"/>
              <w:spacing w:after="0"/>
              <w:rPr>
                <w:sz w:val="20"/>
                <w:szCs w:val="20"/>
                <w:color w:val="auto"/>
              </w:rPr>
            </w:pPr>
            <w:r>
              <w:rPr>
                <w:rFonts w:ascii="Arial" w:cs="Arial" w:eastAsia="Arial" w:hAnsi="Arial"/>
                <w:sz w:val="18"/>
                <w:szCs w:val="18"/>
                <w:color w:val="auto"/>
                <w:w w:val="90"/>
              </w:rPr>
              <w:t>Three Months Ended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8"/>
                <w:szCs w:val="18"/>
                <w:color w:val="auto"/>
                <w:w w:val="92"/>
              </w:rPr>
              <w:t>March 31,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64"/>
        </w:trPr>
        <w:tc>
          <w:tcPr>
            <w:tcW w:w="5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2"/>
                <w:szCs w:val="22"/>
                <w:color w:val="auto"/>
              </w:rPr>
            </w:pPr>
          </w:p>
        </w:tc>
        <w:tc>
          <w:tcPr>
            <w:tcW w:w="1280" w:type="dxa"/>
            <w:vAlign w:val="bottom"/>
            <w:gridSpan w:val="4"/>
          </w:tcPr>
          <w:p>
            <w:pPr>
              <w:ind w:left="8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2"/>
                <w:szCs w:val="22"/>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 of sales</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4.4 %</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0.6 %</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1.7 %</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7,964</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9.2 %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7.7 %</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0.7 %</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11,612</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13,763</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-8255</wp:posOffset>
            </wp:positionV>
            <wp:extent cx="4718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805" cy="1714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-8255</wp:posOffset>
            </wp:positionV>
            <wp:extent cx="4546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660" cy="17145"/>
                    </a:xfrm>
                    <a:prstGeom prst="rect">
                      <a:avLst/>
                    </a:prstGeom>
                    <a:noFill/>
                  </pic:spPr>
                </pic:pic>
              </a:graphicData>
            </a:graphic>
          </wp:anchor>
        </w:drawing>
      </w:r>
    </w:p>
    <w:p>
      <w:pPr>
        <w:ind w:left="144" w:hanging="144"/>
        <w:spacing w:after="0"/>
        <w:tabs>
          <w:tab w:leader="none" w:pos="144" w:val="left"/>
        </w:tabs>
        <w:numPr>
          <w:ilvl w:val="0"/>
          <w:numId w:val="8"/>
        </w:numPr>
        <w:rPr>
          <w:rFonts w:ascii="Arial" w:cs="Arial" w:eastAsia="Arial" w:hAnsi="Arial"/>
          <w:sz w:val="9"/>
          <w:szCs w:val="9"/>
          <w:color w:val="auto"/>
        </w:rPr>
      </w:pPr>
      <w:r>
        <w:rPr>
          <w:rFonts w:ascii="Arial" w:cs="Arial" w:eastAsia="Arial" w:hAnsi="Arial"/>
          <w:sz w:val="18"/>
          <w:szCs w:val="18"/>
          <w:color w:val="auto"/>
        </w:rPr>
        <w:t>Amounts do not foot due to rounding.</w:t>
      </w:r>
    </w:p>
    <w:p>
      <w:pPr>
        <w:spacing w:after="0" w:line="224" w:lineRule="exact"/>
        <w:rPr>
          <w:sz w:val="20"/>
          <w:szCs w:val="20"/>
          <w:color w:val="auto"/>
        </w:rPr>
      </w:pPr>
    </w:p>
    <w:p>
      <w:pPr>
        <w:ind w:left="4" w:right="240"/>
        <w:spacing w:after="0" w:line="257" w:lineRule="auto"/>
        <w:rPr>
          <w:sz w:val="20"/>
          <w:szCs w:val="20"/>
          <w:color w:val="auto"/>
        </w:rPr>
      </w:pPr>
      <w:r>
        <w:rPr>
          <w:rFonts w:ascii="Arial" w:cs="Arial" w:eastAsia="Arial" w:hAnsi="Arial"/>
          <w:sz w:val="18"/>
          <w:szCs w:val="18"/>
          <w:color w:val="auto"/>
        </w:rPr>
        <w:t>We calculate pretax return on capital employed by taking income from operations divided by capital employed. Capital employed equals total assets less accounts payable, income taxes payable, other accrued liabilities, lease liability, deferred rent and other long-term liabilities. We believe this non-GAAP financial measure is useful in assessing the effectiveness of our capital allocation over time. Other companies may calculate pretax return on capital employed differently, which limits the usefulness of the measure for comparative purposes.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r>
              <w:rPr>
                <w:rFonts w:ascii="Arial" w:cs="Arial" w:eastAsia="Arial" w:hAnsi="Arial"/>
                <w:sz w:val="8"/>
                <w:szCs w:val="8"/>
                <w:color w:val="auto"/>
              </w:rPr>
              <w:t>(1)</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2018</w:t>
            </w:r>
            <w:r>
              <w:rPr>
                <w:rFonts w:ascii="Arial" w:cs="Arial" w:eastAsia="Arial" w:hAnsi="Arial"/>
                <w:sz w:val="8"/>
                <w:szCs w:val="8"/>
                <w:color w:val="auto"/>
                <w:w w:val="96"/>
              </w:rPr>
              <w:t>(1)</w:t>
            </w:r>
          </w:p>
        </w:tc>
        <w:tc>
          <w:tcPr>
            <w:tcW w:w="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(trailing twelve months)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Arial" w:cs="Arial" w:eastAsia="Arial" w:hAnsi="Arial"/>
                <w:sz w:val="18"/>
                <w:szCs w:val="18"/>
                <w:color w:val="auto"/>
              </w:rPr>
              <w:t>Less: 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(29,242)</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Income tax payable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Arial" w:cs="Arial" w:eastAsia="Arial" w:hAnsi="Arial"/>
                <w:sz w:val="18"/>
                <w:szCs w:val="18"/>
                <w:color w:val="auto"/>
              </w:rPr>
              <w:t>Less: Other accrued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(27,035)</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Lease liability</w:t>
            </w:r>
            <w:r>
              <w:rPr>
                <w:rFonts w:ascii="Arial" w:cs="Arial" w:eastAsia="Arial" w:hAnsi="Arial"/>
                <w:sz w:val="8"/>
                <w:szCs w:val="8"/>
                <w:color w:val="auto"/>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(67,122)</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Arial" w:cs="Arial" w:eastAsia="Arial" w:hAnsi="Arial"/>
                <w:sz w:val="18"/>
                <w:szCs w:val="18"/>
                <w:color w:val="auto"/>
              </w:rPr>
              <w:t>Less: 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(3,937)</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174,546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6.7 %</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20" w:hanging="4"/>
        <w:spacing w:after="0" w:line="274" w:lineRule="auto"/>
        <w:tabs>
          <w:tab w:leader="none" w:pos="157" w:val="left"/>
        </w:tabs>
        <w:numPr>
          <w:ilvl w:val="0"/>
          <w:numId w:val="9"/>
        </w:numPr>
        <w:rPr>
          <w:rFonts w:ascii="Arial" w:cs="Arial" w:eastAsia="Arial" w:hAnsi="Arial"/>
          <w:sz w:val="9"/>
          <w:szCs w:val="9"/>
          <w:color w:val="auto"/>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ind w:left="144" w:hanging="144"/>
        <w:spacing w:after="0"/>
        <w:tabs>
          <w:tab w:leader="none" w:pos="144" w:val="left"/>
        </w:tabs>
        <w:numPr>
          <w:ilvl w:val="0"/>
          <w:numId w:val="9"/>
        </w:numPr>
        <w:rPr>
          <w:rFonts w:ascii="Arial" w:cs="Arial" w:eastAsia="Arial" w:hAnsi="Arial"/>
          <w:sz w:val="8"/>
          <w:szCs w:val="8"/>
          <w:color w:val="auto"/>
        </w:rPr>
      </w:pPr>
      <w:r>
        <w:rPr>
          <w:rFonts w:ascii="Arial" w:cs="Arial" w:eastAsia="Arial" w:hAnsi="Arial"/>
          <w:sz w:val="16"/>
          <w:szCs w:val="16"/>
          <w:color w:val="auto"/>
        </w:rPr>
        <w:t>Represents the average lease liability and deferred rent account balances for the four quarters ended as of each of the balance sheet dates.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does not consider these non-GAAP financial measures in isolation or as an alternative to financial measures determined in accordance with GAAP. The principal limitation of these non-GAAP financial measures is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its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20"/>
          </w:cols>
          <w:pgMar w:left="900" w:top="121" w:right="10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March 31, 2019 to the three months ended March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2018</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86,908</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58,948</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4.4 %</w:t>
            </w:r>
          </w:p>
        </w:tc>
      </w:tr>
      <w:tr>
        <w:trPr>
          <w:trHeight w:val="216"/>
        </w:trPr>
        <w:tc>
          <w:tcPr>
            <w:tcW w:w="40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do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first quarter of 2019 decreased $4.2 million, or 4.6%, compared with the first quarter of 2018, primarily due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$3.8 million decrease in net sales generated by comparable stores. The decrease in sales at comparable stores for the three months ended March 31, 2019 was due to weaker store traffic and customer experience issues following the implementation of a new enterprise resource planning system and the launch of our new website. Poor weather in the Midwest and Northeast as well as a $0.8 million reduction in advertising spend also contributed to the decrease in traffic during the three months ended March 31, 2019. In addition, we had one less store in the comparable store base during the first quarter of 2019, which resulted in a $0.4 million decrease in net sales.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first quarter of 2019 decreased $2.2 million, or 3.4%, compared with the first quarter of 2018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decrease in net sales. The gross margin rate was 71.2% and 70.3% for the three months ended March 31, 2019 and 2018, respectively. The increase in gross margin rate was primarily driven by higher pricing on new products added to our assortment over the last twelve months.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for the first quarter of 2019 increased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1.8%, compared with the first quarter of 2018. Depreciation expense increased $1.0 million in the first quarter of 2019 compared to the first quarter of 2018. First quarter selling, general and administrative expenses also included approximately $2.5 million of expense related to the implementation of our new enterprise resource planning system. The increases in expenses were partially offset by lower variable expenses of approximately $1.0 million, a $0.8 million decrease in advertising expenses and a $0.6 million decrease in transportation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both the first quarter of 2019 and 2018, we incurred pre-opening costs of $0.1 million.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$1.0 million and $0.6 million for the first quarter of 2019 and 2018, respectively.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higher average debt balances and higher interest rates during the first quarter of 2019.</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$1.0 million for the first quarter of 2019 compared with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due to a decrease in income before income taxes. Our effective tax rate for the three months ended March 31, 2019 and 2018 was 31.6% and 28.3%,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$7.9 million of cash and cash equivalents at March 31, 2019, our cash flow from operations, and borrowings available under our credit facility. We expect to use this liquidity for opening new stores, purchasing additional merchandise inventory, maintaining our existing stores, executing share repurchases, reducing outstanding debt, and general corporate purposes. We intend to continue our regular quarterly dividend, which will enable us to return excess cash to stockholders. Future dividend payments are subject to the approval of the Board of Directors each quarter.</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September 18, 2018, we and our operating subsidiary, The Tile Shop, LLC, entered into a credit agreement with Bank of America, N.A., Fifth Third Bank and Citizens Bank (the “Credit Agreement”). The Credit Agreement provides us with a senior credit facility consisting of a $100 million revolving line of credit through September 18, 2023. Borrowings pursuant to the Credit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initially bear interest at a rate of adjusted LIBOR plus 1.75% and may bear interest in a range between adjusted LIBOR plus 1.50% to adjusted LIBOR plus 2.25%, depending on The Tile Shop’s consolidated total rent adjusted leverage ratio. At March 31, 2019, the base interest rate was 6.50% and the LIBOR-based interest rate was 4.49%. Borrowings outstanding consisted of $50.0 million on the revolving line of credit as of March 31, 2019. We also have standby letters of credit outstanding related to our workers compensation and medical insurance policies. As of March 31, 2019 and 2018, the standby letters of credit totaled $1.2 million and $1.1 million, respectively. There was $48.8 million available for borrowing on the revolving line of credit as of March 31, 2019, which may be used to support our growth and for working capital purposes.</w:t>
      </w:r>
    </w:p>
    <w:p>
      <w:pPr>
        <w:spacing w:after="0" w:line="189"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March 31, 2019.</w:t>
      </w:r>
    </w:p>
    <w:p>
      <w:pPr>
        <w:spacing w:after="0" w:line="15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Capital expenditures were $12.2 million and $4.8 million for the three months ended March 31, 2019 and 2018, respectively. The increase in capital expenditures is primarily due to increased investments in store remodels, merchandising, and information technology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March 31, 2019 and 2018.</w:t>
      </w:r>
    </w:p>
    <w:p>
      <w:pPr>
        <w:spacing w:after="0" w:line="29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8"/>
              </w:rPr>
              <w:t>9,858</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(11,588)</w:t>
            </w:r>
          </w:p>
        </w:tc>
        <w:tc>
          <w:tcPr>
            <w:tcW w:w="280" w:type="dxa"/>
            <w:vAlign w:val="bottom"/>
          </w:tcPr>
          <w:p>
            <w:pPr>
              <w:spacing w:after="0"/>
              <w:rPr>
                <w:sz w:val="19"/>
                <w:szCs w:val="19"/>
                <w:color w:val="auto"/>
              </w:rPr>
            </w:pP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4"/>
              </w:rPr>
              <w:t>(4,846)</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4"/>
              </w:rPr>
              <w:t>(4,504)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Net cash provided by operating activities during the three months ended March 31, 2019 was $19.7 million compared with $9.9 million during the three months ended March 31, 2018. The increase is attributable to improved working capital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investing activities totaled $11.6 million for the three months ended March 31, 2019 compared with $4.8 million for the three months ended March 31, 2018.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was $5.7 million for the three months ended March 31, 2019 compared with $4.5 million for the three months ended March 31, 2018. Net cash used in financing activities during the three months ended March 31, 2019 was primarily $18.1 million for the payments of long-term debt and financing lease obligations and $2.6 million in dividends paid to stockholders, offset by advances on the revolving line of credit of $15.0 million.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totaled $7.9 million at March 31, 2019 compared with $5.6 million at December 31, 2018. Working capital was $50.7 million at March 31, 2019 compared with $79.8 million at December 31, 2018. The decrease in working capital during the first quarter of 2019 was due to the new accounting standard for leases, which added a current portion of lease liability to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2019 and December 31, 2018,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determine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we use the incremental borrowing rate based on the information available at commencement date in determining the present value of future payments. The right of use asset is also adjusted for any lease payments made and excludes lease incentives and initial direct costs incurred. Our lease terms may include options to extend or terminate the lease typically at our own discretion. We regularly evaluate the renewal options and when they are reasonably certain of exercise, we include the renewal period in its lease term.</w:t>
      </w:r>
    </w:p>
    <w:p>
      <w:pPr>
        <w:spacing w:after="0" w:line="17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standard provides a number of optional practical expedients in transition. We elected the package of three practical expedients permitted under the transition guidance within this standard, which among other things, allows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also elected to apply the hindsight practical expedient. Our election of the hindsight practical expedient resulted in the shortening of lease terms for certain existing leases and the useful lives of corresponding leasehold improvements. In our application of the hindsight practical expedient, we considered recent investments in leased properties and our overall real estate strategy, which resulted in the determination that most renewal options would not be reasonably certain in determining the expected lease term.</w:t>
      </w:r>
    </w:p>
    <w:p>
      <w:pPr>
        <w:spacing w:after="0" w:line="15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Upon adopting this standard, we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We also adjusted the useful life assigned to certain leasehold improvements, which resulted in a $15.3 million reduction in fixed assets and retained earnings. The adoption of this standard did not have a material impact on net income or cash flows during the three months ended March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2016, the FASB issued a final standard on accounting for credit losses. This standard is effective for us in fiscal 2020 and requires a change in credit loss calculations using the expected loss method. We are evaluating the effect of this standard on our consolidated financial statements and related disclosures.</w:t>
      </w:r>
    </w:p>
    <w:p>
      <w:pPr>
        <w:spacing w:after="0" w:line="18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us at the beginning of its 2020 fiscal year, although early adoption is permitted for all entities. We are evaluating the effect of the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1" w:right="9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2019 and have concluded that our disclosure controls and procedures were not effective as of March 31, 2019 due to material weaknesses in our internal control over financial reporting as described below.</w:t>
      </w:r>
    </w:p>
    <w:p>
      <w:pPr>
        <w:spacing w:after="0" w:line="16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January 1, 2019, we implemented a new enterprise resource planning (“ERP”) system on a company-wide basis. During the quarter ended March 31, 2019, we identified two material weaknesses in internal control over financial reporting that arose from the new ERP system implementation. The two material weaknesses are:</w:t>
      </w:r>
    </w:p>
    <w:p>
      <w:pPr>
        <w:spacing w:after="0" w:line="181" w:lineRule="exact"/>
        <w:rPr>
          <w:sz w:val="20"/>
          <w:szCs w:val="20"/>
          <w:color w:val="auto"/>
        </w:rPr>
      </w:pPr>
    </w:p>
    <w:p>
      <w:pPr>
        <w:ind w:left="640" w:right="200" w:hanging="320"/>
        <w:spacing w:after="0" w:line="269"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 user training to our employees to ensure that our employees could effectively operate the system and carry out their responsibilities.</w:t>
      </w:r>
    </w:p>
    <w:p>
      <w:pPr>
        <w:spacing w:after="0" w:line="2" w:lineRule="exact"/>
        <w:rPr>
          <w:rFonts w:ascii="Arial" w:cs="Arial" w:eastAsia="Arial" w:hAnsi="Arial"/>
          <w:sz w:val="17"/>
          <w:szCs w:val="17"/>
          <w:color w:val="auto"/>
        </w:rPr>
      </w:pPr>
    </w:p>
    <w:p>
      <w:pPr>
        <w:ind w:left="640" w:right="100" w:hanging="320"/>
        <w:spacing w:after="0" w:line="29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ineffective design and implementation of information technology (“IT”) general controls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w:t>
      </w:r>
    </w:p>
    <w:p>
      <w:pPr>
        <w:spacing w:after="0" w:line="16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Management has been actively engaged in developing remediation plans to address the control deficiencies outlined above. The remediation efforts include the following:</w:t>
      </w:r>
    </w:p>
    <w:p>
      <w:pPr>
        <w:spacing w:after="0" w:line="170" w:lineRule="exact"/>
        <w:rPr>
          <w:sz w:val="20"/>
          <w:szCs w:val="20"/>
          <w:color w:val="auto"/>
        </w:rPr>
      </w:pPr>
    </w:p>
    <w:p>
      <w:pPr>
        <w:ind w:left="640" w:right="240" w:hanging="320"/>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and Oversight – We have established a plan to help stabilize the ERP system and address the control deficiencies arising from the conversion. We have shared this plan with our Audit Committee and will provide periodic updates with respect to our progress. Additionally, we have hired a senior professional overseeing the effort to design, implement, and ensure the ongoing execution of our IT general controls.</w:t>
      </w:r>
    </w:p>
    <w:p>
      <w:pPr>
        <w:spacing w:after="0" w:line="2" w:lineRule="exact"/>
        <w:rPr>
          <w:rFonts w:ascii="Arial" w:cs="Arial" w:eastAsia="Arial" w:hAnsi="Arial"/>
          <w:sz w:val="18"/>
          <w:szCs w:val="18"/>
          <w:color w:val="auto"/>
        </w:rPr>
      </w:pPr>
    </w:p>
    <w:p>
      <w:pPr>
        <w:ind w:left="640" w:hanging="32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Integrity and Data Conversion – We continue to perform validations on data included in the new ERP system.</w:t>
      </w:r>
    </w:p>
    <w:p>
      <w:pPr>
        <w:spacing w:after="0" w:line="9" w:lineRule="exact"/>
        <w:rPr>
          <w:rFonts w:ascii="Arial" w:cs="Arial" w:eastAsia="Arial" w:hAnsi="Arial"/>
          <w:sz w:val="18"/>
          <w:szCs w:val="18"/>
          <w:color w:val="auto"/>
        </w:rPr>
      </w:pPr>
    </w:p>
    <w:p>
      <w:pPr>
        <w:ind w:left="640" w:right="12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 User Training – We are developing and providing additional training to employees to enhance their understanding of the new ERP system.</w:t>
      </w:r>
    </w:p>
    <w:p>
      <w:pPr>
        <w:ind w:left="640" w:right="12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User Access – We are addressing segregation of duties by establishing user roles specific to the nature of each job function. We are also establishing controls to ensure appropriate authorization of new user access requests and we will perform routine reviews of user access.</w:t>
      </w:r>
    </w:p>
    <w:p>
      <w:pPr>
        <w:spacing w:after="0" w:line="1" w:lineRule="exact"/>
        <w:rPr>
          <w:rFonts w:ascii="Arial" w:cs="Arial" w:eastAsia="Arial" w:hAnsi="Arial"/>
          <w:sz w:val="18"/>
          <w:szCs w:val="18"/>
          <w:color w:val="auto"/>
        </w:rPr>
      </w:pPr>
    </w:p>
    <w:p>
      <w:pPr>
        <w:ind w:left="640" w:hanging="320"/>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Management – We are restricting the number of users who have the ability to make changes to the ERP system. We are also establishing documentation requirements surrounding the testing, approval and implementation of changes that affect financial applications.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started the remediation steps outlined above prior to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On January 1, 2019, we implemented an ERP system on a company-wide basis. The implementation resulted in the two material weaknesses identified above. We believe we have developed an appropriate plan to remediate and have begun our remediation efforts related to the material weaknesses.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from time to time, subject to claims and disputes arising in the normal course of business. In the opinion of management, while the outcome of such claims and disputes cannot be predicted with certainty, our ultimate liability in connection with these matters is not expected to have a material adverse effect on our results of operations, financial position,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2018 other than with respect to the risk factors discussed below.</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Implementation of our new enterprise resource planning system has adversely impacted and could continue to negatively affect our business.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our information technology (“IT”) systems to assist us in managing our business and summarizing our operational results. On January 1, 2019 we deployed a company-wide new enterprise resource planning (“ERP”) system. The new ERP system was implemented to position the Company for long-term growth, further enhance operating efficiencies and provide more effective management of our business operations, including sales order processing, inventory control, purchasing and supply chain management, and financial reporting. Implementing the new ERP system has been costly and has required, and may continue to require, the investment of significant personnel and financial resources. In addition to the risks inherent in the conversion to any new IT system, including the loss of information, disruption to our normal operations, and changes in accounting procedures, the implementation of our new ERP system has resulted in operational and reporting disruptions related to the conversion of existing customer orders, processing of new customer orders and maintaining an effective internal control environment.</w:t>
      </w:r>
    </w:p>
    <w:p>
      <w:pPr>
        <w:spacing w:after="0" w:line="18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Failure to properly or adequately address any issues with our new ERP system could result in increased costs and the diversion of management’s and employees’ attention and resources and could materially adversely affect our operating results, internal control over financial reporting and ability to manage our business effectively. While the ERP system is intended to further improve and enhance our information management systems, the ongoing implementation of this new ERP system exposes us to the risks of integrating that system with our existing systems and processes, including possible continued disruption of our financial reporting.</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identified two material weaknesses in our internal control over financial reporting which, if not remediated, could result in material misstatements of our financial statements.</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quarter ended March 31, 2019, we identified material weaknesses in internal control over financial reporting that pertain to our ERP system conversion that took place on January 1, 2019 involving (1) the ineffective design and implementation of effective controls with respect to the ERP system conversion, and (2) the ineffective design and implementation of IT general controls for information systems that are relevant to the preparation of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Although we have developed and are implementing a plan to remediate these material weaknesses and believe, based on our evaluation to date, that these material weaknesses will be remediated in a timely fashion, we cannot ensure that this will occur within a specific timeframe. These material weaknesses will not be remediated until all necessary internal controls have been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financial statements. Moreover, we cannot ensure that we will not identify additional material weaknesses in our internal control over financial reporting in the future.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are unable to remediate the material weaknesses, our ability to record, process and report financial information accurately, and to prepare financial statements within the time periods specified by the rules and forms of the Securities and Exchange Commission, could be adversely affected.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25" w:name="page26"/>
    <w:bookmarkEnd w:id="25"/>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as Part of Publicly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that May Yet be</w:t>
            </w:r>
          </w:p>
        </w:tc>
      </w:tr>
      <w:tr>
        <w:trPr>
          <w:trHeight w:val="216"/>
        </w:trPr>
        <w:tc>
          <w:tcPr>
            <w:tcW w:w="4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Total Number of</w:t>
            </w:r>
          </w:p>
        </w:tc>
        <w:tc>
          <w:tcPr>
            <w:tcW w:w="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Average Price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Purchased Under</w:t>
            </w:r>
          </w:p>
        </w:tc>
      </w:tr>
      <w:tr>
        <w:trPr>
          <w:trHeight w:val="230"/>
        </w:trPr>
        <w:tc>
          <w:tcPr>
            <w:tcW w:w="43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Shares Purchased</w:t>
            </w:r>
          </w:p>
        </w:tc>
        <w:tc>
          <w:tcPr>
            <w:tcW w:w="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Paid per Share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or Program</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Plans or Programs</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2019 - January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6"/>
              </w:rPr>
              <w:t>0.00</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February 1, 2019 - February 28, 2019</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20,627 </w:t>
            </w:r>
            <w:r>
              <w:rPr>
                <w:rFonts w:ascii="Arial" w:cs="Arial" w:eastAsia="Arial" w:hAnsi="Arial"/>
                <w:sz w:val="8"/>
                <w:szCs w:val="8"/>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8"/>
                <w:szCs w:val="8"/>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March 1, 2019 - March 31, 2019</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1,534 </w:t>
            </w:r>
            <w:r>
              <w:rPr>
                <w:rFonts w:ascii="Arial" w:cs="Arial" w:eastAsia="Arial" w:hAnsi="Arial"/>
                <w:sz w:val="8"/>
                <w:szCs w:val="8"/>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8"/>
                <w:szCs w:val="8"/>
                <w:color w:val="auto"/>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3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6"/>
              </w:rPr>
              <w:t>1.45</w:t>
            </w:r>
          </w:p>
        </w:tc>
        <w:tc>
          <w:tcPr>
            <w:tcW w:w="2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-8255</wp:posOffset>
            </wp:positionV>
            <wp:extent cx="36531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jc w:val="both"/>
        <w:ind w:left="324" w:right="240" w:hanging="324"/>
        <w:spacing w:after="0" w:line="255"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w:t>
      </w:r>
    </w:p>
    <w:p>
      <w:pPr>
        <w:spacing w:after="0" w:line="1" w:lineRule="exact"/>
        <w:rPr>
          <w:rFonts w:ascii="Arial" w:cs="Arial" w:eastAsia="Arial" w:hAnsi="Arial"/>
          <w:sz w:val="18"/>
          <w:szCs w:val="18"/>
          <w:color w:val="auto"/>
        </w:rPr>
      </w:pPr>
    </w:p>
    <w:p>
      <w:pPr>
        <w:ind w:left="324" w:right="60" w:hanging="324"/>
        <w:spacing w:after="0" w:line="255"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w:t>
      </w:r>
    </w:p>
    <w:p>
      <w:pPr>
        <w:spacing w:after="0" w:line="190" w:lineRule="exact"/>
        <w:rPr>
          <w:sz w:val="20"/>
          <w:szCs w:val="20"/>
          <w:color w:val="auto"/>
        </w:rPr>
      </w:pPr>
    </w:p>
    <w:p>
      <w:pPr>
        <w:ind w:left="4" w:right="60"/>
        <w:spacing w:after="0" w:line="312" w:lineRule="auto"/>
        <w:rPr>
          <w:sz w:val="20"/>
          <w:szCs w:val="20"/>
          <w:color w:val="auto"/>
        </w:rPr>
      </w:pPr>
      <w:r>
        <w:rPr>
          <w:rFonts w:ascii="Arial" w:cs="Arial" w:eastAsia="Arial" w:hAnsi="Arial"/>
          <w:sz w:val="16"/>
          <w:szCs w:val="16"/>
          <w:color w:val="auto"/>
        </w:rPr>
        <w:t>On April 29, 2019, our Board of Directors authorized a share repurchase program (the “Program”), pursuant to which we may, from time to time, purchase shares of our common stock for an aggregate repurchase price not to exceed $15,000,000. The Program began on May 2, 2019 and will continue indefinitely until the full repurchase amount has been utilized or the Board of Directors terminates the Program.</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6" w:name="page27"/>
    <w:bookmarkEnd w:id="26"/>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80" w:type="dxa"/>
            <w:vAlign w:val="bottom"/>
            <w:gridSpan w:val="2"/>
            <w:shd w:val="clear" w:color="auto" w:fill="CCEEFF"/>
          </w:tcPr>
          <w:p>
            <w:pPr>
              <w:spacing w:after="0" w:line="199"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9"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Statement on Form S-4 (Reg. No. 333-182482) filed with the Securities and Exchange Commission on July 2, 2012).</w:t>
              </w:r>
            </w:hyperlink>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Form S-4 (Reg. No. 333-182482) filed with the Securities and Exchange Commission on July 2, 2012).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w w:val="99"/>
              </w:rPr>
            </w:pPr>
            <w:hyperlink r:id="rId44">
              <w:r>
                <w:rPr>
                  <w:rFonts w:ascii="Arial" w:cs="Arial" w:eastAsia="Arial" w:hAnsi="Arial"/>
                  <w:sz w:val="18"/>
                  <w:szCs w:val="18"/>
                  <w:color w:val="0000EE"/>
                  <w:w w:val="99"/>
                </w:rPr>
                <w:t>Specimen Common Stock Certificate (incorporated by reference to Exhibit 4.1 of Amendment No. 1 to the Company’s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Registration Statement on Form S-4 (Reg. No. 333-182482) filed with the Securities and Exchange Commission on July 23,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2012).</w:t>
              </w:r>
            </w:hyperlink>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280" w:type="dxa"/>
            <w:vAlign w:val="bottom"/>
            <w:gridSpan w:val="1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Certifications of Chief Financial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Dated: May 9, 2019</w:t>
            </w:r>
          </w:p>
        </w:tc>
        <w:tc>
          <w:tcPr>
            <w:tcW w:w="5660" w:type="dxa"/>
            <w:vAlign w:val="bottom"/>
            <w:gridSpan w:val="2"/>
          </w:tcPr>
          <w:p>
            <w:pPr>
              <w:ind w:left="1820"/>
              <w:spacing w:after="0"/>
              <w:rPr>
                <w:sz w:val="20"/>
                <w:szCs w:val="20"/>
                <w:color w:val="auto"/>
              </w:rPr>
            </w:pPr>
            <w:r>
              <w:rPr>
                <w:rFonts w:ascii="Arial" w:cs="Arial" w:eastAsia="Arial" w:hAnsi="Arial"/>
                <w:sz w:val="18"/>
                <w:szCs w:val="18"/>
                <w:color w:val="auto"/>
              </w:rPr>
              <w:t>By: /s/ CABELL H. LOLMAUGH</w:t>
            </w:r>
          </w:p>
        </w:tc>
      </w:tr>
      <w:tr>
        <w:trPr>
          <w:trHeight w:val="195"/>
        </w:trPr>
        <w:tc>
          <w:tcPr>
            <w:tcW w:w="3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Cabell H. Lolmaugh</w:t>
            </w:r>
          </w:p>
        </w:tc>
      </w:tr>
      <w:tr>
        <w:trPr>
          <w:trHeight w:val="230"/>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240" w:type="dxa"/>
            <w:vAlign w:val="bottom"/>
          </w:tcPr>
          <w:p>
            <w:pPr>
              <w:spacing w:after="0"/>
              <w:rPr>
                <w:sz w:val="20"/>
                <w:szCs w:val="20"/>
                <w:color w:val="auto"/>
              </w:rPr>
            </w:pPr>
            <w:r>
              <w:rPr>
                <w:rFonts w:ascii="Arial" w:cs="Arial" w:eastAsia="Arial" w:hAnsi="Arial"/>
                <w:sz w:val="18"/>
                <w:szCs w:val="18"/>
                <w:color w:val="auto"/>
              </w:rPr>
              <w:t>Dated: May 9, 2019</w:t>
            </w:r>
          </w:p>
        </w:tc>
        <w:tc>
          <w:tcPr>
            <w:tcW w:w="5660" w:type="dxa"/>
            <w:vAlign w:val="bottom"/>
            <w:gridSpan w:val="2"/>
          </w:tcPr>
          <w:p>
            <w:pPr>
              <w:ind w:left="1820"/>
              <w:spacing w:after="0"/>
              <w:rPr>
                <w:sz w:val="20"/>
                <w:szCs w:val="20"/>
                <w:color w:val="auto"/>
              </w:rPr>
            </w:pPr>
            <w:r>
              <w:rPr>
                <w:rFonts w:ascii="Arial" w:cs="Arial" w:eastAsia="Arial" w:hAnsi="Arial"/>
                <w:sz w:val="18"/>
                <w:szCs w:val="18"/>
                <w:color w:val="auto"/>
              </w:rPr>
              <w:t>By: /s/ KIRK L. GEADELMANN</w:t>
            </w:r>
          </w:p>
        </w:tc>
      </w:tr>
      <w:tr>
        <w:trPr>
          <w:trHeight w:val="195"/>
        </w:trPr>
        <w:tc>
          <w:tcPr>
            <w:tcW w:w="3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Cabell H. Lolmaugh, certify that:</w:t>
      </w:r>
    </w:p>
    <w:p>
      <w:pPr>
        <w:spacing w:after="0" w:line="144" w:lineRule="exact"/>
        <w:rPr>
          <w:sz w:val="20"/>
          <w:szCs w:val="20"/>
          <w:color w:val="auto"/>
        </w:rPr>
      </w:pPr>
    </w:p>
    <w:p>
      <w:pPr>
        <w:ind w:left="420" w:hanging="315"/>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May 9, 2019</w:t>
      </w:r>
    </w:p>
    <w:p>
      <w:pPr>
        <w:ind w:left="4800"/>
        <w:spacing w:after="0" w:line="219" w:lineRule="auto"/>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Cabell H. Lolmaugh</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May 9, 2019</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2019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Cabell H. Lolmaugh</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9, 2019</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2019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9, 2019</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endash "/>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2" Type="http://schemas.openxmlformats.org/officeDocument/2006/relationships/hyperlink" Target="http://www.sec.gov/Archives/edgar/data/1552800/000114420412037509/v316486_ex3-1.htm" TargetMode="External"/><Relationship Id="rId43" Type="http://schemas.openxmlformats.org/officeDocument/2006/relationships/hyperlink" Target="http://www.sec.gov/Archives/edgar/data/1552800/000114420412037509/v316486_ex3-2.htm" TargetMode="External"/><Relationship Id="rId44" Type="http://schemas.openxmlformats.org/officeDocument/2006/relationships/hyperlink" Target="http://www.sec.gov/Archives/edgar/data/1552800/000114420412040584/v31834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2019-12-28T12:47:07Z</dcterms:created>
  <dcterms:modified xsi:type="dcterms:W3CDTF">2019-12-28T12:47:07Z</dcterms:modified>
</cp:coreProperties>
</file>