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line="235" w:lineRule="auto"/>
        <w:rPr>
          <w:sz w:val="20"/>
          <w:szCs w:val="20"/>
          <w:color w:val="auto"/>
        </w:rPr>
      </w:pPr>
      <w:r>
        <w:rPr>
          <w:rFonts w:ascii="Arial" w:cs="Arial" w:eastAsia="Arial" w:hAnsi="Arial"/>
          <w:sz w:val="18"/>
          <w:szCs w:val="18"/>
          <w:color w:val="auto"/>
        </w:rPr>
        <w:t>(Mark One)</w:t>
      </w: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20" w:hanging="299"/>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transition period from – to –</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1720"/>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br w:type="column"/>
      </w:r>
    </w:p>
    <w:p>
      <w:pPr>
        <w:jc w:val="center"/>
        <w:ind w:right="2760"/>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46" w:lineRule="exact"/>
        <w:rPr>
          <w:sz w:val="24"/>
          <w:szCs w:val="24"/>
          <w:color w:val="auto"/>
        </w:rPr>
      </w:pPr>
    </w:p>
    <w:p>
      <w:pPr>
        <w:sectPr>
          <w:pgSz w:w="11900" w:h="16838" w:orient="portrait"/>
          <w:cols w:equalWidth="0" w:num="3">
            <w:col w:w="4520" w:space="720"/>
            <w:col w:w="3000" w:space="720"/>
            <w:col w:w="216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x</w:t>
            </w:r>
          </w:p>
        </w:tc>
        <w:tc>
          <w:tcPr>
            <w:tcW w:w="4080" w:type="dxa"/>
            <w:vAlign w:val="bottom"/>
          </w:tcPr>
          <w:p>
            <w:pPr>
              <w:ind w:left="1800"/>
              <w:spacing w:after="0" w:line="176"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76" w:lineRule="exact"/>
              <w:rPr>
                <w:sz w:val="20"/>
                <w:szCs w:val="20"/>
                <w:color w:val="auto"/>
              </w:rPr>
            </w:pPr>
            <w:r>
              <w:rPr>
                <w:rFonts w:ascii="Arial" w:cs="Arial" w:eastAsia="Arial" w:hAnsi="Arial"/>
                <w:sz w:val="18"/>
                <w:szCs w:val="18"/>
                <w:color w:val="auto"/>
              </w:rPr>
              <w:t>x</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May 3, 2021, there were 51,925,262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3"/>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rFonts w:ascii="Arial" w:cs="Arial" w:eastAsia="Arial" w:hAnsi="Arial"/>
                <w:sz w:val="16"/>
                <w:szCs w:val="16"/>
                <w:b w:val="1"/>
                <w:bCs w:val="1"/>
                <w:color w:val="0563C1"/>
              </w:rPr>
            </w:pPr>
            <w:hyperlink w:anchor="page3">
              <w:r>
                <w:rPr>
                  <w:rFonts w:ascii="Arial" w:cs="Arial" w:eastAsia="Arial" w:hAnsi="Arial"/>
                  <w:sz w:val="16"/>
                  <w:szCs w:val="16"/>
                  <w:b w:val="1"/>
                  <w:bCs w:val="1"/>
                  <w:color w:val="0563C1"/>
                </w:rPr>
                <w:t>PART I. FINANCIAL INFORMATION</w:t>
              </w:r>
            </w:hyperlink>
          </w:p>
        </w:tc>
        <w:tc>
          <w:tcPr>
            <w:tcW w:w="7520" w:type="dxa"/>
            <w:vAlign w:val="bottom"/>
            <w:tcBorders>
              <w:top w:val="single" w:sz="8" w:color="CCEEFF"/>
              <w:bottom w:val="single" w:sz="8" w:color="CCEEFF"/>
            </w:tcBorders>
            <w:gridSpan w:val="11"/>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Item 1.</w:t>
              </w:r>
            </w:hyperlink>
          </w:p>
        </w:tc>
        <w:tc>
          <w:tcPr>
            <w:tcW w:w="460" w:type="dxa"/>
            <w:vAlign w:val="bottom"/>
            <w:gridSpan w:val="3"/>
          </w:tcPr>
          <w:p>
            <w:pPr>
              <w:spacing w:after="0"/>
              <w:rPr>
                <w:sz w:val="14"/>
                <w:szCs w:val="14"/>
                <w:color w:val="auto"/>
              </w:rPr>
            </w:pPr>
          </w:p>
        </w:tc>
        <w:tc>
          <w:tcPr>
            <w:tcW w:w="9620" w:type="dxa"/>
            <w:vAlign w:val="bottom"/>
            <w:gridSpan w:val="19"/>
          </w:tcPr>
          <w:p>
            <w:pPr>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rFonts w:ascii="Arial" w:cs="Arial" w:eastAsia="Arial" w:hAnsi="Arial"/>
                <w:sz w:val="18"/>
                <w:szCs w:val="18"/>
                <w:color w:val="0563C1"/>
                <w:w w:val="89"/>
              </w:rPr>
            </w:pPr>
            <w:hyperlink w:anchor="page3">
              <w:r>
                <w:rPr>
                  <w:rFonts w:ascii="Arial" w:cs="Arial" w:eastAsia="Arial" w:hAnsi="Arial"/>
                  <w:sz w:val="18"/>
                  <w:szCs w:val="18"/>
                  <w:color w:val="0563C1"/>
                  <w:w w:val="89"/>
                </w:rPr>
                <w:t>Consolidated Balance Sheets</w:t>
              </w:r>
            </w:hyperlink>
          </w:p>
        </w:tc>
        <w:tc>
          <w:tcPr>
            <w:tcW w:w="7480" w:type="dxa"/>
            <w:vAlign w:val="bottom"/>
            <w:tcBorders>
              <w:bottom w:val="single" w:sz="8" w:color="CCEEFF"/>
            </w:tcBorders>
            <w:gridSpan w:val="10"/>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tcBorders>
              <w:bottom w:val="single" w:sz="8" w:color="0563C1"/>
            </w:tcBorders>
            <w:gridSpan w:val="11"/>
          </w:tcPr>
          <w:p>
            <w:pPr>
              <w:spacing w:after="0" w:line="162" w:lineRule="exact"/>
              <w:rPr>
                <w:rFonts w:ascii="Arial" w:cs="Arial" w:eastAsia="Arial" w:hAnsi="Arial"/>
                <w:sz w:val="18"/>
                <w:szCs w:val="18"/>
                <w:color w:val="0563C1"/>
                <w:w w:val="90"/>
              </w:rPr>
            </w:pPr>
            <w:hyperlink w:anchor="page4">
              <w:r>
                <w:rPr>
                  <w:rFonts w:ascii="Arial" w:cs="Arial" w:eastAsia="Arial" w:hAnsi="Arial"/>
                  <w:sz w:val="18"/>
                  <w:szCs w:val="18"/>
                  <w:color w:val="0563C1"/>
                  <w:w w:val="90"/>
                </w:rPr>
                <w:t>Consolidated Statements of Income</w:t>
              </w:r>
            </w:hyperlink>
          </w:p>
        </w:tc>
        <w:tc>
          <w:tcPr>
            <w:tcW w:w="7020" w:type="dxa"/>
            <w:vAlign w:val="bottom"/>
            <w:gridSpan w:val="8"/>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5"/>
            <w:shd w:val="clear" w:color="auto" w:fill="CCEEFF"/>
          </w:tcPr>
          <w:p>
            <w:pPr>
              <w:spacing w:after="0" w:line="162" w:lineRule="exact"/>
              <w:rPr>
                <w:rFonts w:ascii="Arial" w:cs="Arial" w:eastAsia="Arial" w:hAnsi="Arial"/>
                <w:sz w:val="18"/>
                <w:szCs w:val="18"/>
                <w:color w:val="0563C1"/>
                <w:w w:val="89"/>
              </w:rPr>
            </w:pPr>
            <w:hyperlink w:anchor="page5">
              <w:r>
                <w:rPr>
                  <w:rFonts w:ascii="Arial" w:cs="Arial" w:eastAsia="Arial" w:hAnsi="Arial"/>
                  <w:sz w:val="18"/>
                  <w:szCs w:val="18"/>
                  <w:color w:val="0563C1"/>
                  <w:w w:val="89"/>
                </w:rPr>
                <w:t>Consolidated Statements of Comprehensive Income</w:t>
              </w:r>
            </w:hyperlink>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rFonts w:ascii="Arial" w:cs="Arial" w:eastAsia="Arial" w:hAnsi="Arial"/>
                <w:sz w:val="18"/>
                <w:szCs w:val="18"/>
                <w:color w:val="0563C1"/>
              </w:rPr>
            </w:pPr>
            <w:hyperlink w:anchor="page6">
              <w:r>
                <w:rPr>
                  <w:rFonts w:ascii="Arial" w:cs="Arial" w:eastAsia="Arial" w:hAnsi="Arial"/>
                  <w:sz w:val="18"/>
                  <w:szCs w:val="18"/>
                  <w:color w:val="0563C1"/>
                </w:rPr>
                <w:t>Consolidated Statements of Stockholders’ Equity</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4"/>
            <w:shd w:val="clear" w:color="auto" w:fill="CCEEFF"/>
          </w:tcPr>
          <w:p>
            <w:pPr>
              <w:spacing w:after="0" w:line="162" w:lineRule="exact"/>
              <w:rPr>
                <w:rFonts w:ascii="Arial" w:cs="Arial" w:eastAsia="Arial" w:hAnsi="Arial"/>
                <w:sz w:val="18"/>
                <w:szCs w:val="18"/>
                <w:color w:val="0563C1"/>
              </w:rPr>
            </w:pPr>
            <w:hyperlink w:anchor="page7">
              <w:r>
                <w:rPr>
                  <w:rFonts w:ascii="Arial" w:cs="Arial" w:eastAsia="Arial" w:hAnsi="Arial"/>
                  <w:sz w:val="18"/>
                  <w:szCs w:val="18"/>
                  <w:color w:val="0563C1"/>
                </w:rPr>
                <w:t>Consolidated Statements of Cash Flows</w:t>
              </w:r>
            </w:hyperlink>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26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rFonts w:ascii="Arial" w:cs="Arial" w:eastAsia="Arial" w:hAnsi="Arial"/>
                <w:sz w:val="18"/>
                <w:szCs w:val="18"/>
                <w:color w:val="0563C1"/>
              </w:rPr>
            </w:pPr>
            <w:hyperlink w:anchor="page8">
              <w:r>
                <w:rPr>
                  <w:rFonts w:ascii="Arial" w:cs="Arial" w:eastAsia="Arial" w:hAnsi="Arial"/>
                  <w:sz w:val="18"/>
                  <w:szCs w:val="18"/>
                  <w:color w:val="0563C1"/>
                </w:rPr>
                <w:t>Notes to Consolidated 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26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16">
              <w:r>
                <w:rPr>
                  <w:rFonts w:ascii="Arial" w:cs="Arial" w:eastAsia="Arial" w:hAnsi="Arial"/>
                  <w:sz w:val="18"/>
                  <w:szCs w:val="18"/>
                  <w:color w:val="0563C1"/>
                  <w:w w:val="90"/>
                </w:rPr>
                <w:t>Item 2.</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8"/>
            <w:shd w:val="clear" w:color="auto" w:fill="CCEEFF"/>
          </w:tcPr>
          <w:p>
            <w:pPr>
              <w:spacing w:after="0" w:line="162" w:lineRule="exact"/>
              <w:rPr>
                <w:rFonts w:ascii="Arial" w:cs="Arial" w:eastAsia="Arial" w:hAnsi="Arial"/>
                <w:sz w:val="18"/>
                <w:szCs w:val="18"/>
                <w:color w:val="0563C1"/>
                <w:w w:val="90"/>
              </w:rPr>
            </w:pPr>
            <w:hyperlink w:anchor="page16">
              <w:r>
                <w:rPr>
                  <w:rFonts w:ascii="Arial" w:cs="Arial" w:eastAsia="Arial" w:hAnsi="Arial"/>
                  <w:sz w:val="18"/>
                  <w:szCs w:val="18"/>
                  <w:color w:val="0563C1"/>
                  <w:w w:val="90"/>
                </w:rPr>
                <w:t>Management’s Discussion and Analysis of Financial Condition and Results of Operations</w:t>
              </w:r>
            </w:hyperlink>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rFonts w:ascii="Arial" w:cs="Arial" w:eastAsia="Arial" w:hAnsi="Arial"/>
                <w:sz w:val="18"/>
                <w:szCs w:val="18"/>
                <w:color w:val="0563C1"/>
                <w:w w:val="90"/>
              </w:rPr>
            </w:pPr>
            <w:hyperlink w:anchor="page22">
              <w:r>
                <w:rPr>
                  <w:rFonts w:ascii="Arial" w:cs="Arial" w:eastAsia="Arial" w:hAnsi="Arial"/>
                  <w:sz w:val="18"/>
                  <w:szCs w:val="18"/>
                  <w:color w:val="0563C1"/>
                  <w:w w:val="90"/>
                </w:rPr>
                <w:t>Item 3.</w:t>
              </w:r>
            </w:hyperlink>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7"/>
          </w:tcPr>
          <w:p>
            <w:pPr>
              <w:spacing w:after="0" w:line="162" w:lineRule="exact"/>
              <w:rPr>
                <w:rFonts w:ascii="Arial" w:cs="Arial" w:eastAsia="Arial" w:hAnsi="Arial"/>
                <w:sz w:val="18"/>
                <w:szCs w:val="18"/>
                <w:color w:val="0563C1"/>
                <w:w w:val="92"/>
              </w:rPr>
            </w:pPr>
            <w:hyperlink w:anchor="page22">
              <w:r>
                <w:rPr>
                  <w:rFonts w:ascii="Arial" w:cs="Arial" w:eastAsia="Arial" w:hAnsi="Arial"/>
                  <w:sz w:val="18"/>
                  <w:szCs w:val="18"/>
                  <w:color w:val="0563C1"/>
                  <w:w w:val="92"/>
                </w:rPr>
                <w:t>Quantitative and Qualitative Disclosures About Market Risk</w:t>
              </w:r>
            </w:hyperlink>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2">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9620" w:type="dxa"/>
            <w:vAlign w:val="bottom"/>
            <w:gridSpan w:val="19"/>
            <w:shd w:val="clear" w:color="auto" w:fill="CCEEFF"/>
          </w:tcPr>
          <w:p>
            <w:pPr>
              <w:spacing w:after="0" w:line="162" w:lineRule="exact"/>
              <w:rPr>
                <w:rFonts w:ascii="Arial" w:cs="Arial" w:eastAsia="Arial" w:hAnsi="Arial"/>
                <w:sz w:val="18"/>
                <w:szCs w:val="18"/>
                <w:color w:val="0563C1"/>
              </w:rPr>
            </w:pPr>
            <w:hyperlink w:anchor="page22">
              <w:r>
                <w:rPr>
                  <w:rFonts w:ascii="Arial" w:cs="Arial" w:eastAsia="Arial" w:hAnsi="Arial"/>
                  <w:sz w:val="18"/>
                  <w:szCs w:val="18"/>
                  <w:color w:val="0563C1"/>
                </w:rPr>
                <w:t>Controls and Procedures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rFonts w:ascii="Arial" w:cs="Arial" w:eastAsia="Arial" w:hAnsi="Arial"/>
                <w:sz w:val="18"/>
                <w:szCs w:val="18"/>
                <w:b w:val="1"/>
                <w:bCs w:val="1"/>
                <w:color w:val="0563C1"/>
              </w:rPr>
            </w:pPr>
            <w:hyperlink w:anchor="page23">
              <w:r>
                <w:rPr>
                  <w:rFonts w:ascii="Arial" w:cs="Arial" w:eastAsia="Arial" w:hAnsi="Arial"/>
                  <w:sz w:val="18"/>
                  <w:szCs w:val="18"/>
                  <w:b w:val="1"/>
                  <w:bCs w:val="1"/>
                  <w:color w:val="0563C1"/>
                </w:rPr>
                <w:t>PART II. OTHER INFORMATION</w:t>
              </w:r>
            </w:hyperlink>
          </w:p>
        </w:tc>
        <w:tc>
          <w:tcPr>
            <w:tcW w:w="7820" w:type="dxa"/>
            <w:vAlign w:val="bottom"/>
            <w:gridSpan w:val="12"/>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1.</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rFonts w:ascii="Arial" w:cs="Arial" w:eastAsia="Arial" w:hAnsi="Arial"/>
                <w:sz w:val="18"/>
                <w:szCs w:val="18"/>
                <w:color w:val="0563C1"/>
                <w:w w:val="88"/>
              </w:rPr>
            </w:pPr>
            <w:hyperlink w:anchor="page23">
              <w:r>
                <w:rPr>
                  <w:rFonts w:ascii="Arial" w:cs="Arial" w:eastAsia="Arial" w:hAnsi="Arial"/>
                  <w:sz w:val="18"/>
                  <w:szCs w:val="18"/>
                  <w:color w:val="0563C1"/>
                  <w:w w:val="88"/>
                </w:rPr>
                <w:t>Legal Proceedings</w:t>
              </w:r>
            </w:hyperlink>
          </w:p>
        </w:tc>
        <w:tc>
          <w:tcPr>
            <w:tcW w:w="8280" w:type="dxa"/>
            <w:vAlign w:val="bottom"/>
            <w:tcBorders>
              <w:bottom w:val="single" w:sz="8" w:color="CCEEFF"/>
            </w:tcBorders>
            <w:gridSpan w:val="1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Item 1A.</w:t>
              </w:r>
            </w:hyperlink>
          </w:p>
        </w:tc>
        <w:tc>
          <w:tcPr>
            <w:tcW w:w="9620" w:type="dxa"/>
            <w:vAlign w:val="bottom"/>
            <w:gridSpan w:val="19"/>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Risk Factors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4">
              <w:r>
                <w:rPr>
                  <w:rFonts w:ascii="Arial" w:cs="Arial" w:eastAsia="Arial" w:hAnsi="Arial"/>
                  <w:sz w:val="18"/>
                  <w:szCs w:val="18"/>
                  <w:color w:val="0563C1"/>
                  <w:w w:val="90"/>
                </w:rPr>
                <w:t>Item 2.</w:t>
              </w:r>
            </w:hyperlink>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9"/>
            <w:shd w:val="clear" w:color="auto" w:fill="CCEEFF"/>
          </w:tcPr>
          <w:p>
            <w:pPr>
              <w:spacing w:after="0" w:line="162" w:lineRule="exact"/>
              <w:rPr>
                <w:rFonts w:ascii="Arial" w:cs="Arial" w:eastAsia="Arial" w:hAnsi="Arial"/>
                <w:sz w:val="18"/>
                <w:szCs w:val="18"/>
                <w:color w:val="0563C1"/>
              </w:rPr>
            </w:pPr>
            <w:hyperlink w:anchor="page24">
              <w:r>
                <w:rPr>
                  <w:rFonts w:ascii="Arial" w:cs="Arial" w:eastAsia="Arial" w:hAnsi="Arial"/>
                  <w:sz w:val="18"/>
                  <w:szCs w:val="18"/>
                  <w:color w:val="0563C1"/>
                </w:rPr>
                <w:t>Unregistered Sales of Equity Securities and Use of Proceeds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rFonts w:ascii="Arial" w:cs="Arial" w:eastAsia="Arial" w:hAnsi="Arial"/>
                <w:sz w:val="18"/>
                <w:szCs w:val="18"/>
                <w:color w:val="0563C1"/>
                <w:w w:val="90"/>
              </w:rPr>
            </w:pPr>
            <w:hyperlink w:anchor="page24">
              <w:r>
                <w:rPr>
                  <w:rFonts w:ascii="Arial" w:cs="Arial" w:eastAsia="Arial" w:hAnsi="Arial"/>
                  <w:sz w:val="18"/>
                  <w:szCs w:val="18"/>
                  <w:color w:val="0563C1"/>
                  <w:w w:val="90"/>
                </w:rPr>
                <w:t>Item 3.</w:t>
              </w:r>
            </w:hyperlink>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6"/>
          </w:tcPr>
          <w:p>
            <w:pPr>
              <w:spacing w:after="0" w:line="162" w:lineRule="exact"/>
              <w:rPr>
                <w:rFonts w:ascii="Arial" w:cs="Arial" w:eastAsia="Arial" w:hAnsi="Arial"/>
                <w:sz w:val="18"/>
                <w:szCs w:val="18"/>
                <w:color w:val="0563C1"/>
              </w:rPr>
            </w:pPr>
            <w:hyperlink w:anchor="page24">
              <w:r>
                <w:rPr>
                  <w:rFonts w:ascii="Arial" w:cs="Arial" w:eastAsia="Arial" w:hAnsi="Arial"/>
                  <w:sz w:val="18"/>
                  <w:szCs w:val="18"/>
                  <w:color w:val="0563C1"/>
                </w:rPr>
                <w:t>Defaults Upon Senior Securities</w:t>
              </w:r>
            </w:hyperlink>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4">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rFonts w:ascii="Arial" w:cs="Arial" w:eastAsia="Arial" w:hAnsi="Arial"/>
                <w:sz w:val="18"/>
                <w:szCs w:val="18"/>
                <w:color w:val="0563C1"/>
              </w:rPr>
            </w:pPr>
            <w:hyperlink w:anchor="page24">
              <w:r>
                <w:rPr>
                  <w:rFonts w:ascii="Arial" w:cs="Arial" w:eastAsia="Arial" w:hAnsi="Arial"/>
                  <w:sz w:val="18"/>
                  <w:szCs w:val="18"/>
                  <w:color w:val="0563C1"/>
                </w:rPr>
                <w:t>Mine Safety Disclosures</w:t>
              </w:r>
            </w:hyperlink>
          </w:p>
        </w:tc>
        <w:tc>
          <w:tcPr>
            <w:tcW w:w="7300" w:type="dxa"/>
            <w:vAlign w:val="bottom"/>
            <w:gridSpan w:val="9"/>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90"/>
              </w:rPr>
            </w:pPr>
            <w:hyperlink w:anchor="page24">
              <w:r>
                <w:rPr>
                  <w:rFonts w:ascii="Arial" w:cs="Arial" w:eastAsia="Arial" w:hAnsi="Arial"/>
                  <w:sz w:val="18"/>
                  <w:szCs w:val="18"/>
                  <w:color w:val="0563C1"/>
                  <w:w w:val="90"/>
                </w:rPr>
                <w:t>Item 5.</w:t>
              </w:r>
            </w:hyperlink>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2"/>
              </w:rPr>
            </w:pPr>
            <w:hyperlink w:anchor="page24">
              <w:r>
                <w:rPr>
                  <w:rFonts w:ascii="Arial" w:cs="Arial" w:eastAsia="Arial" w:hAnsi="Arial"/>
                  <w:sz w:val="18"/>
                  <w:szCs w:val="18"/>
                  <w:color w:val="0563C1"/>
                  <w:w w:val="92"/>
                </w:rPr>
                <w:t>Other Information</w:t>
              </w:r>
            </w:hyperlink>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2"/>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6.</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1"/>
              </w:rPr>
            </w:pPr>
            <w:hyperlink w:anchor="page27">
              <w:r>
                <w:rPr>
                  <w:rFonts w:ascii="Arial" w:cs="Arial" w:eastAsia="Arial" w:hAnsi="Arial"/>
                  <w:sz w:val="18"/>
                  <w:szCs w:val="18"/>
                  <w:color w:val="0563C1"/>
                  <w:w w:val="91"/>
                </w:rPr>
                <w:t>Exhibits</w:t>
              </w:r>
            </w:hyperlink>
          </w:p>
        </w:tc>
        <w:tc>
          <w:tcPr>
            <w:tcW w:w="9020" w:type="dxa"/>
            <w:vAlign w:val="bottom"/>
            <w:tcBorders>
              <w:bottom w:val="single" w:sz="8" w:color="CCEEFF"/>
            </w:tcBorders>
            <w:gridSpan w:val="17"/>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8">
              <w:r>
                <w:rPr>
                  <w:rFonts w:ascii="Arial" w:cs="Arial" w:eastAsia="Arial" w:hAnsi="Arial"/>
                  <w:sz w:val="18"/>
                  <w:szCs w:val="18"/>
                  <w:color w:val="0563C1"/>
                </w:rPr>
                <w:t>Signatures</w:t>
              </w:r>
            </w:hyperlink>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1360" w:type="dxa"/>
            <w:vAlign w:val="bottom"/>
          </w:tcPr>
          <w:p>
            <w:pPr>
              <w:spacing w:after="0"/>
              <w:rPr>
                <w:sz w:val="24"/>
                <w:szCs w:val="24"/>
                <w:color w:val="auto"/>
              </w:rPr>
            </w:pPr>
          </w:p>
        </w:tc>
        <w:tc>
          <w:tcPr>
            <w:tcW w:w="70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jc w:val="center"/>
              <w:ind w:left="1430"/>
              <w:spacing w:after="0" w:line="189" w:lineRule="exact"/>
              <w:rPr>
                <w:sz w:val="20"/>
                <w:szCs w:val="20"/>
                <w:color w:val="auto"/>
              </w:rPr>
            </w:pPr>
            <w:r>
              <w:rPr>
                <w:rFonts w:ascii="Arial" w:cs="Arial" w:eastAsia="Arial" w:hAnsi="Arial"/>
                <w:sz w:val="18"/>
                <w:szCs w:val="18"/>
                <w:color w:val="auto"/>
                <w:w w:val="88"/>
              </w:rPr>
              <w:t>Consolidated Balance Sheets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jc w:val="center"/>
              <w:ind w:left="1390"/>
              <w:spacing w:after="0"/>
              <w:rPr>
                <w:sz w:val="20"/>
                <w:szCs w:val="20"/>
                <w:color w:val="auto"/>
              </w:rPr>
            </w:pPr>
            <w:r>
              <w:rPr>
                <w:rFonts w:ascii="Arial" w:cs="Arial" w:eastAsia="Arial" w:hAnsi="Arial"/>
                <w:sz w:val="18"/>
                <w:szCs w:val="18"/>
                <w:color w:val="auto"/>
                <w:w w:val="88"/>
              </w:rPr>
              <w:t>(dollars in thousands, except per share data)</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2020</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35,933</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70,972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74,296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8,116</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7,921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8,995</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125,127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104,654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94,769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99,035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127,395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5,454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5,341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353,964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169"/>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16,803</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15,382</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29,440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43,268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34,106</w:t>
            </w:r>
          </w:p>
        </w:tc>
      </w:tr>
      <w:tr>
        <w:trPr>
          <w:trHeight w:val="182"/>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89,678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76,804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116,357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3,573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4,146</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209,608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203,628</w:t>
            </w:r>
          </w:p>
        </w:tc>
      </w:tr>
      <w:tr>
        <w:trPr>
          <w:trHeight w:val="183"/>
        </w:trPr>
        <w:tc>
          <w:tcPr>
            <w:tcW w:w="136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51,932,704 and</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51,701,080 shares, respectively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158,545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158,556</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6"/>
                <w:szCs w:val="16"/>
                <w:color w:val="auto"/>
              </w:rPr>
            </w:pPr>
          </w:p>
        </w:tc>
        <w:tc>
          <w:tcPr>
            <w:tcW w:w="12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(14,190)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(19,487)</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144,356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353,964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06"/>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5020" w:type="dxa"/>
            <w:vAlign w:val="bottom"/>
            <w:gridSpan w:val="2"/>
          </w:tcPr>
          <w:p>
            <w:pPr>
              <w:jc w:val="center"/>
              <w:ind w:right="927"/>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020" w:type="dxa"/>
            <w:vAlign w:val="bottom"/>
            <w:gridSpan w:val="2"/>
          </w:tcPr>
          <w:p>
            <w:pPr>
              <w:jc w:val="center"/>
              <w:ind w:right="947"/>
              <w:spacing w:after="0" w:line="189" w:lineRule="exact"/>
              <w:rPr>
                <w:sz w:val="20"/>
                <w:szCs w:val="20"/>
                <w:color w:val="auto"/>
              </w:rPr>
            </w:pPr>
            <w:r>
              <w:rPr>
                <w:rFonts w:ascii="Arial" w:cs="Arial" w:eastAsia="Arial" w:hAnsi="Arial"/>
                <w:sz w:val="18"/>
                <w:szCs w:val="18"/>
                <w:color w:val="auto"/>
                <w:w w:val="89"/>
              </w:rPr>
              <w:t>Consolidated Statements of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020" w:type="dxa"/>
            <w:vAlign w:val="bottom"/>
            <w:gridSpan w:val="2"/>
          </w:tcPr>
          <w:p>
            <w:pPr>
              <w:jc w:val="center"/>
              <w:ind w:right="987"/>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20" w:type="dxa"/>
            <w:vAlign w:val="bottom"/>
            <w:gridSpan w:val="2"/>
          </w:tcPr>
          <w:p>
            <w:pPr>
              <w:jc w:val="center"/>
              <w:ind w:right="947"/>
              <w:spacing w:after="0"/>
              <w:rPr>
                <w:sz w:val="20"/>
                <w:szCs w:val="20"/>
                <w:color w:val="auto"/>
              </w:rPr>
            </w:pPr>
            <w:r>
              <w:rPr>
                <w:rFonts w:ascii="Arial" w:cs="Arial" w:eastAsia="Arial" w:hAnsi="Arial"/>
                <w:sz w:val="18"/>
                <w:szCs w:val="18"/>
                <w:color w:val="auto"/>
                <w:w w:val="92"/>
              </w:rPr>
              <w:t>(unaudited)</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5"/>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March 31,</w:t>
            </w:r>
          </w:p>
        </w:tc>
        <w:tc>
          <w:tcPr>
            <w:tcW w:w="980" w:type="dxa"/>
            <w:vAlign w:val="bottom"/>
            <w:tcBorders>
              <w:bottom w:val="single" w:sz="8" w:color="auto"/>
            </w:tcBorders>
          </w:tcPr>
          <w:p>
            <w:pPr>
              <w:spacing w:after="0"/>
              <w:rPr>
                <w:sz w:val="18"/>
                <w:szCs w:val="18"/>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47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92,084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94,279</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4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27,898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29,324</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4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64,186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64,955</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4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57,278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62,361</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4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2,594</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(168)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(848)</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47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6,740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1,746</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(1,443)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1,756</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3,502</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4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5020" w:type="dxa"/>
            <w:vAlign w:val="bottom"/>
            <w:gridSpan w:val="2"/>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80" w:type="dxa"/>
            <w:vAlign w:val="bottom"/>
          </w:tcPr>
          <w:p>
            <w:pPr>
              <w:spacing w:after="0"/>
              <w:rPr>
                <w:sz w:val="16"/>
                <w:szCs w:val="16"/>
                <w:color w:val="auto"/>
              </w:rPr>
            </w:pPr>
          </w:p>
        </w:tc>
        <w:tc>
          <w:tcPr>
            <w:tcW w:w="460" w:type="dxa"/>
            <w:vAlign w:val="bottom"/>
            <w:gridSpan w:val="2"/>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0.07</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502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4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50,105,825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99"/>
              </w:rPr>
              <w:t>49,842,072</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4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51,056,798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49,842,072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17"/>
        </w:trPr>
        <w:tc>
          <w:tcPr>
            <w:tcW w:w="1360" w:type="dxa"/>
            <w:vAlign w:val="bottom"/>
            <w:tcBorders>
              <w:top w:val="single" w:sz="8" w:color="0563C1"/>
            </w:tcBorders>
          </w:tcPr>
          <w:p>
            <w:pPr>
              <w:spacing w:after="0"/>
              <w:rPr>
                <w:sz w:val="24"/>
                <w:szCs w:val="24"/>
                <w:color w:val="auto"/>
              </w:rPr>
            </w:pPr>
          </w:p>
        </w:tc>
        <w:tc>
          <w:tcPr>
            <w:tcW w:w="1800" w:type="dxa"/>
            <w:vAlign w:val="bottom"/>
          </w:tcPr>
          <w:p>
            <w:pPr>
              <w:spacing w:after="0"/>
              <w:rPr>
                <w:sz w:val="24"/>
                <w:szCs w:val="24"/>
                <w:color w:val="auto"/>
              </w:rPr>
            </w:pPr>
          </w:p>
        </w:tc>
        <w:tc>
          <w:tcPr>
            <w:tcW w:w="6060" w:type="dxa"/>
            <w:vAlign w:val="bottom"/>
            <w:gridSpan w:val="2"/>
          </w:tcPr>
          <w:p>
            <w:pPr>
              <w:jc w:val="center"/>
              <w:ind w:right="1058"/>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60" w:type="dxa"/>
            <w:vAlign w:val="bottom"/>
            <w:gridSpan w:val="2"/>
          </w:tcPr>
          <w:p>
            <w:pPr>
              <w:jc w:val="center"/>
              <w:ind w:right="1038"/>
              <w:spacing w:after="0" w:line="189" w:lineRule="exact"/>
              <w:rPr>
                <w:sz w:val="20"/>
                <w:szCs w:val="20"/>
                <w:color w:val="auto"/>
              </w:rPr>
            </w:pPr>
            <w:r>
              <w:rPr>
                <w:rFonts w:ascii="Arial" w:cs="Arial" w:eastAsia="Arial" w:hAnsi="Arial"/>
                <w:sz w:val="18"/>
                <w:szCs w:val="18"/>
                <w:color w:val="auto"/>
                <w:w w:val="89"/>
              </w:rPr>
              <w:t>Consolidated Statements of Comprehensive Income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60" w:type="dxa"/>
            <w:vAlign w:val="bottom"/>
            <w:gridSpan w:val="2"/>
          </w:tcPr>
          <w:p>
            <w:pPr>
              <w:jc w:val="center"/>
              <w:ind w:right="1058"/>
              <w:spacing w:after="0" w:line="189" w:lineRule="exact"/>
              <w:rPr>
                <w:sz w:val="20"/>
                <w:szCs w:val="20"/>
                <w:color w:val="auto"/>
              </w:rPr>
            </w:pPr>
            <w:r>
              <w:rPr>
                <w:rFonts w:ascii="Arial" w:cs="Arial" w:eastAsia="Arial" w:hAnsi="Arial"/>
                <w:sz w:val="18"/>
                <w:szCs w:val="18"/>
                <w:color w:val="auto"/>
                <w:w w:val="90"/>
              </w:rPr>
              <w:t>(dollars in thousands)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gridSpan w:val="2"/>
          </w:tcPr>
          <w:p>
            <w:pPr>
              <w:jc w:val="center"/>
              <w:ind w:right="1058"/>
              <w:spacing w:after="0"/>
              <w:rPr>
                <w:sz w:val="20"/>
                <w:szCs w:val="20"/>
                <w:color w:val="auto"/>
              </w:rPr>
            </w:pPr>
            <w:r>
              <w:rPr>
                <w:rFonts w:ascii="Arial" w:cs="Arial" w:eastAsia="Arial" w:hAnsi="Arial"/>
                <w:sz w:val="18"/>
                <w:szCs w:val="18"/>
                <w:color w:val="auto"/>
                <w:w w:val="92"/>
              </w:rPr>
              <w:t>(unaudited)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77"/>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0" w:type="dxa"/>
            <w:vAlign w:val="bottom"/>
            <w:gridSpan w:val="5"/>
          </w:tcPr>
          <w:p>
            <w:pPr>
              <w:jc w:val="right"/>
              <w:ind w:right="149"/>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8"/>
                <w:szCs w:val="18"/>
                <w:color w:val="auto"/>
              </w:rPr>
              <w:t>March 31,</w:t>
            </w:r>
          </w:p>
        </w:tc>
        <w:tc>
          <w:tcPr>
            <w:tcW w:w="48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2021</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2020</w:t>
            </w:r>
          </w:p>
        </w:tc>
        <w:tc>
          <w:tcPr>
            <w:tcW w:w="480" w:type="dxa"/>
            <w:vAlign w:val="bottom"/>
          </w:tcPr>
          <w:p>
            <w:pPr>
              <w:spacing w:after="0"/>
              <w:rPr>
                <w:sz w:val="15"/>
                <w:szCs w:val="15"/>
                <w:color w:val="auto"/>
              </w:rPr>
            </w:pPr>
          </w:p>
        </w:tc>
      </w:tr>
      <w:tr>
        <w:trPr>
          <w:trHeight w:val="183"/>
        </w:trPr>
        <w:tc>
          <w:tcPr>
            <w:tcW w:w="3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5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5,297</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3,502</w:t>
            </w: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r>
      <w:tr>
        <w:trPr>
          <w:trHeight w:val="183"/>
        </w:trPr>
        <w:tc>
          <w:tcPr>
            <w:tcW w:w="3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5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3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5200" w:type="dxa"/>
            <w:vAlign w:val="bottom"/>
          </w:tcPr>
          <w:p>
            <w:pPr>
              <w:spacing w:after="0"/>
              <w:rPr>
                <w:sz w:val="15"/>
                <w:szCs w:val="15"/>
                <w:color w:val="auto"/>
              </w:rPr>
            </w:pPr>
          </w:p>
        </w:tc>
        <w:tc>
          <w:tcPr>
            <w:tcW w:w="86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3"/>
              </w:rPr>
              <w:t>5,305</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8"/>
              </w:rPr>
              <w:t>3,486</w:t>
            </w:r>
          </w:p>
        </w:tc>
      </w:tr>
      <w:tr>
        <w:trPr>
          <w:trHeight w:val="20"/>
        </w:trPr>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020"/>
        <w:spacing w:after="0" w:line="219" w:lineRule="auto"/>
        <w:rPr>
          <w:sz w:val="20"/>
          <w:szCs w:val="20"/>
          <w:color w:val="auto"/>
        </w:rPr>
      </w:pPr>
      <w:r>
        <w:rPr>
          <w:rFonts w:ascii="Arial" w:cs="Arial" w:eastAsia="Arial" w:hAnsi="Arial"/>
          <w:sz w:val="18"/>
          <w:szCs w:val="18"/>
          <w:color w:val="auto"/>
        </w:rPr>
        <w:t>(dollars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Accumulated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Additional</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Retained</w:t>
            </w:r>
          </w:p>
        </w:tc>
        <w:tc>
          <w:tcPr>
            <w:tcW w:w="16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earnings</w:t>
            </w:r>
          </w:p>
        </w:tc>
        <w:tc>
          <w:tcPr>
            <w:tcW w:w="16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comprehensive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50,806,674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156,482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76"/>
        </w:trPr>
        <w:tc>
          <w:tcPr>
            <w:tcW w:w="422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669,609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(79,297)</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566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61"/>
        </w:trPr>
        <w:tc>
          <w:tcPr>
            <w:tcW w:w="42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(16)</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3,502</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March 31, 2020</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51,396,986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156,969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(22,016)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134,872</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51,701,080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158,556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322,024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(90,400)</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61"/>
        </w:trPr>
        <w:tc>
          <w:tcPr>
            <w:tcW w:w="4220" w:type="dxa"/>
            <w:vAlign w:val="bottom"/>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stock based compensation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5,297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51,932,704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144,356</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21"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590"/>
              <w:spacing w:after="0"/>
              <w:rPr>
                <w:sz w:val="20"/>
                <w:szCs w:val="20"/>
                <w:color w:val="auto"/>
              </w:rPr>
            </w:pPr>
            <w:r>
              <w:rPr>
                <w:rFonts w:ascii="Arial" w:cs="Arial" w:eastAsia="Arial" w:hAnsi="Arial"/>
                <w:sz w:val="18"/>
                <w:szCs w:val="18"/>
                <w:color w:val="auto"/>
              </w:rPr>
              <w:t>Three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5,297</w:t>
            </w:r>
          </w:p>
        </w:tc>
        <w:tc>
          <w:tcPr>
            <w:tcW w:w="80" w:type="dxa"/>
            <w:vAlign w:val="bottom"/>
          </w:tcPr>
          <w:p>
            <w:pPr>
              <w:spacing w:after="0"/>
              <w:rPr>
                <w:sz w:val="16"/>
                <w:szCs w:val="16"/>
                <w:color w:val="auto"/>
              </w:rPr>
            </w:pPr>
          </w:p>
        </w:tc>
        <w:tc>
          <w:tcPr>
            <w:tcW w:w="480" w:type="dxa"/>
            <w:vAlign w:val="bottom"/>
            <w:gridSpan w:val="2"/>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3,502</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7,194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8,215</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2,155</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5,868</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566</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4,456</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(839)</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3,324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11,325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1,580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(2,772)</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(6,249)</w:t>
            </w: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3,427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(3,707)</w:t>
            </w:r>
          </w:p>
        </w:tc>
      </w:tr>
      <w:tr>
        <w:trPr>
          <w:trHeight w:val="183"/>
        </w:trPr>
        <w:tc>
          <w:tcPr>
            <w:tcW w:w="836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30,114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22,892</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(3,202)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(645)</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(3,202)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(645)</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(79,160)</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53,600</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(603)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r>
      <w:tr>
        <w:trPr>
          <w:trHeight w:val="183"/>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(25,639)</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26,316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(3,403)</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10,272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9,919</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36,588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6,516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35,933</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5,701</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815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36,588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6,516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161</w:t>
            </w:r>
          </w:p>
        </w:tc>
        <w:tc>
          <w:tcPr>
            <w:tcW w:w="80" w:type="dxa"/>
            <w:vAlign w:val="bottom"/>
          </w:tcPr>
          <w:p>
            <w:pPr>
              <w:spacing w:after="0"/>
              <w:rPr>
                <w:sz w:val="16"/>
                <w:szCs w:val="16"/>
                <w:color w:val="auto"/>
              </w:rPr>
            </w:pPr>
          </w:p>
        </w:tc>
        <w:tc>
          <w:tcPr>
            <w:tcW w:w="480" w:type="dxa"/>
            <w:vAlign w:val="bottom"/>
            <w:gridSpan w:val="2"/>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833</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Cash paid for income taxes,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8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2021,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2021 are not necessarily indicative of the results that may be expected for the fiscal year ending December 31, 2021.</w:t>
      </w:r>
    </w:p>
    <w:p>
      <w:pPr>
        <w:spacing w:after="0" w:line="1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2020.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7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Certain amounts in the prior year financial statements have been reclassified for comparative purposes to conform to the presentation for the quarter ended March 31, 2021. Specifically, the Company elected to change the way it presents cash flows from operating leases in its Statement of Cash Flows. In the three months ended March 31, 2020, the Company presented the net change in the right of use asset and lease liabilities as other, net within the operating section of the Statement of Cash Flows. During the third quarter of 2020, the Company determined it would be more appropriate to disaggregate this activity. The amortization of the right of use assets is now presented as a non-cash lease expense within the operating section of the Statement of Cash Flows. Lease payments, net of the accretion of lease liabilities, are now presented as a change in accrued expenses and other liabilities within the operating section of the Statement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change on the Statement of Cash Flows presented as of March 31, 2020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3"/>
          </w:tcPr>
          <w:p>
            <w:pPr>
              <w:jc w:val="right"/>
              <w:ind w:right="630"/>
              <w:spacing w:after="0"/>
              <w:rPr>
                <w:sz w:val="20"/>
                <w:szCs w:val="20"/>
                <w:color w:val="auto"/>
              </w:rPr>
            </w:pPr>
            <w:r>
              <w:rPr>
                <w:rFonts w:ascii="Arial" w:cs="Arial" w:eastAsia="Arial" w:hAnsi="Arial"/>
                <w:sz w:val="18"/>
                <w:szCs w:val="18"/>
                <w:color w:val="auto"/>
              </w:rPr>
              <w:t>Previously</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18"/>
                <w:szCs w:val="18"/>
                <w:color w:val="auto"/>
              </w:rPr>
            </w:pPr>
          </w:p>
        </w:tc>
        <w:tc>
          <w:tcPr>
            <w:tcW w:w="1800" w:type="dxa"/>
            <w:vAlign w:val="bottom"/>
            <w:gridSpan w:val="3"/>
          </w:tcPr>
          <w:p>
            <w:pPr>
              <w:jc w:val="right"/>
              <w:ind w:right="670"/>
              <w:spacing w:after="0"/>
              <w:rPr>
                <w:sz w:val="20"/>
                <w:szCs w:val="20"/>
                <w:color w:val="auto"/>
              </w:rPr>
            </w:pPr>
            <w:r>
              <w:rPr>
                <w:rFonts w:ascii="Arial" w:cs="Arial" w:eastAsia="Arial" w:hAnsi="Arial"/>
                <w:sz w:val="18"/>
                <w:szCs w:val="18"/>
                <w:color w:val="auto"/>
              </w:rPr>
              <w:t>Reported</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18"/>
                <w:szCs w:val="18"/>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As Revised</w:t>
            </w:r>
          </w:p>
        </w:tc>
      </w:tr>
      <w:tr>
        <w:trPr>
          <w:trHeight w:val="183"/>
        </w:trPr>
        <w:tc>
          <w:tcPr>
            <w:tcW w:w="5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Non-cash lease expense</w:t>
            </w:r>
          </w:p>
        </w:tc>
        <w:tc>
          <w:tcPr>
            <w:tcW w:w="420" w:type="dxa"/>
            <w:vAlign w:val="bottom"/>
            <w:tcBorders>
              <w:top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5,868</w:t>
            </w: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5,868</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5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(6,680)</w:t>
            </w:r>
          </w:p>
        </w:tc>
        <w:tc>
          <w:tcPr>
            <w:tcW w:w="3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(3,707)</w:t>
            </w:r>
          </w:p>
        </w:tc>
      </w:tr>
      <w:tr>
        <w:trPr>
          <w:trHeight w:val="189"/>
        </w:trPr>
        <w:tc>
          <w:tcPr>
            <w:tcW w:w="5280" w:type="dxa"/>
            <w:vAlign w:val="bottom"/>
          </w:tcPr>
          <w:p>
            <w:pPr>
              <w:ind w:left="220"/>
              <w:spacing w:after="0" w:line="189" w:lineRule="exact"/>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6"/>
                <w:szCs w:val="16"/>
                <w:color w:val="auto"/>
              </w:rPr>
            </w:pPr>
          </w:p>
        </w:tc>
        <w:tc>
          <w:tcPr>
            <w:tcW w:w="14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(812)</w:t>
            </w:r>
          </w:p>
        </w:tc>
        <w:tc>
          <w:tcPr>
            <w:tcW w:w="32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Arial" w:cs="Arial" w:eastAsia="Arial" w:hAnsi="Arial"/>
                <w:sz w:val="18"/>
                <w:szCs w:val="18"/>
                <w:color w:val="auto"/>
              </w:rPr>
              <w:t>812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22,892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22,892</w:t>
            </w:r>
          </w:p>
        </w:tc>
        <w:tc>
          <w:tcPr>
            <w:tcW w:w="8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change in classification had no impact on the Company’s pretax earnings, earnings per share, net cash provided by operating activities or balance sheets in any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the Company remain uncertain and will depend on certain future developments, including the duration, scope and severity of the pandemic and the effects of new variants of COVID-19, some of which may be more virulent or transmissible than the initial strain; its impact on the Company’s employees, customers and suppliers; the range and timing of government mandated restrictions and other measures; and the success of the deployment and widespread adoption of approved COVID-19 vaccines and their effectiveness. This uncertainty could have a material impact on the accounting estimates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assumptions utilized to prepare the Company’s consolidated financial statements in future reporting periods, which could result in a material adverse impact on the Company’s financial position,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first quarter of fiscal 2021, the Company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The Company’s allowance for doubtful accounts represents its estimate of expected credit losses related to its trade receivables. To estimate the allowance for doubtful accounts, the Company leverages information on historical losses, current conditions, and reasonable and supportable forecasts of future conditions. Account balances are written off against the allowance when the Company deems the amount is uncollectible. The adoption of this standard did not have a material impact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4"/>
        </w:trPr>
        <w:tc>
          <w:tcPr>
            <w:tcW w:w="8180" w:type="dxa"/>
            <w:vAlign w:val="bottom"/>
          </w:tcPr>
          <w:p>
            <w:pPr>
              <w:spacing w:after="0"/>
              <w:rPr>
                <w:sz w:val="24"/>
                <w:szCs w:val="24"/>
                <w:color w:val="auto"/>
              </w:rPr>
            </w:pPr>
          </w:p>
        </w:tc>
        <w:tc>
          <w:tcPr>
            <w:tcW w:w="3060" w:type="dxa"/>
            <w:vAlign w:val="bottom"/>
            <w:gridSpan w:val="4"/>
          </w:tcPr>
          <w:p>
            <w:pPr>
              <w:jc w:val="right"/>
              <w:ind w:right="450"/>
              <w:spacing w:after="0"/>
              <w:rPr>
                <w:sz w:val="20"/>
                <w:szCs w:val="20"/>
                <w:color w:val="auto"/>
              </w:rPr>
            </w:pPr>
            <w:r>
              <w:rPr>
                <w:rFonts w:ascii="Arial" w:cs="Arial" w:eastAsia="Arial" w:hAnsi="Arial"/>
                <w:sz w:val="18"/>
                <w:szCs w:val="18"/>
                <w:color w:val="auto"/>
              </w:rPr>
              <w:t>For the three months ended</w:t>
            </w:r>
          </w:p>
        </w:tc>
      </w:tr>
      <w:tr>
        <w:trPr>
          <w:trHeight w:val="217"/>
        </w:trPr>
        <w:tc>
          <w:tcPr>
            <w:tcW w:w="8180" w:type="dxa"/>
            <w:vAlign w:val="bottom"/>
          </w:tcPr>
          <w:p>
            <w:pPr>
              <w:spacing w:after="0"/>
              <w:rPr>
                <w:sz w:val="18"/>
                <w:szCs w:val="18"/>
                <w:color w:val="auto"/>
              </w:rPr>
            </w:pPr>
          </w:p>
        </w:tc>
        <w:tc>
          <w:tcPr>
            <w:tcW w:w="20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8"/>
                <w:szCs w:val="18"/>
                <w:color w:val="auto"/>
              </w:rPr>
            </w:pPr>
          </w:p>
        </w:tc>
      </w:tr>
      <w:tr>
        <w:trPr>
          <w:trHeight w:val="183"/>
        </w:trPr>
        <w:tc>
          <w:tcPr>
            <w:tcW w:w="81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4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46 %</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4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29</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46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14</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4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10</w:t>
            </w:r>
          </w:p>
        </w:tc>
      </w:tr>
      <w:tr>
        <w:trPr>
          <w:trHeight w:val="189"/>
        </w:trPr>
        <w:tc>
          <w:tcPr>
            <w:tcW w:w="8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46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1</w:t>
            </w: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8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ind w:left="660" w:right="8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$17.8 million and $12.2 million as of March 31, 2021 and December 31, 2020, respectively. Revenues recognized during the three-month period ended March 31, 2021 that were included in the customer deposit balance as of the beginning of the period were $10.4 million.</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extends financing to qualified professional customers who apply for credit. Customers who qualify for an account receive 30-day payment terms. The accounts receivable balance was $3.0 million on both March 31, 2021 and December 31, 2020.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March 31, 2021 and December 31, 2020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current accrued liabilities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4,957</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4,024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3,441</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March 31, 2021 and December 31,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69,459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72,619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1,677</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70,972</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74,296</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$0.7 million and $0.6 million as of March 31, 2021 and December 31,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Company's effective tax rate on net income before taxes for the three months ended March 31, 2021 and 2020 was 21.4% and (100.6)%, respectively. The Company’s effective tax rate during the three months ended March 31, 2020 included adjustments resulting from the enactment of the Coronavirus Aid, Relief, and Economic Security Act (the CARES Act), which gave the Company the ability to carry back federal net operating losses to years with a federal statutory rate of 35%. The Company’s effective tax rate during the three months ended March 31, 2021 included a $0.3 million tax benefit associated with restricted stock award vestings that occurred during the quarter.</w:t>
      </w:r>
    </w:p>
    <w:p>
      <w:pPr>
        <w:spacing w:after="0" w:line="148"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March 31, 2021 and 2020, the Company had not recognized any liabilities for uncertain tax positions, nor had interest and penalties related to uncertain tax positions been accrued.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240" w:type="dxa"/>
            <w:vAlign w:val="bottom"/>
          </w:tcPr>
          <w:p>
            <w:pPr>
              <w:spacing w:after="0"/>
              <w:rPr>
                <w:sz w:val="24"/>
                <w:szCs w:val="24"/>
                <w:color w:val="auto"/>
              </w:rPr>
            </w:pPr>
          </w:p>
        </w:tc>
        <w:tc>
          <w:tcPr>
            <w:tcW w:w="6000" w:type="dxa"/>
            <w:vAlign w:val="bottom"/>
            <w:gridSpan w:val="9"/>
          </w:tcPr>
          <w:p>
            <w:pPr>
              <w:jc w:val="right"/>
              <w:ind w:right="90"/>
              <w:spacing w:after="0"/>
              <w:rPr>
                <w:sz w:val="20"/>
                <w:szCs w:val="20"/>
                <w:color w:val="auto"/>
              </w:rPr>
            </w:pPr>
            <w:r>
              <w:rPr>
                <w:rFonts w:ascii="Arial" w:cs="Arial" w:eastAsia="Arial" w:hAnsi="Arial"/>
                <w:sz w:val="18"/>
                <w:szCs w:val="18"/>
                <w:color w:val="auto"/>
              </w:rPr>
              <w:t>(dollars in thousands, except per share</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5"/>
          </w:tcPr>
          <w:p>
            <w:pPr>
              <w:jc w:val="right"/>
              <w:ind w:right="47"/>
              <w:spacing w:after="0" w:line="189" w:lineRule="exact"/>
              <w:rPr>
                <w:sz w:val="20"/>
                <w:szCs w:val="20"/>
                <w:color w:val="auto"/>
              </w:rPr>
            </w:pPr>
            <w:r>
              <w:rPr>
                <w:rFonts w:ascii="Arial" w:cs="Arial" w:eastAsia="Arial" w:hAnsi="Arial"/>
                <w:sz w:val="18"/>
                <w:szCs w:val="18"/>
                <w:color w:val="auto"/>
              </w:rPr>
              <w:t>data)</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right="90"/>
              <w:spacing w:after="0" w:line="189" w:lineRule="exact"/>
              <w:rPr>
                <w:sz w:val="20"/>
                <w:szCs w:val="20"/>
                <w:color w:val="auto"/>
              </w:rPr>
            </w:pPr>
            <w:r>
              <w:rPr>
                <w:rFonts w:ascii="Arial" w:cs="Arial" w:eastAsia="Arial" w:hAnsi="Arial"/>
                <w:sz w:val="18"/>
                <w:szCs w:val="18"/>
                <w:color w:val="auto"/>
                <w:w w:val="88"/>
              </w:rPr>
              <w:t>For the three months ended</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50,105,825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49,842,072</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3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950,973</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3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51,056,798</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49,842,072</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3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3300" w:type="dxa"/>
            <w:vAlign w:val="bottom"/>
            <w:gridSpan w:val="3"/>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20" w:type="dxa"/>
            <w:vAlign w:val="bottom"/>
          </w:tcPr>
          <w:p>
            <w:pPr>
              <w:spacing w:after="0"/>
              <w:rPr>
                <w:sz w:val="16"/>
                <w:szCs w:val="16"/>
                <w:color w:val="auto"/>
              </w:rPr>
            </w:pPr>
          </w:p>
        </w:tc>
        <w:tc>
          <w:tcPr>
            <w:tcW w:w="2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3300" w:type="dxa"/>
            <w:vAlign w:val="bottom"/>
            <w:gridSpan w:val="3"/>
            <w:shd w:val="clear" w:color="auto" w:fill="CCEEFF"/>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7"/>
              </w:rPr>
              <w:t>Anti-dilutive securities excluded from earnings per share calculation</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1,192,885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2,065,632</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3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17,763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5,700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3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6,767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6,454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3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6,584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183"/>
        </w:trPr>
        <w:tc>
          <w:tcPr>
            <w:tcW w:w="524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3100" w:type="dxa"/>
            <w:vAlign w:val="bottom"/>
          </w:tcPr>
          <w:p>
            <w:pPr>
              <w:spacing w:after="0"/>
              <w:rPr>
                <w:sz w:val="15"/>
                <w:szCs w:val="15"/>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43,268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00" w:type="dxa"/>
            <w:vAlign w:val="bottom"/>
            <w:vMerge w:val="restart"/>
          </w:tcPr>
          <w:p>
            <w:pPr>
              <w:jc w:val="right"/>
              <w:ind w:right="253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March 31, 2021 the base interest rate was 4.00% and the LIBOR-based interest rate was 1.86%. The Company had no borrowings outstanding on its revolving line of credit as of March 31, 2021. In addition, the Company has standby letters of credit outstanding related to its workers’ compensation and medical insurance policies. Standby letters of credit totaled $2.4 million as of both March 31, 2021 and December 31, 2020. There was $97.6 million available for borrowing on the revolving line of credit as of March 31, 2021, which may be used to support the Company’s growth and for working capital purposes.</w:t>
      </w:r>
    </w:p>
    <w:p>
      <w:pPr>
        <w:spacing w:after="0" w:line="14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March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Following the onset of COVID-19 in 2020, the Company worked with its landlords to defer rent payments for many of its retail locations throughout the second quarter of 2020. As of December 31, 2020, the deferred rent balance was $2.1 million. During the three months ended March 31, 2021, the Company repaid $1.0 million of the deferred rent balance to its landlords. As of March 31, 2021, the deferred rent balance was $1.1 million. The deferred rent balance is recorded as a liability within the current portion of lease liability balance.</w:t>
      </w: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5"/>
                <w:szCs w:val="15"/>
                <w:color w:val="auto"/>
              </w:rPr>
            </w:pPr>
          </w:p>
        </w:tc>
        <w:tc>
          <w:tcPr>
            <w:tcW w:w="1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2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Classification</w:t>
            </w:r>
          </w:p>
        </w:tc>
        <w:tc>
          <w:tcPr>
            <w:tcW w:w="2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82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2820" w:type="dxa"/>
            <w:vAlign w:val="bottom"/>
          </w:tcPr>
          <w:p>
            <w:pPr>
              <w:ind w:left="460"/>
              <w:spacing w:after="0" w:line="189" w:lineRule="exact"/>
              <w:rPr>
                <w:sz w:val="20"/>
                <w:szCs w:val="20"/>
                <w:color w:val="auto"/>
              </w:rPr>
            </w:pPr>
            <w:r>
              <w:rPr>
                <w:rFonts w:ascii="Arial" w:cs="Arial" w:eastAsia="Arial" w:hAnsi="Arial"/>
                <w:sz w:val="18"/>
                <w:szCs w:val="18"/>
                <w:color w:val="auto"/>
              </w:rPr>
              <w:t>Right of use asset</w:t>
            </w:r>
          </w:p>
        </w:tc>
        <w:tc>
          <w:tcPr>
            <w:tcW w:w="3160" w:type="dxa"/>
            <w:vAlign w:val="bottom"/>
            <w:gridSpan w:val="2"/>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127,395</w:t>
            </w:r>
          </w:p>
        </w:tc>
        <w:tc>
          <w:tcPr>
            <w:tcW w:w="14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183"/>
        </w:trPr>
        <w:tc>
          <w:tcPr>
            <w:tcW w:w="26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2820" w:type="dxa"/>
            <w:vAlign w:val="bottom"/>
            <w:tcBorders>
              <w:top w:val="single" w:sz="8" w:color="CCEEFF"/>
              <w:bottom w:val="single" w:sz="8" w:color="CCEEFF"/>
            </w:tcBorders>
            <w:shd w:val="clear" w:color="auto" w:fill="CCEEFF"/>
          </w:tcPr>
          <w:p>
            <w:pPr>
              <w:spacing w:after="0"/>
              <w:rPr>
                <w:sz w:val="15"/>
                <w:szCs w:val="15"/>
                <w:color w:val="auto"/>
              </w:rPr>
            </w:pPr>
          </w:p>
        </w:tc>
        <w:tc>
          <w:tcPr>
            <w:tcW w:w="29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127,395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28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282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94"/>
              </w:rPr>
              <w:t>Current portion of lease liability</w:t>
            </w:r>
          </w:p>
        </w:tc>
        <w:tc>
          <w:tcPr>
            <w:tcW w:w="316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29,440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27,223</w:t>
            </w:r>
          </w:p>
        </w:tc>
        <w:tc>
          <w:tcPr>
            <w:tcW w:w="0" w:type="dxa"/>
            <w:vAlign w:val="bottom"/>
          </w:tcPr>
          <w:p>
            <w:pPr>
              <w:spacing w:after="0"/>
              <w:rPr>
                <w:sz w:val="1"/>
                <w:szCs w:val="1"/>
                <w:color w:val="auto"/>
              </w:rPr>
            </w:pPr>
          </w:p>
        </w:tc>
      </w:tr>
      <w:tr>
        <w:trPr>
          <w:trHeight w:val="189"/>
        </w:trPr>
        <w:tc>
          <w:tcPr>
            <w:tcW w:w="268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282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Long-term lease liability, net</w:t>
            </w:r>
          </w:p>
        </w:tc>
        <w:tc>
          <w:tcPr>
            <w:tcW w:w="29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116,357</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122,678</w:t>
            </w:r>
          </w:p>
        </w:tc>
        <w:tc>
          <w:tcPr>
            <w:tcW w:w="0" w:type="dxa"/>
            <w:vAlign w:val="bottom"/>
          </w:tcPr>
          <w:p>
            <w:pPr>
              <w:spacing w:after="0"/>
              <w:rPr>
                <w:sz w:val="1"/>
                <w:szCs w:val="1"/>
                <w:color w:val="auto"/>
              </w:rPr>
            </w:pPr>
          </w:p>
        </w:tc>
      </w:tr>
      <w:tr>
        <w:trPr>
          <w:trHeight w:val="183"/>
        </w:trPr>
        <w:tc>
          <w:tcPr>
            <w:tcW w:w="268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28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145,797</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149,901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2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Classification</w:t>
            </w:r>
          </w:p>
        </w:tc>
        <w:tc>
          <w:tcPr>
            <w:tcW w:w="2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March 31, 2020</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282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rPr>
              <w:t>SG&amp;A expenses</w:t>
            </w:r>
          </w:p>
        </w:tc>
        <w:tc>
          <w:tcPr>
            <w:tcW w:w="3160" w:type="dxa"/>
            <w:vAlign w:val="bottom"/>
            <w:gridSpan w:val="2"/>
            <w:shd w:val="clear" w:color="auto" w:fill="CCEEFF"/>
          </w:tcPr>
          <w:p>
            <w:pPr>
              <w:jc w:val="right"/>
              <w:ind w:right="27"/>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8,478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189"/>
        </w:trPr>
        <w:tc>
          <w:tcPr>
            <w:tcW w:w="268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282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SG&amp;A expenses</w:t>
            </w:r>
          </w:p>
        </w:tc>
        <w:tc>
          <w:tcPr>
            <w:tcW w:w="2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268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2820" w:type="dxa"/>
            <w:vAlign w:val="bottom"/>
          </w:tcPr>
          <w:p>
            <w:pPr>
              <w:ind w:left="460"/>
              <w:spacing w:after="0" w:line="189" w:lineRule="exact"/>
              <w:rPr>
                <w:sz w:val="20"/>
                <w:szCs w:val="20"/>
                <w:color w:val="auto"/>
              </w:rPr>
            </w:pPr>
            <w:r>
              <w:rPr>
                <w:rFonts w:ascii="Arial" w:cs="Arial" w:eastAsia="Arial" w:hAnsi="Arial"/>
                <w:sz w:val="18"/>
                <w:szCs w:val="18"/>
                <w:color w:val="auto"/>
              </w:rPr>
              <w:t>Interest expense</w:t>
            </w: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2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SG&amp;A expenses</w:t>
            </w:r>
          </w:p>
        </w:tc>
        <w:tc>
          <w:tcPr>
            <w:tcW w:w="2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2820" w:type="dxa"/>
            <w:vAlign w:val="bottom"/>
            <w:tcBorders>
              <w:bottom w:val="single" w:sz="8" w:color="CCEEFF"/>
            </w:tcBorders>
          </w:tcPr>
          <w:p>
            <w:pPr>
              <w:ind w:left="460"/>
              <w:spacing w:after="0" w:line="189" w:lineRule="exact"/>
              <w:rPr>
                <w:sz w:val="20"/>
                <w:szCs w:val="20"/>
                <w:color w:val="auto"/>
              </w:rPr>
            </w:pPr>
            <w:r>
              <w:rPr>
                <w:rFonts w:ascii="Arial" w:cs="Arial" w:eastAsia="Arial" w:hAnsi="Arial"/>
                <w:sz w:val="18"/>
                <w:szCs w:val="18"/>
                <w:color w:val="auto"/>
              </w:rPr>
              <w:t>SG&amp;A expenses</w:t>
            </w:r>
          </w:p>
        </w:tc>
        <w:tc>
          <w:tcPr>
            <w:tcW w:w="2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83"/>
        </w:trPr>
        <w:tc>
          <w:tcPr>
            <w:tcW w:w="2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282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12,310</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980" w:type="dxa"/>
            <w:vAlign w:val="bottom"/>
            <w:vMerge w:val="restart"/>
          </w:tcPr>
          <w:p>
            <w:pPr>
              <w:jc w:val="right"/>
              <w:ind w:right="2670"/>
              <w:spacing w:after="0"/>
              <w:rPr>
                <w:sz w:val="20"/>
                <w:szCs w:val="20"/>
                <w:color w:val="auto"/>
              </w:rPr>
            </w:pPr>
            <w:r>
              <w:rPr>
                <w:rFonts w:ascii="Arial" w:cs="Arial" w:eastAsia="Arial" w:hAnsi="Arial"/>
                <w:sz w:val="18"/>
                <w:szCs w:val="18"/>
                <w:color w:val="auto"/>
                <w:w w:val="99"/>
              </w:rPr>
              <w:t>12</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720" w:type="dxa"/>
            <w:vAlign w:val="bottom"/>
            <w:gridSpan w:val="4"/>
          </w:tcPr>
          <w:p>
            <w:pPr>
              <w:jc w:val="right"/>
              <w:ind w:right="1170"/>
              <w:spacing w:after="0"/>
              <w:rPr>
                <w:sz w:val="20"/>
                <w:szCs w:val="20"/>
                <w:color w:val="auto"/>
              </w:rPr>
            </w:pPr>
            <w:r>
              <w:rPr>
                <w:rFonts w:ascii="Arial" w:cs="Arial" w:eastAsia="Arial" w:hAnsi="Arial"/>
                <w:sz w:val="18"/>
                <w:szCs w:val="18"/>
                <w:color w:val="auto"/>
              </w:rPr>
              <w:t>Three months ended</w:t>
            </w:r>
          </w:p>
        </w:tc>
      </w:tr>
      <w:tr>
        <w:trPr>
          <w:trHeight w:val="217"/>
        </w:trPr>
        <w:tc>
          <w:tcPr>
            <w:tcW w:w="6160" w:type="dxa"/>
            <w:vAlign w:val="bottom"/>
          </w:tcPr>
          <w:p>
            <w:pPr>
              <w:spacing w:after="0"/>
              <w:rPr>
                <w:sz w:val="20"/>
                <w:szCs w:val="20"/>
                <w:color w:val="auto"/>
              </w:rPr>
            </w:pPr>
            <w:r>
              <w:rPr>
                <w:rFonts w:ascii="Arial" w:cs="Arial" w:eastAsia="Arial" w:hAnsi="Arial"/>
                <w:sz w:val="18"/>
                <w:szCs w:val="18"/>
                <w:color w:val="auto"/>
              </w:rPr>
              <w:t>Other Information (in thousands)</w:t>
            </w:r>
          </w:p>
        </w:tc>
        <w:tc>
          <w:tcPr>
            <w:tcW w:w="13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March 31, 2021</w:t>
            </w:r>
          </w:p>
        </w:tc>
        <w:tc>
          <w:tcPr>
            <w:tcW w:w="280" w:type="dxa"/>
            <w:vAlign w:val="bottom"/>
          </w:tcPr>
          <w:p>
            <w:pPr>
              <w:spacing w:after="0"/>
              <w:rPr>
                <w:sz w:val="18"/>
                <w:szCs w:val="18"/>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March 31, 2020</w:t>
            </w:r>
          </w:p>
        </w:tc>
      </w:tr>
      <w:tr>
        <w:trPr>
          <w:trHeight w:val="183"/>
        </w:trPr>
        <w:tc>
          <w:tcPr>
            <w:tcW w:w="6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189"/>
        </w:trPr>
        <w:tc>
          <w:tcPr>
            <w:tcW w:w="616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1360" w:type="dxa"/>
            <w:vAlign w:val="bottom"/>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8,482</w:t>
            </w:r>
          </w:p>
        </w:tc>
        <w:tc>
          <w:tcPr>
            <w:tcW w:w="20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line="189" w:lineRule="exact"/>
              <w:rPr>
                <w:sz w:val="20"/>
                <w:szCs w:val="20"/>
                <w:color w:val="auto"/>
              </w:rPr>
            </w:pPr>
            <w:r>
              <w:rPr>
                <w:rFonts w:ascii="Arial" w:cs="Arial" w:eastAsia="Arial" w:hAnsi="Arial"/>
                <w:sz w:val="18"/>
                <w:szCs w:val="18"/>
                <w:color w:val="auto"/>
              </w:rPr>
              <w:t>9,067</w:t>
            </w:r>
          </w:p>
        </w:tc>
      </w:tr>
      <w:tr>
        <w:trPr>
          <w:trHeight w:val="189"/>
        </w:trPr>
        <w:tc>
          <w:tcPr>
            <w:tcW w:w="6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136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r>
      <w:tr>
        <w:trPr>
          <w:trHeight w:val="230"/>
        </w:trPr>
        <w:tc>
          <w:tcPr>
            <w:tcW w:w="6160" w:type="dxa"/>
            <w:vAlign w:val="bottom"/>
          </w:tcPr>
          <w:p>
            <w:pPr>
              <w:ind w:left="120"/>
              <w:spacing w:after="0"/>
              <w:rPr>
                <w:sz w:val="20"/>
                <w:szCs w:val="20"/>
                <w:color w:val="auto"/>
              </w:rPr>
            </w:pPr>
            <w:r>
              <w:rPr>
                <w:rFonts w:ascii="Arial" w:cs="Arial" w:eastAsia="Arial" w:hAnsi="Arial"/>
                <w:sz w:val="18"/>
                <w:szCs w:val="18"/>
                <w:color w:val="auto"/>
              </w:rPr>
              <w:t>Financing cash flows from financing leases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March 31, 2021 and December 31, 2020 according to the valuation techniques the Company uses to determine their fair values. There have been no transfers of assets among the fair value hierarchies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March 31, 2021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35,933</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No impairment charges were recorded during the three months ended March 31, 2021. During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7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7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the three months ended March 31,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and recognizes compensation expense for all stock based awards at fair value. The financial statements for the three months ended March 31, 2021 and 2020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for both the three months ended March 31, 2021 and March 31, 2020. Stock based compensation expense pertaining to stock options is included in selling, general and administrative expenses in the accompanying Consolidated Statements of Income.</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of March 31, 2021, the Company had outstanding stock options to purchase 1,002,695 shares of common stock at a weighted average exercise price of $10.96.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March 31, 2021 and March 31, 2020. Stock based compensation expense pertaining to restricted stock awards is included in selling, general and administrative expenses in the accompanying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1,693,794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34"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March 31, 2021, the balance of the contribution liability for this arrangement was $1.3 million, of which $0.5 million was classified as other accrued liabilities on the Consolidated Balance Sheet and $0.8 million was classified as other long-term liabilities on the Consolidated Balance Sheet.</w:t>
      </w:r>
    </w:p>
    <w:p>
      <w:pPr>
        <w:spacing w:after="0" w:line="158"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March 31, 2021, the remaining balance in the Investment Fund available for reimbursement to the Company was $0.7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July 9, 2018, Fumitake Nishi, a former Company employee and the brother-in-law of Robert A. Rucker, the Company’s former Interim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and President, former member of the Company’s Board of Directors, and holder of more than 5% of the Company’s common stock as of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 informed the Company he had reacquired a majority of the equity of one of its key vendors, Nanyang Helin Stone Co. Ltd (“Nanyang”). Mr. Nishi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also has an ownership interest in Tilestyling Co. Ltd (“Tile Style”), a vendor from which the Company started acquiring product in 2020. Nanyang and Tile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Style supply the Company with natural stone products, including hand-crafted mosaics, listellos and other accessories. The Company paid $7.6 million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Nanyang in connection with purchases made during the year ended December 31, 2020. During the three months ended March 31, 2021, the Company</w:t>
      </w:r>
    </w:p>
    <w:p>
      <w:pPr>
        <w:spacing w:after="0" w:line="238" w:lineRule="auto"/>
        <w:rPr>
          <w:sz w:val="20"/>
          <w:szCs w:val="20"/>
          <w:color w:val="auto"/>
        </w:rPr>
      </w:pPr>
      <w:r>
        <w:rPr>
          <w:rFonts w:ascii="Arial" w:cs="Arial" w:eastAsia="Arial" w:hAnsi="Arial"/>
          <w:sz w:val="17"/>
          <w:szCs w:val="17"/>
          <w:color w:val="auto"/>
        </w:rPr>
        <w:t>purchased $1.9 million of products from Nanyang. As of March 31, 2021, the accounts payable due to Nanyang was $0.2 million. The Company paid</w:t>
      </w:r>
    </w:p>
    <w:p>
      <w:pPr>
        <w:spacing w:after="0"/>
        <w:rPr>
          <w:sz w:val="20"/>
          <w:szCs w:val="20"/>
          <w:color w:val="auto"/>
        </w:rPr>
      </w:pPr>
      <w:r>
        <w:rPr>
          <w:rFonts w:ascii="Arial" w:cs="Arial" w:eastAsia="Arial" w:hAnsi="Arial"/>
          <w:sz w:val="16"/>
          <w:szCs w:val="16"/>
          <w:color w:val="auto"/>
        </w:rPr>
        <w:t>$0.7 million to Tile Style in connection with purchases made during the year ended December 31, 2020. During the three months ended March 31, 2021,</w:t>
      </w:r>
    </w:p>
    <w:p>
      <w:pPr>
        <w:spacing w:after="0" w:line="238" w:lineRule="auto"/>
        <w:rPr>
          <w:sz w:val="20"/>
          <w:szCs w:val="20"/>
          <w:color w:val="auto"/>
        </w:rPr>
      </w:pPr>
      <w:r>
        <w:rPr>
          <w:rFonts w:ascii="Arial" w:cs="Arial" w:eastAsia="Arial" w:hAnsi="Arial"/>
          <w:sz w:val="17"/>
          <w:szCs w:val="17"/>
          <w:color w:val="auto"/>
        </w:rPr>
        <w:t>the Company purchased $0.5 million of products from Tile Style. As of March 31, 2021, the accounts payable due to Tile Style was $0.1 million. Mr.</w:t>
      </w:r>
    </w:p>
    <w:p>
      <w:pPr>
        <w:spacing w:after="0"/>
        <w:rPr>
          <w:sz w:val="20"/>
          <w:szCs w:val="20"/>
          <w:color w:val="auto"/>
        </w:rPr>
      </w:pPr>
      <w:r>
        <w:rPr>
          <w:rFonts w:ascii="Arial" w:cs="Arial" w:eastAsia="Arial" w:hAnsi="Arial"/>
          <w:sz w:val="16"/>
          <w:szCs w:val="16"/>
          <w:color w:val="auto"/>
        </w:rPr>
        <w:t>Nishi’s employment with the Company was terminated on January 1, 2014 as a result of several violations of the Company’s code of business conduct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ethics policy. Certain of those violations involved his undisclosed ownership of Nanyang at that time.</w:t>
      </w:r>
    </w:p>
    <w:p>
      <w:pPr>
        <w:spacing w:after="0" w:line="15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2020 and our consolidated financial statements and related notes appearing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our ability to successfully implement our strategic plan and the anticipated benefits of our strategic plan;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on, among other things, product availability and timing of deliveries; our expectations with respect to ongoing compliance with the terms of the Credit Agreement (as defined below), including the possibility that the impact of the COVID-19 pandemic on our business may result in our inability to maintain such compliance, as well as the potential impact of the phase out of LIBOR; our ability to provide timely delivery to our customers;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enterprise resource planning (“ERP”) system; our ability to effectively manage our online sales; our ability to remediate material weaknesses in our internal control over financial reporting; costs and adequacy of insurance; the potential impact of natural disasters and other catastrophic events; risks inherent in operating as a holding company; fluctuations in material and energy costs; the potential outcome of any legal proceedings; risks related to ownership of our common stock; and those factors set forth in the section captioned “Risk Factors” in our Annual Report on Form 10-K for the year ended December 31, 2020.</w:t>
      </w:r>
    </w:p>
    <w:p>
      <w:pPr>
        <w:spacing w:after="0" w:line="14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1"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2021, we operated 143 stores in 31 states and the District of Columbia, with an average size of approximately 20,000 square feet.</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us remain uncertain and will depend on certain future developments, including the duration, scope and severity of the pandemic and the effects of new variants of COVID-19, some of which may be more virulent or transmissible than the initial strain; its impact on our employees, customers and suppliers; the range and timing of government mandated restrictions and other measures; and the success of the deployment and widespread adoption of approved COVID-19 vaccines and their effectiveness. This uncertainty could have a material impact on the accounting estimates and assumptions utilized to prepare our consolidated financial statements in future reporting periods, which could result in a material adverse impact on our financial position, results of operations and cash flows.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COVID-19 pandemic had a significant impact on our operations during 2020. For instance, we experienced a sharp decline in traffic toward the end of the first quarter of 2020 following the onset of COVID-19 in the United States. In response, we took steps to reduce selling, general and administrative (sometimes referred to as “SG&amp;A”) expenses by eliminating a portion of our workforce, reducing store hours, curtailing advertising spending, reducing the number of replenishment trucks sent from our distribution centers to our stores and limiting other SG&amp;A spending when possible. As state and local governments started lifting restrictions toward the end of the second quarter of 2020, we saw an improvement in traffic and sales trends. Throughout the remainder of 2020, we took a cautious approach to investing in activities that would increase our SG&amp;A expenses, which included operating our stores at a reduced hours schedule compared to the prior year. We also started experiencing elevated levels of product outages during second half of 2020 due to vendor production delays and other disruptions in our supply chain related to COVID-19.</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During the first quarter of fiscal 2021, we continued to operate our stores at a reduced hours schedule. While we have taken steps to expand evening hours and test Sunday hours in select stores, we continue to take a cautious approach to investing in activities that would increase our SG&amp;A expenses. We also continue to experience elevated levels of product outages, which are partially due to vendor production delays and global shipping capacity constraints resulting, in part, from the impact of COVID-19. These factors, combined with strong demand, have resulted in an increase in our backlog. Customer deposits placed on orders that were not delivered by the end of the quarter increased by $5.6 million from $12.2 million as of December 31, 2020 to $17.8 million as of March 31, 2021. We continue to actively work with our vendors to secure delivery of backordered product.</w:t>
      </w:r>
    </w:p>
    <w:p>
      <w:pPr>
        <w:spacing w:after="0" w:line="13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While we are cautiously optimistic with the current business trend and the progress made distributing COVID-19 vaccinations in recent months, a resurgence of COVID-19 cases could have a negative impact on us. Specifically, we could be adversely impacted by limitations on our employees to perform their work due to illness caused by the pandemic or local, state or federal orders requiring stores to close or employees to remain home; limitations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March 1, 2021, the Company’s Board of Directors unanimously voted to authorize the Company to apply for listing of its common stock with The Nasdaq Stock Market LLC (“Nasdaq”). The Company’s common stock is currently quoted on the Pink tier of the OTC Markets under the symbol “TTSH”. The Company has submitted its listing application. The Company’s listing application is still pending. The Company cautions its stockholders and others considering trading its securities that there is no assurance that Nasdaq will approve the Company’s listing application.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2021 Quarter Financial Overview</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For the three months ended March 31, 2021 and 2020, we reported net sales of $92.1 million and $94.3 million, respectively, due to a decrease in sales at comparable stores of 2.3%. The decrease in sales at comparable stores was primarily due to a decrease in store traffic. Our stores continued to operate at a reduced number of hours during the first quarter of 2021 when compared to the same period in 2020. Additionally, we continued to experience elevated levels of product outages, which had an adverse impact on sales during the first quarter of 2021.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about our comparable store sales (decline) growth for the three months ended March 31, 2021 and 2020.</w:t>
      </w:r>
    </w:p>
    <w:p>
      <w:pPr>
        <w:spacing w:after="0" w:line="221"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For the three months ended</w:t>
      </w:r>
    </w:p>
    <w:p>
      <w:pPr>
        <w:jc w:val="center"/>
        <w:ind w:left="8460"/>
        <w:spacing w:after="0" w:line="232" w:lineRule="auto"/>
        <w:rPr>
          <w:sz w:val="20"/>
          <w:szCs w:val="20"/>
          <w:color w:val="auto"/>
        </w:rPr>
      </w:pPr>
      <w:r>
        <w:rPr>
          <w:rFonts w:ascii="Arial" w:cs="Arial" w:eastAsia="Arial" w:hAnsi="Arial"/>
          <w:sz w:val="18"/>
          <w:szCs w:val="18"/>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8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(decline) growth</w:t>
            </w:r>
          </w:p>
        </w:tc>
        <w:tc>
          <w:tcPr>
            <w:tcW w:w="12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(2.3) %</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6.7%</w:t>
            </w:r>
          </w:p>
        </w:tc>
      </w:tr>
    </w:tbl>
    <w:p>
      <w:pPr>
        <w:spacing w:after="0" w:line="16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For the three months ended March 31, 2021 and 2020, we reported gross profit of $64.2 million and $65.0 million, respectively. The gross margin rate was 69.7% and 68.9% for the three months ended March 31, 2021 and 2020, respectively. The increase in gross margin rate was primarily driven by better pricing and an improvement in customer delivery collection rates and partially offset by a higher mix of freight delivery services during the three months ended March 31, 2021 compared to the three months ended March 31, 2020.</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For the three months ended March 31, 2021 and 2020, we reported income from operations of $6.9 million and $2.6 million, respectively. The increase in income from operations was primarily driven by a $5.1 million decrease in selling, general and administrative expenses, which was partially offset by the margin contribution from lower sales levels. The decrease in SG&amp;A expenses was partially due to a decrease in store hours during the first quarter of 2021 when compared to the first quarter of 2020, which contributed to a $1.5 million reduction in compensation and benefits expenses. In addition, during the three months ended March 31, 2020, the Company recorded $2.2 million of asset impairment charges and $1.1 million of legal costs incurred in connection with shareholder litigation in SG&amp;A expenses. The Company did not record any asset impairment charges or incur any legal costs in connection with shareholder litigation during the three months ended March 31, 2021.</w:t>
      </w:r>
    </w:p>
    <w:p>
      <w:pPr>
        <w:spacing w:after="0" w:line="149" w:lineRule="exact"/>
        <w:rPr>
          <w:sz w:val="20"/>
          <w:szCs w:val="20"/>
          <w:color w:val="auto"/>
        </w:rPr>
      </w:pPr>
    </w:p>
    <w:p>
      <w:pPr>
        <w:ind w:right="760"/>
        <w:spacing w:after="0" w:line="438" w:lineRule="auto"/>
        <w:rPr>
          <w:sz w:val="20"/>
          <w:szCs w:val="20"/>
          <w:color w:val="auto"/>
        </w:rPr>
      </w:pPr>
      <w:r>
        <w:rPr>
          <w:rFonts w:ascii="Arial" w:cs="Arial" w:eastAsia="Arial" w:hAnsi="Arial"/>
          <w:sz w:val="18"/>
          <w:szCs w:val="18"/>
          <w:color w:val="auto"/>
        </w:rPr>
        <w:t xml:space="preserve">Net cash provided by operating activities was $30.1 million and $22.9 million for the three months ended March 31, 2021 and 2020, respectively. </w:t>
      </w:r>
      <w:r>
        <w:rPr>
          <w:rFonts w:ascii="Arial" w:cs="Arial" w:eastAsia="Arial" w:hAnsi="Arial"/>
          <w:sz w:val="18"/>
          <w:szCs w:val="18"/>
          <w:b w:val="1"/>
          <w:bCs w:val="1"/>
          <w:color w:val="auto"/>
        </w:rPr>
        <w:t>Key Components of our Consolidated Statements of Income</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March 31, 2021 to the three months ended 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5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2"/>
                <w:szCs w:val="22"/>
                <w:color w:val="auto"/>
              </w:rPr>
            </w:pPr>
          </w:p>
        </w:tc>
        <w:tc>
          <w:tcPr>
            <w:tcW w:w="1280" w:type="dxa"/>
            <w:vAlign w:val="bottom"/>
            <w:gridSpan w:val="2"/>
          </w:tcPr>
          <w:p>
            <w:pPr>
              <w:jc w:val="right"/>
              <w:ind w:right="9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92,084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94,279</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27,898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30.3</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29,324</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64,186</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69.7</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64,955</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68.9</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57,278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62.2</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62,361</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6,908</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2,594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(168)</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(848)</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(0.9)%</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6,740</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1,746</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(1,443)</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1,756</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32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5.8 %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3,502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3.7 %</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first quarter of 2021 decreased $2.2 million, or 2.3%, compared with the first quarter of 2020, primarily due to a 2.3%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sales generated by comparable stores. The decrease in sales at comparable stores was primarily due to a decrease in store traffic. Our stores continued to operate at a reduced number of hours during the first quarter of 2021 when compared to the same period in 2020. Additionally, we continued to experience elevated levels of product outages, which had an adverse impact on sales during the first quarter of 2021.</w:t>
      </w:r>
    </w:p>
    <w:p>
      <w:pPr>
        <w:spacing w:after="0" w:line="14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first quarter of 2021 decreased $0.8 million, or 1.2%, compared with the first quarter of 2020 primarily due to a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sales. The gross margin rate was 69.7% and 68.9% for the three months ended March 31, 2021 and 2020, respectively. The increase in gross margin rate was primarily driven by better pricing and an improvement in customer delivery collection rates and partially offset by a higher mix of freight delivery services during the three months ended March 31, 2021 compared to the three months ended March 31, 2020.</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first quarter of 2021 decreased $5.1 million, or 8.2%,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with the first quarter of 2020. The decrease in SG&amp;A expenses was partially due to a decrease in store hours during the first quarter of 2021 when compared to the first quarter of 2020, which contributed to a $1.5 million reduction in compensation and benefits expenses. In addition, during the three months ended March 31, 2020, the Company recorded $2.2 million of asset impairment charges and $1.1 million of legal costs incurred in connection with shareholder litigation in SG&amp;A expenses. The Company did not record any asset impairment charges or incur any legal costs in connection with shareholder litigation during the three months ended March 31, 2021.</w:t>
      </w:r>
    </w:p>
    <w:p>
      <w:pPr>
        <w:spacing w:after="0" w:line="15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$0.2 million and $0.8 million for the first quarter of 2021 and 2020, respectively. The decrease was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outstanding debt during the first quarter of 2021 as compared to the first quarter of 2020.</w:t>
      </w:r>
    </w:p>
    <w:p>
      <w:pPr>
        <w:spacing w:after="0" w:line="14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$3.2 million for the first quarter of 2021 compared with the first quarter of 2020.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for the three months ended March 31, 2021 and 2020 was 21.4% and (100.6)%, respectively. The Company’s effective tax rate during the three months ended March 31, 2020 included adjustments resulting from the enactment of the Coronavirus Aid, Relief, and Economic Security Act (the CARES Act), which gave the Company the ability to carry back federal net operating losses to years with a federal statutory rate of 35%. The Company’s effective tax rate during the three months ended March 31, 2021 included a $0.3 million tax benefit associated with restricted stock award vestings that occurred during the quarter.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months ended March 31, 2021 and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7"/>
          </w:tcPr>
          <w:p>
            <w:pPr>
              <w:ind w:left="600"/>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7"/>
          </w:tcPr>
          <w:p>
            <w:pPr>
              <w:jc w:val="center"/>
              <w:spacing w:after="0" w:line="189" w:lineRule="exact"/>
              <w:rPr>
                <w:sz w:val="20"/>
                <w:szCs w:val="20"/>
                <w:color w:val="auto"/>
              </w:rPr>
            </w:pPr>
            <w:r>
              <w:rPr>
                <w:rFonts w:ascii="Arial" w:cs="Arial" w:eastAsia="Arial" w:hAnsi="Arial"/>
                <w:sz w:val="18"/>
                <w:szCs w:val="18"/>
                <w:color w:val="auto"/>
                <w:w w:val="90"/>
              </w:rPr>
              <w:t>Three Months Ended</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7"/>
        </w:trPr>
        <w:tc>
          <w:tcPr>
            <w:tcW w:w="6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center"/>
              <w:ind w:right="74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50"/>
        </w:trPr>
        <w:tc>
          <w:tcPr>
            <w:tcW w:w="6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1160" w:type="dxa"/>
            <w:vAlign w:val="bottom"/>
            <w:gridSpan w:val="4"/>
          </w:tcPr>
          <w:p>
            <w:pPr>
              <w:ind w:left="180"/>
              <w:spacing w:after="0"/>
              <w:rPr>
                <w:sz w:val="20"/>
                <w:szCs w:val="20"/>
                <w:color w:val="auto"/>
              </w:rPr>
            </w:pPr>
            <w:r>
              <w:rPr>
                <w:rFonts w:ascii="Arial" w:cs="Arial" w:eastAsia="Arial" w:hAnsi="Arial"/>
                <w:sz w:val="18"/>
                <w:szCs w:val="18"/>
                <w:color w:val="auto"/>
              </w:rPr>
              <w:t>% of sales</w:t>
            </w:r>
          </w:p>
        </w:tc>
        <w:tc>
          <w:tcPr>
            <w:tcW w:w="20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120" w:type="dxa"/>
            <w:vAlign w:val="bottom"/>
            <w:gridSpan w:val="2"/>
          </w:tcPr>
          <w:p>
            <w:pPr>
              <w:jc w:val="right"/>
              <w:ind w:right="10"/>
              <w:spacing w:after="0" w:line="250" w:lineRule="exact"/>
              <w:rPr>
                <w:sz w:val="20"/>
                <w:szCs w:val="20"/>
                <w:color w:val="auto"/>
              </w:rPr>
            </w:pPr>
            <w:r>
              <w:rPr>
                <w:rFonts w:ascii="Arial" w:cs="Arial" w:eastAsia="Arial" w:hAnsi="Arial"/>
                <w:sz w:val="17"/>
                <w:szCs w:val="17"/>
                <w:color w:val="auto"/>
                <w:w w:val="98"/>
              </w:rPr>
              <w:t>% of sales</w:t>
            </w:r>
            <w:r>
              <w:rPr>
                <w:rFonts w:ascii="Arial" w:cs="Arial" w:eastAsia="Arial" w:hAnsi="Arial"/>
                <w:sz w:val="28"/>
                <w:szCs w:val="28"/>
                <w:color w:val="auto"/>
                <w:w w:val="98"/>
                <w:vertAlign w:val="superscript"/>
              </w:rPr>
              <w:t>(1)</w:t>
            </w:r>
          </w:p>
        </w:tc>
      </w:tr>
      <w:tr>
        <w:trPr>
          <w:trHeight w:val="183"/>
        </w:trPr>
        <w:tc>
          <w:tcPr>
            <w:tcW w:w="6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5.8 %</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3,502</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3.7 %</w:t>
            </w:r>
          </w:p>
        </w:tc>
      </w:tr>
      <w:tr>
        <w:trPr>
          <w:trHeight w:val="189"/>
        </w:trPr>
        <w:tc>
          <w:tcPr>
            <w:tcW w:w="68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168</w:t>
            </w: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848</w:t>
            </w:r>
          </w:p>
        </w:tc>
        <w:tc>
          <w:tcPr>
            <w:tcW w:w="100" w:type="dxa"/>
            <w:vAlign w:val="bottom"/>
          </w:tcPr>
          <w:p>
            <w:pPr>
              <w:spacing w:after="0"/>
              <w:rPr>
                <w:sz w:val="16"/>
                <w:szCs w:val="16"/>
                <w:color w:val="auto"/>
              </w:rPr>
            </w:pPr>
          </w:p>
        </w:tc>
        <w:tc>
          <w:tcPr>
            <w:tcW w:w="11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0.9 %</w:t>
            </w:r>
          </w:p>
        </w:tc>
      </w:tr>
      <w:tr>
        <w:trPr>
          <w:trHeight w:val="189"/>
        </w:trPr>
        <w:tc>
          <w:tcPr>
            <w:tcW w:w="6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(1,756)</w:t>
            </w:r>
          </w:p>
        </w:tc>
        <w:tc>
          <w:tcPr>
            <w:tcW w:w="112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(1.9)%</w:t>
            </w:r>
          </w:p>
        </w:tc>
      </w:tr>
      <w:tr>
        <w:trPr>
          <w:trHeight w:val="189"/>
        </w:trPr>
        <w:tc>
          <w:tcPr>
            <w:tcW w:w="68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7,194</w:t>
            </w: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7.8</w:t>
            </w:r>
          </w:p>
        </w:tc>
        <w:tc>
          <w:tcPr>
            <w:tcW w:w="32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8,215</w:t>
            </w:r>
          </w:p>
        </w:tc>
        <w:tc>
          <w:tcPr>
            <w:tcW w:w="100" w:type="dxa"/>
            <w:vAlign w:val="bottom"/>
          </w:tcPr>
          <w:p>
            <w:pPr>
              <w:spacing w:after="0"/>
              <w:rPr>
                <w:sz w:val="16"/>
                <w:szCs w:val="16"/>
                <w:color w:val="auto"/>
              </w:rPr>
            </w:pPr>
          </w:p>
        </w:tc>
        <w:tc>
          <w:tcPr>
            <w:tcW w:w="11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8.7 %</w:t>
            </w:r>
          </w:p>
        </w:tc>
      </w:tr>
      <w:tr>
        <w:trPr>
          <w:trHeight w:val="189"/>
        </w:trPr>
        <w:tc>
          <w:tcPr>
            <w:tcW w:w="6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0.6 %</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0.6 %</w:t>
            </w:r>
          </w:p>
        </w:tc>
      </w:tr>
      <w:tr>
        <w:trPr>
          <w:trHeight w:val="183"/>
        </w:trPr>
        <w:tc>
          <w:tcPr>
            <w:tcW w:w="68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14,694</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16.0</w:t>
            </w:r>
          </w:p>
        </w:tc>
        <w:tc>
          <w:tcPr>
            <w:tcW w:w="260" w:type="dxa"/>
            <w:vAlign w:val="bottom"/>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11,375</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w:t>
            </w:r>
          </w:p>
        </w:tc>
        <w:tc>
          <w:tcPr>
            <w:tcW w:w="280" w:type="dxa"/>
            <w:vAlign w:val="bottom"/>
          </w:tcPr>
          <w:p>
            <w:pPr>
              <w:jc w:val="right"/>
              <w:ind w:right="30"/>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4" w:lineRule="exact"/>
        <w:rPr>
          <w:sz w:val="20"/>
          <w:szCs w:val="20"/>
          <w:color w:val="auto"/>
        </w:rPr>
      </w:pPr>
    </w:p>
    <w:p>
      <w:pPr>
        <w:ind w:left="260" w:hanging="215"/>
        <w:spacing w:after="0"/>
        <w:tabs>
          <w:tab w:leader="none" w:pos="2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pretax return on capital employed is as follows:</w:t>
      </w:r>
    </w:p>
    <w:p>
      <w:pPr>
        <w:spacing w:after="0" w:line="196" w:lineRule="exact"/>
        <w:rPr>
          <w:sz w:val="20"/>
          <w:szCs w:val="20"/>
          <w:color w:val="auto"/>
        </w:rPr>
      </w:pPr>
    </w:p>
    <w:p>
      <w:pPr>
        <w:jc w:val="center"/>
        <w:ind w:left="7640"/>
        <w:spacing w:after="0"/>
        <w:rPr>
          <w:sz w:val="20"/>
          <w:szCs w:val="20"/>
          <w:color w:val="auto"/>
        </w:rPr>
      </w:pPr>
      <w:r>
        <w:rPr>
          <w:rFonts w:ascii="Arial" w:cs="Arial" w:eastAsia="Arial" w:hAnsi="Arial"/>
          <w:sz w:val="18"/>
          <w:szCs w:val="18"/>
          <w:color w:val="auto"/>
        </w:rPr>
        <w:t>(in thousands)</w:t>
      </w:r>
    </w:p>
    <w:p>
      <w:pPr>
        <w:jc w:val="center"/>
        <w:ind w:left="7640"/>
        <w:spacing w:after="0" w:line="232" w:lineRule="auto"/>
        <w:rPr>
          <w:sz w:val="20"/>
          <w:szCs w:val="20"/>
          <w:color w:val="auto"/>
        </w:rPr>
      </w:pPr>
      <w:r>
        <w:rPr>
          <w:rFonts w:ascii="Arial" w:cs="Arial" w:eastAsia="Arial" w:hAnsi="Arial"/>
          <w:sz w:val="18"/>
          <w:szCs w:val="18"/>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60" w:type="dxa"/>
            <w:vAlign w:val="bottom"/>
            <w:tcBorders>
              <w:bottom w:val="single" w:sz="8" w:color="CCEEFF"/>
            </w:tcBorders>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2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2020</w:t>
            </w:r>
            <w:r>
              <w:rPr>
                <w:rFonts w:ascii="Arial" w:cs="Arial" w:eastAsia="Arial" w:hAnsi="Arial"/>
                <w:sz w:val="28"/>
                <w:szCs w:val="28"/>
                <w:color w:val="auto"/>
                <w:vertAlign w:val="superscript"/>
              </w:rPr>
              <w:t>(1)</w:t>
            </w:r>
          </w:p>
        </w:tc>
        <w:tc>
          <w:tcPr>
            <w:tcW w:w="400" w:type="dxa"/>
            <w:vAlign w:val="bottom"/>
            <w:tcBorders>
              <w:bottom w:val="single" w:sz="8" w:color="CCEEFF"/>
            </w:tcBorders>
          </w:tcPr>
          <w:p>
            <w:pPr>
              <w:spacing w:after="0"/>
              <w:rPr>
                <w:sz w:val="21"/>
                <w:szCs w:val="21"/>
                <w:color w:val="auto"/>
              </w:rPr>
            </w:pPr>
          </w:p>
        </w:tc>
      </w:tr>
      <w:tr>
        <w:trPr>
          <w:trHeight w:val="183"/>
        </w:trPr>
        <w:tc>
          <w:tcPr>
            <w:tcW w:w="4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 (trailing twelve months)</w:t>
            </w:r>
          </w:p>
        </w:tc>
        <w:tc>
          <w:tcPr>
            <w:tcW w:w="3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10,691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(1,657)</w:t>
            </w:r>
          </w:p>
        </w:tc>
        <w:tc>
          <w:tcPr>
            <w:tcW w:w="400" w:type="dxa"/>
            <w:vAlign w:val="bottom"/>
            <w:shd w:val="clear" w:color="auto" w:fill="CCEEFF"/>
          </w:tcPr>
          <w:p>
            <w:pPr>
              <w:spacing w:after="0"/>
              <w:rPr>
                <w:sz w:val="15"/>
                <w:szCs w:val="15"/>
                <w:color w:val="auto"/>
              </w:rPr>
            </w:pPr>
          </w:p>
        </w:tc>
      </w:tr>
      <w:tr>
        <w:trPr>
          <w:trHeight w:val="189"/>
        </w:trPr>
        <w:tc>
          <w:tcPr>
            <w:tcW w:w="4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3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358,686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401,279</w:t>
            </w:r>
          </w:p>
        </w:tc>
        <w:tc>
          <w:tcPr>
            <w:tcW w:w="400" w:type="dxa"/>
            <w:vAlign w:val="bottom"/>
            <w:shd w:val="clear" w:color="auto" w:fill="CCEEFF"/>
          </w:tcPr>
          <w:p>
            <w:pPr>
              <w:spacing w:after="0"/>
              <w:rPr>
                <w:sz w:val="16"/>
                <w:szCs w:val="16"/>
                <w:color w:val="auto"/>
              </w:rPr>
            </w:pPr>
          </w:p>
        </w:tc>
      </w:tr>
      <w:tr>
        <w:trPr>
          <w:trHeight w:val="189"/>
        </w:trPr>
        <w:tc>
          <w:tcPr>
            <w:tcW w:w="476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(15,255)</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(19,260)</w:t>
            </w:r>
          </w:p>
        </w:tc>
      </w:tr>
      <w:tr>
        <w:trPr>
          <w:trHeight w:val="189"/>
        </w:trPr>
        <w:tc>
          <w:tcPr>
            <w:tcW w:w="4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3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(44)</w:t>
            </w:r>
          </w:p>
        </w:tc>
      </w:tr>
      <w:tr>
        <w:trPr>
          <w:trHeight w:val="189"/>
        </w:trPr>
        <w:tc>
          <w:tcPr>
            <w:tcW w:w="476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(42,341)</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(25,805)</w:t>
            </w:r>
          </w:p>
        </w:tc>
      </w:tr>
      <w:tr>
        <w:trPr>
          <w:trHeight w:val="189"/>
        </w:trPr>
        <w:tc>
          <w:tcPr>
            <w:tcW w:w="47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3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(150,892)</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(160,115)</w:t>
            </w:r>
          </w:p>
        </w:tc>
      </w:tr>
      <w:tr>
        <w:trPr>
          <w:trHeight w:val="189"/>
        </w:trPr>
        <w:tc>
          <w:tcPr>
            <w:tcW w:w="476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(3,965)</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(3,917)</w:t>
            </w:r>
          </w:p>
        </w:tc>
      </w:tr>
      <w:tr>
        <w:trPr>
          <w:trHeight w:val="183"/>
        </w:trPr>
        <w:tc>
          <w:tcPr>
            <w:tcW w:w="4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3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146,092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192,138</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69"/>
        </w:trPr>
        <w:tc>
          <w:tcPr>
            <w:tcW w:w="47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3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(0.9)%</w:t>
            </w:r>
          </w:p>
        </w:tc>
      </w:tr>
      <w:tr>
        <w:trPr>
          <w:trHeight w:val="540"/>
        </w:trPr>
        <w:tc>
          <w:tcPr>
            <w:tcW w:w="4760" w:type="dxa"/>
            <w:vAlign w:val="bottom"/>
          </w:tcPr>
          <w:p>
            <w:pPr>
              <w:spacing w:after="0"/>
              <w:rPr>
                <w:sz w:val="24"/>
                <w:szCs w:val="24"/>
                <w:color w:val="auto"/>
              </w:rPr>
            </w:pPr>
          </w:p>
        </w:tc>
        <w:tc>
          <w:tcPr>
            <w:tcW w:w="3300" w:type="dxa"/>
            <w:vAlign w:val="bottom"/>
          </w:tcPr>
          <w:p>
            <w:pPr>
              <w:jc w:val="right"/>
              <w:ind w:right="225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8"/>
        </w:trPr>
        <w:tc>
          <w:tcPr>
            <w:tcW w:w="47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91" w:lineRule="exact"/>
        <w:rPr>
          <w:sz w:val="20"/>
          <w:szCs w:val="20"/>
          <w:color w:val="auto"/>
        </w:rPr>
      </w:pPr>
    </w:p>
    <w:p>
      <w:pPr>
        <w:ind w:firstLine="59"/>
        <w:spacing w:after="0" w:line="194" w:lineRule="auto"/>
        <w:tabs>
          <w:tab w:leader="none" w:pos="288"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$35.9 million of cash and cash equivalents at March 31, 2021, our cash flow from operations, and borrowings available under our Credit Agreement. We expect to use this liquidity for purchasing additional merchandise inventory, maintaining our existing stores, and general corporate purposes.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March 31, 2021, the base interest rate was 4.00% and the LIBOR-based interest rate was 1.86%. The Company had no borrowings outstanding on its revolving line of credit as of March 31, 2021. In addition, the Company has standby letters of credit outstanding related to its workers’ compensation and medical insurance policies. Standby letters of credit totaled $2.4 million as of both March 31, 2021 and December 31, 2020. There was $97.6 million available for borrowing on the revolving line of credit as of March 31, 2021, which may be used to support our growth and for working capital purposes.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March 31, 2021.</w:t>
      </w:r>
    </w:p>
    <w:p>
      <w:pPr>
        <w:spacing w:after="0" w:line="15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However, the worldwide economic disruptions caused by the COVID-19 pandemic could materially affect our future access to our sources of liquidity. In the event of a sustained market deterioration and declines in net sales, profit and operating cash flow, we may need additional liquidity, which would require us to evaluate available alternatives and take appropriate 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auto"/>
        </w:rPr>
        <w:t>Capital expenditures were $3.2 million and $0.6 million for the three months ended March 31, 2021 and 2020, respectively. The increase in capital expenditures during the first quarter of 2021 was due to investments in one new store, store remodels, merchandising and information technology assets.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March 31, 2021 and 2020.</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Three Months Ended</w:t>
      </w:r>
    </w:p>
    <w:p>
      <w:pPr>
        <w:jc w:val="center"/>
        <w:ind w:left="8320"/>
        <w:spacing w:after="0" w:line="233" w:lineRule="auto"/>
        <w:rPr>
          <w:sz w:val="20"/>
          <w:szCs w:val="20"/>
          <w:color w:val="auto"/>
        </w:rPr>
      </w:pPr>
      <w:r>
        <w:rPr>
          <w:rFonts w:ascii="Arial" w:cs="Arial" w:eastAsia="Arial" w:hAnsi="Arial"/>
          <w:sz w:val="18"/>
          <w:szCs w:val="18"/>
          <w:color w:val="auto"/>
        </w:rPr>
        <w:t>March 31,</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30,114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22,892</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(3,202)</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(645)</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(603)</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(25,639)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Net cash provided by operating activities during the three months ended March 31, 2021 was $30.1 million compared with $22.9 million during the three months ended March 31, 2020. The increase was attributable to an increase in net income and improved working capital management during the three months ended March 31, 2021.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cash used in investing activities totaled $3.2 million for the three months ended March 31, 2021 compared with $0.6 million for the three months ended March 31, 2020. The increase in cash used in investing activities was due to an increase in capital expenditures during the first quarter of 2021 to invest in one new store, store remodels, merchandising and information technology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Net cash used in financing activities was $0.6 million for the three months ended March 31, 2021 compared with $25.6 million for the three months ended March 31, 2020. The decrease in cash used in financing activities during the first quarter of 2021 was due to a decrease in debt payments.</w:t>
      </w:r>
    </w:p>
    <w:p>
      <w:pPr>
        <w:spacing w:after="0" w:line="121"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Cash and cash equivalents totaled $35.9 million at March 31, 2021 compared with $9.6 million at December 31, 2020. Working capital was $35.4 million at March 31, 2021 compared with $27.9 million at December 31, 2020. The increase in working capital during the first quarter of 2021 was primarily due to an increase in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December 31, 2020, we did not have any “off-balance sheet arrangements” (as such term is defined in Item 303 of Regulation S-</w:t>
      </w:r>
    </w:p>
    <w:p>
      <w:pPr>
        <w:spacing w:after="0" w:line="21" w:lineRule="exact"/>
        <w:rPr>
          <w:sz w:val="20"/>
          <w:szCs w:val="20"/>
          <w:color w:val="auto"/>
        </w:rPr>
      </w:pPr>
    </w:p>
    <w:p>
      <w:pPr>
        <w:ind w:right="60" w:firstLine="8"/>
        <w:spacing w:after="0" w:line="233"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could have a current or future effect on our financial condition, changes in financial condition, net sales or expenses, results of operations, liquidity, capital expenditures or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no material changes to our contractual obligations outside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the first quarter of fiscal 2021, we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Our allowance for doubtful accounts represents an estimate of expected credit losses related to our trade receivables. To estimate our allowance for doubtful accounts, we leverage information on historical losses, current conditions, and reasonable and supportable forecasts of future conditions. Account balances are written off against the allowance when we deem the amount is uncollectible. The adoption of this standard did not have a material impact on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March 31, 2021 and concluded that our disclosure controls and procedures were not effective as of March 31, 2021 due to material weaknesses in our internal control over financial reporting as described below.</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180"/>
        <w:spacing w:after="0" w:line="231"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48" w:lineRule="exact"/>
        <w:rPr>
          <w:sz w:val="20"/>
          <w:szCs w:val="20"/>
          <w:color w:val="auto"/>
        </w:rPr>
      </w:pPr>
    </w:p>
    <w:p>
      <w:pPr>
        <w:ind w:left="660" w:right="200"/>
        <w:spacing w:after="0" w:line="261"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the ineffective ITGCs.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We have taken steps to strengthen our change management procedures and performed a project to segregate responsibilities from users with access to our ERP system. We are currently building controls to mitigate the risk identified when we were not able to systematically segregate responsibilities. The identified material weaknesses in internal control over financial reporting will not be considered remediated until controls have been designed and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color w:val="auto"/>
        </w:rPr>
        <w:t>There were no changes in internal control over financial reporting (as defined by Rule 13a-15(f) under the Exchange Act) during the quarter ended March 31, 2021 that have materially affected, or are reasonably likely to materially affect, our internal control over financial reporting, except as set forth above under “Planned Remediation of Material Weaknesses”.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2020.</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48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678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47"/>
        </w:trPr>
        <w:tc>
          <w:tcPr>
            <w:tcW w:w="8140" w:type="dxa"/>
            <w:vAlign w:val="bottom"/>
            <w:gridSpan w:val="10"/>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4"/>
        </w:trPr>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480" w:type="dxa"/>
            <w:vAlign w:val="bottom"/>
          </w:tcPr>
          <w:p>
            <w:pPr>
              <w:jc w:val="right"/>
              <w:spacing w:after="0"/>
              <w:rPr>
                <w:sz w:val="20"/>
                <w:szCs w:val="20"/>
                <w:color w:val="auto"/>
              </w:rPr>
            </w:pPr>
            <w:r>
              <w:rPr>
                <w:rFonts w:ascii="Arial" w:cs="Arial" w:eastAsia="Arial" w:hAnsi="Arial"/>
                <w:sz w:val="18"/>
                <w:szCs w:val="18"/>
                <w:color w:val="auto"/>
                <w:w w:val="95"/>
              </w:rPr>
              <w:t>Maximum Number</w:t>
            </w:r>
          </w:p>
        </w:tc>
      </w:tr>
      <w:tr>
        <w:trPr>
          <w:trHeight w:val="189"/>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of Shares that May</w:t>
            </w:r>
          </w:p>
        </w:tc>
      </w:tr>
      <w:tr>
        <w:trPr>
          <w:trHeight w:val="189"/>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2"/>
              </w:rPr>
              <w:t>Yet be Purchased</w:t>
            </w:r>
          </w:p>
        </w:tc>
      </w:tr>
      <w:tr>
        <w:trPr>
          <w:trHeight w:val="189"/>
        </w:trPr>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color w:val="auto"/>
              </w:rPr>
              <w:t>Average Price</w:t>
            </w: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Under the Plans or</w:t>
            </w:r>
          </w:p>
        </w:tc>
      </w:tr>
      <w:tr>
        <w:trPr>
          <w:trHeight w:val="190"/>
        </w:trPr>
        <w:tc>
          <w:tcPr>
            <w:tcW w:w="4860" w:type="dxa"/>
            <w:vAlign w:val="bottom"/>
            <w:gridSpan w:val="3"/>
          </w:tcPr>
          <w:p>
            <w:pPr>
              <w:spacing w:after="0" w:line="190" w:lineRule="exact"/>
              <w:rPr>
                <w:sz w:val="20"/>
                <w:szCs w:val="20"/>
                <w:color w:val="auto"/>
              </w:rPr>
            </w:pPr>
            <w:r>
              <w:rPr>
                <w:rFonts w:ascii="Arial" w:cs="Arial" w:eastAsia="Arial" w:hAnsi="Arial"/>
                <w:sz w:val="18"/>
                <w:szCs w:val="18"/>
                <w:color w:val="auto"/>
              </w:rPr>
              <w:t>Period</w:t>
            </w:r>
          </w:p>
        </w:tc>
        <w:tc>
          <w:tcPr>
            <w:tcW w:w="148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1"/>
              </w:rPr>
              <w:t>Shares Purchased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Paid per Share</w:t>
            </w:r>
          </w:p>
        </w:tc>
        <w:tc>
          <w:tcPr>
            <w:tcW w:w="162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89"/>
              </w:rPr>
              <w:t>Program</w:t>
            </w:r>
          </w:p>
        </w:tc>
        <w:tc>
          <w:tcPr>
            <w:tcW w:w="148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January 1, 2021 - January 31, 2021</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1,710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February 1, 2021 - February 28, 2021</w:t>
            </w:r>
          </w:p>
        </w:tc>
        <w:tc>
          <w:tcPr>
            <w:tcW w:w="1480" w:type="dxa"/>
            <w:vAlign w:val="bottom"/>
          </w:tcPr>
          <w:p>
            <w:pPr>
              <w:jc w:val="right"/>
              <w:spacing w:after="0"/>
              <w:rPr>
                <w:sz w:val="20"/>
                <w:szCs w:val="20"/>
                <w:color w:val="auto"/>
              </w:rPr>
            </w:pPr>
            <w:r>
              <w:rPr>
                <w:rFonts w:ascii="Arial" w:cs="Arial" w:eastAsia="Arial" w:hAnsi="Arial"/>
                <w:sz w:val="18"/>
                <w:szCs w:val="18"/>
                <w:color w:val="auto"/>
              </w:rPr>
              <w:t>34,472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2021 - March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90,400</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6.66</w:t>
            </w:r>
          </w:p>
        </w:tc>
        <w:tc>
          <w:tcPr>
            <w:tcW w:w="2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340" w:hanging="332"/>
        <w:spacing w:after="0" w:line="203"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We repurchased these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27" w:lineRule="exact"/>
        <w:rPr>
          <w:rFonts w:ascii="Arial" w:cs="Arial" w:eastAsia="Arial" w:hAnsi="Arial"/>
          <w:sz w:val="27"/>
          <w:szCs w:val="27"/>
          <w:color w:val="auto"/>
          <w:vertAlign w:val="superscript"/>
        </w:rPr>
      </w:pPr>
    </w:p>
    <w:p>
      <w:pPr>
        <w:ind w:left="340" w:right="40" w:hanging="332"/>
        <w:spacing w:after="0" w:line="190" w:lineRule="auto"/>
        <w:tabs>
          <w:tab w:leader="none" w:pos="3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We withheld these shares to satisfy tax withholding obligations due upon the vesting of restricted stock grants, as allowed by the 2012 Omnibus Award Plan. We did not pay cash to repurchase these shares, nor were these repurchases part of a publicly announced plan or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following table sets forth, as of May 3, 2021,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have based our calculation of the percentage of beneficial ownership on 51,925,262 shares of our common stock outstanding on May 3, 2021.</w:t>
      </w:r>
    </w:p>
    <w:p>
      <w:pPr>
        <w:spacing w:after="0" w:line="18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Beneficially Owned</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8,576,902</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6,848,884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 Riley Financial, Inc. and affiliates</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4,410,145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3"/>
        </w:trPr>
        <w:tc>
          <w:tcPr>
            <w:tcW w:w="8480" w:type="dxa"/>
            <w:vAlign w:val="bottom"/>
            <w:gridSpan w:val="2"/>
          </w:tcPr>
          <w:p>
            <w:pPr>
              <w:spacing w:after="0"/>
              <w:rPr>
                <w:sz w:val="20"/>
                <w:szCs w:val="20"/>
                <w:color w:val="auto"/>
              </w:rPr>
            </w:pPr>
            <w:r>
              <w:rPr>
                <w:rFonts w:ascii="Arial" w:cs="Arial" w:eastAsia="Arial" w:hAnsi="Arial"/>
                <w:sz w:val="18"/>
                <w:szCs w:val="18"/>
                <w:color w:val="auto"/>
              </w:rPr>
              <w:t>Philotimo Fund, LP and affiliates</w:t>
            </w:r>
            <w:r>
              <w:rPr>
                <w:rFonts w:ascii="Arial" w:cs="Arial" w:eastAsia="Arial" w:hAnsi="Arial"/>
                <w:sz w:val="29"/>
                <w:szCs w:val="29"/>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2,597,857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60" w:right="280" w:hanging="652"/>
        <w:spacing w:after="0" w:line="22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13D/A filed with the SEC on January 16, 2020 by JWTS, Inc. (“JWTS”), Peter J. Jacullo III, and the Katherine D. Jacullo Children’s 1993 Irrevocable Trust (the “Jacullo Trust”) and a Form 4 filed by Mr. Jacullo with the SEC on July 22, 2020. JWTS directly holds 4,441,180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left="660"/>
        <w:spacing w:after="0" w:line="242" w:lineRule="auto"/>
        <w:rPr>
          <w:sz w:val="20"/>
          <w:szCs w:val="20"/>
          <w:color w:val="auto"/>
        </w:rPr>
      </w:pPr>
      <w:r>
        <w:rPr>
          <w:rFonts w:ascii="Arial" w:cs="Arial" w:eastAsia="Arial" w:hAnsi="Arial"/>
          <w:sz w:val="17"/>
          <w:szCs w:val="17"/>
          <w:color w:val="auto"/>
        </w:rPr>
        <w:t>The Jacullo Trust directly holds 3,676,989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458,733 shares of common stock over which he has sole voting and dispositive power, including 71,900 shares of unvested restricted common stock.</w:t>
      </w:r>
    </w:p>
    <w:p>
      <w:pPr>
        <w:spacing w:after="0" w:line="148" w:lineRule="exact"/>
        <w:rPr>
          <w:sz w:val="20"/>
          <w:szCs w:val="20"/>
          <w:color w:val="auto"/>
        </w:rPr>
      </w:pPr>
    </w:p>
    <w:p>
      <w:pPr>
        <w:ind w:left="660" w:right="2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22, 2020.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3,361,243 shares of common stock directly held by Mr. Kamin, including 107,849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right="60" w:hanging="652"/>
        <w:spacing w:after="0" w:line="23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Schedule 13D/A filed with the SEC on March 4, 2021 by B. Riley Financial, Inc. (“BRF”), B. Riley Capital Management, LLC (“BRCM”), BRC Partners Management GP, LLC (“BRPGP”), BRC Partners Opportunity Fund, LP (“BRPLP”), B. Riley Securities, Inc. (“BRS”) and Bryant R. Riley (collectively, the “B. Riley Parties”), and 272 Capital LP (“272 Capital”) and Wes Cummins (together with 272 Capital, the “272 Parties”).</w:t>
      </w:r>
    </w:p>
    <w:p>
      <w:pPr>
        <w:spacing w:after="0" w:line="148" w:lineRule="exact"/>
        <w:rPr>
          <w:rFonts w:ascii="Arial" w:cs="Arial" w:eastAsia="Arial" w:hAnsi="Arial"/>
          <w:sz w:val="18"/>
          <w:szCs w:val="18"/>
          <w:color w:val="auto"/>
        </w:rPr>
      </w:pPr>
    </w:p>
    <w:p>
      <w:pPr>
        <w:ind w:left="660" w:right="80"/>
        <w:spacing w:after="0" w:line="252" w:lineRule="auto"/>
        <w:rPr>
          <w:rFonts w:ascii="Arial" w:cs="Arial" w:eastAsia="Arial" w:hAnsi="Arial"/>
          <w:sz w:val="18"/>
          <w:szCs w:val="18"/>
          <w:color w:val="auto"/>
        </w:rPr>
      </w:pPr>
      <w:r>
        <w:rPr>
          <w:rFonts w:ascii="Arial" w:cs="Arial" w:eastAsia="Arial" w:hAnsi="Arial"/>
          <w:sz w:val="16"/>
          <w:szCs w:val="16"/>
          <w:color w:val="auto"/>
        </w:rPr>
        <w:t>As reported by the Schedule 13D/A, BRPLP directly holds 2,038,645 shares of common stock, and BRS directly holds 2,328,900 shares of common stock. BRPGP is a subsidiary of BRCM, a registered investment advisor, and is the general partner of BRPLP. BRF is the parent company of BRCM. As a result, BRPGP, BRCM and BRF may be deemed to indirectly beneficially own the shares of common stock held by BRPLP. BRF is the parent company of BRS. As a result, BRF may be deemed to indirectly beneficially own the shares of common stock held by BRS. Mr. Riley may beneficially own 42,600 shares of common stock held as sole trustee of the Robert Antin Children Irrevocable Trust. Mr. Riley disclaims beneficial ownership of the shares held by the Robert Antin Children Irrevocable Trust except to the extent of his pecuniary interest therein. BRF and Mr. Riley, the Co-Chief Executive Officer and Chairman of the Board of Directors of BRF, may be deemed to indirectly beneficially own the shares of common stock held directly by BRPLP or BRS. BRF and Mr. Riley disclaim beneficial ownership of the shares held by BRPLP and BRS except to the extent of its or his pecuniary interest therein. Each of BRPLP, BRPGP, BRCM, BRF and Mr. Riley may be deemed to have shared voting and dispositive power over the shares of common stock directly held by BRPLP. Each of BRS, BRF and Mr. Riley may be deemed to have shared voting and dispositive power over the shares of common stock directly held by BRS. Mr. Riley may be deemed to have sole voting and dispositive power over the shares of common stock held by the Robert Antin Children Irrevocable Trust.</w:t>
      </w:r>
    </w:p>
    <w:p>
      <w:pPr>
        <w:spacing w:after="0" w:line="138" w:lineRule="exact"/>
        <w:rPr>
          <w:rFonts w:ascii="Arial" w:cs="Arial" w:eastAsia="Arial" w:hAnsi="Arial"/>
          <w:sz w:val="18"/>
          <w:szCs w:val="18"/>
          <w:color w:val="auto"/>
        </w:rPr>
      </w:pPr>
    </w:p>
    <w:p>
      <w:pPr>
        <w:ind w:left="660" w:right="20"/>
        <w:spacing w:after="0" w:line="261" w:lineRule="auto"/>
        <w:rPr>
          <w:rFonts w:ascii="Arial" w:cs="Arial" w:eastAsia="Arial" w:hAnsi="Arial"/>
          <w:sz w:val="18"/>
          <w:szCs w:val="18"/>
          <w:color w:val="auto"/>
        </w:rPr>
      </w:pPr>
      <w:r>
        <w:rPr>
          <w:rFonts w:ascii="Arial" w:cs="Arial" w:eastAsia="Arial" w:hAnsi="Arial"/>
          <w:sz w:val="16"/>
          <w:szCs w:val="16"/>
          <w:color w:val="auto"/>
        </w:rPr>
        <w:t>As reported by the Schedule 13D/A, 272 Capital beneficially owned 941,244 shares of common stock by virtue of being the investment manager of the 272 Capital Master Fund Ltd (the “272 Master Fund”), which directly holds such shares. Mr. Cummins is the managing member of 272 Capital GP LLC, the general partner of 272 Capital, and the Chief Executive Officer of 272 Capital. Mr. Cummins may beneficially own the shares of common stock directly held by the 272 Master Fund by virtue of being the managing member of 272 Capital GP LLC. 272 Capital and Mr. Cummins may be deemed to have shared voting and dispositive power over the shares of common stock directly held by the 272 Master Fund.</w:t>
      </w:r>
    </w:p>
    <w:p>
      <w:pPr>
        <w:spacing w:after="0" w:line="133" w:lineRule="exact"/>
        <w:rPr>
          <w:rFonts w:ascii="Arial" w:cs="Arial" w:eastAsia="Arial" w:hAnsi="Arial"/>
          <w:sz w:val="18"/>
          <w:szCs w:val="18"/>
          <w:color w:val="auto"/>
        </w:rPr>
      </w:pPr>
    </w:p>
    <w:p>
      <w:pPr>
        <w:ind w:left="660" w:right="20"/>
        <w:spacing w:after="0" w:line="225" w:lineRule="auto"/>
        <w:rPr>
          <w:rFonts w:ascii="Arial" w:cs="Arial" w:eastAsia="Arial" w:hAnsi="Arial"/>
          <w:sz w:val="18"/>
          <w:szCs w:val="18"/>
          <w:color w:val="auto"/>
        </w:rPr>
      </w:pPr>
      <w:r>
        <w:rPr>
          <w:rFonts w:ascii="Arial" w:cs="Arial" w:eastAsia="Arial" w:hAnsi="Arial"/>
          <w:sz w:val="18"/>
          <w:szCs w:val="18"/>
          <w:color w:val="auto"/>
        </w:rPr>
        <w:t>The B. Riley Parties and the 272 Parties reported that, as of March 2, 2021, BRF and 272 Capital mutually agreed, in writing, to terminate their previous group agreement. By virtue of the termination of the group agreement, the B. Riley Parties and the 272 Parties are no longer deemed to have formed a “group” within the meaning of Section 13(d)(3) of the Exchange Act. Each of the B. Riley Parties expressly disclaims beneficial ownership of the shares of common stock beneficially owned by each of the 272 Parties, and each of the 272 Parties expressly disclaims beneficial ownership of the shares of common stock beneficially owned by each of the B. Riley Parties. The Schedule 13D/A acted as an “exit” filing for the 272 Parties. Accordingly, the shares held by the 272 Parties are not included in the aggregate shares held by the B. Riley Parties reported in this table.</w:t>
      </w:r>
    </w:p>
    <w:p>
      <w:pPr>
        <w:spacing w:after="0" w:line="153" w:lineRule="exact"/>
        <w:rPr>
          <w:rFonts w:ascii="Arial" w:cs="Arial" w:eastAsia="Arial" w:hAnsi="Arial"/>
          <w:sz w:val="18"/>
          <w:szCs w:val="18"/>
          <w:color w:val="auto"/>
        </w:rPr>
      </w:pPr>
    </w:p>
    <w:p>
      <w:pPr>
        <w:ind w:left="660" w:right="140"/>
        <w:spacing w:after="0" w:line="246" w:lineRule="auto"/>
        <w:rPr>
          <w:rFonts w:ascii="Arial" w:cs="Arial" w:eastAsia="Arial" w:hAnsi="Arial"/>
          <w:sz w:val="18"/>
          <w:szCs w:val="18"/>
          <w:color w:val="auto"/>
        </w:rPr>
      </w:pPr>
      <w:r>
        <w:rPr>
          <w:rFonts w:ascii="Arial" w:cs="Arial" w:eastAsia="Arial" w:hAnsi="Arial"/>
          <w:sz w:val="18"/>
          <w:szCs w:val="18"/>
          <w:color w:val="auto"/>
        </w:rPr>
        <w:t>The business address of the B. Riley Parties is 11100 Santa Monica Blvd., Suite 800, Los Angeles, California 90025. The business address of the 272 Capital Parties is 3811 Turtle Creek Blvd., Suite 2125, Dallas, Texas 75219.</w:t>
      </w:r>
    </w:p>
    <w:p>
      <w:pPr>
        <w:spacing w:after="0" w:line="142" w:lineRule="exact"/>
        <w:rPr>
          <w:rFonts w:ascii="Arial" w:cs="Arial" w:eastAsia="Arial" w:hAnsi="Arial"/>
          <w:sz w:val="18"/>
          <w:szCs w:val="18"/>
          <w:color w:val="auto"/>
        </w:rPr>
      </w:pPr>
    </w:p>
    <w:p>
      <w:pPr>
        <w:ind w:left="660" w:right="180" w:hanging="652"/>
        <w:spacing w:after="0" w:line="22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left="660" w:right="480"/>
        <w:spacing w:after="0" w:line="246" w:lineRule="auto"/>
        <w:rPr>
          <w:sz w:val="20"/>
          <w:szCs w:val="20"/>
          <w:color w:val="auto"/>
        </w:rPr>
      </w:pPr>
      <w:r>
        <w:rPr>
          <w:rFonts w:ascii="Arial" w:cs="Arial" w:eastAsia="Arial" w:hAnsi="Arial"/>
          <w:sz w:val="18"/>
          <w:szCs w:val="18"/>
          <w:color w:val="auto"/>
        </w:rPr>
        <w:t>shares of common stock held directly by the Investment Vehicles and have sole voting and dispositive power over such shares. The business address of the reporting persons is 245 Meriwether Circle, Alta, Wyoming 83414.</w:t>
      </w:r>
    </w:p>
    <w:p>
      <w:pPr>
        <w:spacing w:after="0" w:line="143" w:lineRule="exact"/>
        <w:rPr>
          <w:sz w:val="20"/>
          <w:szCs w:val="20"/>
          <w:color w:val="auto"/>
        </w:rPr>
      </w:pPr>
    </w:p>
    <w:p>
      <w:pPr>
        <w:ind w:left="660" w:right="220" w:hanging="652"/>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47" w:lineRule="exact"/>
        <w:rPr>
          <w:rFonts w:ascii="Arial" w:cs="Arial" w:eastAsia="Arial" w:hAnsi="Arial"/>
          <w:sz w:val="18"/>
          <w:szCs w:val="18"/>
          <w:color w:val="auto"/>
        </w:rPr>
      </w:pPr>
    </w:p>
    <w:p>
      <w:pPr>
        <w:ind w:left="660" w:hanging="652"/>
        <w:spacing w:after="0" w:line="23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4, 2021 by Philotimo Fund, LP (“Philotimo”), Kanen Wealth Management, LLC (“KWM”), and David L. Kanen, reporting holdings as of January 22, 2021. KWM is the general partner of Philotimo. Mr. Kanen is the managing member of KWM. By virtue of these relationships, KWM may be deemed to beneficially own the shares of common stock owned by Philotimo, and Mr. Kanen may be deemed to beneficially own the shares of common stock owned by each of Philotimo and KWM. Philotimo reported beneficial ownership of, and shared voting and dispositive power over, 1,524,524 shares. KWM reported beneficial ownership of, and shared voting and dispositive power over, 2,512,155 shares. Mr. Kanen reported beneficial ownership of 2,597,857 shares, including 85,702 shares over which he has sole voting and dispositive power and 2,512,155 shares over which he has shared voting and dispositive power. The business address of the reporting persons is 5850 Coral Ridge Drive, Suite 309, Coral Springs, Florida 33076.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1">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2"/>
              </w:rPr>
            </w:pPr>
            <w:hyperlink r:id="rId41">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9"/>
            <w:shd w:val="clear" w:color="auto" w:fill="CCEEFF"/>
          </w:tcPr>
          <w:p>
            <w:pPr>
              <w:spacing w:after="0" w:line="169" w:lineRule="exact"/>
              <w:rPr>
                <w:rFonts w:ascii="Arial" w:cs="Arial" w:eastAsia="Arial" w:hAnsi="Arial"/>
                <w:sz w:val="18"/>
                <w:szCs w:val="18"/>
                <w:color w:val="0563C1"/>
              </w:rPr>
            </w:pPr>
            <w:hyperlink r:id="rId41">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080" w:type="dxa"/>
            <w:vAlign w:val="bottom"/>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42">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w w:val="95"/>
              </w:rPr>
            </w:pPr>
            <w:hyperlink r:id="rId42">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720" w:type="dxa"/>
            <w:vAlign w:val="bottom"/>
            <w:tcBorders>
              <w:top w:val="single" w:sz="8" w:color="0563C1"/>
              <w:bottom w:val="single" w:sz="8" w:color="0563C1"/>
            </w:tcBorders>
            <w:gridSpan w:val="3"/>
          </w:tcPr>
          <w:p>
            <w:pPr>
              <w:spacing w:after="0" w:line="169" w:lineRule="exact"/>
              <w:rPr>
                <w:rFonts w:ascii="Arial" w:cs="Arial" w:eastAsia="Arial" w:hAnsi="Arial"/>
                <w:sz w:val="18"/>
                <w:szCs w:val="18"/>
                <w:color w:val="0563C1"/>
                <w:w w:val="91"/>
              </w:rPr>
            </w:pPr>
            <w:hyperlink r:id="rId42">
              <w:r>
                <w:rPr>
                  <w:rFonts w:ascii="Arial" w:cs="Arial" w:eastAsia="Arial" w:hAnsi="Arial"/>
                  <w:sz w:val="18"/>
                  <w:szCs w:val="18"/>
                  <w:color w:val="0563C1"/>
                  <w:w w:val="91"/>
                </w:rPr>
                <w:t>(Reg. No. 333-182482) filed with the Securities and Exchange Commission on July 2, 2012).</w:t>
              </w:r>
            </w:hyperlink>
          </w:p>
        </w:tc>
        <w:tc>
          <w:tcPr>
            <w:tcW w:w="2960" w:type="dxa"/>
            <w:vAlign w:val="bottom"/>
            <w:tcBorders>
              <w:top w:val="single" w:sz="8" w:color="0563C1"/>
            </w:tcBorders>
            <w:gridSpan w:val="5"/>
          </w:tcPr>
          <w:p>
            <w:pPr>
              <w:spacing w:after="0"/>
              <w:rPr>
                <w:sz w:val="15"/>
                <w:szCs w:val="15"/>
                <w:color w:val="auto"/>
              </w:rPr>
            </w:pPr>
          </w:p>
        </w:tc>
        <w:tc>
          <w:tcPr>
            <w:tcW w:w="340" w:type="dxa"/>
            <w:vAlign w:val="bottom"/>
          </w:tcPr>
          <w:p>
            <w:pPr>
              <w:spacing w:after="0"/>
              <w:rPr>
                <w:sz w:val="15"/>
                <w:szCs w:val="15"/>
                <w:color w:val="auto"/>
              </w:rPr>
            </w:pPr>
          </w:p>
        </w:tc>
      </w:tr>
      <w:tr>
        <w:trPr>
          <w:trHeight w:val="162"/>
        </w:trPr>
        <w:tc>
          <w:tcPr>
            <w:tcW w:w="500" w:type="dxa"/>
            <w:vAlign w:val="bottom"/>
            <w:gridSpan w:val="3"/>
            <w:shd w:val="clear" w:color="auto" w:fill="CCEEFF"/>
          </w:tcPr>
          <w:p>
            <w:pPr>
              <w:spacing w:after="0" w:line="162" w:lineRule="exact"/>
              <w:rPr>
                <w:rFonts w:ascii="Arial" w:cs="Arial" w:eastAsia="Arial" w:hAnsi="Arial"/>
                <w:sz w:val="18"/>
                <w:szCs w:val="18"/>
                <w:color w:val="0563C1"/>
              </w:rPr>
            </w:pPr>
            <w:hyperlink r:id="rId43">
              <w:r>
                <w:rPr>
                  <w:rFonts w:ascii="Arial" w:cs="Arial" w:eastAsia="Arial" w:hAnsi="Arial"/>
                  <w:sz w:val="18"/>
                  <w:szCs w:val="18"/>
                  <w:color w:val="0563C1"/>
                </w:rPr>
                <w:t>10.</w:t>
              </w:r>
              <w:r>
                <w:rPr>
                  <w:rFonts w:ascii="Arial" w:cs="Arial" w:eastAsia="Arial" w:hAnsi="Arial"/>
                  <w:sz w:val="18"/>
                  <w:szCs w:val="18"/>
                  <w:u w:val="single" w:color="auto"/>
                  <w:color w:val="0563C1"/>
                </w:rPr>
                <w:t>1*</w:t>
              </w:r>
            </w:hyperlink>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5"/>
              </w:rPr>
            </w:pPr>
            <w:hyperlink r:id="rId43">
              <w:r>
                <w:rPr>
                  <w:rFonts w:ascii="Arial" w:cs="Arial" w:eastAsia="Arial" w:hAnsi="Arial"/>
                  <w:sz w:val="18"/>
                  <w:szCs w:val="18"/>
                  <w:color w:val="0563C1"/>
                  <w:w w:val="95"/>
                </w:rPr>
                <w:t>Tile Shop Holdings, Inc. Form of Performance-Based Stock Restriction Agreement (incorporated by reference to Exhibit 10.20 to the</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0563C1"/>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5920" w:type="dxa"/>
            <w:vAlign w:val="bottom"/>
            <w:tcBorders>
              <w:top w:val="single" w:sz="8" w:color="0563C1"/>
              <w:bottom w:val="single" w:sz="8" w:color="0563C1"/>
            </w:tcBorders>
            <w:gridSpan w:val="2"/>
            <w:shd w:val="clear" w:color="auto" w:fill="CCEEFF"/>
          </w:tcPr>
          <w:p>
            <w:pPr>
              <w:spacing w:after="0" w:line="169" w:lineRule="exact"/>
              <w:rPr>
                <w:rFonts w:ascii="Arial" w:cs="Arial" w:eastAsia="Arial" w:hAnsi="Arial"/>
                <w:sz w:val="18"/>
                <w:szCs w:val="18"/>
                <w:color w:val="0563C1"/>
                <w:w w:val="90"/>
              </w:rPr>
            </w:pPr>
            <w:hyperlink r:id="rId43">
              <w:r>
                <w:rPr>
                  <w:rFonts w:ascii="Arial" w:cs="Arial" w:eastAsia="Arial" w:hAnsi="Arial"/>
                  <w:sz w:val="18"/>
                  <w:szCs w:val="18"/>
                  <w:color w:val="0563C1"/>
                  <w:w w:val="90"/>
                </w:rPr>
                <w:t>Company’s Annual Report on Form 10-K for the year ended December 31, 2020).</w:t>
              </w:r>
            </w:hyperlink>
          </w:p>
        </w:tc>
        <w:tc>
          <w:tcPr>
            <w:tcW w:w="3740" w:type="dxa"/>
            <w:vAlign w:val="bottom"/>
            <w:tcBorders>
              <w:top w:val="single" w:sz="8" w:color="0563C1"/>
              <w:bottom w:val="single" w:sz="8" w:color="CCEEFF"/>
            </w:tcBorders>
            <w:gridSpan w:val="5"/>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29">
              <w:r>
                <w:rPr>
                  <w:rFonts w:ascii="Arial" w:cs="Arial" w:eastAsia="Arial" w:hAnsi="Arial"/>
                  <w:sz w:val="18"/>
                  <w:szCs w:val="18"/>
                  <w:color w:val="0563C1"/>
                </w:rPr>
                <w:t>31.</w:t>
              </w:r>
              <w:r>
                <w:rPr>
                  <w:rFonts w:ascii="Arial" w:cs="Arial" w:eastAsia="Arial" w:hAnsi="Arial"/>
                  <w:sz w:val="18"/>
                  <w:szCs w:val="18"/>
                  <w:u w:val="single" w:color="auto"/>
                  <w:color w:val="0563C1"/>
                </w:rPr>
                <w:t>1**</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rPr>
            </w:pPr>
            <w:hyperlink w:anchor="page29">
              <w:r>
                <w:rPr>
                  <w:rFonts w:ascii="Arial" w:cs="Arial" w:eastAsia="Arial" w:hAnsi="Arial"/>
                  <w:sz w:val="18"/>
                  <w:szCs w:val="18"/>
                  <w:color w:val="0563C1"/>
                </w:rPr>
                <w:t>Certification of Chief Executive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080" w:type="dxa"/>
            <w:vAlign w:val="bottom"/>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31.</w:t>
              </w:r>
              <w:r>
                <w:rPr>
                  <w:rFonts w:ascii="Arial" w:cs="Arial" w:eastAsia="Arial" w:hAnsi="Arial"/>
                  <w:sz w:val="18"/>
                  <w:szCs w:val="18"/>
                  <w:u w:val="single" w:color="auto"/>
                  <w:color w:val="0563C1"/>
                </w:rPr>
                <w:t>2**</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Certification of Chief Financial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080" w:type="dxa"/>
            <w:vAlign w:val="bottom"/>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500" w:type="dxa"/>
            <w:vAlign w:val="bottom"/>
            <w:tcBorders>
              <w:right w:val="single" w:sz="8" w:color="CCEEFF"/>
            </w:tcBorders>
            <w:shd w:val="clear" w:color="auto" w:fill="0563C1"/>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r>
        <w:trPr>
          <w:trHeight w:val="169"/>
        </w:trPr>
        <w:tc>
          <w:tcPr>
            <w:tcW w:w="600" w:type="dxa"/>
            <w:vAlign w:val="bottom"/>
            <w:tcBorders>
              <w:bottom w:val="single" w:sz="8" w:color="0563C1"/>
            </w:tcBorders>
            <w:gridSpan w:val="4"/>
          </w:tcPr>
          <w:p>
            <w:pPr>
              <w:spacing w:after="0" w:line="162" w:lineRule="exact"/>
              <w:rPr>
                <w:rFonts w:ascii="Arial" w:cs="Arial" w:eastAsia="Arial" w:hAnsi="Arial"/>
                <w:sz w:val="18"/>
                <w:szCs w:val="18"/>
                <w:color w:val="0563C1"/>
              </w:rPr>
            </w:pPr>
            <w:hyperlink w:anchor="page31">
              <w:r>
                <w:rPr>
                  <w:rFonts w:ascii="Arial" w:cs="Arial" w:eastAsia="Arial" w:hAnsi="Arial"/>
                  <w:sz w:val="18"/>
                  <w:szCs w:val="18"/>
                  <w:color w:val="0563C1"/>
                </w:rPr>
                <w:t>32.</w:t>
              </w:r>
              <w:r>
                <w:rPr>
                  <w:rFonts w:ascii="Arial" w:cs="Arial" w:eastAsia="Arial" w:hAnsi="Arial"/>
                  <w:sz w:val="18"/>
                  <w:szCs w:val="18"/>
                  <w:u w:val="single" w:color="auto"/>
                  <w:color w:val="0563C1"/>
                </w:rPr>
                <w:t>1***</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300" w:type="dxa"/>
            <w:vAlign w:val="bottom"/>
            <w:tcBorders>
              <w:bottom w:val="single" w:sz="8" w:color="0563C1"/>
            </w:tcBorders>
            <w:gridSpan w:val="5"/>
          </w:tcPr>
          <w:p>
            <w:pPr>
              <w:spacing w:after="0" w:line="162" w:lineRule="exact"/>
              <w:rPr>
                <w:rFonts w:ascii="Arial" w:cs="Arial" w:eastAsia="Arial" w:hAnsi="Arial"/>
                <w:sz w:val="18"/>
                <w:szCs w:val="18"/>
                <w:color w:val="0563C1"/>
                <w:w w:val="91"/>
              </w:rPr>
            </w:pPr>
            <w:hyperlink w:anchor="page31">
              <w:r>
                <w:rPr>
                  <w:rFonts w:ascii="Arial" w:cs="Arial" w:eastAsia="Arial" w:hAnsi="Arial"/>
                  <w:sz w:val="18"/>
                  <w:szCs w:val="18"/>
                  <w:color w:val="0563C1"/>
                  <w:w w:val="91"/>
                </w:rPr>
                <w:t>Certifications of Chief Executive Officer Pursuant to Section 906 of the Sarbanes Oxley Act of 2002.</w:t>
              </w:r>
            </w:hyperlink>
          </w:p>
        </w:tc>
        <w:tc>
          <w:tcPr>
            <w:tcW w:w="2720" w:type="dxa"/>
            <w:vAlign w:val="bottom"/>
            <w:gridSpan w:val="4"/>
          </w:tcPr>
          <w:p>
            <w:pPr>
              <w:spacing w:after="0"/>
              <w:rPr>
                <w:sz w:val="14"/>
                <w:szCs w:val="14"/>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32.</w:t>
              </w:r>
              <w:r>
                <w:rPr>
                  <w:rFonts w:ascii="Arial" w:cs="Arial" w:eastAsia="Arial" w:hAnsi="Arial"/>
                  <w:sz w:val="18"/>
                  <w:szCs w:val="18"/>
                  <w:u w:val="single" w:color="auto"/>
                  <w:color w:val="0563C1"/>
                </w:rPr>
                <w:t>2***</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Certifications of Chief Financial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080" w:type="dxa"/>
            <w:vAlign w:val="bottom"/>
            <w:shd w:val="clear" w:color="auto" w:fill="0563C1"/>
          </w:tcPr>
          <w:p>
            <w:pPr>
              <w:spacing w:after="0"/>
              <w:rPr>
                <w:sz w:val="2"/>
                <w:szCs w:val="2"/>
                <w:color w:val="auto"/>
              </w:rPr>
            </w:pPr>
          </w:p>
        </w:tc>
        <w:tc>
          <w:tcPr>
            <w:tcW w:w="80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r>
        <w:trPr>
          <w:trHeight w:val="161"/>
        </w:trPr>
        <w:tc>
          <w:tcPr>
            <w:tcW w:w="500" w:type="dxa"/>
            <w:vAlign w:val="bottom"/>
            <w:gridSpan w:val="3"/>
          </w:tcPr>
          <w:p>
            <w:pPr>
              <w:spacing w:after="0" w:line="161"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1" w:lineRule="exact"/>
              <w:rPr>
                <w:sz w:val="20"/>
                <w:szCs w:val="20"/>
                <w:color w:val="auto"/>
              </w:rPr>
            </w:pPr>
            <w:r>
              <w:rPr>
                <w:rFonts w:ascii="Arial" w:cs="Arial" w:eastAsia="Arial" w:hAnsi="Arial"/>
                <w:sz w:val="18"/>
                <w:szCs w:val="18"/>
                <w:color w:val="auto"/>
                <w:w w:val="92"/>
              </w:rPr>
              <w:t>The following financial statements from the Quarterly Report on Form 10-Q for the quarter ended March 31, 2021 are formatted in iXBRL</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89" w:lineRule="exact"/>
              <w:rPr>
                <w:sz w:val="20"/>
                <w:szCs w:val="20"/>
                <w:color w:val="auto"/>
              </w:rPr>
            </w:pPr>
            <w:r>
              <w:rPr>
                <w:rFonts w:ascii="Arial" w:cs="Arial" w:eastAsia="Arial" w:hAnsi="Arial"/>
                <w:sz w:val="18"/>
                <w:szCs w:val="18"/>
                <w:color w:val="auto"/>
                <w:w w:val="98"/>
              </w:rPr>
              <w:t>(Inline eXtensible Business Reporting Language): (i) Consolidated Balance Sheets, (ii) Consolidated Statements of Income, (iii)</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89" w:lineRule="exact"/>
              <w:rPr>
                <w:sz w:val="20"/>
                <w:szCs w:val="20"/>
                <w:color w:val="auto"/>
              </w:rPr>
            </w:pPr>
            <w:r>
              <w:rPr>
                <w:rFonts w:ascii="Arial" w:cs="Arial" w:eastAsia="Arial" w:hAnsi="Arial"/>
                <w:sz w:val="18"/>
                <w:szCs w:val="18"/>
                <w:color w:val="auto"/>
                <w:w w:val="90"/>
              </w:rPr>
              <w:t>Consolidated Statements of Comprehensive Income, (iv) Consolidated Statements of Stockholders’ Equity, (v) Consolidated Statements of</w:t>
            </w:r>
          </w:p>
        </w:tc>
      </w:tr>
      <w:tr>
        <w:trPr>
          <w:trHeight w:val="217"/>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Cash Flows, and (vi) the Notes to Consolidated Financial Statements.</w:t>
            </w:r>
          </w:p>
        </w:tc>
      </w:tr>
      <w:tr>
        <w:trPr>
          <w:trHeight w:val="189"/>
        </w:trPr>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61" w:lineRule="exact"/>
        <w:rPr>
          <w:sz w:val="20"/>
          <w:szCs w:val="20"/>
          <w:color w:val="auto"/>
        </w:rPr>
      </w:pPr>
    </w:p>
    <w:p>
      <w:pPr>
        <w:ind w:right="7560" w:firstLine="8"/>
        <w:spacing w:after="0" w:line="228"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400" w:type="dxa"/>
            <w:vAlign w:val="bottom"/>
            <w:gridSpan w:val="2"/>
          </w:tcPr>
          <w:p>
            <w:pPr>
              <w:ind w:left="216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480" w:type="dxa"/>
            <w:vAlign w:val="bottom"/>
          </w:tcPr>
          <w:p>
            <w:pPr>
              <w:spacing w:after="0"/>
              <w:rPr>
                <w:sz w:val="20"/>
                <w:szCs w:val="20"/>
                <w:color w:val="auto"/>
              </w:rPr>
            </w:pPr>
            <w:r>
              <w:rPr>
                <w:rFonts w:ascii="Arial" w:cs="Arial" w:eastAsia="Arial" w:hAnsi="Arial"/>
                <w:sz w:val="18"/>
                <w:szCs w:val="18"/>
                <w:color w:val="auto"/>
              </w:rPr>
              <w:t>Dated: May 7, 2021</w:t>
            </w:r>
          </w:p>
        </w:tc>
        <w:tc>
          <w:tcPr>
            <w:tcW w:w="6400" w:type="dxa"/>
            <w:vAlign w:val="bottom"/>
            <w:gridSpan w:val="2"/>
          </w:tcPr>
          <w:p>
            <w:pPr>
              <w:ind w:left="2160"/>
              <w:spacing w:after="0"/>
              <w:rPr>
                <w:sz w:val="20"/>
                <w:szCs w:val="20"/>
                <w:color w:val="auto"/>
              </w:rPr>
            </w:pPr>
            <w:r>
              <w:rPr>
                <w:rFonts w:ascii="Arial" w:cs="Arial" w:eastAsia="Arial" w:hAnsi="Arial"/>
                <w:sz w:val="18"/>
                <w:szCs w:val="18"/>
                <w:color w:val="auto"/>
              </w:rPr>
              <w:t>By: /s/ CABELL H. LOLMAUGH</w:t>
            </w:r>
          </w:p>
        </w:tc>
      </w:tr>
      <w:tr>
        <w:trPr>
          <w:trHeight w:val="155"/>
        </w:trPr>
        <w:tc>
          <w:tcPr>
            <w:tcW w:w="3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480" w:type="dxa"/>
            <w:vAlign w:val="bottom"/>
          </w:tcPr>
          <w:p>
            <w:pPr>
              <w:spacing w:after="0"/>
              <w:rPr>
                <w:sz w:val="20"/>
                <w:szCs w:val="20"/>
                <w:color w:val="auto"/>
              </w:rPr>
            </w:pPr>
            <w:r>
              <w:rPr>
                <w:rFonts w:ascii="Arial" w:cs="Arial" w:eastAsia="Arial" w:hAnsi="Arial"/>
                <w:sz w:val="18"/>
                <w:szCs w:val="18"/>
                <w:color w:val="auto"/>
              </w:rPr>
              <w:t>Dated: May 7, 2021</w:t>
            </w:r>
          </w:p>
        </w:tc>
        <w:tc>
          <w:tcPr>
            <w:tcW w:w="6400" w:type="dxa"/>
            <w:vAlign w:val="bottom"/>
            <w:gridSpan w:val="2"/>
          </w:tcPr>
          <w:p>
            <w:pPr>
              <w:ind w:left="2160"/>
              <w:spacing w:after="0"/>
              <w:rPr>
                <w:sz w:val="20"/>
                <w:szCs w:val="20"/>
                <w:color w:val="auto"/>
              </w:rPr>
            </w:pPr>
            <w:r>
              <w:rPr>
                <w:rFonts w:ascii="Arial" w:cs="Arial" w:eastAsia="Arial" w:hAnsi="Arial"/>
                <w:sz w:val="18"/>
                <w:szCs w:val="18"/>
                <w:color w:val="auto"/>
              </w:rPr>
              <w:t>By: /s/ NANCY DIMATTIA</w:t>
            </w:r>
          </w:p>
        </w:tc>
      </w:tr>
      <w:tr>
        <w:trPr>
          <w:trHeight w:val="155"/>
        </w:trPr>
        <w:tc>
          <w:tcPr>
            <w:tcW w:w="3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Nancy DiMattia</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480" w:type="dxa"/>
            <w:vAlign w:val="bottom"/>
          </w:tcPr>
          <w:p>
            <w:pPr>
              <w:spacing w:after="0"/>
              <w:rPr>
                <w:sz w:val="24"/>
                <w:szCs w:val="24"/>
                <w:color w:val="auto"/>
              </w:rPr>
            </w:pPr>
          </w:p>
        </w:tc>
        <w:tc>
          <w:tcPr>
            <w:tcW w:w="248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28" w:name="page29"/>
    <w:bookmarkEnd w:id="28"/>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80" w:right="2219" w:firstLine="2023"/>
        <w:spacing w:after="0" w:line="409" w:lineRule="auto"/>
        <w:rPr>
          <w:sz w:val="20"/>
          <w:szCs w:val="20"/>
          <w:color w:val="auto"/>
        </w:rPr>
      </w:pPr>
      <w:r>
        <w:rPr>
          <w:rFonts w:ascii="Arial" w:cs="Arial" w:eastAsia="Arial" w:hAnsi="Arial"/>
          <w:sz w:val="18"/>
          <w:szCs w:val="18"/>
          <w:b w:val="1"/>
          <w:bCs w:val="1"/>
          <w:color w:val="auto"/>
        </w:rPr>
        <w:t xml:space="preserve">302 CERTIFICATION OF CHIEF FINANCIAL OFFICER </w:t>
      </w:r>
      <w:r>
        <w:rPr>
          <w:rFonts w:ascii="Arial" w:cs="Arial" w:eastAsia="Arial" w:hAnsi="Arial"/>
          <w:sz w:val="18"/>
          <w:szCs w:val="18"/>
          <w:color w:val="auto"/>
        </w:rPr>
        <w:t>I, Nancy DiMattia, certify that:</w:t>
      </w:r>
    </w:p>
    <w:p>
      <w:pPr>
        <w:spacing w:after="0" w:line="1" w:lineRule="exact"/>
        <w:rPr>
          <w:sz w:val="20"/>
          <w:szCs w:val="20"/>
          <w:color w:val="auto"/>
        </w:rPr>
      </w:pPr>
    </w:p>
    <w:p>
      <w:pPr>
        <w:ind w:left="500" w:hanging="31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3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 Report on Form 10-Q of the Company for the period ended March 31,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4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Nancy DiMattia, the Chief Financial Officer of Tile Shop Holdings, Inc. (the “Company”), hereby certify that the Quarterly Report on Form 10-Q of the Company for the period ended March 31,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upperLetter"/>
      <w:start w:val="1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41" Type="http://schemas.openxmlformats.org/officeDocument/2006/relationships/hyperlink" Target="http://www.sec.gov/Archives/edgar/data/1552800/000114420412037509/v316486_ex3-1.htm" TargetMode="External"/><Relationship Id="rId42" Type="http://schemas.openxmlformats.org/officeDocument/2006/relationships/hyperlink" Target="http://www.sec.gov/Archives/edgar/data/1552800/000114420412037509/v316486_ex3-2.htm" TargetMode="External"/><Relationship Id="rId43" Type="http://schemas.openxmlformats.org/officeDocument/2006/relationships/hyperlink" Target="https://www.sec.gov/Archives/edgar/data/0001552800/000155280021000005/ttsh-20201231xex10_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2021-05-07T15:57:05Z</dcterms:created>
  <dcterms:modified xsi:type="dcterms:W3CDTF">2021-05-07T15:57:05Z</dcterms:modified>
</cp:coreProperties>
</file>