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ind w:right="36"/>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43"/>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21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Date of Report (Date of earliest event reported): July 18, 2017</w:t>
      </w:r>
    </w:p>
    <w:p>
      <w:pPr>
        <w:spacing w:after="0" w:line="200" w:lineRule="exact"/>
        <w:rPr>
          <w:sz w:val="24"/>
          <w:szCs w:val="24"/>
          <w:color w:val="auto"/>
        </w:rPr>
      </w:pPr>
    </w:p>
    <w:p>
      <w:pPr>
        <w:jc w:val="center"/>
        <w:ind w:right="-43"/>
        <w:spacing w:after="0"/>
        <w:rPr>
          <w:sz w:val="20"/>
          <w:szCs w:val="20"/>
          <w:color w:val="auto"/>
        </w:rPr>
      </w:pPr>
      <w:r>
        <w:rPr>
          <w:rFonts w:ascii="Arial" w:cs="Arial" w:eastAsia="Arial" w:hAnsi="Arial"/>
          <w:sz w:val="43"/>
          <w:szCs w:val="43"/>
          <w:b w:val="1"/>
          <w:bCs w:val="1"/>
          <w:color w:val="auto"/>
        </w:rPr>
        <w:t>TILE SHOP HOLDINGS, INC.</w:t>
      </w:r>
    </w:p>
    <w:p>
      <w:pPr>
        <w:spacing w:after="0" w:line="50" w:lineRule="exact"/>
        <w:rPr>
          <w:sz w:val="24"/>
          <w:szCs w:val="24"/>
          <w:color w:val="auto"/>
        </w:rPr>
      </w:pPr>
    </w:p>
    <w:p>
      <w:pPr>
        <w:jc w:val="center"/>
        <w:ind w:right="-43"/>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084"/>
          </w:cols>
          <w:pgMar w:left="896" w:top="229" w:right="919" w:bottom="1440" w:gutter="0" w:footer="0" w:header="0"/>
        </w:sectPr>
      </w:pPr>
    </w:p>
    <w:p>
      <w:pPr>
        <w:spacing w:after="0" w:line="219" w:lineRule="exact"/>
        <w:rPr>
          <w:sz w:val="24"/>
          <w:szCs w:val="24"/>
          <w:color w:val="auto"/>
        </w:rPr>
      </w:pPr>
    </w:p>
    <w:p>
      <w:pPr>
        <w:jc w:val="center"/>
        <w:ind w:right="36"/>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6"/>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420"/>
        <w:spacing w:after="0"/>
        <w:rPr>
          <w:sz w:val="20"/>
          <w:szCs w:val="20"/>
          <w:color w:val="auto"/>
        </w:rPr>
      </w:pPr>
      <w:r>
        <w:rPr>
          <w:rFonts w:ascii="Arial" w:cs="Arial" w:eastAsia="Arial" w:hAnsi="Arial"/>
          <w:sz w:val="18"/>
          <w:szCs w:val="18"/>
          <w:b w:val="1"/>
          <w:bCs w:val="1"/>
          <w:color w:val="auto"/>
        </w:rPr>
        <w:t>001-35629</w:t>
      </w:r>
    </w:p>
    <w:p>
      <w:pPr>
        <w:spacing w:after="0" w:line="27" w:lineRule="exact"/>
        <w:rPr>
          <w:sz w:val="24"/>
          <w:szCs w:val="24"/>
          <w:color w:val="auto"/>
        </w:rPr>
      </w:pPr>
    </w:p>
    <w:p>
      <w:pPr>
        <w:jc w:val="center"/>
        <w:ind w:right="4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45-5538095</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284" w:space="720"/>
            <w:col w:w="2400" w:space="720"/>
            <w:col w:w="2960"/>
          </w:cols>
          <w:pgMar w:left="896" w:top="229" w:right="919" w:bottom="1440" w:gutter="0" w:footer="0" w:header="0"/>
          <w:type w:val="continuous"/>
        </w:sectPr>
      </w:pPr>
    </w:p>
    <w:p>
      <w:pPr>
        <w:spacing w:after="0" w:line="18"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14000 Carlson Parkway, Plymouth, Minnesota 55441</w:t>
      </w:r>
    </w:p>
    <w:p>
      <w:pPr>
        <w:spacing w:after="0" w:line="27" w:lineRule="exact"/>
        <w:rPr>
          <w:sz w:val="24"/>
          <w:szCs w:val="24"/>
          <w:color w:val="auto"/>
        </w:rPr>
      </w:pPr>
    </w:p>
    <w:p>
      <w:pPr>
        <w:jc w:val="center"/>
        <w:ind w:right="-23"/>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(763) 852-2950</w:t>
      </w:r>
    </w:p>
    <w:p>
      <w:pPr>
        <w:spacing w:after="0" w:line="27" w:lineRule="exact"/>
        <w:rPr>
          <w:sz w:val="24"/>
          <w:szCs w:val="24"/>
          <w:color w:val="auto"/>
        </w:rPr>
      </w:pPr>
    </w:p>
    <w:p>
      <w:pPr>
        <w:jc w:val="center"/>
        <w:ind w:right="-23"/>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23"/>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left="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4" w:lineRule="exact"/>
        <w:rPr>
          <w:sz w:val="24"/>
          <w:szCs w:val="24"/>
          <w:color w:val="auto"/>
        </w:rPr>
      </w:pPr>
    </w:p>
    <w:p>
      <w:pPr>
        <w:ind w:left="404" w:hanging="404"/>
        <w:spacing w:after="0"/>
        <w:tabs>
          <w:tab w:leader="none" w:pos="40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404" w:hanging="404"/>
        <w:spacing w:after="0"/>
        <w:tabs>
          <w:tab w:leader="none" w:pos="40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404" w:hanging="404"/>
        <w:spacing w:after="0"/>
        <w:tabs>
          <w:tab w:leader="none" w:pos="40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404" w:hanging="404"/>
        <w:spacing w:after="0"/>
        <w:tabs>
          <w:tab w:leader="none" w:pos="40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1" w:lineRule="exact"/>
        <w:rPr>
          <w:rFonts w:ascii="MS PGothic" w:cs="MS PGothic" w:eastAsia="MS PGothic" w:hAnsi="MS PGothic"/>
          <w:sz w:val="18"/>
          <w:szCs w:val="18"/>
          <w:color w:val="auto"/>
        </w:rPr>
      </w:pPr>
    </w:p>
    <w:p>
      <w:pPr>
        <w:ind w:left="404" w:right="180"/>
        <w:spacing w:after="0" w:line="300" w:lineRule="exact"/>
        <w:rPr>
          <w:rFonts w:ascii="MS PGothic" w:cs="MS PGothic" w:eastAsia="MS PGothic" w:hAnsi="MS PGothic"/>
          <w:sz w:val="18"/>
          <w:szCs w:val="18"/>
          <w:color w:val="auto"/>
        </w:rPr>
      </w:pPr>
      <w:r>
        <w:rPr>
          <w:rFonts w:ascii="Arial" w:cs="Arial" w:eastAsia="Arial" w:hAnsi="Arial"/>
          <w:sz w:val="18"/>
          <w:szCs w:val="18"/>
          <w:color w:val="auto"/>
        </w:rPr>
        <w:t xml:space="preserve">Indicate by check mark whether the registrant is an emerging growth company as defined in as defined in Rule 405 of the Securities Act of 1933 (§ 230.405 of this chapter) or Rule 12b—2 of the Securities Exchange Act of 1934 (§ 240.12b—2 of this chapter). Emerging growth company </w:t>
      </w:r>
      <w:r>
        <w:rPr>
          <w:rFonts w:ascii="MS PGothic" w:cs="MS PGothic" w:eastAsia="MS PGothic" w:hAnsi="MS PGothic"/>
          <w:sz w:val="18"/>
          <w:szCs w:val="18"/>
          <w:color w:val="auto"/>
        </w:rPr>
        <w:t>☐</w:t>
      </w:r>
    </w:p>
    <w:p>
      <w:pPr>
        <w:spacing w:after="0" w:line="182" w:lineRule="exact"/>
        <w:rPr>
          <w:rFonts w:ascii="MS PGothic" w:cs="MS PGothic" w:eastAsia="MS PGothic" w:hAnsi="MS PGothic"/>
          <w:sz w:val="18"/>
          <w:szCs w:val="18"/>
          <w:color w:val="auto"/>
        </w:rPr>
      </w:pPr>
    </w:p>
    <w:p>
      <w:pPr>
        <w:jc w:val="both"/>
        <w:ind w:left="404" w:right="440"/>
        <w:spacing w:after="0" w:line="234" w:lineRule="exact"/>
        <w:rPr>
          <w:rFonts w:ascii="MS PGothic" w:cs="MS PGothic" w:eastAsia="MS PGothic" w:hAnsi="MS PGothic"/>
          <w:sz w:val="18"/>
          <w:szCs w:val="18"/>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369570</wp:posOffset>
            </wp:positionV>
            <wp:extent cx="6465570" cy="51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84"/>
          </w:cols>
          <w:pgMar w:left="896" w:top="229" w:right="9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00" w:lineRule="exact"/>
        <w:rPr>
          <w:sz w:val="20"/>
          <w:szCs w:val="20"/>
          <w:color w:val="auto"/>
        </w:rPr>
      </w:pPr>
    </w:p>
    <w:p>
      <w:pPr>
        <w:spacing w:after="0" w:line="245"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On July 18, 2017, Tile Shop Holdings, Inc. (the “Company”) issued a press release announcing its financial results for the three months June 30, 2017. A copy of the press release is furnished as Exhibit 99.1 to this Current Report on Form 8-K and is incorporated herein by reference.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July 18, 2017, the Company issued a press release announcing its declaration of a cash dividend of $0.05 per share to stockholders of record as of August 1, 2017. The dividend will be paid on August 15, 2017. A copy of the press release is attached as Exhibit 99.2 hereto and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jc w:val="right"/>
              <w:ind w:right="1710"/>
              <w:spacing w:after="0"/>
              <w:rPr>
                <w:sz w:val="20"/>
                <w:szCs w:val="20"/>
                <w:color w:val="auto"/>
              </w:rPr>
            </w:pPr>
            <w:r>
              <w:rPr>
                <w:rFonts w:ascii="Arial" w:cs="Arial" w:eastAsia="Arial" w:hAnsi="Arial"/>
                <w:sz w:val="18"/>
                <w:szCs w:val="18"/>
                <w:b w:val="1"/>
                <w:bCs w:val="1"/>
                <w:color w:val="auto"/>
              </w:rPr>
              <w:t>(d) Exhibits.</w:t>
            </w:r>
          </w:p>
        </w:tc>
        <w:tc>
          <w:tcPr>
            <w:tcW w:w="6740" w:type="dxa"/>
            <w:vAlign w:val="bottom"/>
          </w:tcPr>
          <w:p>
            <w:pPr>
              <w:spacing w:after="0"/>
              <w:rPr>
                <w:sz w:val="20"/>
                <w:szCs w:val="20"/>
                <w:color w:val="auto"/>
              </w:rPr>
            </w:pPr>
          </w:p>
        </w:tc>
      </w:tr>
      <w:tr>
        <w:trPr>
          <w:trHeight w:val="648"/>
        </w:trPr>
        <w:tc>
          <w:tcPr>
            <w:tcW w:w="3400" w:type="dxa"/>
            <w:vAlign w:val="bottom"/>
          </w:tcPr>
          <w:p>
            <w:pPr>
              <w:jc w:val="right"/>
              <w:ind w:right="1970"/>
              <w:spacing w:after="0"/>
              <w:rPr>
                <w:sz w:val="20"/>
                <w:szCs w:val="20"/>
                <w:color w:val="auto"/>
              </w:rPr>
            </w:pPr>
            <w:r>
              <w:rPr>
                <w:rFonts w:ascii="Arial" w:cs="Arial" w:eastAsia="Arial" w:hAnsi="Arial"/>
                <w:sz w:val="18"/>
                <w:szCs w:val="18"/>
                <w:color w:val="auto"/>
              </w:rPr>
              <w:t>99.1</w:t>
            </w:r>
          </w:p>
        </w:tc>
        <w:tc>
          <w:tcPr>
            <w:tcW w:w="6740" w:type="dxa"/>
            <w:vAlign w:val="bottom"/>
          </w:tcPr>
          <w:p>
            <w:pPr>
              <w:ind w:left="1800"/>
              <w:spacing w:after="0"/>
              <w:rPr>
                <w:sz w:val="20"/>
                <w:szCs w:val="20"/>
                <w:color w:val="auto"/>
              </w:rPr>
            </w:pPr>
            <w:r>
              <w:rPr>
                <w:rFonts w:ascii="Arial" w:cs="Arial" w:eastAsia="Arial" w:hAnsi="Arial"/>
                <w:sz w:val="18"/>
                <w:szCs w:val="18"/>
                <w:color w:val="auto"/>
                <w:w w:val="97"/>
              </w:rPr>
              <w:t>Press Release of Tile Shop Holdings, Inc., dated July 18, 2017.</w:t>
            </w:r>
          </w:p>
        </w:tc>
      </w:tr>
      <w:tr>
        <w:trPr>
          <w:trHeight w:val="432"/>
        </w:trPr>
        <w:tc>
          <w:tcPr>
            <w:tcW w:w="3400" w:type="dxa"/>
            <w:vAlign w:val="bottom"/>
          </w:tcPr>
          <w:p>
            <w:pPr>
              <w:jc w:val="right"/>
              <w:ind w:right="1970"/>
              <w:spacing w:after="0"/>
              <w:rPr>
                <w:sz w:val="20"/>
                <w:szCs w:val="20"/>
                <w:color w:val="auto"/>
              </w:rPr>
            </w:pPr>
            <w:r>
              <w:rPr>
                <w:rFonts w:ascii="Arial" w:cs="Arial" w:eastAsia="Arial" w:hAnsi="Arial"/>
                <w:sz w:val="18"/>
                <w:szCs w:val="18"/>
                <w:color w:val="auto"/>
              </w:rPr>
              <w:t>99.2</w:t>
            </w:r>
          </w:p>
        </w:tc>
        <w:tc>
          <w:tcPr>
            <w:tcW w:w="6740" w:type="dxa"/>
            <w:vAlign w:val="bottom"/>
          </w:tcPr>
          <w:p>
            <w:pPr>
              <w:ind w:left="1800"/>
              <w:spacing w:after="0"/>
              <w:rPr>
                <w:sz w:val="20"/>
                <w:szCs w:val="20"/>
                <w:color w:val="auto"/>
              </w:rPr>
            </w:pPr>
            <w:r>
              <w:rPr>
                <w:rFonts w:ascii="Arial" w:cs="Arial" w:eastAsia="Arial" w:hAnsi="Arial"/>
                <w:sz w:val="18"/>
                <w:szCs w:val="18"/>
                <w:color w:val="auto"/>
                <w:w w:val="97"/>
              </w:rPr>
              <w:t>Press Release of Tile Shop Holdings, Inc., dated July 18, 2017.</w:t>
            </w:r>
          </w:p>
        </w:tc>
      </w:tr>
      <w:tr>
        <w:trPr>
          <w:trHeight w:val="864"/>
        </w:trPr>
        <w:tc>
          <w:tcPr>
            <w:tcW w:w="3400" w:type="dxa"/>
            <w:vAlign w:val="bottom"/>
            <w:tcBorders>
              <w:bottom w:val="single" w:sz="8" w:color="9A9A9A"/>
            </w:tcBorders>
          </w:tcPr>
          <w:p>
            <w:pPr>
              <w:spacing w:after="0"/>
              <w:rPr>
                <w:sz w:val="24"/>
                <w:szCs w:val="24"/>
                <w:color w:val="auto"/>
              </w:rPr>
            </w:pPr>
          </w:p>
        </w:tc>
        <w:tc>
          <w:tcPr>
            <w:tcW w:w="6740" w:type="dxa"/>
            <w:vAlign w:val="bottom"/>
            <w:tcBorders>
              <w:bottom w:val="single" w:sz="8" w:color="9A9A9A"/>
            </w:tcBorders>
          </w:tcPr>
          <w:p>
            <w:pPr>
              <w:spacing w:after="0"/>
              <w:rPr>
                <w:sz w:val="24"/>
                <w:szCs w:val="24"/>
                <w:color w:val="auto"/>
              </w:rPr>
            </w:pPr>
          </w:p>
        </w:tc>
      </w:tr>
      <w:tr>
        <w:trPr>
          <w:trHeight w:val="20"/>
        </w:trPr>
        <w:tc>
          <w:tcPr>
            <w:tcW w:w="3400" w:type="dxa"/>
            <w:vAlign w:val="bottom"/>
            <w:tcBorders>
              <w:bottom w:val="single" w:sz="8" w:color="EEEEEE"/>
            </w:tcBorders>
          </w:tcPr>
          <w:p>
            <w:pPr>
              <w:spacing w:after="0" w:line="20" w:lineRule="exact"/>
              <w:rPr>
                <w:sz w:val="1"/>
                <w:szCs w:val="1"/>
                <w:color w:val="auto"/>
              </w:rPr>
            </w:pPr>
          </w:p>
        </w:tc>
        <w:tc>
          <w:tcPr>
            <w:tcW w:w="67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351" w:right="8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400"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TILE SHOP HOLDINGS, INC.</w:t>
      </w:r>
    </w:p>
    <w:p>
      <w:pPr>
        <w:spacing w:after="0" w:line="22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/s/ Kirk L. Geadelmann</w:t>
      </w:r>
    </w:p>
    <w:p>
      <w:pPr>
        <w:spacing w:after="0" w:line="23" w:lineRule="exact"/>
        <w:rPr>
          <w:sz w:val="20"/>
          <w:szCs w:val="20"/>
          <w:color w:val="auto"/>
        </w:rPr>
      </w:pPr>
    </w:p>
    <w:p>
      <w:pPr>
        <w:spacing w:after="0"/>
        <w:tabs>
          <w:tab w:leader="none" w:pos="4840" w:val="left"/>
        </w:tabs>
        <w:rPr>
          <w:sz w:val="20"/>
          <w:szCs w:val="20"/>
          <w:color w:val="auto"/>
        </w:rPr>
      </w:pPr>
      <w:r>
        <w:rPr>
          <w:rFonts w:ascii="Arial" w:cs="Arial" w:eastAsia="Arial" w:hAnsi="Arial"/>
          <w:sz w:val="18"/>
          <w:szCs w:val="18"/>
          <w:color w:val="auto"/>
        </w:rPr>
        <w:t>Date: July 18, 2017</w:t>
      </w:r>
      <w:r>
        <w:rPr>
          <w:sz w:val="20"/>
          <w:szCs w:val="20"/>
          <w:color w:val="auto"/>
        </w:rPr>
        <w:tab/>
      </w:r>
      <w:r>
        <w:rPr>
          <w:rFonts w:ascii="Arial" w:cs="Arial" w:eastAsia="Arial" w:hAnsi="Arial"/>
          <w:sz w:val="16"/>
          <w:szCs w:val="16"/>
          <w:color w:val="auto"/>
        </w:rPr>
        <w:t>Name: Kirk L. Geadelmann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23755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541655</wp:posOffset>
            </wp:positionV>
            <wp:extent cx="6465570"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60"/>
          </w:cols>
          <w:pgMar w:left="900" w:top="553" w:right="9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9000" w:type="dxa"/>
            <w:vAlign w:val="bottom"/>
            <w:gridSpan w:val="2"/>
          </w:tcPr>
          <w:p>
            <w:pPr>
              <w:jc w:val="center"/>
              <w:ind w:right="1070"/>
              <w:spacing w:after="0"/>
              <w:rPr>
                <w:sz w:val="20"/>
                <w:szCs w:val="20"/>
                <w:color w:val="auto"/>
              </w:rPr>
            </w:pPr>
            <w:r>
              <w:rPr>
                <w:rFonts w:ascii="Arial" w:cs="Arial" w:eastAsia="Arial" w:hAnsi="Arial"/>
                <w:sz w:val="18"/>
                <w:szCs w:val="18"/>
                <w:b w:val="1"/>
                <w:bCs w:val="1"/>
                <w:color w:val="auto"/>
              </w:rPr>
              <w:t>SECURITIES AND EXCHANGE COMMISSION</w:t>
            </w:r>
          </w:p>
        </w:tc>
      </w:tr>
      <w:tr>
        <w:trPr>
          <w:trHeight w:val="234"/>
        </w:trPr>
        <w:tc>
          <w:tcPr>
            <w:tcW w:w="1140" w:type="dxa"/>
            <w:vAlign w:val="bottom"/>
          </w:tcPr>
          <w:p>
            <w:pPr>
              <w:spacing w:after="0"/>
              <w:rPr>
                <w:sz w:val="20"/>
                <w:szCs w:val="20"/>
                <w:color w:val="auto"/>
              </w:rPr>
            </w:pPr>
          </w:p>
        </w:tc>
        <w:tc>
          <w:tcPr>
            <w:tcW w:w="9000" w:type="dxa"/>
            <w:vAlign w:val="bottom"/>
            <w:gridSpan w:val="2"/>
          </w:tcPr>
          <w:p>
            <w:pPr>
              <w:jc w:val="center"/>
              <w:ind w:right="1090"/>
              <w:spacing w:after="0"/>
              <w:rPr>
                <w:sz w:val="20"/>
                <w:szCs w:val="20"/>
                <w:color w:val="auto"/>
              </w:rPr>
            </w:pPr>
            <w:r>
              <w:rPr>
                <w:rFonts w:ascii="Arial" w:cs="Arial" w:eastAsia="Arial" w:hAnsi="Arial"/>
                <w:sz w:val="18"/>
                <w:szCs w:val="18"/>
                <w:b w:val="1"/>
                <w:bCs w:val="1"/>
                <w:color w:val="auto"/>
                <w:w w:val="91"/>
              </w:rPr>
              <w:t>Washington, D.C. 20549</w:t>
            </w:r>
          </w:p>
        </w:tc>
      </w:tr>
      <w:tr>
        <w:trPr>
          <w:trHeight w:val="414"/>
        </w:trPr>
        <w:tc>
          <w:tcPr>
            <w:tcW w:w="1140" w:type="dxa"/>
            <w:vAlign w:val="bottom"/>
          </w:tcPr>
          <w:p>
            <w:pPr>
              <w:spacing w:after="0"/>
              <w:rPr>
                <w:sz w:val="24"/>
                <w:szCs w:val="24"/>
                <w:color w:val="auto"/>
              </w:rPr>
            </w:pPr>
          </w:p>
        </w:tc>
        <w:tc>
          <w:tcPr>
            <w:tcW w:w="9000" w:type="dxa"/>
            <w:vAlign w:val="bottom"/>
            <w:gridSpan w:val="2"/>
          </w:tcPr>
          <w:p>
            <w:pPr>
              <w:jc w:val="center"/>
              <w:ind w:right="1070"/>
              <w:spacing w:after="0"/>
              <w:rPr>
                <w:sz w:val="20"/>
                <w:szCs w:val="20"/>
                <w:color w:val="auto"/>
              </w:rPr>
            </w:pPr>
            <w:r>
              <w:rPr>
                <w:rFonts w:ascii="Arial" w:cs="Arial" w:eastAsia="Arial" w:hAnsi="Arial"/>
                <w:sz w:val="18"/>
                <w:szCs w:val="18"/>
                <w:b w:val="1"/>
                <w:bCs w:val="1"/>
                <w:color w:val="auto"/>
              </w:rPr>
              <w:t>TILE SHOP HOLDINGS, INC.</w:t>
            </w:r>
          </w:p>
        </w:tc>
      </w:tr>
      <w:tr>
        <w:trPr>
          <w:trHeight w:val="234"/>
        </w:trPr>
        <w:tc>
          <w:tcPr>
            <w:tcW w:w="1140" w:type="dxa"/>
            <w:vAlign w:val="bottom"/>
          </w:tcPr>
          <w:p>
            <w:pPr>
              <w:spacing w:after="0"/>
              <w:rPr>
                <w:sz w:val="20"/>
                <w:szCs w:val="20"/>
                <w:color w:val="auto"/>
              </w:rPr>
            </w:pPr>
          </w:p>
        </w:tc>
        <w:tc>
          <w:tcPr>
            <w:tcW w:w="9000" w:type="dxa"/>
            <w:vAlign w:val="bottom"/>
            <w:gridSpan w:val="2"/>
          </w:tcPr>
          <w:p>
            <w:pPr>
              <w:jc w:val="center"/>
              <w:ind w:right="1090"/>
              <w:spacing w:after="0"/>
              <w:rPr>
                <w:sz w:val="20"/>
                <w:szCs w:val="20"/>
                <w:color w:val="auto"/>
              </w:rPr>
            </w:pPr>
            <w:r>
              <w:rPr>
                <w:rFonts w:ascii="Arial" w:cs="Arial" w:eastAsia="Arial" w:hAnsi="Arial"/>
                <w:sz w:val="18"/>
                <w:szCs w:val="18"/>
                <w:b w:val="1"/>
                <w:bCs w:val="1"/>
                <w:color w:val="auto"/>
              </w:rPr>
              <w:t>EXHIBIT INDEX TO FORM 8-K</w:t>
            </w:r>
          </w:p>
        </w:tc>
      </w:tr>
      <w:tr>
        <w:trPr>
          <w:trHeight w:val="647"/>
        </w:trPr>
        <w:tc>
          <w:tcPr>
            <w:tcW w:w="1140" w:type="dxa"/>
            <w:vAlign w:val="bottom"/>
          </w:tcPr>
          <w:p>
            <w:pPr>
              <w:spacing w:after="0"/>
              <w:rPr>
                <w:sz w:val="20"/>
                <w:szCs w:val="20"/>
                <w:color w:val="auto"/>
              </w:rPr>
            </w:pPr>
            <w:r>
              <w:rPr>
                <w:rFonts w:ascii="Arial" w:cs="Arial" w:eastAsia="Arial" w:hAnsi="Arial"/>
                <w:sz w:val="18"/>
                <w:szCs w:val="18"/>
                <w:color w:val="auto"/>
                <w:w w:val="91"/>
              </w:rPr>
              <w:t>Date of Report:</w:t>
            </w:r>
          </w:p>
        </w:tc>
        <w:tc>
          <w:tcPr>
            <w:tcW w:w="4600" w:type="dxa"/>
            <w:vAlign w:val="bottom"/>
          </w:tcPr>
          <w:p>
            <w:pPr>
              <w:spacing w:after="0"/>
              <w:rPr>
                <w:sz w:val="24"/>
                <w:szCs w:val="24"/>
                <w:color w:val="auto"/>
              </w:rPr>
            </w:pPr>
          </w:p>
        </w:tc>
        <w:tc>
          <w:tcPr>
            <w:tcW w:w="4400" w:type="dxa"/>
            <w:vAlign w:val="bottom"/>
          </w:tcPr>
          <w:p>
            <w:pPr>
              <w:jc w:val="right"/>
              <w:ind w:right="10"/>
              <w:spacing w:after="0"/>
              <w:rPr>
                <w:sz w:val="20"/>
                <w:szCs w:val="20"/>
                <w:color w:val="auto"/>
              </w:rPr>
            </w:pPr>
            <w:r>
              <w:rPr>
                <w:rFonts w:ascii="Arial" w:cs="Arial" w:eastAsia="Arial" w:hAnsi="Arial"/>
                <w:sz w:val="18"/>
                <w:szCs w:val="18"/>
                <w:color w:val="auto"/>
              </w:rPr>
              <w:t>Commission File No.:</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July 18, 2017</w:t>
            </w:r>
          </w:p>
        </w:tc>
        <w:tc>
          <w:tcPr>
            <w:tcW w:w="9000" w:type="dxa"/>
            <w:vAlign w:val="bottom"/>
            <w:gridSpan w:val="2"/>
          </w:tcPr>
          <w:p>
            <w:pPr>
              <w:jc w:val="right"/>
              <w:ind w:right="10"/>
              <w:spacing w:after="0"/>
              <w:rPr>
                <w:sz w:val="20"/>
                <w:szCs w:val="20"/>
                <w:color w:val="auto"/>
              </w:rPr>
            </w:pPr>
            <w:r>
              <w:rPr>
                <w:rFonts w:ascii="Arial" w:cs="Arial" w:eastAsia="Arial" w:hAnsi="Arial"/>
                <w:sz w:val="18"/>
                <w:szCs w:val="18"/>
                <w:color w:val="auto"/>
              </w:rPr>
              <w:t>001-35629</w:t>
            </w:r>
          </w:p>
        </w:tc>
      </w:tr>
      <w:tr>
        <w:trPr>
          <w:trHeight w:val="864"/>
        </w:trPr>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Item</w:t>
            </w:r>
          </w:p>
        </w:tc>
        <w:tc>
          <w:tcPr>
            <w:tcW w:w="4400" w:type="dxa"/>
            <w:vAlign w:val="bottom"/>
          </w:tcPr>
          <w:p>
            <w:pPr>
              <w:spacing w:after="0"/>
              <w:rPr>
                <w:sz w:val="24"/>
                <w:szCs w:val="24"/>
                <w:color w:val="auto"/>
              </w:rPr>
            </w:pPr>
          </w:p>
        </w:tc>
      </w:tr>
      <w:tr>
        <w:trPr>
          <w:trHeight w:val="426"/>
        </w:trPr>
        <w:tc>
          <w:tcPr>
            <w:tcW w:w="1140" w:type="dxa"/>
            <w:vAlign w:val="bottom"/>
          </w:tcPr>
          <w:p>
            <w:pPr>
              <w:spacing w:after="0"/>
              <w:rPr>
                <w:sz w:val="20"/>
                <w:szCs w:val="20"/>
                <w:color w:val="auto"/>
              </w:rPr>
            </w:pPr>
            <w:r>
              <w:rPr>
                <w:rFonts w:ascii="Arial" w:cs="Arial" w:eastAsia="Arial" w:hAnsi="Arial"/>
                <w:sz w:val="18"/>
                <w:szCs w:val="18"/>
                <w:color w:val="auto"/>
              </w:rPr>
              <w:t>99.1</w:t>
            </w:r>
          </w:p>
        </w:tc>
        <w:tc>
          <w:tcPr>
            <w:tcW w:w="9000" w:type="dxa"/>
            <w:vAlign w:val="bottom"/>
            <w:gridSpan w:val="2"/>
          </w:tcPr>
          <w:p>
            <w:pPr>
              <w:ind w:left="20"/>
              <w:spacing w:after="0"/>
              <w:rPr>
                <w:sz w:val="20"/>
                <w:szCs w:val="20"/>
                <w:color w:val="auto"/>
              </w:rPr>
            </w:pPr>
            <w:r>
              <w:rPr>
                <w:rFonts w:ascii="Arial" w:cs="Arial" w:eastAsia="Arial" w:hAnsi="Arial"/>
                <w:sz w:val="18"/>
                <w:szCs w:val="18"/>
                <w:color w:val="auto"/>
              </w:rPr>
              <w:t>Press Release of Tile Shop Holdings, Inc., dated July 18, 2017.</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99.2</w:t>
            </w:r>
          </w:p>
        </w:tc>
        <w:tc>
          <w:tcPr>
            <w:tcW w:w="9000" w:type="dxa"/>
            <w:vAlign w:val="bottom"/>
            <w:gridSpan w:val="2"/>
          </w:tcPr>
          <w:p>
            <w:pPr>
              <w:ind w:left="20"/>
              <w:spacing w:after="0"/>
              <w:rPr>
                <w:sz w:val="20"/>
                <w:szCs w:val="20"/>
                <w:color w:val="auto"/>
              </w:rPr>
            </w:pPr>
            <w:r>
              <w:rPr>
                <w:rFonts w:ascii="Arial" w:cs="Arial" w:eastAsia="Arial" w:hAnsi="Arial"/>
                <w:sz w:val="18"/>
                <w:szCs w:val="18"/>
                <w:color w:val="auto"/>
              </w:rPr>
              <w:t>Press Release of Tile Shop Holdings, Inc., dated July 18, 2017.</w:t>
            </w:r>
          </w:p>
        </w:tc>
      </w:tr>
      <w:tr>
        <w:trPr>
          <w:trHeight w:val="864"/>
        </w:trPr>
        <w:tc>
          <w:tcPr>
            <w:tcW w:w="1140" w:type="dxa"/>
            <w:vAlign w:val="bottom"/>
            <w:tcBorders>
              <w:bottom w:val="single" w:sz="8" w:color="9A9A9A"/>
            </w:tcBorders>
          </w:tcPr>
          <w:p>
            <w:pPr>
              <w:spacing w:after="0"/>
              <w:rPr>
                <w:sz w:val="24"/>
                <w:szCs w:val="24"/>
                <w:color w:val="auto"/>
              </w:rPr>
            </w:pPr>
          </w:p>
        </w:tc>
        <w:tc>
          <w:tcPr>
            <w:tcW w:w="460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r>
      <w:tr>
        <w:trPr>
          <w:trHeight w:val="20"/>
        </w:trPr>
        <w:tc>
          <w:tcPr>
            <w:tcW w:w="1140" w:type="dxa"/>
            <w:vAlign w:val="bottom"/>
            <w:tcBorders>
              <w:bottom w:val="single" w:sz="8" w:color="EEEEEE"/>
            </w:tcBorders>
          </w:tcPr>
          <w:p>
            <w:pPr>
              <w:spacing w:after="0" w:line="20" w:lineRule="exact"/>
              <w:rPr>
                <w:sz w:val="1"/>
                <w:szCs w:val="1"/>
                <w:color w:val="auto"/>
              </w:rPr>
            </w:pPr>
          </w:p>
        </w:tc>
        <w:tc>
          <w:tcPr>
            <w:tcW w:w="4600" w:type="dxa"/>
            <w:vAlign w:val="bottom"/>
            <w:tcBorders>
              <w:bottom w:val="single" w:sz="8" w:color="EEEEEE"/>
            </w:tcBorders>
          </w:tcPr>
          <w:p>
            <w:pPr>
              <w:spacing w:after="0" w:line="20" w:lineRule="exact"/>
              <w:rPr>
                <w:sz w:val="1"/>
                <w:szCs w:val="1"/>
                <w:color w:val="auto"/>
              </w:rPr>
            </w:pPr>
          </w:p>
        </w:tc>
        <w:tc>
          <w:tcPr>
            <w:tcW w:w="44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21" w:right="8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1955165" cy="4718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5516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TILE SHOP REPORTS SECOND QUARTER 2017 RESULTS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0.5% Comparable Store Sales Growth</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69.7% Gross Margin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Income growth of 12.8%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Diluted Earnings per Share of $0.15, growth of 15.4%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Diluted Earnings per Share of $0.15, growth of 7.1%</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MINNEAPOLIS – July 18, 2017 – Tile Shop Holdings, Inc. (NASDAQ: TTS) (the “Company”), a specialty retailer of manufactured and natural stone tiles, setting and maintenance materials, and related accessories, today announced results for its second quarter ended June 30, 2017.</w:t>
      </w:r>
    </w:p>
    <w:p>
      <w:pPr>
        <w:spacing w:after="0" w:line="181"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Net sales grew 6.2% to $89.5 million for the second quarter ended June 30, 2017 compared with $84.3 million for the second quarter ended June 30, 2016. The $5.2 million increase in net sales was due to a comparable store sales increase of 0.5%, or $0.5 million, and incremental net sales of $4.7 million from stores not included in the comparable store base. The Company noted that comparable store sales growth was mid-single digit over the two month period of May and June, but this was mostly offset by a decline in April. Comparable store sales growth for the second quarter of 2016 was 8.2%.</w:t>
      </w:r>
    </w:p>
    <w:p>
      <w:pPr>
        <w:spacing w:after="0" w:line="18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“Despite the topline shortfall, we were pleased to deliver solid growth in earnings per share in the quarter, generate significant free cash flow to reduce debt to the lowest level in five years and continue to successfully open new stores, with seven stores opened year to date and an additional seven to eight scheduled to open in the second half of the year” said Chris Homeister, CEO.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Gross margin for the second quarter of each of 2017 and 2016 was 69.7%.</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Selling, general and administrative costs for the second quarter of 2017 were $50.7 million compared with $47.0 million for the second quarter of 2016. The $3.7 million increase was primarily driven by the costs associated with opening and operating new stores.</w:t>
      </w:r>
    </w:p>
    <w:p>
      <w:pPr>
        <w:spacing w:after="0" w:line="14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Company opened four new retail stores in the second quarter of 2017, consisting of its seventh Dallas area location in Fort Worth, TX, its fourth location in the Denver, CO market, its second location in the Nashville, TN market and its fourth location in the Atlanta, GA market located in Buckhead. As of June 30, 2017 the Company operates 130 stores in 31 states and the District of Columbia.</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Information</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presents non-GAAP net income and Adjusted EBITDA to provide useful information to investors regarding the Company’s normalized operating performance.</w:t>
      </w:r>
    </w:p>
    <w:p>
      <w:pPr>
        <w:spacing w:after="0" w:line="17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On a non-GAAP basis, net income for the second quarter of 2017 was $7.9 million compared with $7.1 million for the second quarter of 2016. Non-GAAP diluted earnings per share for the second quarter of 2017 were $0.15 compared with $0.14 for the second quarter of 2016, representing 7.1% growth. See the “Non-GAAP Income Reconciliation” table and the “Non-GAAP Financial Measures” section below for a reconciliation of GAAP to non-GAAP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114935</wp:posOffset>
            </wp:positionV>
            <wp:extent cx="6465570"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337" w:right="879" w:bottom="1440" w:gutter="0" w:footer="0" w:header="0"/>
        </w:sectPr>
      </w:pPr>
    </w:p>
    <w:bookmarkStart w:id="5" w:name="page6"/>
    <w:bookmarkEnd w:id="5"/>
    <w:tbl>
      <w:tblPr>
        <w:tblLayout w:type="fixed"/>
        <w:tblInd w:w="4"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r>
              <w:rPr>
                <w:rFonts w:ascii="Arial" w:cs="Arial" w:eastAsia="Arial" w:hAnsi="Arial"/>
                <w:sz w:val="18"/>
                <w:szCs w:val="18"/>
                <w:b w:val="1"/>
                <w:bCs w:val="1"/>
                <w:color w:val="auto"/>
              </w:rPr>
              <w:t>Non-GAAP Income Reconciliation</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513"/>
        </w:trPr>
        <w:tc>
          <w:tcPr>
            <w:tcW w:w="3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210"/>
        </w:trPr>
        <w:tc>
          <w:tcPr>
            <w:tcW w:w="3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5"/>
              </w:rPr>
              <w:t>June 30, 2017</w:t>
            </w:r>
          </w:p>
        </w:tc>
        <w:tc>
          <w:tcPr>
            <w:tcW w:w="9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w w:val="95"/>
              </w:rPr>
              <w:t>June 30, 2016</w:t>
            </w:r>
          </w:p>
        </w:tc>
        <w:tc>
          <w:tcPr>
            <w:tcW w:w="980" w:type="dxa"/>
            <w:vAlign w:val="bottom"/>
            <w:tcBorders>
              <w:bottom w:val="single" w:sz="8" w:color="auto"/>
            </w:tcBorders>
          </w:tcPr>
          <w:p>
            <w:pPr>
              <w:spacing w:after="0"/>
              <w:rPr>
                <w:sz w:val="18"/>
                <w:szCs w:val="18"/>
                <w:color w:val="auto"/>
              </w:rPr>
            </w:pPr>
          </w:p>
        </w:tc>
      </w:tr>
      <w:tr>
        <w:trPr>
          <w:trHeight w:val="228"/>
        </w:trPr>
        <w:tc>
          <w:tcPr>
            <w:tcW w:w="3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Diluted</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Diluted</w:t>
            </w:r>
          </w:p>
        </w:tc>
      </w:tr>
      <w:tr>
        <w:trPr>
          <w:trHeight w:val="287"/>
        </w:trPr>
        <w:tc>
          <w:tcPr>
            <w:tcW w:w="3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Per Share</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Per Share</w:t>
            </w:r>
          </w:p>
        </w:tc>
      </w:tr>
      <w:tr>
        <w:trPr>
          <w:trHeight w:val="234"/>
        </w:trPr>
        <w:tc>
          <w:tcPr>
            <w:tcW w:w="3500" w:type="dxa"/>
            <w:vAlign w:val="bottom"/>
          </w:tcPr>
          <w:p>
            <w:pPr>
              <w:spacing w:after="0"/>
              <w:rPr>
                <w:sz w:val="20"/>
                <w:szCs w:val="20"/>
                <w:color w:val="auto"/>
              </w:rPr>
            </w:pPr>
            <w:r>
              <w:rPr>
                <w:rFonts w:ascii="Arial" w:cs="Arial" w:eastAsia="Arial" w:hAnsi="Arial"/>
                <w:sz w:val="18"/>
                <w:szCs w:val="18"/>
                <w:b w:val="1"/>
                <w:bCs w:val="1"/>
                <w:color w:val="auto"/>
              </w:rPr>
              <w:t>($ in thousands, except per share data)</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rPr>
              <w:t>Pretax</w:t>
            </w:r>
          </w:p>
        </w:tc>
        <w:tc>
          <w:tcPr>
            <w:tcW w:w="1020" w:type="dxa"/>
            <w:vAlign w:val="bottom"/>
            <w:gridSpan w:val="3"/>
          </w:tcPr>
          <w:p>
            <w:pPr>
              <w:ind w:left="40"/>
              <w:spacing w:after="0"/>
              <w:rPr>
                <w:sz w:val="20"/>
                <w:szCs w:val="20"/>
                <w:color w:val="auto"/>
              </w:rPr>
            </w:pPr>
            <w:r>
              <w:rPr>
                <w:rFonts w:ascii="Arial" w:cs="Arial" w:eastAsia="Arial" w:hAnsi="Arial"/>
                <w:sz w:val="18"/>
                <w:szCs w:val="18"/>
                <w:b w:val="1"/>
                <w:bCs w:val="1"/>
                <w:color w:val="auto"/>
              </w:rPr>
              <w:t>Net of Tax</w:t>
            </w:r>
          </w:p>
        </w:tc>
        <w:tc>
          <w:tcPr>
            <w:tcW w:w="120" w:type="dxa"/>
            <w:vAlign w:val="bottom"/>
          </w:tcPr>
          <w:p>
            <w:pPr>
              <w:spacing w:after="0"/>
              <w:rPr>
                <w:sz w:val="20"/>
                <w:szCs w:val="20"/>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Amounts</w:t>
            </w:r>
          </w:p>
        </w:tc>
        <w:tc>
          <w:tcPr>
            <w:tcW w:w="140" w:type="dxa"/>
            <w:vAlign w:val="bottom"/>
          </w:tcPr>
          <w:p>
            <w:pPr>
              <w:spacing w:after="0"/>
              <w:rPr>
                <w:sz w:val="20"/>
                <w:szCs w:val="20"/>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b w:val="1"/>
                <w:bCs w:val="1"/>
                <w:color w:val="auto"/>
                <w:w w:val="98"/>
              </w:rPr>
              <w:t>Pretax</w:t>
            </w:r>
          </w:p>
        </w:tc>
        <w:tc>
          <w:tcPr>
            <w:tcW w:w="160" w:type="dxa"/>
            <w:vAlign w:val="bottom"/>
          </w:tcPr>
          <w:p>
            <w:pPr>
              <w:spacing w:after="0"/>
              <w:rPr>
                <w:sz w:val="20"/>
                <w:szCs w:val="20"/>
                <w:color w:val="auto"/>
              </w:rPr>
            </w:pPr>
          </w:p>
        </w:tc>
        <w:tc>
          <w:tcPr>
            <w:tcW w:w="1040" w:type="dxa"/>
            <w:vAlign w:val="bottom"/>
            <w:gridSpan w:val="3"/>
          </w:tcPr>
          <w:p>
            <w:pPr>
              <w:ind w:left="40"/>
              <w:spacing w:after="0"/>
              <w:rPr>
                <w:sz w:val="20"/>
                <w:szCs w:val="20"/>
                <w:color w:val="auto"/>
              </w:rPr>
            </w:pPr>
            <w:r>
              <w:rPr>
                <w:rFonts w:ascii="Arial" w:cs="Arial" w:eastAsia="Arial" w:hAnsi="Arial"/>
                <w:sz w:val="18"/>
                <w:szCs w:val="18"/>
                <w:b w:val="1"/>
                <w:bCs w:val="1"/>
                <w:color w:val="auto"/>
              </w:rPr>
              <w:t>Net of Tax</w:t>
            </w:r>
          </w:p>
        </w:tc>
        <w:tc>
          <w:tcPr>
            <w:tcW w:w="120" w:type="dxa"/>
            <w:vAlign w:val="bottom"/>
          </w:tcPr>
          <w:p>
            <w:pPr>
              <w:spacing w:after="0"/>
              <w:rPr>
                <w:sz w:val="20"/>
                <w:szCs w:val="20"/>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Amounts</w:t>
            </w:r>
          </w:p>
        </w:tc>
      </w:tr>
      <w:tr>
        <w:trPr>
          <w:trHeight w:val="210"/>
        </w:trPr>
        <w:tc>
          <w:tcPr>
            <w:tcW w:w="3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GAAP income</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11,214</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11,297</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Special charges: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Litigation costs</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50"/>
        </w:trPr>
        <w:tc>
          <w:tcPr>
            <w:tcW w:w="3500" w:type="dxa"/>
            <w:vAlign w:val="bottom"/>
          </w:tcPr>
          <w:p>
            <w:pPr>
              <w:spacing w:after="0"/>
              <w:rPr>
                <w:sz w:val="20"/>
                <w:szCs w:val="20"/>
                <w:color w:val="auto"/>
              </w:rPr>
            </w:pPr>
            <w:r>
              <w:rPr>
                <w:rFonts w:ascii="Arial" w:cs="Arial" w:eastAsia="Arial" w:hAnsi="Arial"/>
                <w:sz w:val="18"/>
                <w:szCs w:val="18"/>
                <w:color w:val="auto"/>
              </w:rPr>
              <w:t>Non-GAAP income</w:t>
            </w:r>
            <w:r>
              <w:rPr>
                <w:rFonts w:ascii="Arial" w:cs="Arial" w:eastAsia="Arial" w:hAnsi="Arial"/>
                <w:sz w:val="8"/>
                <w:szCs w:val="8"/>
                <w:color w:val="auto"/>
              </w:rPr>
              <w:t>(1)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11,512</w:t>
            </w:r>
          </w:p>
        </w:tc>
        <w:tc>
          <w:tcPr>
            <w:tcW w:w="160" w:type="dxa"/>
            <w:vAlign w:val="bottom"/>
          </w:tcPr>
          <w:p>
            <w:pPr>
              <w:spacing w:after="0"/>
              <w:rPr>
                <w:sz w:val="21"/>
                <w:szCs w:val="21"/>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7,928</w:t>
            </w:r>
          </w:p>
        </w:tc>
        <w:tc>
          <w:tcPr>
            <w:tcW w:w="1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0.15</w:t>
            </w:r>
          </w:p>
        </w:tc>
        <w:tc>
          <w:tcPr>
            <w:tcW w:w="1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11,702</w:t>
            </w: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7,095</w:t>
            </w:r>
          </w:p>
        </w:tc>
        <w:tc>
          <w:tcPr>
            <w:tcW w:w="1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0.14</w:t>
            </w: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r>
      <w:tr>
        <w:trPr>
          <w:trHeight w:val="513"/>
        </w:trPr>
        <w:tc>
          <w:tcPr>
            <w:tcW w:w="3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rPr>
              <w:t>Six Months Ended</w:t>
            </w: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210"/>
        </w:trPr>
        <w:tc>
          <w:tcPr>
            <w:tcW w:w="3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5"/>
              </w:rPr>
              <w:t>June 30, 2017</w:t>
            </w:r>
          </w:p>
        </w:tc>
        <w:tc>
          <w:tcPr>
            <w:tcW w:w="9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w w:val="95"/>
              </w:rPr>
              <w:t>June 30, 2016</w:t>
            </w:r>
          </w:p>
        </w:tc>
        <w:tc>
          <w:tcPr>
            <w:tcW w:w="980" w:type="dxa"/>
            <w:vAlign w:val="bottom"/>
            <w:tcBorders>
              <w:bottom w:val="single" w:sz="8" w:color="auto"/>
            </w:tcBorders>
          </w:tcPr>
          <w:p>
            <w:pPr>
              <w:spacing w:after="0"/>
              <w:rPr>
                <w:sz w:val="18"/>
                <w:szCs w:val="18"/>
                <w:color w:val="auto"/>
              </w:rPr>
            </w:pPr>
          </w:p>
        </w:tc>
      </w:tr>
      <w:tr>
        <w:trPr>
          <w:trHeight w:val="228"/>
        </w:trPr>
        <w:tc>
          <w:tcPr>
            <w:tcW w:w="3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Diluted</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Diluted</w:t>
            </w:r>
          </w:p>
        </w:tc>
      </w:tr>
      <w:tr>
        <w:trPr>
          <w:trHeight w:val="287"/>
        </w:trPr>
        <w:tc>
          <w:tcPr>
            <w:tcW w:w="3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Per Share</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Per Share</w:t>
            </w:r>
          </w:p>
        </w:tc>
      </w:tr>
      <w:tr>
        <w:trPr>
          <w:trHeight w:val="234"/>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 in thousands, except per share data)</w:t>
            </w: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Pretax</w:t>
            </w:r>
          </w:p>
        </w:tc>
        <w:tc>
          <w:tcPr>
            <w:tcW w:w="102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Net of Tax</w:t>
            </w: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89"/>
              </w:rPr>
              <w:t>Amounts</w:t>
            </w: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8"/>
              </w:rPr>
              <w:t>Pretax</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Net of Tax</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Amounts</w:t>
            </w:r>
          </w:p>
        </w:tc>
      </w:tr>
      <w:tr>
        <w:trPr>
          <w:trHeight w:val="21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GAAP income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22,514</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Special charges: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Litigation costs</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50"/>
        </w:trPr>
        <w:tc>
          <w:tcPr>
            <w:tcW w:w="3500" w:type="dxa"/>
            <w:vAlign w:val="bottom"/>
          </w:tcPr>
          <w:p>
            <w:pPr>
              <w:spacing w:after="0"/>
              <w:rPr>
                <w:sz w:val="20"/>
                <w:szCs w:val="20"/>
                <w:color w:val="auto"/>
              </w:rPr>
            </w:pPr>
            <w:r>
              <w:rPr>
                <w:rFonts w:ascii="Arial" w:cs="Arial" w:eastAsia="Arial" w:hAnsi="Arial"/>
                <w:sz w:val="18"/>
                <w:szCs w:val="18"/>
                <w:color w:val="auto"/>
              </w:rPr>
              <w:t>Non-GAAP income</w:t>
            </w:r>
            <w:r>
              <w:rPr>
                <w:rFonts w:ascii="Arial" w:cs="Arial" w:eastAsia="Arial" w:hAnsi="Arial"/>
                <w:sz w:val="8"/>
                <w:szCs w:val="8"/>
                <w:color w:val="auto"/>
              </w:rPr>
              <w:t>(1)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24,947</w:t>
            </w:r>
          </w:p>
        </w:tc>
        <w:tc>
          <w:tcPr>
            <w:tcW w:w="160" w:type="dxa"/>
            <w:vAlign w:val="bottom"/>
          </w:tcPr>
          <w:p>
            <w:pPr>
              <w:spacing w:after="0"/>
              <w:rPr>
                <w:sz w:val="21"/>
                <w:szCs w:val="21"/>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16,152</w:t>
            </w:r>
          </w:p>
        </w:tc>
        <w:tc>
          <w:tcPr>
            <w:tcW w:w="1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0.31</w:t>
            </w:r>
          </w:p>
        </w:tc>
        <w:tc>
          <w:tcPr>
            <w:tcW w:w="1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23,616</w:t>
            </w: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14,273</w:t>
            </w:r>
          </w:p>
        </w:tc>
        <w:tc>
          <w:tcPr>
            <w:tcW w:w="1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0.28</w:t>
            </w:r>
          </w:p>
        </w:tc>
      </w:tr>
      <w:tr>
        <w:trPr>
          <w:trHeight w:val="27"/>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ind w:left="144" w:hanging="144"/>
        <w:spacing w:after="0"/>
        <w:tabs>
          <w:tab w:leader="none" w:pos="144" w:val="left"/>
        </w:tabs>
        <w:numPr>
          <w:ilvl w:val="0"/>
          <w:numId w:val="2"/>
        </w:numPr>
        <w:rPr>
          <w:rFonts w:ascii="Arial" w:cs="Arial" w:eastAsia="Arial" w:hAnsi="Arial"/>
          <w:sz w:val="9"/>
          <w:szCs w:val="9"/>
          <w:color w:val="auto"/>
        </w:rPr>
      </w:pPr>
      <w:r>
        <w:rPr>
          <w:rFonts w:ascii="Arial" w:cs="Arial" w:eastAsia="Arial" w:hAnsi="Arial"/>
          <w:sz w:val="18"/>
          <w:szCs w:val="18"/>
          <w:color w:val="auto"/>
        </w:rPr>
        <w:t>Amounts may not foot due to rounding.</w:t>
      </w:r>
    </w:p>
    <w:p>
      <w:pPr>
        <w:spacing w:after="0" w:line="225" w:lineRule="exact"/>
        <w:rPr>
          <w:sz w:val="20"/>
          <w:szCs w:val="20"/>
          <w:color w:val="auto"/>
        </w:rPr>
      </w:pPr>
    </w:p>
    <w:p>
      <w:pPr>
        <w:ind w:left="4" w:right="100"/>
        <w:spacing w:after="0" w:line="264" w:lineRule="auto"/>
        <w:rPr>
          <w:sz w:val="20"/>
          <w:szCs w:val="20"/>
          <w:color w:val="auto"/>
        </w:rPr>
      </w:pPr>
      <w:r>
        <w:rPr>
          <w:rFonts w:ascii="Arial" w:cs="Arial" w:eastAsia="Arial" w:hAnsi="Arial"/>
          <w:sz w:val="18"/>
          <w:szCs w:val="18"/>
          <w:color w:val="auto"/>
        </w:rPr>
        <w:t>Adjusted EBITDA for the second quarter of 2017 was $19.1 million compared with $19.0 million for the second quarter of 2016, representing 0.8% growth. See the “Adjusted EBITDA Reconciliation” table and the “Non-GAAP Financial Measures” section below for a reconciliation of GAAP net income to Adjusted EBITDA.</w:t>
      </w:r>
    </w:p>
    <w:p>
      <w:pPr>
        <w:spacing w:after="0" w:line="177"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r>
              <w:rPr>
                <w:rFonts w:ascii="Arial" w:cs="Arial" w:eastAsia="Arial" w:hAnsi="Arial"/>
                <w:sz w:val="18"/>
                <w:szCs w:val="18"/>
                <w:b w:val="1"/>
                <w:bCs w:val="1"/>
                <w:color w:val="auto"/>
              </w:rPr>
              <w:t>Adjusted EBITDA Reconciliation</w:t>
            </w: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95"/>
        </w:trPr>
        <w:tc>
          <w:tcPr>
            <w:tcW w:w="38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gridSpan w:val="6"/>
          </w:tcPr>
          <w:p>
            <w:pPr>
              <w:jc w:val="center"/>
              <w:ind w:right="180"/>
              <w:spacing w:after="0"/>
              <w:rPr>
                <w:sz w:val="20"/>
                <w:szCs w:val="20"/>
                <w:color w:val="auto"/>
              </w:rPr>
            </w:pPr>
            <w:r>
              <w:rPr>
                <w:rFonts w:ascii="Arial" w:cs="Arial" w:eastAsia="Arial" w:hAnsi="Arial"/>
                <w:sz w:val="18"/>
                <w:szCs w:val="18"/>
                <w:b w:val="1"/>
                <w:bCs w:val="1"/>
                <w:color w:val="auto"/>
                <w:w w:val="92"/>
              </w:rPr>
              <w:t>Three Months Ended</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4"/>
        </w:trPr>
        <w:tc>
          <w:tcPr>
            <w:tcW w:w="3880" w:type="dxa"/>
            <w:vAlign w:val="bottom"/>
          </w:tcPr>
          <w:p>
            <w:pPr>
              <w:spacing w:after="0"/>
              <w:rPr>
                <w:sz w:val="20"/>
                <w:szCs w:val="20"/>
                <w:color w:val="auto"/>
              </w:rPr>
            </w:pPr>
            <w:r>
              <w:rPr>
                <w:rFonts w:ascii="Arial" w:cs="Arial" w:eastAsia="Arial" w:hAnsi="Arial"/>
                <w:sz w:val="18"/>
                <w:szCs w:val="18"/>
                <w:b w:val="1"/>
                <w:bCs w:val="1"/>
                <w:color w:val="auto"/>
              </w:rPr>
              <w:t>($ in thousands)</w:t>
            </w:r>
          </w:p>
        </w:tc>
        <w:tc>
          <w:tcPr>
            <w:tcW w:w="1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8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r>
      <w:tr>
        <w:trPr>
          <w:trHeight w:val="264"/>
        </w:trPr>
        <w:tc>
          <w:tcPr>
            <w:tcW w:w="38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2"/>
                <w:szCs w:val="22"/>
                <w:color w:val="auto"/>
              </w:rPr>
            </w:pPr>
          </w:p>
        </w:tc>
        <w:tc>
          <w:tcPr>
            <w:tcW w:w="1240" w:type="dxa"/>
            <w:vAlign w:val="bottom"/>
            <w:gridSpan w:val="3"/>
          </w:tcPr>
          <w:p>
            <w:pPr>
              <w:ind w:left="100"/>
              <w:spacing w:after="0"/>
              <w:rPr>
                <w:sz w:val="20"/>
                <w:szCs w:val="20"/>
                <w:color w:val="auto"/>
              </w:rPr>
            </w:pPr>
            <w:r>
              <w:rPr>
                <w:rFonts w:ascii="Arial" w:cs="Arial" w:eastAsia="Arial" w:hAnsi="Arial"/>
                <w:sz w:val="18"/>
                <w:szCs w:val="18"/>
                <w:b w:val="1"/>
                <w:bCs w:val="1"/>
                <w:color w:val="auto"/>
              </w:rPr>
              <w:t>% of sales</w:t>
            </w:r>
            <w:r>
              <w:rPr>
                <w:rFonts w:ascii="Arial" w:cs="Arial" w:eastAsia="Arial" w:hAnsi="Arial"/>
                <w:sz w:val="8"/>
                <w:szCs w:val="8"/>
                <w:b w:val="1"/>
                <w:bCs w:val="1"/>
                <w:color w:val="auto"/>
              </w:rPr>
              <w:t>(2)</w:t>
            </w:r>
          </w:p>
        </w:tc>
        <w:tc>
          <w:tcPr>
            <w:tcW w:w="340" w:type="dxa"/>
            <w:vAlign w:val="bottom"/>
          </w:tcPr>
          <w:p>
            <w:pPr>
              <w:spacing w:after="0"/>
              <w:rPr>
                <w:sz w:val="22"/>
                <w:szCs w:val="22"/>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2016</w:t>
            </w:r>
          </w:p>
        </w:tc>
        <w:tc>
          <w:tcPr>
            <w:tcW w:w="160" w:type="dxa"/>
            <w:vAlign w:val="bottom"/>
          </w:tcPr>
          <w:p>
            <w:pPr>
              <w:spacing w:after="0"/>
              <w:rPr>
                <w:sz w:val="22"/>
                <w:szCs w:val="22"/>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 of sales</w:t>
            </w:r>
            <w:r>
              <w:rPr>
                <w:rFonts w:ascii="Arial" w:cs="Arial" w:eastAsia="Arial" w:hAnsi="Arial"/>
                <w:sz w:val="8"/>
                <w:szCs w:val="8"/>
                <w:b w:val="1"/>
                <w:bCs w:val="1"/>
                <w:color w:val="auto"/>
              </w:rPr>
              <w:t>(2)</w:t>
            </w:r>
          </w:p>
        </w:tc>
      </w:tr>
      <w:tr>
        <w:trPr>
          <w:trHeight w:val="210"/>
        </w:trPr>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GAAP net income</w:t>
            </w:r>
          </w:p>
        </w:tc>
        <w:tc>
          <w:tcPr>
            <w:tcW w:w="1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7,723</w:t>
            </w:r>
          </w:p>
        </w:tc>
        <w:tc>
          <w:tcPr>
            <w:tcW w:w="1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8.6 %</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6,849</w:t>
            </w: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8.1 %</w:t>
            </w: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Interest expense</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448</w:t>
            </w:r>
          </w:p>
        </w:tc>
        <w:tc>
          <w:tcPr>
            <w:tcW w:w="1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0.5 %</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449</w:t>
            </w:r>
          </w:p>
        </w:tc>
        <w:tc>
          <w:tcPr>
            <w:tcW w:w="1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0.5 %</w:t>
            </w:r>
          </w:p>
        </w:tc>
      </w:tr>
      <w:tr>
        <w:trPr>
          <w:trHeight w:val="23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5.3 %</w:t>
            </w: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6,256</w:t>
            </w:r>
          </w:p>
        </w:tc>
        <w:tc>
          <w:tcPr>
            <w:tcW w:w="1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7.0 %</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5,613</w:t>
            </w:r>
          </w:p>
        </w:tc>
        <w:tc>
          <w:tcPr>
            <w:tcW w:w="1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6.7 %</w:t>
            </w:r>
          </w:p>
        </w:tc>
      </w:tr>
      <w:tr>
        <w:trPr>
          <w:trHeight w:val="23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Special charges</w:t>
            </w:r>
            <w:r>
              <w:rPr>
                <w:rFonts w:ascii="Arial" w:cs="Arial" w:eastAsia="Arial" w:hAnsi="Arial"/>
                <w:sz w:val="8"/>
                <w:szCs w:val="8"/>
                <w:color w:val="auto"/>
              </w:rPr>
              <w:t>(1)</w:t>
            </w:r>
          </w:p>
        </w:tc>
        <w:tc>
          <w:tcPr>
            <w:tcW w:w="1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0.5 %</w:t>
            </w: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928</w:t>
            </w:r>
          </w:p>
        </w:tc>
        <w:tc>
          <w:tcPr>
            <w:tcW w:w="1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1,235</w:t>
            </w:r>
          </w:p>
        </w:tc>
        <w:tc>
          <w:tcPr>
            <w:tcW w:w="1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1.5 %</w:t>
            </w:r>
          </w:p>
        </w:tc>
      </w:tr>
      <w:tr>
        <w:trPr>
          <w:trHeight w:val="20"/>
        </w:trPr>
        <w:tc>
          <w:tcPr>
            <w:tcW w:w="388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25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8"/>
                <w:szCs w:val="8"/>
                <w:color w:val="auto"/>
              </w:rPr>
              <w:t>(2)</w:t>
            </w:r>
          </w:p>
        </w:tc>
        <w:tc>
          <w:tcPr>
            <w:tcW w:w="13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19,144</w:t>
            </w: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21.4 %</w:t>
            </w:r>
          </w:p>
        </w:tc>
        <w:tc>
          <w:tcPr>
            <w:tcW w:w="16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18,999</w:t>
            </w: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22.5 %</w:t>
            </w:r>
          </w:p>
        </w:tc>
      </w:tr>
      <w:tr>
        <w:trPr>
          <w:trHeight w:val="27"/>
        </w:trPr>
        <w:tc>
          <w:tcPr>
            <w:tcW w:w="38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40" w:type="dxa"/>
            <w:vAlign w:val="bottom"/>
            <w:gridSpan w:val="2"/>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r>
      <w:tr>
        <w:trPr>
          <w:trHeight w:val="495"/>
        </w:trPr>
        <w:tc>
          <w:tcPr>
            <w:tcW w:w="38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gridSpan w:val="6"/>
          </w:tcPr>
          <w:p>
            <w:pPr>
              <w:jc w:val="center"/>
              <w:ind w:right="160"/>
              <w:spacing w:after="0"/>
              <w:rPr>
                <w:sz w:val="20"/>
                <w:szCs w:val="20"/>
                <w:color w:val="auto"/>
              </w:rPr>
            </w:pPr>
            <w:r>
              <w:rPr>
                <w:rFonts w:ascii="Arial" w:cs="Arial" w:eastAsia="Arial" w:hAnsi="Arial"/>
                <w:sz w:val="18"/>
                <w:szCs w:val="18"/>
                <w:b w:val="1"/>
                <w:bCs w:val="1"/>
                <w:color w:val="auto"/>
                <w:w w:val="90"/>
              </w:rPr>
              <w:t>Six Months Ended</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4"/>
        </w:trPr>
        <w:tc>
          <w:tcPr>
            <w:tcW w:w="3880" w:type="dxa"/>
            <w:vAlign w:val="bottom"/>
          </w:tcPr>
          <w:p>
            <w:pPr>
              <w:spacing w:after="0"/>
              <w:rPr>
                <w:sz w:val="20"/>
                <w:szCs w:val="20"/>
                <w:color w:val="auto"/>
              </w:rPr>
            </w:pPr>
            <w:r>
              <w:rPr>
                <w:rFonts w:ascii="Arial" w:cs="Arial" w:eastAsia="Arial" w:hAnsi="Arial"/>
                <w:sz w:val="18"/>
                <w:szCs w:val="18"/>
                <w:b w:val="1"/>
                <w:bCs w:val="1"/>
                <w:color w:val="auto"/>
              </w:rPr>
              <w:t>($ in thousands)</w:t>
            </w:r>
          </w:p>
        </w:tc>
        <w:tc>
          <w:tcPr>
            <w:tcW w:w="1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8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r>
      <w:tr>
        <w:trPr>
          <w:trHeight w:val="264"/>
        </w:trPr>
        <w:tc>
          <w:tcPr>
            <w:tcW w:w="38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2"/>
                <w:szCs w:val="22"/>
                <w:color w:val="auto"/>
              </w:rPr>
            </w:pPr>
          </w:p>
        </w:tc>
        <w:tc>
          <w:tcPr>
            <w:tcW w:w="1240" w:type="dxa"/>
            <w:vAlign w:val="bottom"/>
            <w:gridSpan w:val="3"/>
          </w:tcPr>
          <w:p>
            <w:pPr>
              <w:ind w:left="100"/>
              <w:spacing w:after="0"/>
              <w:rPr>
                <w:sz w:val="20"/>
                <w:szCs w:val="20"/>
                <w:color w:val="auto"/>
              </w:rPr>
            </w:pPr>
            <w:r>
              <w:rPr>
                <w:rFonts w:ascii="Arial" w:cs="Arial" w:eastAsia="Arial" w:hAnsi="Arial"/>
                <w:sz w:val="18"/>
                <w:szCs w:val="18"/>
                <w:b w:val="1"/>
                <w:bCs w:val="1"/>
                <w:color w:val="auto"/>
              </w:rPr>
              <w:t>% of sales</w:t>
            </w:r>
            <w:r>
              <w:rPr>
                <w:rFonts w:ascii="Arial" w:cs="Arial" w:eastAsia="Arial" w:hAnsi="Arial"/>
                <w:sz w:val="8"/>
                <w:szCs w:val="8"/>
                <w:b w:val="1"/>
                <w:bCs w:val="1"/>
                <w:color w:val="auto"/>
              </w:rPr>
              <w:t>(2)</w:t>
            </w:r>
          </w:p>
        </w:tc>
        <w:tc>
          <w:tcPr>
            <w:tcW w:w="340" w:type="dxa"/>
            <w:vAlign w:val="bottom"/>
          </w:tcPr>
          <w:p>
            <w:pPr>
              <w:spacing w:after="0"/>
              <w:rPr>
                <w:sz w:val="22"/>
                <w:szCs w:val="22"/>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2016</w:t>
            </w:r>
          </w:p>
        </w:tc>
        <w:tc>
          <w:tcPr>
            <w:tcW w:w="160" w:type="dxa"/>
            <w:vAlign w:val="bottom"/>
          </w:tcPr>
          <w:p>
            <w:pPr>
              <w:spacing w:after="0"/>
              <w:rPr>
                <w:sz w:val="22"/>
                <w:szCs w:val="22"/>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 of sales</w:t>
            </w:r>
            <w:r>
              <w:rPr>
                <w:rFonts w:ascii="Arial" w:cs="Arial" w:eastAsia="Arial" w:hAnsi="Arial"/>
                <w:sz w:val="8"/>
                <w:szCs w:val="8"/>
                <w:b w:val="1"/>
                <w:bCs w:val="1"/>
                <w:color w:val="auto"/>
              </w:rPr>
              <w:t>(2)</w:t>
            </w:r>
          </w:p>
        </w:tc>
      </w:tr>
      <w:tr>
        <w:trPr>
          <w:trHeight w:val="210"/>
        </w:trPr>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GAAP net income</w:t>
            </w:r>
          </w:p>
        </w:tc>
        <w:tc>
          <w:tcPr>
            <w:tcW w:w="1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15,732</w:t>
            </w:r>
          </w:p>
        </w:tc>
        <w:tc>
          <w:tcPr>
            <w:tcW w:w="1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13,607</w:t>
            </w: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8.1 %</w:t>
            </w: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Interest expense</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933</w:t>
            </w:r>
          </w:p>
        </w:tc>
        <w:tc>
          <w:tcPr>
            <w:tcW w:w="1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0.5 %</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1,019</w:t>
            </w:r>
          </w:p>
        </w:tc>
        <w:tc>
          <w:tcPr>
            <w:tcW w:w="1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0.6 %</w:t>
            </w:r>
          </w:p>
        </w:tc>
      </w:tr>
      <w:tr>
        <w:trPr>
          <w:trHeight w:val="23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8,566</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8,907</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5.3 %</w:t>
            </w: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12,592</w:t>
            </w:r>
          </w:p>
        </w:tc>
        <w:tc>
          <w:tcPr>
            <w:tcW w:w="1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6.9 %</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11,184</w:t>
            </w:r>
          </w:p>
        </w:tc>
        <w:tc>
          <w:tcPr>
            <w:tcW w:w="1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6.6 %</w:t>
            </w:r>
          </w:p>
        </w:tc>
      </w:tr>
      <w:tr>
        <w:trPr>
          <w:trHeight w:val="284"/>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Special charges</w:t>
            </w:r>
            <w:r>
              <w:rPr>
                <w:rFonts w:ascii="Arial" w:cs="Arial" w:eastAsia="Arial" w:hAnsi="Arial"/>
                <w:sz w:val="8"/>
                <w:szCs w:val="8"/>
                <w:color w:val="auto"/>
              </w:rPr>
              <w:t>(1)</w:t>
            </w:r>
          </w:p>
        </w:tc>
        <w:tc>
          <w:tcPr>
            <w:tcW w:w="13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0.7 %</w:t>
            </w: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1,770</w:t>
            </w:r>
          </w:p>
        </w:tc>
        <w:tc>
          <w:tcPr>
            <w:tcW w:w="1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2,464</w:t>
            </w:r>
          </w:p>
        </w:tc>
        <w:tc>
          <w:tcPr>
            <w:tcW w:w="1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1.5 %</w:t>
            </w:r>
          </w:p>
        </w:tc>
      </w:tr>
      <w:tr>
        <w:trPr>
          <w:trHeight w:val="20"/>
        </w:trPr>
        <w:tc>
          <w:tcPr>
            <w:tcW w:w="388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25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8"/>
                <w:szCs w:val="8"/>
                <w:color w:val="auto"/>
              </w:rPr>
              <w:t>(2)</w:t>
            </w:r>
          </w:p>
        </w:tc>
        <w:tc>
          <w:tcPr>
            <w:tcW w:w="13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40,242</w:t>
            </w: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22.2 %</w:t>
            </w:r>
          </w:p>
        </w:tc>
        <w:tc>
          <w:tcPr>
            <w:tcW w:w="16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38,283</w:t>
            </w: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22.7 %</w:t>
            </w:r>
          </w:p>
        </w:tc>
      </w:tr>
      <w:tr>
        <w:trPr>
          <w:trHeight w:val="27"/>
        </w:trPr>
        <w:tc>
          <w:tcPr>
            <w:tcW w:w="38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584" w:right="7240" w:hanging="2584"/>
        <w:spacing w:after="0" w:line="624" w:lineRule="auto"/>
        <w:tabs>
          <w:tab w:leader="none" w:pos="141" w:val="left"/>
        </w:tabs>
        <w:numPr>
          <w:ilvl w:val="0"/>
          <w:numId w:val="3"/>
        </w:numPr>
        <w:rPr>
          <w:rFonts w:ascii="Arial" w:cs="Arial" w:eastAsia="Arial" w:hAnsi="Arial"/>
          <w:sz w:val="8"/>
          <w:szCs w:val="8"/>
          <w:color w:val="auto"/>
        </w:rPr>
      </w:pPr>
      <w:r>
        <w:rPr>
          <w:rFonts w:ascii="Arial" w:cs="Arial" w:eastAsia="Arial" w:hAnsi="Arial"/>
          <w:sz w:val="16"/>
          <w:szCs w:val="16"/>
          <w:color w:val="auto"/>
        </w:rPr>
        <w:t>Shareholder and other litigation costs.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6350</wp:posOffset>
            </wp:positionV>
            <wp:extent cx="6465570"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21" w:right="879" w:bottom="1440" w:gutter="0" w:footer="0" w:header="0"/>
        </w:sectPr>
      </w:pPr>
    </w:p>
    <w:bookmarkStart w:id="6" w:name="page7"/>
    <w:bookmarkEnd w:id="6"/>
    <w:p>
      <w:pPr>
        <w:ind w:left="144" w:hanging="144"/>
        <w:spacing w:after="0"/>
        <w:tabs>
          <w:tab w:leader="none" w:pos="144" w:val="left"/>
        </w:tabs>
        <w:numPr>
          <w:ilvl w:val="0"/>
          <w:numId w:val="4"/>
        </w:numPr>
        <w:rPr>
          <w:rFonts w:ascii="Arial" w:cs="Arial" w:eastAsia="Arial" w:hAnsi="Arial"/>
          <w:sz w:val="9"/>
          <w:szCs w:val="9"/>
          <w:color w:val="auto"/>
        </w:rPr>
      </w:pPr>
      <w:r>
        <w:rPr>
          <w:rFonts w:ascii="Arial" w:cs="Arial" w:eastAsia="Arial" w:hAnsi="Arial"/>
          <w:sz w:val="18"/>
          <w:szCs w:val="18"/>
          <w:color w:val="auto"/>
        </w:rPr>
        <w:t>Amounts may not foot due to rounding.</w:t>
      </w:r>
    </w:p>
    <w:p>
      <w:pPr>
        <w:spacing w:after="0" w:line="99" w:lineRule="exact"/>
        <w:rPr>
          <w:rFonts w:ascii="Arial" w:cs="Arial" w:eastAsia="Arial" w:hAnsi="Arial"/>
          <w:sz w:val="9"/>
          <w:szCs w:val="9"/>
          <w:color w:val="auto"/>
        </w:rPr>
      </w:pPr>
    </w:p>
    <w:p>
      <w:pPr>
        <w:ind w:left="4"/>
        <w:spacing w:after="0"/>
        <w:rPr>
          <w:rFonts w:ascii="Arial" w:cs="Arial" w:eastAsia="Arial" w:hAnsi="Arial"/>
          <w:sz w:val="9"/>
          <w:szCs w:val="9"/>
          <w:color w:val="auto"/>
        </w:rPr>
      </w:pPr>
      <w:r>
        <w:rPr>
          <w:rFonts w:ascii="Arial" w:cs="Arial" w:eastAsia="Arial" w:hAnsi="Arial"/>
          <w:sz w:val="18"/>
          <w:szCs w:val="18"/>
          <w:b w:val="1"/>
          <w:bCs w:val="1"/>
          <w:u w:val="single" w:color="auto"/>
          <w:color w:val="auto"/>
        </w:rPr>
        <w:t>Financial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5483860</wp:posOffset>
            </wp:positionH>
            <wp:positionV relativeFrom="paragraph">
              <wp:posOffset>-7620</wp:posOffset>
            </wp:positionV>
            <wp:extent cx="2286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74" w:lineRule="exact"/>
        <w:rPr>
          <w:sz w:val="20"/>
          <w:szCs w:val="20"/>
          <w:color w:val="auto"/>
        </w:rPr>
      </w:pPr>
    </w:p>
    <w:p>
      <w:pPr>
        <w:ind w:left="4" w:right="420"/>
        <w:spacing w:after="0" w:line="277" w:lineRule="auto"/>
        <w:rPr>
          <w:sz w:val="20"/>
          <w:szCs w:val="20"/>
          <w:color w:val="auto"/>
        </w:rPr>
      </w:pPr>
      <w:r>
        <w:rPr>
          <w:rFonts w:ascii="Arial" w:cs="Arial" w:eastAsia="Arial" w:hAnsi="Arial"/>
          <w:sz w:val="18"/>
          <w:szCs w:val="18"/>
          <w:color w:val="auto"/>
        </w:rPr>
        <w:t>The Company is reaffirming all expectations for full year ending December 31, 2017 based on past performance, anticipated new store openings and current economic conditions:</w:t>
      </w:r>
    </w:p>
    <w:p>
      <w:pPr>
        <w:spacing w:after="0" w:line="99"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 in millions, except per share data)</w:t>
            </w:r>
          </w:p>
        </w:tc>
        <w:tc>
          <w:tcPr>
            <w:tcW w:w="19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2017</w:t>
            </w:r>
          </w:p>
        </w:tc>
        <w:tc>
          <w:tcPr>
            <w:tcW w:w="140" w:type="dxa"/>
            <w:vAlign w:val="bottom"/>
            <w:tcBorders>
              <w:bottom w:val="single" w:sz="8" w:color="CCEEFF"/>
            </w:tcBorders>
          </w:tcPr>
          <w:p>
            <w:pPr>
              <w:spacing w:after="0"/>
              <w:rPr>
                <w:sz w:val="20"/>
                <w:szCs w:val="20"/>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2016</w:t>
            </w: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$365</w:t>
            </w:r>
          </w:p>
        </w:tc>
        <w:tc>
          <w:tcPr>
            <w:tcW w:w="140" w:type="dxa"/>
            <w:vAlign w:val="bottom"/>
            <w:shd w:val="clear" w:color="auto" w:fill="CCEEFF"/>
          </w:tcPr>
          <w:p>
            <w:pPr>
              <w:spacing w:after="0"/>
              <w:rPr>
                <w:sz w:val="18"/>
                <w:szCs w:val="18"/>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$324.2</w:t>
            </w: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Comparable Store Sales Change</w:t>
            </w:r>
          </w:p>
        </w:tc>
        <w:tc>
          <w:tcPr>
            <w:tcW w:w="2060" w:type="dxa"/>
            <w:vAlign w:val="bottom"/>
            <w:gridSpan w:val="3"/>
          </w:tcPr>
          <w:p>
            <w:pPr>
              <w:jc w:val="center"/>
              <w:ind w:right="160"/>
              <w:spacing w:after="0"/>
              <w:rPr>
                <w:sz w:val="20"/>
                <w:szCs w:val="20"/>
                <w:color w:val="auto"/>
              </w:rPr>
            </w:pPr>
            <w:r>
              <w:rPr>
                <w:rFonts w:ascii="Arial" w:cs="Arial" w:eastAsia="Arial" w:hAnsi="Arial"/>
                <w:sz w:val="18"/>
                <w:szCs w:val="18"/>
                <w:color w:val="auto"/>
                <w:w w:val="94"/>
              </w:rPr>
              <w:t>low to mid single digits</w:t>
            </w: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7.6%</w:t>
            </w:r>
          </w:p>
        </w:tc>
      </w:tr>
      <w:tr>
        <w:trPr>
          <w:trHeight w:val="23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Gross Margin % of Net Sales</w:t>
            </w:r>
          </w:p>
        </w:tc>
        <w:tc>
          <w:tcPr>
            <w:tcW w:w="206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0"/>
              </w:rPr>
              <w:t>approx. 70%</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70.0%</w:t>
            </w: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Depreciation &amp; Amortization</w:t>
            </w:r>
          </w:p>
        </w:tc>
        <w:tc>
          <w:tcPr>
            <w:tcW w:w="2060" w:type="dxa"/>
            <w:vAlign w:val="bottom"/>
            <w:gridSpan w:val="3"/>
          </w:tcPr>
          <w:p>
            <w:pPr>
              <w:jc w:val="center"/>
              <w:ind w:right="160"/>
              <w:spacing w:after="0"/>
              <w:rPr>
                <w:sz w:val="20"/>
                <w:szCs w:val="20"/>
                <w:color w:val="auto"/>
              </w:rPr>
            </w:pPr>
            <w:r>
              <w:rPr>
                <w:rFonts w:ascii="Arial" w:cs="Arial" w:eastAsia="Arial" w:hAnsi="Arial"/>
                <w:sz w:val="18"/>
                <w:szCs w:val="18"/>
                <w:color w:val="auto"/>
                <w:w w:val="90"/>
              </w:rPr>
              <w:t>approx. $26</w:t>
            </w: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$23.0</w:t>
            </w:r>
          </w:p>
        </w:tc>
      </w:tr>
      <w:tr>
        <w:trPr>
          <w:trHeight w:val="23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206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89"/>
              </w:rPr>
              <w:t>approx. $3.5</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$4.3</w:t>
            </w: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Effective Tax Rate</w:t>
            </w:r>
          </w:p>
        </w:tc>
        <w:tc>
          <w:tcPr>
            <w:tcW w:w="2060" w:type="dxa"/>
            <w:vAlign w:val="bottom"/>
            <w:gridSpan w:val="3"/>
          </w:tcPr>
          <w:p>
            <w:pPr>
              <w:jc w:val="center"/>
              <w:ind w:right="140"/>
              <w:spacing w:after="0"/>
              <w:rPr>
                <w:sz w:val="20"/>
                <w:szCs w:val="20"/>
                <w:color w:val="auto"/>
              </w:rPr>
            </w:pPr>
            <w:r>
              <w:rPr>
                <w:rFonts w:ascii="Arial" w:cs="Arial" w:eastAsia="Arial" w:hAnsi="Arial"/>
                <w:sz w:val="18"/>
                <w:szCs w:val="18"/>
                <w:color w:val="auto"/>
                <w:w w:val="90"/>
              </w:rPr>
              <w:t>approx. 38%</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41.1%</w:t>
            </w:r>
          </w:p>
        </w:tc>
      </w:tr>
      <w:tr>
        <w:trPr>
          <w:trHeight w:val="23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Special Charges</w:t>
            </w:r>
          </w:p>
        </w:tc>
        <w:tc>
          <w:tcPr>
            <w:tcW w:w="206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89"/>
              </w:rPr>
              <w:t>approx. $1.0</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$7.6</w:t>
            </w: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Earnings Per Share (GAAP)</w:t>
            </w:r>
          </w:p>
        </w:tc>
        <w:tc>
          <w:tcPr>
            <w:tcW w:w="900" w:type="dxa"/>
            <w:vAlign w:val="bottom"/>
          </w:tcPr>
          <w:p>
            <w:pPr>
              <w:jc w:val="right"/>
              <w:spacing w:after="0"/>
              <w:rPr>
                <w:sz w:val="20"/>
                <w:szCs w:val="20"/>
                <w:color w:val="auto"/>
              </w:rPr>
            </w:pPr>
            <w:r>
              <w:rPr>
                <w:rFonts w:ascii="Arial" w:cs="Arial" w:eastAsia="Arial" w:hAnsi="Arial"/>
                <w:sz w:val="18"/>
                <w:szCs w:val="18"/>
                <w:color w:val="auto"/>
              </w:rPr>
              <w:t>$0.48</w:t>
            </w:r>
          </w:p>
        </w:tc>
        <w:tc>
          <w:tcPr>
            <w:tcW w:w="1020" w:type="dxa"/>
            <w:vAlign w:val="bottom"/>
          </w:tcPr>
          <w:p>
            <w:pPr>
              <w:ind w:left="20"/>
              <w:spacing w:after="0"/>
              <w:rPr>
                <w:sz w:val="20"/>
                <w:szCs w:val="20"/>
                <w:color w:val="auto"/>
              </w:rPr>
            </w:pPr>
            <w:r>
              <w:rPr>
                <w:rFonts w:ascii="Arial" w:cs="Arial" w:eastAsia="Arial" w:hAnsi="Arial"/>
                <w:sz w:val="18"/>
                <w:szCs w:val="18"/>
                <w:color w:val="auto"/>
              </w:rPr>
              <w:t>- $0.55</w:t>
            </w:r>
          </w:p>
        </w:tc>
        <w:tc>
          <w:tcPr>
            <w:tcW w:w="14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$0.36</w:t>
            </w:r>
          </w:p>
        </w:tc>
      </w:tr>
      <w:tr>
        <w:trPr>
          <w:trHeight w:val="23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Non-GAAP Earnings Per Share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$0.56</w:t>
            </w:r>
          </w:p>
        </w:tc>
        <w:tc>
          <w:tcPr>
            <w:tcW w:w="140" w:type="dxa"/>
            <w:vAlign w:val="bottom"/>
            <w:shd w:val="clear" w:color="auto" w:fill="CCEEFF"/>
          </w:tcPr>
          <w:p>
            <w:pPr>
              <w:spacing w:after="0"/>
              <w:rPr>
                <w:sz w:val="19"/>
                <w:szCs w:val="19"/>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$0.45</w:t>
            </w: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Adjusted EBITDA</w:t>
            </w:r>
          </w:p>
        </w:tc>
        <w:tc>
          <w:tcPr>
            <w:tcW w:w="900" w:type="dxa"/>
            <w:vAlign w:val="bottom"/>
          </w:tcPr>
          <w:p>
            <w:pPr>
              <w:jc w:val="right"/>
              <w:spacing w:after="0"/>
              <w:rPr>
                <w:sz w:val="20"/>
                <w:szCs w:val="20"/>
                <w:color w:val="auto"/>
              </w:rPr>
            </w:pPr>
            <w:r>
              <w:rPr>
                <w:rFonts w:ascii="Arial" w:cs="Arial" w:eastAsia="Arial" w:hAnsi="Arial"/>
                <w:sz w:val="18"/>
                <w:szCs w:val="18"/>
                <w:color w:val="auto"/>
              </w:rPr>
              <w:t>$72</w:t>
            </w:r>
          </w:p>
        </w:tc>
        <w:tc>
          <w:tcPr>
            <w:tcW w:w="1020" w:type="dxa"/>
            <w:vAlign w:val="bottom"/>
          </w:tcPr>
          <w:p>
            <w:pPr>
              <w:ind w:left="20"/>
              <w:spacing w:after="0"/>
              <w:rPr>
                <w:sz w:val="20"/>
                <w:szCs w:val="20"/>
                <w:color w:val="auto"/>
              </w:rPr>
            </w:pPr>
            <w:r>
              <w:rPr>
                <w:rFonts w:ascii="Arial" w:cs="Arial" w:eastAsia="Arial" w:hAnsi="Arial"/>
                <w:sz w:val="18"/>
                <w:szCs w:val="18"/>
                <w:color w:val="auto"/>
              </w:rPr>
              <w:t>- $78</w:t>
            </w:r>
          </w:p>
        </w:tc>
        <w:tc>
          <w:tcPr>
            <w:tcW w:w="14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$68.0</w:t>
            </w:r>
          </w:p>
        </w:tc>
      </w:tr>
      <w:tr>
        <w:trPr>
          <w:trHeight w:val="23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Fully Diluted Shares Outstanding</w:t>
            </w:r>
          </w:p>
        </w:tc>
        <w:tc>
          <w:tcPr>
            <w:tcW w:w="206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94"/>
              </w:rPr>
              <w:t>approx. 52 million</w:t>
            </w:r>
          </w:p>
        </w:tc>
        <w:tc>
          <w:tcPr>
            <w:tcW w:w="19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51.9 million</w:t>
            </w: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New Stores</w:t>
            </w:r>
          </w:p>
        </w:tc>
        <w:tc>
          <w:tcPr>
            <w:tcW w:w="2060" w:type="dxa"/>
            <w:vAlign w:val="bottom"/>
            <w:gridSpan w:val="3"/>
          </w:tcPr>
          <w:p>
            <w:pPr>
              <w:jc w:val="center"/>
              <w:ind w:right="160"/>
              <w:spacing w:after="0"/>
              <w:rPr>
                <w:sz w:val="20"/>
                <w:szCs w:val="20"/>
                <w:color w:val="auto"/>
              </w:rPr>
            </w:pPr>
            <w:r>
              <w:rPr>
                <w:rFonts w:ascii="Arial" w:cs="Arial" w:eastAsia="Arial" w:hAnsi="Arial"/>
                <w:sz w:val="18"/>
                <w:szCs w:val="18"/>
                <w:color w:val="auto"/>
                <w:w w:val="91"/>
              </w:rPr>
              <w:t>approx. 15</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9</w:t>
            </w:r>
          </w:p>
        </w:tc>
      </w:tr>
      <w:tr>
        <w:trPr>
          <w:trHeight w:val="23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06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90"/>
              </w:rPr>
              <w:t>approx. $35</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$27.3</w:t>
            </w:r>
          </w:p>
        </w:tc>
      </w:tr>
    </w:tbl>
    <w:p>
      <w:pPr>
        <w:spacing w:after="0" w:line="202"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8"/>
          <w:szCs w:val="18"/>
          <w:color w:val="auto"/>
        </w:rPr>
        <w:t>See the “Non-GAAP Income Guidance Reconciliation” table and the “Adjusted EBITDA Guidance Reconciliation” table at the end of this release for a reconciliation of these Non-GAAP measures to the comparable GAAP measures.</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Webcast and Conference Call</w:t>
      </w:r>
    </w:p>
    <w:p>
      <w:pPr>
        <w:spacing w:after="0" w:line="27" w:lineRule="exact"/>
        <w:rPr>
          <w:sz w:val="20"/>
          <w:szCs w:val="20"/>
          <w:color w:val="auto"/>
        </w:rPr>
      </w:pPr>
    </w:p>
    <w:p>
      <w:pPr>
        <w:jc w:val="both"/>
        <w:ind w:left="4" w:right="20"/>
        <w:spacing w:after="0" w:line="273" w:lineRule="auto"/>
        <w:rPr>
          <w:sz w:val="20"/>
          <w:szCs w:val="20"/>
          <w:color w:val="auto"/>
        </w:rPr>
      </w:pPr>
      <w:r>
        <w:rPr>
          <w:rFonts w:ascii="Arial" w:cs="Arial" w:eastAsia="Arial" w:hAnsi="Arial"/>
          <w:sz w:val="17"/>
          <w:szCs w:val="17"/>
          <w:color w:val="auto"/>
        </w:rPr>
        <w:t xml:space="preserve">The Company will host a conference call via live webcast for investors and other interested parties beginning at 9:00 a.m. Eastern Time on Tuesday, July 18, 2017. Participants may access the live webcast by visiting the Company’s Investor Relations page at </w:t>
      </w:r>
      <w:r>
        <w:rPr>
          <w:rFonts w:ascii="Arial" w:cs="Arial" w:eastAsia="Arial" w:hAnsi="Arial"/>
          <w:sz w:val="17"/>
          <w:szCs w:val="17"/>
          <w:u w:val="single" w:color="auto"/>
          <w:color w:val="auto"/>
        </w:rPr>
        <w:t>www.tileshop.com</w:t>
      </w:r>
      <w:r>
        <w:rPr>
          <w:rFonts w:ascii="Arial" w:cs="Arial" w:eastAsia="Arial" w:hAnsi="Arial"/>
          <w:sz w:val="17"/>
          <w:szCs w:val="17"/>
          <w:color w:val="auto"/>
        </w:rPr>
        <w:t xml:space="preserve">. The call can also be accessed by dialing (844) 421-0597, or (716) 247-5787 for international participants. A webcast replay of the call will be available on the Company’s Investor Relations page at </w:t>
      </w:r>
      <w:r>
        <w:rPr>
          <w:rFonts w:ascii="Arial" w:cs="Arial" w:eastAsia="Arial" w:hAnsi="Arial"/>
          <w:sz w:val="17"/>
          <w:szCs w:val="17"/>
          <w:u w:val="single" w:color="auto"/>
          <w:color w:val="auto"/>
        </w:rPr>
        <w:t>www.tileshop.com</w:t>
      </w:r>
      <w:r>
        <w:rPr>
          <w:rFonts w:ascii="Arial" w:cs="Arial" w:eastAsia="Arial" w:hAnsi="Arial"/>
          <w:sz w:val="17"/>
          <w:szCs w:val="17"/>
          <w:color w:val="auto"/>
        </w:rPr>
        <w:t>.</w:t>
      </w:r>
    </w:p>
    <w:p>
      <w:pPr>
        <w:spacing w:after="0" w:line="177"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8"/>
          <w:szCs w:val="18"/>
          <w:color w:val="auto"/>
        </w:rPr>
        <w:t>Additional details can be located at www.tileshop.com under the Financial Information – SEC Filings section of the Company’s Investor Relations page.</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About The Tile Shop</w:t>
      </w:r>
    </w:p>
    <w:p>
      <w:pPr>
        <w:spacing w:after="0" w:line="229" w:lineRule="exact"/>
        <w:rPr>
          <w:sz w:val="20"/>
          <w:szCs w:val="20"/>
          <w:color w:val="auto"/>
        </w:rPr>
      </w:pPr>
    </w:p>
    <w:p>
      <w:pPr>
        <w:jc w:val="both"/>
        <w:ind w:left="4"/>
        <w:spacing w:after="0" w:line="273" w:lineRule="auto"/>
        <w:rPr>
          <w:sz w:val="20"/>
          <w:szCs w:val="20"/>
          <w:color w:val="auto"/>
        </w:rPr>
      </w:pPr>
      <w:r>
        <w:rPr>
          <w:rFonts w:ascii="Arial" w:cs="Arial" w:eastAsia="Arial" w:hAnsi="Arial"/>
          <w:sz w:val="17"/>
          <w:szCs w:val="17"/>
          <w:color w:val="auto"/>
        </w:rPr>
        <w:t xml:space="preserve">The Tile Shop (NASDAQ:TTS) is a leading specialty retailer of manufactured and natural stone tiles, setting and maintenance materials, and related accessories in the United States. The Company offers a wide selection of high quality products, exclusive designs, knowledgeable staff and exceptional customer service, in an extensive showroom environment with up to 50 full-room tiled displays which are enhanced by the complimentary Design Studio – a collaborative platform to create customized 3D design renderings to scale, allowing customers to bring their design ideas to life. The Tile Shop currently operates 130 stores in 31 states and the District of Columbia, with an average size of 20,800 square feet and sells products online at </w:t>
      </w:r>
      <w:r>
        <w:rPr>
          <w:rFonts w:ascii="Arial" w:cs="Arial" w:eastAsia="Arial" w:hAnsi="Arial"/>
          <w:sz w:val="17"/>
          <w:szCs w:val="17"/>
          <w:u w:val="single" w:color="auto"/>
          <w:color w:val="auto"/>
        </w:rPr>
        <w:t>www.tileshop.com</w:t>
      </w:r>
      <w:r>
        <w:rPr>
          <w:rFonts w:ascii="Arial" w:cs="Arial" w:eastAsia="Arial" w:hAnsi="Arial"/>
          <w:sz w:val="17"/>
          <w:szCs w:val="17"/>
          <w:color w:val="auto"/>
        </w:rPr>
        <w:t>.</w:t>
      </w:r>
    </w:p>
    <w:p>
      <w:pPr>
        <w:spacing w:after="0" w:line="178" w:lineRule="exact"/>
        <w:rPr>
          <w:sz w:val="20"/>
          <w:szCs w:val="20"/>
          <w:color w:val="auto"/>
        </w:rPr>
      </w:pPr>
    </w:p>
    <w:p>
      <w:pPr>
        <w:jc w:val="both"/>
        <w:ind w:left="4"/>
        <w:spacing w:after="0" w:line="264" w:lineRule="auto"/>
        <w:rPr>
          <w:sz w:val="20"/>
          <w:szCs w:val="20"/>
          <w:color w:val="auto"/>
        </w:rPr>
      </w:pPr>
      <w:r>
        <w:rPr>
          <w:rFonts w:ascii="Arial" w:cs="Arial" w:eastAsia="Arial" w:hAnsi="Arial"/>
          <w:sz w:val="18"/>
          <w:szCs w:val="18"/>
          <w:color w:val="auto"/>
        </w:rPr>
        <w:t xml:space="preserve">The Tile Shop is a proud member of the American Society of Interior Designers (ASID), National Association of Homebuilders (NAHB), and the National Tile Contractors Association (NTCA). Visit </w:t>
      </w:r>
      <w:r>
        <w:rPr>
          <w:rFonts w:ascii="Arial" w:cs="Arial" w:eastAsia="Arial" w:hAnsi="Arial"/>
          <w:sz w:val="18"/>
          <w:szCs w:val="18"/>
          <w:u w:val="single" w:color="auto"/>
          <w:color w:val="auto"/>
        </w:rPr>
        <w:t>www.tileshop.com</w:t>
      </w:r>
      <w:r>
        <w:rPr>
          <w:rFonts w:ascii="Arial" w:cs="Arial" w:eastAsia="Arial" w:hAnsi="Arial"/>
          <w:sz w:val="18"/>
          <w:szCs w:val="18"/>
          <w:color w:val="auto"/>
        </w:rPr>
        <w:t>. Join The Tile Shop (#thetileshop) on Facebook, Instagram, Pinterest and Twitter.</w:t>
      </w:r>
    </w:p>
    <w:p>
      <w:pPr>
        <w:spacing w:after="0" w:line="397" w:lineRule="exact"/>
        <w:rPr>
          <w:sz w:val="20"/>
          <w:szCs w:val="20"/>
          <w:color w:val="auto"/>
        </w:rPr>
      </w:pPr>
    </w:p>
    <w:p>
      <w:pPr>
        <w:ind w:left="2584"/>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208280</wp:posOffset>
            </wp:positionV>
            <wp:extent cx="6465570"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25" w:right="8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Non-GAAP Financial Measures</w:t>
      </w:r>
    </w:p>
    <w:p>
      <w:pPr>
        <w:spacing w:after="0" w:line="27"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The Company calculates Adjusted EBITDA by taking net income calculated in accordance with GAAP, and adjusting for interest expense, income taxes, depreciation and amortization, stock based compensation and special charges related to litigation, including shareholder and other litigation. Adjusted EBITDA margin is equal to Adjusted EBITDA divided by net sales. Non-GAAP net income excludes special charges related to litigation costs, including shareholder and other litigation, and is net of tax.</w:t>
      </w:r>
    </w:p>
    <w:p>
      <w:pPr>
        <w:spacing w:after="0" w:line="177"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The Company believes that these non-GAAP measures of financial results provide useful information to management and investors regarding certain financial and business trends relating to the Company’s financial condition and results of operations. Company management uses these non-GAAP measures to compare Company performance to that of prior periods for trend analyses, for purposes of determining management incentive compensation, and for budgeting and planning purposes. These measures are used in monthly financial reports prepared for management and the Board of Directors. The Company believes that the use of these non-GAAP financial measures provides an additional tool for investors to use in evaluating ongoing operating results and trends and in comparing the Company’s financial measures with other specialty retailers, many of which present similar non-GAAP financial measures to investors.</w:t>
      </w:r>
    </w:p>
    <w:p>
      <w:pPr>
        <w:spacing w:after="0" w:line="16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Company management does not consider these non-GAAP measures in isolation or as an alternative to financial measures determined in accordance with GAAP. The principal limitations of these non-GAAP financial measures are that they exclude significant expenses and income that are required by GAAP to be recognized in the Company’s consolidated financial statements. In addition, they are subject to inherent limitations as they reflect the exercise of judgments by management about which expenses and income are excluded or included in determining these non-GAAP financial measures. In order to compensate for these limitations, management presents non-GAAP financial measures in connection with GAAP results. The Company urges investors to review the reconciliation of these non-GAAP financial measures to the comparable GAAP financial measures and not to rely on any single financial measure to evaluate the business.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This press release includes “forward looking statements” within the meaning of the “safe harbor” provisions of the United States Private Securities Litigation Reform Act of 1995. Forward looking statements may be identified by the use of words such as “anticipate”, “believe”, “expect”, “estimate”, “plan”, “outlook”, and “project” and other similar expressions that predict or indicate future events or trends or that are not statements of historical matters. These forward looking statements include any statements regarding the Company’s strategic and operational plan and expected financial performance (including the financial performance of new stores). Forward looking statements should not be read as a guarantee of future performance or results, and will not necessarily be accurate indications of the times at, or by, which such performance or results will be achieved. Forward looking statements are based on information available at the time those statements are made and/or management’s good faith belief as of that time with respect to future events, and are subject to risks and uncertainties that could cause actual performance or results to differ materially from those expressed in or suggested by the forward looking statements, including but not limited to unforeseen events that may affect the retail market or the performance of the Company’s stores. The Company does not intend, and undertakes no duty, to update this information to reflect future events or circumstances. Investors are referred to the most recent reports filed with the SEC by the Company.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208280</wp:posOffset>
            </wp:positionV>
            <wp:extent cx="6465570"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in thousands, except share data)</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(Unaudited)</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(Audited)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June 30,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7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2017</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3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12,006</w:t>
            </w: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855</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 net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67,286</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74,295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Income tax receivable</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current assets, net</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3,638</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88,358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147,941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141,037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18,868</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Long-term restricted cash</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257,608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265,273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Accounts payable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19,443</w:t>
            </w: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20,321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7,561</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Income tax payable</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Other accrued liabilities</w:t>
            </w: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22,802</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50,187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60,188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11,300</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Capital lease obligation, net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639</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39,060</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5,290</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106,476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gridSpan w:val="2"/>
          </w:tcPr>
          <w:p>
            <w:pPr>
              <w:spacing w:after="0"/>
              <w:rPr>
                <w:sz w:val="20"/>
                <w:szCs w:val="20"/>
                <w:color w:val="auto"/>
              </w:rPr>
            </w:pPr>
            <w:r>
              <w:rPr>
                <w:rFonts w:ascii="Arial" w:cs="Arial" w:eastAsia="Arial" w:hAnsi="Arial"/>
                <w:sz w:val="18"/>
                <w:szCs w:val="18"/>
                <w:color w:val="auto"/>
                <w:w w:val="98"/>
              </w:rPr>
              <w:t>Common stock, par value $0.0001; authorized: 100,000,000 shares; issued and outstanding:</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gridSpan w:val="2"/>
          </w:tcPr>
          <w:p>
            <w:pPr>
              <w:spacing w:after="0"/>
              <w:rPr>
                <w:sz w:val="20"/>
                <w:szCs w:val="20"/>
                <w:color w:val="auto"/>
              </w:rPr>
            </w:pPr>
            <w:r>
              <w:rPr>
                <w:rFonts w:ascii="Arial" w:cs="Arial" w:eastAsia="Arial" w:hAnsi="Arial"/>
                <w:sz w:val="18"/>
                <w:szCs w:val="18"/>
                <w:color w:val="auto"/>
              </w:rPr>
              <w:t>51,856,706 and 51,607,143 shares, respectively</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w w:val="90"/>
              </w:rPr>
              <w:t>Preferred stock, par value $0.0001; authorized: 10,000,000 shares; issued and outstanding: 0 shares</w:t>
            </w: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Additional paid-in-capital</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187,659</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185,998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(36,494)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other comprehensive (loss) income</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151,132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257,608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265,273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7320" w:type="dxa"/>
            <w:vAlign w:val="bottom"/>
            <w:gridSpan w:val="2"/>
          </w:tcPr>
          <w:p>
            <w:pPr>
              <w:ind w:left="258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1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21" w:right="8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Tile Shop Holdings,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in thousands, except share, and per share data)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20" w:type="dxa"/>
            <w:vAlign w:val="bottom"/>
            <w:gridSpan w:val="9"/>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9"/>
                <w:szCs w:val="19"/>
                <w:color w:val="auto"/>
              </w:rPr>
            </w:pPr>
          </w:p>
        </w:tc>
        <w:tc>
          <w:tcPr>
            <w:tcW w:w="2300" w:type="dxa"/>
            <w:vAlign w:val="bottom"/>
            <w:gridSpan w:val="6"/>
          </w:tcPr>
          <w:p>
            <w:pPr>
              <w:ind w:left="3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5"/>
          </w:tcPr>
          <w:p>
            <w:pPr>
              <w:ind w:left="720"/>
              <w:spacing w:after="0"/>
              <w:rPr>
                <w:sz w:val="20"/>
                <w:szCs w:val="20"/>
                <w:color w:val="auto"/>
              </w:rPr>
            </w:pPr>
            <w:r>
              <w:rPr>
                <w:rFonts w:ascii="Arial" w:cs="Arial" w:eastAsia="Arial" w:hAnsi="Arial"/>
                <w:sz w:val="18"/>
                <w:szCs w:val="18"/>
                <w:b w:val="1"/>
                <w:bCs w:val="1"/>
                <w:color w:val="auto"/>
                <w:w w:val="91"/>
              </w:rPr>
              <w:t>June 30,</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89,464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84,270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181,599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Cost of sales</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27,116</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25,571</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54,506</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62,348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58,699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127,093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50,748</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46,990</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101,960</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(448)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(449)</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(933)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11,214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11,297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24,298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22,514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income taxes</w:t>
            </w:r>
          </w:p>
        </w:tc>
        <w:tc>
          <w:tcPr>
            <w:tcW w:w="20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(3,491)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(4,448)</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(8,566)</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7,723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6,849</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15,732</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Earnings per common share:</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0.15</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0.15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0.13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0.30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Weighted average shares outstanding:</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51,633,150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51,378,485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51,578,691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51,368,826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52,223,183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51,937,924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9"/>
              </w:rPr>
              <w:t>52,111,134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51,821,615</w:t>
            </w:r>
          </w:p>
        </w:tc>
        <w:tc>
          <w:tcPr>
            <w:tcW w:w="0" w:type="dxa"/>
            <w:vAlign w:val="bottom"/>
          </w:tcPr>
          <w:p>
            <w:pPr>
              <w:spacing w:after="0"/>
              <w:rPr>
                <w:sz w:val="1"/>
                <w:szCs w:val="1"/>
                <w:color w:val="auto"/>
              </w:rPr>
            </w:pPr>
          </w:p>
        </w:tc>
      </w:tr>
      <w:tr>
        <w:trPr>
          <w:trHeight w:val="413"/>
        </w:trPr>
        <w:tc>
          <w:tcPr>
            <w:tcW w:w="5000" w:type="dxa"/>
            <w:vAlign w:val="bottom"/>
            <w:gridSpan w:val="3"/>
          </w:tcPr>
          <w:p>
            <w:pPr>
              <w:spacing w:after="0"/>
              <w:rPr>
                <w:sz w:val="20"/>
                <w:szCs w:val="20"/>
                <w:color w:val="auto"/>
              </w:rPr>
            </w:pPr>
            <w:r>
              <w:rPr>
                <w:rFonts w:ascii="Arial" w:cs="Arial" w:eastAsia="Arial" w:hAnsi="Arial"/>
                <w:sz w:val="18"/>
                <w:szCs w:val="18"/>
                <w:b w:val="1"/>
                <w:bCs w:val="1"/>
                <w:color w:val="auto"/>
              </w:rPr>
              <w:t>Tile Shop Holdings, Inc. and Subsidiaries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0" w:type="dxa"/>
            <w:vAlign w:val="bottom"/>
            <w:gridSpan w:val="3"/>
          </w:tcPr>
          <w:p>
            <w:pPr>
              <w:spacing w:after="0"/>
              <w:rPr>
                <w:sz w:val="20"/>
                <w:szCs w:val="20"/>
                <w:color w:val="auto"/>
              </w:rPr>
            </w:pPr>
            <w:r>
              <w:rPr>
                <w:rFonts w:ascii="Arial" w:cs="Arial" w:eastAsia="Arial" w:hAnsi="Arial"/>
                <w:sz w:val="18"/>
                <w:szCs w:val="18"/>
                <w:b w:val="1"/>
                <w:bCs w:val="1"/>
                <w:color w:val="auto"/>
              </w:rPr>
              <w:t>Rate Analysis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0" w:type="dxa"/>
            <w:vAlign w:val="bottom"/>
            <w:gridSpan w:val="3"/>
          </w:tcPr>
          <w:p>
            <w:pPr>
              <w:spacing w:after="0"/>
              <w:rPr>
                <w:sz w:val="20"/>
                <w:szCs w:val="20"/>
                <w:color w:val="auto"/>
              </w:rPr>
            </w:pPr>
            <w:r>
              <w:rPr>
                <w:rFonts w:ascii="Arial" w:cs="Arial" w:eastAsia="Arial" w:hAnsi="Arial"/>
                <w:sz w:val="18"/>
                <w:szCs w:val="18"/>
                <w:b w:val="1"/>
                <w:bCs w:val="1"/>
                <w:color w:val="auto"/>
              </w:rPr>
              <w:t>(Unaudited)</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4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20" w:type="dxa"/>
            <w:vAlign w:val="bottom"/>
            <w:gridSpan w:val="9"/>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3"/>
                <w:szCs w:val="23"/>
                <w:color w:val="auto"/>
              </w:rPr>
            </w:pPr>
          </w:p>
        </w:tc>
        <w:tc>
          <w:tcPr>
            <w:tcW w:w="2300" w:type="dxa"/>
            <w:vAlign w:val="bottom"/>
            <w:gridSpan w:val="6"/>
          </w:tcPr>
          <w:p>
            <w:pPr>
              <w:ind w:left="3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5"/>
          </w:tcPr>
          <w:p>
            <w:pPr>
              <w:jc w:val="right"/>
              <w:ind w:right="45"/>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5"/>
          </w:tcPr>
          <w:p>
            <w:pPr>
              <w:ind w:left="700"/>
              <w:spacing w:after="0"/>
              <w:rPr>
                <w:sz w:val="20"/>
                <w:szCs w:val="20"/>
                <w:color w:val="auto"/>
              </w:rPr>
            </w:pPr>
            <w:r>
              <w:rPr>
                <w:rFonts w:ascii="Arial" w:cs="Arial" w:eastAsia="Arial" w:hAnsi="Arial"/>
                <w:sz w:val="18"/>
                <w:szCs w:val="18"/>
                <w:b w:val="1"/>
                <w:bCs w:val="1"/>
                <w:color w:val="auto"/>
                <w:w w:val="94"/>
              </w:rPr>
              <w:t>June 30,</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2016</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Gross margin rate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69.7 %</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69.7 %</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70.0 %</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70.1 %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SG&amp;A expense rate</w:t>
            </w:r>
          </w:p>
        </w:tc>
        <w:tc>
          <w:tcPr>
            <w:tcW w:w="200" w:type="dxa"/>
            <w:vAlign w:val="bottom"/>
          </w:tcPr>
          <w:p>
            <w:pPr>
              <w:spacing w:after="0"/>
              <w:rPr>
                <w:sz w:val="19"/>
                <w:szCs w:val="19"/>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56.7 %</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55.8 %</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ind w:left="320"/>
              <w:spacing w:after="0"/>
              <w:rPr>
                <w:sz w:val="20"/>
                <w:szCs w:val="20"/>
                <w:color w:val="auto"/>
              </w:rPr>
            </w:pPr>
            <w:r>
              <w:rPr>
                <w:rFonts w:ascii="Arial" w:cs="Arial" w:eastAsia="Arial" w:hAnsi="Arial"/>
                <w:sz w:val="18"/>
                <w:szCs w:val="18"/>
                <w:color w:val="auto"/>
              </w:rPr>
              <w:t>56.1 %</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56.2 %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 margin rate</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13.0 %</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13.9 %</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13.8 %</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13.9 %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Adjusted EBITDA margin rate</w:t>
            </w:r>
          </w:p>
        </w:tc>
        <w:tc>
          <w:tcPr>
            <w:tcW w:w="20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21.4 %</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22.5 %</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ind w:left="320"/>
              <w:spacing w:after="0"/>
              <w:rPr>
                <w:sz w:val="20"/>
                <w:szCs w:val="20"/>
                <w:color w:val="auto"/>
              </w:rPr>
            </w:pPr>
            <w:r>
              <w:rPr>
                <w:rFonts w:ascii="Arial" w:cs="Arial" w:eastAsia="Arial" w:hAnsi="Arial"/>
                <w:sz w:val="18"/>
                <w:szCs w:val="18"/>
                <w:color w:val="auto"/>
              </w:rPr>
              <w:t>22.2 %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22.7 %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208280</wp:posOffset>
            </wp:positionV>
            <wp:extent cx="6465570"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r>
              <w:rPr>
                <w:rFonts w:ascii="Arial" w:cs="Arial" w:eastAsia="Arial" w:hAnsi="Arial"/>
                <w:sz w:val="18"/>
                <w:szCs w:val="18"/>
                <w:b w:val="1"/>
                <w:bCs w:val="1"/>
                <w:color w:val="auto"/>
                <w:w w:val="93"/>
              </w:rPr>
              <w:t>Non-GAAP Income Guidance Reconciliation</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5"/>
          </w:tcPr>
          <w:p>
            <w:pPr>
              <w:jc w:val="right"/>
              <w:ind w:right="277"/>
              <w:spacing w:after="0"/>
              <w:rPr>
                <w:sz w:val="20"/>
                <w:szCs w:val="20"/>
                <w:color w:val="auto"/>
              </w:rPr>
            </w:pPr>
            <w:r>
              <w:rPr>
                <w:rFonts w:ascii="Arial" w:cs="Arial" w:eastAsia="Arial" w:hAnsi="Arial"/>
                <w:sz w:val="18"/>
                <w:szCs w:val="18"/>
                <w:b w:val="1"/>
                <w:bCs w:val="1"/>
                <w:color w:val="auto"/>
              </w:rPr>
              <w:t>2017 Guidance</w:t>
            </w: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Low End</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4"/>
          </w:tcPr>
          <w:p>
            <w:pPr>
              <w:jc w:val="right"/>
              <w:ind w:right="145"/>
              <w:spacing w:after="0"/>
              <w:rPr>
                <w:sz w:val="20"/>
                <w:szCs w:val="20"/>
                <w:color w:val="auto"/>
              </w:rPr>
            </w:pPr>
            <w:r>
              <w:rPr>
                <w:rFonts w:ascii="Arial" w:cs="Arial" w:eastAsia="Arial" w:hAnsi="Arial"/>
                <w:sz w:val="18"/>
                <w:szCs w:val="18"/>
                <w:b w:val="1"/>
                <w:bCs w:val="1"/>
                <w:color w:val="auto"/>
                <w:w w:val="96"/>
              </w:rPr>
              <w:t>High End</w:t>
            </w: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Diluted</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Diluted</w:t>
            </w:r>
          </w:p>
        </w:tc>
        <w:tc>
          <w:tcPr>
            <w:tcW w:w="0" w:type="dxa"/>
            <w:vAlign w:val="bottom"/>
          </w:tcPr>
          <w:p>
            <w:pPr>
              <w:spacing w:after="0"/>
              <w:rPr>
                <w:sz w:val="1"/>
                <w:szCs w:val="1"/>
                <w:color w:val="auto"/>
              </w:rPr>
            </w:pPr>
          </w:p>
        </w:tc>
      </w:tr>
      <w:tr>
        <w:trPr>
          <w:trHeight w:val="220"/>
        </w:trPr>
        <w:tc>
          <w:tcPr>
            <w:tcW w:w="3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Per Share</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Per Share</w:t>
            </w: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r>
              <w:rPr>
                <w:rFonts w:ascii="Arial" w:cs="Arial" w:eastAsia="Arial" w:hAnsi="Arial"/>
                <w:sz w:val="18"/>
                <w:szCs w:val="18"/>
                <w:b w:val="1"/>
                <w:bCs w:val="1"/>
                <w:color w:val="auto"/>
              </w:rPr>
              <w:t>($ in millions, except per share data)</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rPr>
              <w:t>Pretax</w:t>
            </w:r>
          </w:p>
        </w:tc>
        <w:tc>
          <w:tcPr>
            <w:tcW w:w="1020" w:type="dxa"/>
            <w:vAlign w:val="bottom"/>
            <w:gridSpan w:val="3"/>
          </w:tcPr>
          <w:p>
            <w:pPr>
              <w:ind w:left="40"/>
              <w:spacing w:after="0"/>
              <w:rPr>
                <w:sz w:val="20"/>
                <w:szCs w:val="20"/>
                <w:color w:val="auto"/>
              </w:rPr>
            </w:pPr>
            <w:r>
              <w:rPr>
                <w:rFonts w:ascii="Arial" w:cs="Arial" w:eastAsia="Arial" w:hAnsi="Arial"/>
                <w:sz w:val="18"/>
                <w:szCs w:val="18"/>
                <w:b w:val="1"/>
                <w:bCs w:val="1"/>
                <w:color w:val="auto"/>
              </w:rPr>
              <w:t>Net of Tax</w:t>
            </w:r>
          </w:p>
        </w:tc>
        <w:tc>
          <w:tcPr>
            <w:tcW w:w="120" w:type="dxa"/>
            <w:vAlign w:val="bottom"/>
          </w:tcPr>
          <w:p>
            <w:pPr>
              <w:spacing w:after="0"/>
              <w:rPr>
                <w:sz w:val="20"/>
                <w:szCs w:val="20"/>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Amounts</w:t>
            </w:r>
          </w:p>
        </w:tc>
        <w:tc>
          <w:tcPr>
            <w:tcW w:w="140" w:type="dxa"/>
            <w:vAlign w:val="bottom"/>
          </w:tcPr>
          <w:p>
            <w:pPr>
              <w:spacing w:after="0"/>
              <w:rPr>
                <w:sz w:val="20"/>
                <w:szCs w:val="20"/>
                <w:color w:val="auto"/>
              </w:rPr>
            </w:pPr>
          </w:p>
        </w:tc>
        <w:tc>
          <w:tcPr>
            <w:tcW w:w="740" w:type="dxa"/>
            <w:vAlign w:val="bottom"/>
            <w:gridSpan w:val="2"/>
          </w:tcPr>
          <w:p>
            <w:pPr>
              <w:jc w:val="right"/>
              <w:ind w:right="97"/>
              <w:spacing w:after="0"/>
              <w:rPr>
                <w:sz w:val="20"/>
                <w:szCs w:val="20"/>
                <w:color w:val="auto"/>
              </w:rPr>
            </w:pPr>
            <w:r>
              <w:rPr>
                <w:rFonts w:ascii="Arial" w:cs="Arial" w:eastAsia="Arial" w:hAnsi="Arial"/>
                <w:sz w:val="18"/>
                <w:szCs w:val="18"/>
                <w:b w:val="1"/>
                <w:bCs w:val="1"/>
                <w:color w:val="auto"/>
                <w:w w:val="98"/>
              </w:rPr>
              <w:t>Pretax</w:t>
            </w:r>
          </w:p>
        </w:tc>
        <w:tc>
          <w:tcPr>
            <w:tcW w:w="160" w:type="dxa"/>
            <w:vAlign w:val="bottom"/>
          </w:tcPr>
          <w:p>
            <w:pPr>
              <w:spacing w:after="0"/>
              <w:rPr>
                <w:sz w:val="20"/>
                <w:szCs w:val="20"/>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94"/>
              </w:rPr>
              <w:t>Net of Tax</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Amounts</w:t>
            </w: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GAAP income</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84"/>
        </w:trPr>
        <w:tc>
          <w:tcPr>
            <w:tcW w:w="3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Special charges</w:t>
            </w:r>
            <w:r>
              <w:rPr>
                <w:rFonts w:ascii="Arial" w:cs="Arial" w:eastAsia="Arial" w:hAnsi="Arial"/>
                <w:sz w:val="8"/>
                <w:szCs w:val="8"/>
                <w:color w:val="auto"/>
              </w:rPr>
              <w:t>(1)</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6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Non-GAAP income</w:t>
            </w:r>
            <w:r>
              <w:rPr>
                <w:rFonts w:ascii="Arial" w:cs="Arial" w:eastAsia="Arial" w:hAnsi="Arial"/>
                <w:sz w:val="8"/>
                <w:szCs w:val="8"/>
                <w:color w:val="auto"/>
              </w:rPr>
              <w:t>(2)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405"/>
        </w:trPr>
        <w:tc>
          <w:tcPr>
            <w:tcW w:w="3540" w:type="dxa"/>
            <w:vAlign w:val="bottom"/>
            <w:tcBorders>
              <w:top w:val="single" w:sz="8" w:color="CCEEFF"/>
            </w:tcBorders>
          </w:tcPr>
          <w:p>
            <w:pPr>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8"/>
                <w:szCs w:val="18"/>
                <w:color w:val="auto"/>
              </w:rPr>
              <w:t>Shareholder and other litigation costs.</w:t>
            </w: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3540" w:type="dxa"/>
            <w:vAlign w:val="bottom"/>
          </w:tcPr>
          <w:p>
            <w:pPr>
              <w:spacing w:after="0"/>
              <w:rPr>
                <w:sz w:val="20"/>
                <w:szCs w:val="20"/>
                <w:color w:val="auto"/>
              </w:rPr>
            </w:pPr>
            <w:r>
              <w:rPr>
                <w:rFonts w:ascii="Arial" w:cs="Arial" w:eastAsia="Arial" w:hAnsi="Arial"/>
                <w:sz w:val="18"/>
                <w:szCs w:val="18"/>
                <w:color w:val="auto"/>
                <w:vertAlign w:val="superscript"/>
              </w:rPr>
              <w:t>(2)</w:t>
            </w:r>
            <w:r>
              <w:rPr>
                <w:rFonts w:ascii="Arial" w:cs="Arial" w:eastAsia="Arial" w:hAnsi="Arial"/>
                <w:sz w:val="18"/>
                <w:szCs w:val="18"/>
                <w:color w:val="auto"/>
              </w:rPr>
              <w:t xml:space="preserve"> Amounts may not foot due to rounding.</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3540" w:type="dxa"/>
            <w:vAlign w:val="bottom"/>
          </w:tcPr>
          <w:p>
            <w:pPr>
              <w:spacing w:after="0"/>
              <w:rPr>
                <w:sz w:val="20"/>
                <w:szCs w:val="20"/>
                <w:color w:val="auto"/>
              </w:rPr>
            </w:pPr>
            <w:r>
              <w:rPr>
                <w:rFonts w:ascii="Arial" w:cs="Arial" w:eastAsia="Arial" w:hAnsi="Arial"/>
                <w:sz w:val="18"/>
                <w:szCs w:val="18"/>
                <w:b w:val="1"/>
                <w:bCs w:val="1"/>
                <w:color w:val="auto"/>
                <w:w w:val="96"/>
              </w:rPr>
              <w:t>Adjusted EBITDA Guidance Reconciliation</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540" w:type="dxa"/>
            <w:vAlign w:val="bottom"/>
            <w:vMerge w:val="restart"/>
          </w:tcPr>
          <w:p>
            <w:pPr>
              <w:spacing w:after="0"/>
              <w:rPr>
                <w:sz w:val="20"/>
                <w:szCs w:val="20"/>
                <w:color w:val="auto"/>
              </w:rPr>
            </w:pPr>
            <w:r>
              <w:rPr>
                <w:rFonts w:ascii="Arial" w:cs="Arial" w:eastAsia="Arial" w:hAnsi="Arial"/>
                <w:sz w:val="18"/>
                <w:szCs w:val="18"/>
                <w:b w:val="1"/>
                <w:bCs w:val="1"/>
                <w:color w:val="auto"/>
              </w:rPr>
              <w:t>($ in millions)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5"/>
          </w:tcPr>
          <w:p>
            <w:pPr>
              <w:jc w:val="right"/>
              <w:ind w:right="650"/>
              <w:spacing w:after="0"/>
              <w:rPr>
                <w:sz w:val="20"/>
                <w:szCs w:val="20"/>
                <w:color w:val="auto"/>
              </w:rPr>
            </w:pPr>
            <w:r>
              <w:rPr>
                <w:rFonts w:ascii="Arial" w:cs="Arial" w:eastAsia="Arial" w:hAnsi="Arial"/>
                <w:sz w:val="18"/>
                <w:szCs w:val="18"/>
                <w:b w:val="1"/>
                <w:bCs w:val="1"/>
                <w:color w:val="auto"/>
                <w:w w:val="97"/>
              </w:rPr>
              <w:t>2017 Guidance</w:t>
            </w:r>
          </w:p>
        </w:tc>
        <w:tc>
          <w:tcPr>
            <w:tcW w:w="0" w:type="dxa"/>
            <w:vAlign w:val="bottom"/>
          </w:tcPr>
          <w:p>
            <w:pPr>
              <w:spacing w:after="0"/>
              <w:rPr>
                <w:sz w:val="1"/>
                <w:szCs w:val="1"/>
                <w:color w:val="auto"/>
              </w:rPr>
            </w:pPr>
          </w:p>
        </w:tc>
      </w:tr>
      <w:tr>
        <w:trPr>
          <w:trHeight w:val="210"/>
        </w:trPr>
        <w:tc>
          <w:tcPr>
            <w:tcW w:w="35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rPr>
              <w:t>Low End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b w:val="1"/>
                <w:bCs w:val="1"/>
                <w:color w:val="auto"/>
                <w:w w:val="91"/>
              </w:rPr>
              <w:t>High End</w:t>
            </w: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GAAP Net Income</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7"/>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84"/>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Special charges</w:t>
            </w:r>
            <w:r>
              <w:rPr>
                <w:rFonts w:ascii="Arial" w:cs="Arial" w:eastAsia="Arial" w:hAnsi="Arial"/>
                <w:sz w:val="8"/>
                <w:szCs w:val="8"/>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CCEEFF"/>
            </w:tcBorders>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Stock based compensation</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5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8"/>
                <w:szCs w:val="8"/>
                <w:color w:val="auto"/>
              </w:rPr>
              <w:t>(2)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57"/>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4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3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8"/>
          <w:szCs w:val="18"/>
          <w:color w:val="auto"/>
        </w:rPr>
        <w:t>Shareholder and other litigation costs.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(2)</w:t>
      </w:r>
      <w:r>
        <w:rPr>
          <w:rFonts w:ascii="Arial" w:cs="Arial" w:eastAsia="Arial" w:hAnsi="Arial"/>
          <w:sz w:val="18"/>
          <w:szCs w:val="18"/>
          <w:color w:val="auto"/>
        </w:rPr>
        <w:t xml:space="preserve"> Amounts may not foot due to rounding.</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Investors and 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Adam Hauser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763-852-2950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investorrelations@tileshop.com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208280</wp:posOffset>
            </wp:positionV>
            <wp:extent cx="6465570"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21" w:right="87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103505</wp:posOffset>
            </wp:positionV>
            <wp:extent cx="1955165" cy="4718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5516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TILE SHOP DECLARES REGULAR QUARTERLY DIVIDEND</w:t>
      </w:r>
    </w:p>
    <w:p>
      <w:pPr>
        <w:spacing w:after="0" w:line="119"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MINNEAPOLIS – July 18, 2017 –The Board of Directors of Tile Shop Holdings, Inc (NASDAQ: TTS), a specialty retailer of manufactured and natural stone tiles, setting and maintenance materials, and related accessories, has declared a quarterly dividend of 5 cents per common share. The dividend is payable August 15, 2017 to shareholders of record at the close of business August 1, 2017.</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Tile Shop</w:t>
      </w:r>
    </w:p>
    <w:p>
      <w:pPr>
        <w:spacing w:after="0" w:line="189" w:lineRule="exact"/>
        <w:rPr>
          <w:sz w:val="20"/>
          <w:szCs w:val="20"/>
          <w:color w:val="auto"/>
        </w:rPr>
      </w:pPr>
    </w:p>
    <w:p>
      <w:pPr>
        <w:jc w:val="both"/>
        <w:spacing w:after="0" w:line="226" w:lineRule="auto"/>
        <w:rPr>
          <w:sz w:val="20"/>
          <w:szCs w:val="20"/>
          <w:color w:val="auto"/>
        </w:rPr>
      </w:pPr>
      <w:r>
        <w:rPr>
          <w:rFonts w:ascii="Arial" w:cs="Arial" w:eastAsia="Arial" w:hAnsi="Arial"/>
          <w:sz w:val="17"/>
          <w:szCs w:val="17"/>
          <w:color w:val="auto"/>
        </w:rPr>
        <w:t xml:space="preserve">The Tile Shop (NASDAQ:TTS) is a leading specialty retailer of manufactured and natural stone tiles, setting and maintenance materials, and related accessories in the United States. The Company offers a wide selection of high quality products, exclusive designs, knowledgeable staff and exceptional customer service, in an extensive showroom environment with up to 50 full-room tiled displays which are enhanced by the complimentary Design Studio – a collaborative platform to create customized 3D design renderings to scale, allowing customers to bring their design ideas to life. The Tile Shop currently operates 130 stores in 31 states and the District of Columbia, with an average size of 20,800 square feet and sells products online at </w:t>
      </w:r>
      <w:r>
        <w:rPr>
          <w:rFonts w:ascii="Arial" w:cs="Arial" w:eastAsia="Arial" w:hAnsi="Arial"/>
          <w:sz w:val="17"/>
          <w:szCs w:val="17"/>
          <w:u w:val="single" w:color="auto"/>
          <w:color w:val="auto"/>
        </w:rPr>
        <w:t>www.tileshop.com</w:t>
      </w:r>
      <w:r>
        <w:rPr>
          <w:rFonts w:ascii="Arial" w:cs="Arial" w:eastAsia="Arial" w:hAnsi="Arial"/>
          <w:sz w:val="17"/>
          <w:szCs w:val="17"/>
          <w:color w:val="auto"/>
        </w:rPr>
        <w:t>.</w:t>
      </w:r>
    </w:p>
    <w:p>
      <w:pPr>
        <w:spacing w:after="0" w:line="4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 xml:space="preserve">The Tile Shop is a proud member of the American Society of Interior Designers (ASID), National Association of Homebuilders (NAHB), and the National Tile Contractors Association (NTCA). Visit </w:t>
      </w:r>
      <w:r>
        <w:rPr>
          <w:rFonts w:ascii="Arial" w:cs="Arial" w:eastAsia="Arial" w:hAnsi="Arial"/>
          <w:sz w:val="18"/>
          <w:szCs w:val="18"/>
          <w:u w:val="single" w:color="auto"/>
          <w:color w:val="auto"/>
        </w:rPr>
        <w:t>www.tileshop.com</w:t>
      </w:r>
      <w:r>
        <w:rPr>
          <w:rFonts w:ascii="Arial" w:cs="Arial" w:eastAsia="Arial" w:hAnsi="Arial"/>
          <w:sz w:val="18"/>
          <w:szCs w:val="18"/>
          <w:color w:val="auto"/>
        </w:rPr>
        <w:t>. Join The Tile Shop (#thetileshop) on Facebook, Instagram, Pinterest and Twitter.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03" w:lineRule="auto"/>
        <w:rPr>
          <w:sz w:val="20"/>
          <w:szCs w:val="20"/>
          <w:color w:val="auto"/>
        </w:rPr>
      </w:pPr>
      <w:r>
        <w:rPr>
          <w:rFonts w:ascii="Arial" w:cs="Arial" w:eastAsia="Arial" w:hAnsi="Arial"/>
          <w:sz w:val="18"/>
          <w:szCs w:val="18"/>
          <w:color w:val="auto"/>
        </w:rPr>
        <w:t>Investors and Media:</w:t>
      </w:r>
    </w:p>
    <w:p>
      <w:pPr>
        <w:spacing w:after="0" w:line="204" w:lineRule="auto"/>
        <w:rPr>
          <w:sz w:val="20"/>
          <w:szCs w:val="20"/>
          <w:color w:val="auto"/>
        </w:rPr>
      </w:pPr>
      <w:r>
        <w:rPr>
          <w:rFonts w:ascii="Arial" w:cs="Arial" w:eastAsia="Arial" w:hAnsi="Arial"/>
          <w:sz w:val="18"/>
          <w:szCs w:val="18"/>
          <w:color w:val="auto"/>
        </w:rPr>
        <w:t>Adam Hauser</w:t>
      </w:r>
    </w:p>
    <w:p>
      <w:pPr>
        <w:spacing w:after="0" w:line="203" w:lineRule="auto"/>
        <w:rPr>
          <w:sz w:val="20"/>
          <w:szCs w:val="20"/>
          <w:color w:val="auto"/>
        </w:rPr>
      </w:pPr>
      <w:r>
        <w:rPr>
          <w:rFonts w:ascii="Arial" w:cs="Arial" w:eastAsia="Arial" w:hAnsi="Arial"/>
          <w:sz w:val="18"/>
          <w:szCs w:val="18"/>
          <w:color w:val="auto"/>
        </w:rPr>
        <w:t>763-852-2950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investorrelations@tileshop.com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789305</wp:posOffset>
            </wp:positionV>
            <wp:extent cx="6465570"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sectPr>
      <w:pgSz w:w="11900" w:h="16838" w:orient="portrait"/>
      <w:cols w:equalWidth="0" w:num="1">
        <w:col w:w="10120"/>
      </w:cols>
      <w:pgMar w:left="900" w:top="108"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2019-12-07T18:23:55Z</dcterms:created>
  <dcterms:modified xsi:type="dcterms:W3CDTF">2019-12-07T18:23:55Z</dcterms:modified>
</cp:coreProperties>
</file>