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FORM 10-Q</w:t>
      </w:r>
    </w:p>
    <w:p>
      <w:pPr>
        <w:spacing w:after="0" w:line="17"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58"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684" w:right="62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Commission file number: 001-35629</w:t>
      </w:r>
    </w:p>
    <w:p>
      <w:pPr>
        <w:spacing w:after="0" w:line="2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TILE SHOP HOLDINGS, INC.</w:t>
      </w:r>
    </w:p>
    <w:p>
      <w:pPr>
        <w:spacing w:after="0" w:line="40"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ectPr>
          <w:pgSz w:w="11900" w:h="16838" w:orient="portrait"/>
          <w:cols w:equalWidth="0" w:num="1">
            <w:col w:w="10064"/>
          </w:cols>
          <w:pgMar w:left="896" w:top="702" w:right="939" w:bottom="1440" w:gutter="0" w:footer="0" w:header="0"/>
        </w:sectPr>
      </w:pPr>
    </w:p>
    <w:p>
      <w:pPr>
        <w:spacing w:after="0" w:line="138" w:lineRule="exact"/>
        <w:rPr>
          <w:sz w:val="24"/>
          <w:szCs w:val="24"/>
          <w:color w:val="auto"/>
        </w:rPr>
      </w:pPr>
    </w:p>
    <w:p>
      <w:pPr>
        <w:jc w:val="center"/>
        <w:ind w:right="516"/>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16"/>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45-5538095</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5484" w:space="720"/>
            <w:col w:w="3860"/>
          </w:cols>
          <w:pgMar w:left="896" w:top="702" w:right="939" w:bottom="1440" w:gutter="0" w:footer="0" w:header="0"/>
          <w:type w:val="continuous"/>
        </w:sectPr>
      </w:pPr>
    </w:p>
    <w:p>
      <w:pPr>
        <w:spacing w:after="0" w:line="57" w:lineRule="exact"/>
        <w:rPr>
          <w:sz w:val="24"/>
          <w:szCs w:val="24"/>
          <w:color w:val="auto"/>
        </w:rPr>
      </w:pPr>
    </w:p>
    <w:p>
      <w:pPr>
        <w:jc w:val="center"/>
        <w:ind w:right="1376"/>
        <w:spacing w:after="0"/>
        <w:rPr>
          <w:sz w:val="20"/>
          <w:szCs w:val="20"/>
          <w:color w:val="auto"/>
        </w:rPr>
      </w:pPr>
      <w:r>
        <w:rPr>
          <w:rFonts w:ascii="Arial" w:cs="Arial" w:eastAsia="Arial" w:hAnsi="Arial"/>
          <w:sz w:val="18"/>
          <w:szCs w:val="18"/>
          <w:b w:val="1"/>
          <w:bCs w:val="1"/>
          <w:color w:val="auto"/>
        </w:rPr>
        <w:t>14000 Carlson Parkway</w:t>
      </w:r>
    </w:p>
    <w:p>
      <w:pPr>
        <w:spacing w:after="0" w:line="27" w:lineRule="exact"/>
        <w:rPr>
          <w:sz w:val="24"/>
          <w:szCs w:val="24"/>
          <w:color w:val="auto"/>
        </w:rPr>
      </w:pPr>
    </w:p>
    <w:p>
      <w:pPr>
        <w:jc w:val="center"/>
        <w:ind w:right="1416"/>
        <w:spacing w:after="0"/>
        <w:rPr>
          <w:sz w:val="20"/>
          <w:szCs w:val="20"/>
          <w:color w:val="auto"/>
        </w:rPr>
      </w:pPr>
      <w:r>
        <w:rPr>
          <w:rFonts w:ascii="Arial" w:cs="Arial" w:eastAsia="Arial" w:hAnsi="Arial"/>
          <w:sz w:val="18"/>
          <w:szCs w:val="18"/>
          <w:b w:val="1"/>
          <w:bCs w:val="1"/>
          <w:color w:val="auto"/>
        </w:rPr>
        <w:t>Plymouth, Minnesota</w:t>
      </w:r>
    </w:p>
    <w:p>
      <w:pPr>
        <w:spacing w:after="0" w:line="9" w:lineRule="exact"/>
        <w:rPr>
          <w:sz w:val="24"/>
          <w:szCs w:val="24"/>
          <w:color w:val="auto"/>
        </w:rPr>
      </w:pPr>
    </w:p>
    <w:p>
      <w:pPr>
        <w:jc w:val="center"/>
        <w:ind w:right="1456"/>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55441</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444" w:space="720"/>
            <w:col w:w="2900"/>
          </w:cols>
          <w:pgMar w:left="896" w:top="702" w:right="939" w:bottom="1440" w:gutter="0" w:footer="0" w:header="0"/>
          <w:type w:val="continuous"/>
        </w:sectPr>
      </w:pPr>
    </w:p>
    <w:p>
      <w:pPr>
        <w:spacing w:after="0" w:line="3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43"/>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5"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0064"/>
          </w:cols>
          <w:pgMar w:left="896" w:top="702" w:right="939" w:bottom="1440" w:gutter="0" w:footer="0" w:header="0"/>
          <w:type w:val="continuous"/>
        </w:sectPr>
      </w:pPr>
    </w:p>
    <w:p>
      <w:pPr>
        <w:spacing w:after="0" w:line="23" w:lineRule="exact"/>
        <w:rPr>
          <w:sz w:val="24"/>
          <w:szCs w:val="24"/>
          <w:color w:val="auto"/>
        </w:rPr>
      </w:pPr>
    </w:p>
    <w:p>
      <w:pPr>
        <w:jc w:val="center"/>
        <w:ind w:right="56"/>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56"/>
        <w:spacing w:after="0"/>
        <w:rPr>
          <w:sz w:val="20"/>
          <w:szCs w:val="20"/>
          <w:color w:val="auto"/>
        </w:rPr>
      </w:pPr>
      <w:r>
        <w:rPr>
          <w:rFonts w:ascii="Arial" w:cs="Arial" w:eastAsia="Arial" w:hAnsi="Arial"/>
          <w:sz w:val="16"/>
          <w:szCs w:val="16"/>
          <w:color w:val="auto"/>
        </w:rPr>
        <w:t>Common stock, $0.0001 par value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TTS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3664" w:space="720"/>
            <w:col w:w="1620" w:space="720"/>
            <w:col w:w="3340"/>
          </w:cols>
          <w:pgMar w:left="896" w:top="702" w:right="939" w:bottom="1440" w:gutter="0" w:footer="0" w:header="0"/>
          <w:type w:val="continuous"/>
        </w:sectPr>
      </w:pPr>
    </w:p>
    <w:p>
      <w:pPr>
        <w:spacing w:after="0" w:line="11" w:lineRule="exact"/>
        <w:rPr>
          <w:sz w:val="24"/>
          <w:szCs w:val="24"/>
          <w:color w:val="auto"/>
        </w:rPr>
      </w:pPr>
    </w:p>
    <w:p>
      <w:pPr>
        <w:ind w:left="4"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left="4"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left="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1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left="4"/>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9" w:lineRule="exact"/>
        <w:rPr>
          <w:sz w:val="24"/>
          <w:szCs w:val="24"/>
          <w:color w:val="auto"/>
        </w:rPr>
      </w:pPr>
    </w:p>
    <w:p>
      <w:pPr>
        <w:ind w:left="4"/>
        <w:spacing w:after="0" w:line="196" w:lineRule="exact"/>
        <w:tabs>
          <w:tab w:leader="none" w:pos="8843"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69" w:lineRule="exact"/>
        <w:rPr>
          <w:sz w:val="24"/>
          <w:szCs w:val="24"/>
          <w:color w:val="auto"/>
        </w:rPr>
      </w:pPr>
    </w:p>
    <w:p>
      <w:pPr>
        <w:ind w:left="4"/>
        <w:spacing w:after="0"/>
        <w:rPr>
          <w:sz w:val="20"/>
          <w:szCs w:val="20"/>
          <w:color w:val="auto"/>
        </w:rPr>
      </w:pPr>
      <w:r>
        <w:rPr>
          <w:rFonts w:ascii="Arial" w:cs="Arial" w:eastAsia="Arial" w:hAnsi="Arial"/>
          <w:sz w:val="17"/>
          <w:szCs w:val="17"/>
          <w:color w:val="auto"/>
        </w:rPr>
        <w:t>As of July 29, 2019, there were 50,913,800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22225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669925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02" w:right="9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8"/>
          </w:tcPr>
          <w:p>
            <w:pPr>
              <w:jc w:val="center"/>
              <w:ind w:right="940"/>
              <w:spacing w:after="0"/>
              <w:rPr>
                <w:sz w:val="20"/>
                <w:szCs w:val="20"/>
                <w:color w:val="auto"/>
              </w:rPr>
            </w:pPr>
            <w:r>
              <w:rPr>
                <w:rFonts w:ascii="Arial" w:cs="Arial" w:eastAsia="Arial" w:hAnsi="Arial"/>
                <w:sz w:val="18"/>
                <w:szCs w:val="18"/>
                <w:b w:val="1"/>
                <w:bCs w:val="1"/>
                <w:color w:val="auto"/>
              </w:rPr>
              <w:t>TILE SHOP HOLDINGS, INC.</w:t>
            </w:r>
          </w:p>
        </w:tc>
        <w:tc>
          <w:tcPr>
            <w:tcW w:w="26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89"/>
              </w:rPr>
              <w:t>Table of Contents</w:t>
            </w:r>
          </w:p>
        </w:tc>
        <w:tc>
          <w:tcPr>
            <w:tcW w:w="2620" w:type="dxa"/>
            <w:vAlign w:val="bottom"/>
          </w:tcPr>
          <w:p>
            <w:pPr>
              <w:spacing w:after="0"/>
              <w:rPr>
                <w:sz w:val="20"/>
                <w:szCs w:val="20"/>
                <w:color w:val="auto"/>
              </w:rPr>
            </w:pPr>
          </w:p>
        </w:tc>
      </w:tr>
      <w:tr>
        <w:trPr>
          <w:trHeight w:val="675"/>
        </w:trPr>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7380" w:type="dxa"/>
            <w:vAlign w:val="bottom"/>
            <w:gridSpan w:val="24"/>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6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300" w:type="dxa"/>
            <w:vAlign w:val="bottom"/>
            <w:tcBorders>
              <w:top w:val="single" w:sz="8" w:color="0000EE"/>
            </w:tcBorders>
            <w:gridSpan w:val="11"/>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32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Stockholders’ Equity (Deficit)</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w:t>
              </w:r>
            </w:hyperlink>
          </w:p>
        </w:tc>
        <w:tc>
          <w:tcPr>
            <w:tcW w:w="2620" w:type="dxa"/>
            <w:vAlign w:val="bottom"/>
            <w:shd w:val="clear" w:color="auto" w:fill="CCEEFF"/>
          </w:tcPr>
          <w:p>
            <w:pPr>
              <w:spacing w:after="0"/>
              <w:rPr>
                <w:sz w:val="15"/>
                <w:szCs w:val="15"/>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21"/>
            <w:shd w:val="clear" w:color="auto" w:fill="CCEEFF"/>
          </w:tcPr>
          <w:p>
            <w:pPr>
              <w:ind w:left="12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Operations</w:t>
              </w:r>
            </w:hyperlink>
          </w:p>
        </w:tc>
        <w:tc>
          <w:tcPr>
            <w:tcW w:w="2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380" w:type="dxa"/>
            <w:vAlign w:val="bottom"/>
            <w:gridSpan w:val="24"/>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26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6620" w:type="dxa"/>
            <w:vAlign w:val="bottom"/>
            <w:gridSpan w:val="21"/>
          </w:tcPr>
          <w:p>
            <w:pPr>
              <w:ind w:left="1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6620" w:type="dxa"/>
            <w:vAlign w:val="bottom"/>
            <w:gridSpan w:val="21"/>
            <w:shd w:val="clear" w:color="auto" w:fill="CCEEFF"/>
          </w:tcPr>
          <w:p>
            <w:pPr>
              <w:ind w:left="1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Signatures</w:t>
              </w:r>
            </w:hyperlink>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June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2"/>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106,657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 net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140,636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417,325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297,630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23,600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portion of lease liability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lease liability,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137,340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obligation,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279,302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par value $0.0001; authorized: 100,000,000 shares; issued and outstanding:</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50,615,489 and 52,707,879 shares, respectively</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(19,889)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138,023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417,325</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297,630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160" w:type="dxa"/>
            <w:vAlign w:val="bottom"/>
            <w:gridSpan w:val="7"/>
          </w:tcPr>
          <w:p>
            <w:pPr>
              <w:jc w:val="center"/>
              <w:ind w:right="74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10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Consolidated Statements of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160" w:type="dxa"/>
            <w:vAlign w:val="bottom"/>
            <w:gridSpan w:val="7"/>
          </w:tcPr>
          <w:p>
            <w:pPr>
              <w:jc w:val="center"/>
              <w:ind w:right="720"/>
              <w:spacing w:after="0"/>
              <w:rPr>
                <w:sz w:val="20"/>
                <w:szCs w:val="20"/>
                <w:color w:val="auto"/>
              </w:rPr>
            </w:pPr>
            <w:r>
              <w:rPr>
                <w:rFonts w:ascii="Arial" w:cs="Arial" w:eastAsia="Arial" w:hAnsi="Arial"/>
                <w:sz w:val="18"/>
                <w:szCs w:val="18"/>
                <w:color w:val="auto"/>
                <w:w w:val="88"/>
              </w:rPr>
              <w:t>(dollars in thousands, except per share data)</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0" w:type="dxa"/>
            <w:vAlign w:val="bottom"/>
            <w:gridSpan w:val="4"/>
          </w:tcPr>
          <w:p>
            <w:pPr>
              <w:jc w:val="center"/>
              <w:ind w:left="530"/>
              <w:spacing w:after="0"/>
              <w:rPr>
                <w:sz w:val="20"/>
                <w:szCs w:val="20"/>
                <w:color w:val="auto"/>
              </w:rPr>
            </w:pPr>
            <w:r>
              <w:rPr>
                <w:rFonts w:ascii="Arial" w:cs="Arial" w:eastAsia="Arial" w:hAnsi="Arial"/>
                <w:sz w:val="18"/>
                <w:szCs w:val="18"/>
                <w:color w:val="auto"/>
                <w:w w:val="90"/>
              </w:rPr>
              <w:t>(unaudited)</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ind w:left="3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119,510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(1,921)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(1,924)</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Net (loss) income</w:t>
            </w:r>
          </w:p>
        </w:tc>
        <w:tc>
          <w:tcPr>
            <w:tcW w:w="14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(Loss) income per common share:</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6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50,999,341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51,887,094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51,476,442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51,884,402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50,999,341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52,019,881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51,573,410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51,996,263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16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38"/>
        </w:trPr>
        <w:tc>
          <w:tcPr>
            <w:tcW w:w="134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20" w:type="dxa"/>
            <w:vAlign w:val="bottom"/>
            <w:gridSpan w:val="4"/>
          </w:tcPr>
          <w:p>
            <w:pPr>
              <w:jc w:val="center"/>
              <w:ind w:left="130"/>
              <w:spacing w:after="0"/>
              <w:rPr>
                <w:sz w:val="20"/>
                <w:szCs w:val="20"/>
                <w:color w:val="auto"/>
              </w:rPr>
            </w:pPr>
            <w:r>
              <w:rPr>
                <w:rFonts w:ascii="Arial" w:cs="Arial" w:eastAsia="Arial" w:hAnsi="Arial"/>
                <w:sz w:val="18"/>
                <w:szCs w:val="18"/>
                <w:color w:val="auto"/>
                <w:w w:val="89"/>
              </w:rPr>
              <w:t>Consolidated Statements of Comprehensive Income</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20" w:type="dxa"/>
            <w:vAlign w:val="bottom"/>
            <w:gridSpan w:val="2"/>
          </w:tcPr>
          <w:p>
            <w:pPr>
              <w:jc w:val="center"/>
              <w:ind w:left="1050"/>
              <w:spacing w:after="0"/>
              <w:rPr>
                <w:sz w:val="20"/>
                <w:szCs w:val="20"/>
                <w:color w:val="auto"/>
              </w:rPr>
            </w:pPr>
            <w:r>
              <w:rPr>
                <w:rFonts w:ascii="Arial" w:cs="Arial" w:eastAsia="Arial" w:hAnsi="Arial"/>
                <w:sz w:val="18"/>
                <w:szCs w:val="18"/>
                <w:color w:val="auto"/>
                <w:w w:val="90"/>
              </w:rPr>
              <w:t>(dollars 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20" w:type="dxa"/>
            <w:vAlign w:val="bottom"/>
            <w:gridSpan w:val="2"/>
          </w:tcPr>
          <w:p>
            <w:pPr>
              <w:jc w:val="center"/>
              <w:ind w:left="1030"/>
              <w:spacing w:after="0"/>
              <w:rPr>
                <w:sz w:val="20"/>
                <w:szCs w:val="20"/>
                <w:color w:val="auto"/>
              </w:rPr>
            </w:pPr>
            <w:r>
              <w:rPr>
                <w:rFonts w:ascii="Arial" w:cs="Arial" w:eastAsia="Arial" w:hAnsi="Arial"/>
                <w:sz w:val="18"/>
                <w:szCs w:val="18"/>
                <w:color w:val="auto"/>
                <w:w w:val="90"/>
              </w:rPr>
              <w:t>(unaudited)</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99"/>
        </w:trPr>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ind w:left="8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1860" w:type="dxa"/>
            <w:vAlign w:val="bottom"/>
            <w:gridSpan w:val="5"/>
          </w:tcPr>
          <w:p>
            <w:pPr>
              <w:jc w:val="right"/>
              <w:ind w:right="270"/>
              <w:spacing w:after="0"/>
              <w:rPr>
                <w:sz w:val="20"/>
                <w:szCs w:val="20"/>
                <w:color w:val="auto"/>
              </w:rPr>
            </w:pPr>
            <w:r>
              <w:rPr>
                <w:rFonts w:ascii="Arial" w:cs="Arial" w:eastAsia="Arial" w:hAnsi="Arial"/>
                <w:sz w:val="18"/>
                <w:szCs w:val="18"/>
                <w:color w:val="auto"/>
              </w:rPr>
              <w:t>Six Months Ended</w:t>
            </w:r>
          </w:p>
        </w:tc>
      </w:tr>
      <w:tr>
        <w:trPr>
          <w:trHeight w:val="230"/>
        </w:trPr>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20"/>
                <w:szCs w:val="20"/>
                <w:color w:val="auto"/>
              </w:rPr>
            </w:pPr>
          </w:p>
        </w:tc>
      </w:tr>
      <w:tr>
        <w:trPr>
          <w:trHeight w:val="210"/>
        </w:trPr>
        <w:tc>
          <w:tcPr>
            <w:tcW w:w="134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2018</w:t>
            </w:r>
          </w:p>
        </w:tc>
      </w:tr>
      <w:tr>
        <w:trPr>
          <w:trHeight w:val="21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2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3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income</w:t>
            </w:r>
          </w:p>
        </w:tc>
        <w:tc>
          <w:tcPr>
            <w:tcW w:w="30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8,962</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6"/>
              </w:rPr>
              <w:t>Accumulated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Additional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Retained</w:t>
            </w: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earnings</w:t>
            </w: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comprehensive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20" w:type="dxa"/>
            <w:vAlign w:val="bottom"/>
          </w:tcPr>
          <w:p>
            <w:pPr>
              <w:spacing w:after="0"/>
              <w:rPr>
                <w:sz w:val="14"/>
                <w:szCs w:val="14"/>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capital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income (loss)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0"/>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2018</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52,429,157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178,126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145,872</w:t>
            </w:r>
          </w:p>
        </w:tc>
        <w:tc>
          <w:tcPr>
            <w:tcW w:w="0" w:type="dxa"/>
            <w:vAlign w:val="bottom"/>
          </w:tcPr>
          <w:p>
            <w:pPr>
              <w:spacing w:after="0"/>
              <w:rPr>
                <w:sz w:val="1"/>
                <w:szCs w:val="1"/>
                <w:color w:val="auto"/>
              </w:rPr>
            </w:pPr>
          </w:p>
        </w:tc>
      </w:tr>
      <w:tr>
        <w:trPr>
          <w:trHeight w:val="203"/>
        </w:trPr>
        <w:tc>
          <w:tcPr>
            <w:tcW w:w="3420" w:type="dxa"/>
            <w:vAlign w:val="bottom"/>
          </w:tcPr>
          <w:p>
            <w:pPr>
              <w:spacing w:after="0" w:line="203" w:lineRule="exact"/>
              <w:rPr>
                <w:sz w:val="20"/>
                <w:szCs w:val="20"/>
                <w:color w:val="auto"/>
              </w:rPr>
            </w:pPr>
            <w:r>
              <w:rPr>
                <w:rFonts w:ascii="Arial" w:cs="Arial" w:eastAsia="Arial" w:hAnsi="Arial"/>
                <w:sz w:val="18"/>
                <w:szCs w:val="18"/>
                <w:color w:val="auto"/>
              </w:rPr>
              <w:t>Issuance of restricted shares</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113,337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left="35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(34,404)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June 30, 2018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52,508,090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176,124</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148,790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March 31, 2019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52,901,733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170,306</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152,285</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Adoption of lease standard deferred tax asset</w:t>
            </w: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adjustment (see Note 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March 31, 2019</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52,901,733</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170,306</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(19,735)</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150,547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(55,496)</w:t>
            </w: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(2,307,023)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withholdings related to net share</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stock based compensation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Dividends paid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7"/>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50,615,489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157,961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Additional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Retained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other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earnings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comprehensive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rPr>
              <w:t>(deficit)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income (loss)</w:t>
            </w:r>
          </w:p>
        </w:tc>
        <w:tc>
          <w:tcPr>
            <w:tcW w:w="22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52,156,850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center"/>
              <w:ind w:left="371"/>
              <w:spacing w:after="0"/>
              <w:rPr>
                <w:sz w:val="20"/>
                <w:szCs w:val="20"/>
                <w:color w:val="auto"/>
              </w:rPr>
            </w:pPr>
            <w:r>
              <w:rPr>
                <w:rFonts w:ascii="Arial" w:cs="Arial" w:eastAsia="Arial" w:hAnsi="Arial"/>
                <w:sz w:val="18"/>
                <w:szCs w:val="18"/>
                <w:color w:val="auto"/>
                <w:w w:val="99"/>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180,109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9"/>
              </w:rPr>
              <w:t>Adoption of revenue recognition standard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52,156,850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center"/>
              <w:ind w:left="371"/>
              <w:spacing w:after="0"/>
              <w:rPr>
                <w:sz w:val="20"/>
                <w:szCs w:val="20"/>
                <w:color w:val="auto"/>
              </w:rPr>
            </w:pPr>
            <w:r>
              <w:rPr>
                <w:rFonts w:ascii="Arial" w:cs="Arial" w:eastAsia="Arial" w:hAnsi="Arial"/>
                <w:sz w:val="18"/>
                <w:szCs w:val="18"/>
                <w:color w:val="auto"/>
                <w:w w:val="99"/>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180,109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Arial" w:cs="Arial" w:eastAsia="Arial" w:hAnsi="Arial"/>
                <w:sz w:val="18"/>
                <w:szCs w:val="18"/>
                <w:color w:val="auto"/>
              </w:rPr>
              <w:t>Issuance of restricted shares</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395,282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ind w:left="371"/>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17"/>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2018</w:t>
            </w:r>
          </w:p>
        </w:tc>
        <w:tc>
          <w:tcPr>
            <w:tcW w:w="1440" w:type="dxa"/>
            <w:vAlign w:val="bottom"/>
          </w:tcPr>
          <w:p>
            <w:pPr>
              <w:jc w:val="right"/>
              <w:spacing w:after="0"/>
              <w:rPr>
                <w:sz w:val="20"/>
                <w:szCs w:val="20"/>
                <w:color w:val="auto"/>
              </w:rPr>
            </w:pPr>
            <w:r>
              <w:rPr>
                <w:rFonts w:ascii="Arial" w:cs="Arial" w:eastAsia="Arial" w:hAnsi="Arial"/>
                <w:sz w:val="18"/>
                <w:szCs w:val="18"/>
                <w:color w:val="auto"/>
              </w:rPr>
              <w:t>52,508,090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center"/>
              <w:ind w:left="371"/>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176,124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(27,331)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440" w:type="dxa"/>
            <w:vAlign w:val="bottom"/>
          </w:tcPr>
          <w:p>
            <w:pPr>
              <w:jc w:val="right"/>
              <w:spacing w:after="0"/>
              <w:rPr>
                <w:sz w:val="20"/>
                <w:szCs w:val="20"/>
                <w:color w:val="auto"/>
              </w:rPr>
            </w:pPr>
            <w:r>
              <w:rPr>
                <w:rFonts w:ascii="Arial" w:cs="Arial" w:eastAsia="Arial" w:hAnsi="Arial"/>
                <w:sz w:val="18"/>
                <w:szCs w:val="18"/>
                <w:color w:val="auto"/>
              </w:rPr>
              <w:t>52,707,879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center"/>
              <w:ind w:left="371"/>
              <w:spacing w:after="0"/>
              <w:rPr>
                <w:sz w:val="20"/>
                <w:szCs w:val="20"/>
                <w:color w:val="auto"/>
              </w:rPr>
            </w:pPr>
            <w:r>
              <w:rPr>
                <w:rFonts w:ascii="Arial" w:cs="Arial" w:eastAsia="Arial" w:hAnsi="Arial"/>
                <w:sz w:val="18"/>
                <w:szCs w:val="18"/>
                <w:color w:val="auto"/>
                <w:w w:val="99"/>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172,255</w:t>
            </w:r>
          </w:p>
        </w:tc>
        <w:tc>
          <w:tcPr>
            <w:tcW w:w="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(25,857)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Adoption of lease standard (see Note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7"/>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2019</w:t>
            </w:r>
          </w:p>
        </w:tc>
        <w:tc>
          <w:tcPr>
            <w:tcW w:w="1440" w:type="dxa"/>
            <w:vAlign w:val="bottom"/>
          </w:tcPr>
          <w:p>
            <w:pPr>
              <w:jc w:val="right"/>
              <w:spacing w:after="0"/>
              <w:rPr>
                <w:sz w:val="20"/>
                <w:szCs w:val="20"/>
                <w:color w:val="auto"/>
              </w:rPr>
            </w:pPr>
            <w:r>
              <w:rPr>
                <w:rFonts w:ascii="Arial" w:cs="Arial" w:eastAsia="Arial" w:hAnsi="Arial"/>
                <w:sz w:val="18"/>
                <w:szCs w:val="18"/>
                <w:color w:val="auto"/>
              </w:rPr>
              <w:t>52,707,879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center"/>
              <w:ind w:left="371"/>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172,255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restricted shares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(142,815)</w:t>
            </w:r>
          </w:p>
        </w:tc>
        <w:tc>
          <w:tcPr>
            <w:tcW w:w="120" w:type="dxa"/>
            <w:vAlign w:val="bottom"/>
          </w:tcPr>
          <w:p>
            <w:pPr>
              <w:spacing w:after="0"/>
              <w:rPr>
                <w:sz w:val="18"/>
                <w:szCs w:val="18"/>
                <w:color w:val="auto"/>
              </w:rPr>
            </w:pPr>
          </w:p>
        </w:tc>
        <w:tc>
          <w:tcPr>
            <w:tcW w:w="6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withholdings related to net share</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8"/>
              </w:rPr>
              <w:t>settlements of stock based compensation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Dividends paid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left="37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50,615,489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center"/>
              <w:ind w:left="371"/>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157,961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Loss on disposals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(1,878)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Income tax receivable /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(17,823)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insurance</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Payments of long-term debt and financing lease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(33,102)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Advances on line of credit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(5,212)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Repurchases of common stock</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Employee taxes paid for shares withheld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w w:val="91"/>
              </w:rPr>
              <w:t>Purchases of property, plant and equipment included in accounts payable and accrued expenses</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1,225</w:t>
            </w:r>
          </w:p>
        </w:tc>
        <w:tc>
          <w:tcPr>
            <w:tcW w:w="8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Cash paid for income taxes, net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Tile Shop Holdings, Inc. (“Holdings,” and together with its wholly owned subsidiaries, the “Company”) was incorporated in Delaware in June 2012.</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June 30, 2019, the Company had 140 stores in 31 states and the District of Columbia, with an average size of approximately 20,200 square feet. The Company has distribution centers located in Michigan, New Jersey, Oklahoma, Virginia and Wisconsin. The Company has a sourcing operation located in China.</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2019 are not necessarily indicative of the results that may be expected for the fiscal year ending December 31, 2019.</w:t>
      </w:r>
    </w:p>
    <w:p>
      <w:pPr>
        <w:spacing w:after="0" w:line="17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These statements should be read in conjunction with the Consolidated Financial Statements and footnotes included in the Company’s Annual Report on Form 10-K for the fiscal year ended December 31, 2018. The accounting policies used in preparing these Consolidated Financial Statements are the same as those described in Note 1 to the Consolidated Financial Statements in such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February 2016, the Financial Accounting Standards Board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The Company adopted this standard effective January 1, 2019 using a modified retrospective approach through a cumulative effect adjustment to retained earnings as of the beginning of the period of adoption.</w:t>
      </w:r>
    </w:p>
    <w:p>
      <w:pPr>
        <w:spacing w:after="0" w:line="1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payments made and excludes lease incentives and initial direct costs incurred. The Company’s lease terms may include options to extend or terminate the lease typically at the Company’s own discretion. The Company regularly evaluates the renewal options and when they are reasonably certain of exercise, the Company includes the renewal period in its lease term.</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This standard provides a number of optional practical expedients in transition. The Company elected the package of three practical expedients permitted under the transition guidance within this standard, which among other things, allows the Company to carryforward the historical lease classification. The Company did not separate non-lease components from lease components by class of underlying assets and the Company did not apply the recognition requirements of the standard to short-term leases, as allowed by the standard.</w:t>
      </w:r>
    </w:p>
    <w:p>
      <w:pPr>
        <w:spacing w:after="0" w:line="15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also elected to apply the hindsight practical expedient. Its election of the hindsight practical expedient resulted in the shortening of lease terms for certain existing leases and the useful lives of corresponding leasehold improvements. In its application of the hindsight practical expedient, the Company considered recent investments in leased properties and its overall real estate strategy, which resulted in the determination that most renewal options would not be reasonably certain in determining the expected lease term.</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Upon adopting this standard, the Company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The change in the useful life assigned to certain leasehold improvements resulted in a $15.3 million reduction 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fixed assets and retained earnings. The net impact of the cumulative effect adjustments also resulted in a $1.7 million reduction of deferred tax assets and a corresponding adjustment to retained earnings that was recorded during the three months ended June 30, 2019. The adoption of this standard did not have a material impact on net income or cash flows during the three and six months ended June 30, 2019. See Note 8 for further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June 2016, the FASB issued a final standard on accounting for credit losses. The standard is effective for the Company in fiscal 2020 and requires a change in credit loss calculations using the expected loss method. The Company is evaluating the effect of this standard on its consolidated financial statements and related disclosures.</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August 2018, the FASB issued a final standard which provides guidance on the accounting for costs of implementation activities performed in a cloud computing arrangement that is a service contract. The standard requires customers of cloud computing services to recognize an intangible asset for the software license and, to the extent that payments attributable to the software license are made over time, a liability is also recognized. The standard also allows customers of cloud computing services to capitalize certain implementation costs. The standard is effective for fiscal years, and interim periods within those fiscal years, beginning after December 15, 2019. The standard will become effective for the Company at the beginning of its 2020 fiscal year, although early adoption is permitted for all entities. The Company is evaluating the effect of the standard on its consolidated financial statements and related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w w:val="95"/>
              </w:rPr>
              <w:t>The following table presents revenues disaggregated by product category: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83"/>
        </w:trPr>
        <w:tc>
          <w:tcPr>
            <w:tcW w:w="5640" w:type="dxa"/>
            <w:vAlign w:val="bottom"/>
          </w:tcPr>
          <w:p>
            <w:pPr>
              <w:spacing w:after="0"/>
              <w:rPr>
                <w:sz w:val="24"/>
                <w:szCs w:val="24"/>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88"/>
              </w:rPr>
              <w:t>For the three months ended</w:t>
            </w:r>
          </w:p>
        </w:tc>
        <w:tc>
          <w:tcPr>
            <w:tcW w:w="2160" w:type="dxa"/>
            <w:vAlign w:val="bottom"/>
            <w:gridSpan w:val="4"/>
          </w:tcPr>
          <w:p>
            <w:pPr>
              <w:jc w:val="center"/>
              <w:spacing w:after="0"/>
              <w:rPr>
                <w:sz w:val="20"/>
                <w:szCs w:val="20"/>
                <w:color w:val="auto"/>
              </w:rPr>
            </w:pPr>
            <w:r>
              <w:rPr>
                <w:rFonts w:ascii="Arial" w:cs="Arial" w:eastAsia="Arial" w:hAnsi="Arial"/>
                <w:sz w:val="18"/>
                <w:szCs w:val="18"/>
                <w:color w:val="auto"/>
                <w:w w:val="89"/>
              </w:rPr>
              <w:t>For the six months ended</w:t>
            </w:r>
          </w:p>
        </w:tc>
      </w:tr>
      <w:tr>
        <w:trPr>
          <w:trHeight w:val="230"/>
        </w:trPr>
        <w:tc>
          <w:tcPr>
            <w:tcW w:w="5640" w:type="dxa"/>
            <w:vAlign w:val="bottom"/>
          </w:tcPr>
          <w:p>
            <w:pPr>
              <w:spacing w:after="0"/>
              <w:rPr>
                <w:sz w:val="20"/>
                <w:szCs w:val="20"/>
                <w:color w:val="auto"/>
              </w:rPr>
            </w:pPr>
          </w:p>
        </w:tc>
        <w:tc>
          <w:tcPr>
            <w:tcW w:w="14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20"/>
                <w:szCs w:val="20"/>
                <w:color w:val="auto"/>
              </w:rPr>
            </w:pPr>
          </w:p>
        </w:tc>
      </w:tr>
      <w:tr>
        <w:trPr>
          <w:trHeight w:val="210"/>
        </w:trPr>
        <w:tc>
          <w:tcPr>
            <w:tcW w:w="56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2018</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2018</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Man-made tiles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Natural stone tiles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Accessories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81" w:lineRule="exact"/>
        <w:rPr>
          <w:sz w:val="20"/>
          <w:szCs w:val="20"/>
          <w:color w:val="auto"/>
        </w:rPr>
      </w:pPr>
    </w:p>
    <w:p>
      <w:pPr>
        <w:ind w:left="640" w:right="20" w:hanging="320"/>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6" w:lineRule="exact"/>
        <w:rPr>
          <w:rFonts w:ascii="Arial" w:cs="Arial" w:eastAsia="Arial" w:hAnsi="Arial"/>
          <w:sz w:val="17"/>
          <w:szCs w:val="17"/>
          <w:color w:val="auto"/>
        </w:rPr>
      </w:pPr>
    </w:p>
    <w:p>
      <w:pPr>
        <w:jc w:val="both"/>
        <w:ind w:left="640" w:hanging="320"/>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86" w:lineRule="exact"/>
        <w:rPr>
          <w:rFonts w:ascii="Arial" w:cs="Arial" w:eastAsia="Arial" w:hAnsi="Arial"/>
          <w:sz w:val="18"/>
          <w:szCs w:val="18"/>
          <w:color w:val="auto"/>
        </w:rPr>
      </w:pPr>
    </w:p>
    <w:p>
      <w:pPr>
        <w:jc w:val="both"/>
        <w:ind w:left="640" w:hanging="320"/>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$7.9 million and $7.4 million as of June 30, 2019 and December 31, 2018, respectively. Revenues recognized during the six months ended June 30, 2019 that were included in the customer deposit balance as of the beginning of the period were $6.9 million.</w:t>
      </w:r>
    </w:p>
    <w:p>
      <w:pPr>
        <w:spacing w:after="0" w:line="18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Accounts receivable include amounts due from qualified professional customers who apply for credit. Customers who qualify for an account receive 30-day payment terms. The accounts receivable balance was $5.0 million and $3.1 million at June 30, 2019 and December 31, 2018, respectively.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7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Historically, the sales returns reserve was presented net of cost of sales in other current liabilities. The Company presents the sales returns reserve as an other current liability and the estimated value of the inventory that will be returned as an other current asset in the Consolidated Balance Sheet. The components of the sales returns reserve reflected in the Consolidated Balance Sheet as of June 30, 2019 and December 31, 2018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4"/>
          </w:tcPr>
          <w:p>
            <w:pPr>
              <w:ind w:left="58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5,462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30"/>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3"/>
              </w:rPr>
              <w:t>1,621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r>
      <w:tr>
        <w:trPr>
          <w:trHeight w:val="21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returns reserve, net</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3"/>
              </w:rPr>
              <w:t>3,841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29" w:lineRule="exact"/>
        <w:rPr>
          <w:sz w:val="20"/>
          <w:szCs w:val="20"/>
          <w:color w:val="auto"/>
        </w:rPr>
      </w:pPr>
    </w:p>
    <w:p>
      <w:pPr>
        <w:ind w:right="360"/>
        <w:spacing w:after="0" w:line="325" w:lineRule="auto"/>
        <w:rPr>
          <w:sz w:val="20"/>
          <w:szCs w:val="20"/>
          <w:color w:val="auto"/>
        </w:rPr>
      </w:pPr>
      <w:r>
        <w:rPr>
          <w:rFonts w:ascii="Arial" w:cs="Arial" w:eastAsia="Arial" w:hAnsi="Arial"/>
          <w:sz w:val="16"/>
          <w:szCs w:val="16"/>
          <w:color w:val="auto"/>
        </w:rPr>
        <w:t>Inventories are stated at the lower of cost (determined on the weighted-average cost method) or net realizable value. Inventories consist primarily of merchandise held for sale. Inventories were comprised of the following as of June 30, 2019 and December 31,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5"/>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98,776</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2,114</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110,095</w:t>
            </w: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$0.5 million and $0.3 million as of June 30, 2019 and December 31,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effective tax rate on net income before income taxes for the three months ended June 30, 2019 and 2018 was (7.7)% and 28.0%, respectively. The Company’s effective tax rate on net income before income taxes for the six months ended June 30, 2019 and 2018 was 34.8% and 28.1%, respectively. For the three months ended June 30, 2019 and 2018, the Company recorded a provision for income taxes of $0.0 million and $1.9 million, respectively. For the six months ended June 30, 2019 and 2018, the Company recorded a provision for income taxes of $0.6 million and $3.5 million, respectively. The decrease in the provision for income taxes is due to lower pretax earnings.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June 30, 2019 and 2018, the Company has not recognized any liabilities for uncertain tax positions, nor have interest and penalties related to uncertain tax positions been accrued.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2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w w:val="96"/>
              </w:rPr>
              <w:t>Basic and diluted earnings per share were calculated as follows: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40" w:type="dxa"/>
            <w:vAlign w:val="bottom"/>
            <w:gridSpan w:val="14"/>
          </w:tcPr>
          <w:p>
            <w:pPr>
              <w:jc w:val="right"/>
              <w:ind w:right="330"/>
              <w:spacing w:after="0"/>
              <w:rPr>
                <w:sz w:val="20"/>
                <w:szCs w:val="20"/>
                <w:color w:val="auto"/>
              </w:rPr>
            </w:pPr>
            <w:r>
              <w:rPr>
                <w:rFonts w:ascii="Arial" w:cs="Arial" w:eastAsia="Arial" w:hAnsi="Arial"/>
                <w:sz w:val="18"/>
                <w:szCs w:val="18"/>
                <w:color w:val="auto"/>
                <w:w w:val="90"/>
              </w:rPr>
              <w:t>(all amounts in thousands except share and per share data)</w:t>
            </w:r>
          </w:p>
        </w:tc>
        <w:tc>
          <w:tcPr>
            <w:tcW w:w="20" w:type="dxa"/>
            <w:vAlign w:val="bottom"/>
          </w:tcPr>
          <w:p>
            <w:pPr>
              <w:spacing w:after="0"/>
              <w:rPr>
                <w:sz w:val="24"/>
                <w:szCs w:val="24"/>
                <w:color w:val="auto"/>
              </w:rPr>
            </w:pPr>
          </w:p>
        </w:tc>
      </w:tr>
      <w:tr>
        <w:trPr>
          <w:trHeight w:val="230"/>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5"/>
          </w:tcPr>
          <w:p>
            <w:pPr>
              <w:jc w:val="right"/>
              <w:ind w:right="105"/>
              <w:spacing w:after="0"/>
              <w:rPr>
                <w:sz w:val="20"/>
                <w:szCs w:val="20"/>
                <w:color w:val="auto"/>
              </w:rPr>
            </w:pPr>
            <w:r>
              <w:rPr>
                <w:rFonts w:ascii="Arial" w:cs="Arial" w:eastAsia="Arial" w:hAnsi="Arial"/>
                <w:sz w:val="18"/>
                <w:szCs w:val="18"/>
                <w:color w:val="auto"/>
                <w:w w:val="90"/>
              </w:rPr>
              <w:t>For the three months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7"/>
          </w:tcPr>
          <w:p>
            <w:pPr>
              <w:jc w:val="center"/>
              <w:ind w:right="70"/>
              <w:spacing w:after="0"/>
              <w:rPr>
                <w:sz w:val="20"/>
                <w:szCs w:val="20"/>
                <w:color w:val="auto"/>
              </w:rPr>
            </w:pPr>
            <w:r>
              <w:rPr>
                <w:rFonts w:ascii="Arial" w:cs="Arial" w:eastAsia="Arial" w:hAnsi="Arial"/>
                <w:sz w:val="18"/>
                <w:szCs w:val="18"/>
                <w:color w:val="auto"/>
                <w:w w:val="89"/>
              </w:rPr>
              <w:t>For the six months ended</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6"/>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50,999,341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51,887,094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51,476,442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51,884,402</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Effect of dilutive securities attributable to stock based awards</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132,787</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111,861</w:t>
            </w:r>
          </w:p>
        </w:tc>
        <w:tc>
          <w:tcPr>
            <w:tcW w:w="20" w:type="dxa"/>
            <w:vAlign w:val="bottom"/>
          </w:tcPr>
          <w:p>
            <w:pPr>
              <w:spacing w:after="0"/>
              <w:rPr>
                <w:sz w:val="19"/>
                <w:szCs w:val="19"/>
                <w:color w:val="auto"/>
              </w:rPr>
            </w:pPr>
          </w:p>
        </w:tc>
      </w:tr>
      <w:tr>
        <w:trPr>
          <w:trHeight w:val="210"/>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diluted</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50,999,341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52,019,881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51,573,410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51,996,263</w:t>
            </w:r>
          </w:p>
        </w:tc>
        <w:tc>
          <w:tcPr>
            <w:tcW w:w="2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income per common share: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w w:val="91"/>
              </w:rPr>
              <w:t>Anti-dilutive securities excluded from earnings per share calculation</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2,835,890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9"/>
              </w:rPr>
              <w:t>2,298,350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2,047,585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2,017,629</w:t>
            </w:r>
          </w:p>
        </w:tc>
        <w:tc>
          <w:tcPr>
            <w:tcW w:w="20" w:type="dxa"/>
            <w:vAlign w:val="bottom"/>
          </w:tcPr>
          <w:p>
            <w:pPr>
              <w:spacing w:after="0"/>
              <w:rPr>
                <w:sz w:val="20"/>
                <w:szCs w:val="20"/>
                <w:color w:val="auto"/>
              </w:rPr>
            </w:pPr>
          </w:p>
        </w:tc>
      </w:tr>
      <w:tr>
        <w:trPr>
          <w:trHeight w:val="499"/>
        </w:trPr>
        <w:tc>
          <w:tcPr>
            <w:tcW w:w="494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94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9"/>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7"/>
          </w:tcPr>
          <w:p>
            <w:pPr>
              <w:jc w:val="right"/>
              <w:ind w:right="71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4"/>
                <w:szCs w:val="24"/>
                <w:color w:val="auto"/>
              </w:rPr>
            </w:pPr>
          </w:p>
        </w:tc>
      </w:tr>
      <w:tr>
        <w:trPr>
          <w:trHeight w:val="230"/>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December 31,</w:t>
            </w:r>
          </w:p>
        </w:tc>
        <w:tc>
          <w:tcPr>
            <w:tcW w:w="20" w:type="dxa"/>
            <w:vAlign w:val="bottom"/>
          </w:tcPr>
          <w:p>
            <w:pPr>
              <w:spacing w:after="0"/>
              <w:rPr>
                <w:sz w:val="19"/>
                <w:szCs w:val="19"/>
                <w:color w:val="auto"/>
              </w:rPr>
            </w:pPr>
          </w:p>
        </w:tc>
      </w:tr>
      <w:tr>
        <w:trPr>
          <w:trHeight w:val="230"/>
        </w:trPr>
        <w:tc>
          <w:tcPr>
            <w:tcW w:w="49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Sales returns reserve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5,154</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Payroll and sales taxes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Accrued wages and salaries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3,689</w:t>
            </w:r>
          </w:p>
        </w:tc>
        <w:tc>
          <w:tcPr>
            <w:tcW w:w="2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20" w:type="dxa"/>
            <w:vAlign w:val="bottom"/>
          </w:tcPr>
          <w:p>
            <w:pPr>
              <w:spacing w:after="0"/>
              <w:rPr>
                <w:sz w:val="19"/>
                <w:szCs w:val="19"/>
                <w:color w:val="auto"/>
              </w:rPr>
            </w:pPr>
          </w:p>
        </w:tc>
      </w:tr>
      <w:tr>
        <w:trPr>
          <w:trHeight w:val="217"/>
        </w:trPr>
        <w:tc>
          <w:tcPr>
            <w:tcW w:w="4940" w:type="dxa"/>
            <w:vAlign w:val="bottom"/>
          </w:tcPr>
          <w:p>
            <w:pPr>
              <w:ind w:left="220"/>
              <w:spacing w:after="0"/>
              <w:rPr>
                <w:sz w:val="20"/>
                <w:szCs w:val="20"/>
                <w:color w:val="auto"/>
              </w:rPr>
            </w:pPr>
            <w:r>
              <w:rPr>
                <w:rFonts w:ascii="Arial" w:cs="Arial" w:eastAsia="Arial" w:hAnsi="Arial"/>
                <w:sz w:val="18"/>
                <w:szCs w:val="18"/>
                <w:color w:val="auto"/>
              </w:rPr>
              <w:t>Total other accrued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24,484</w:t>
            </w:r>
          </w:p>
        </w:tc>
        <w:tc>
          <w:tcPr>
            <w:tcW w:w="20" w:type="dxa"/>
            <w:vAlign w:val="bottom"/>
          </w:tcPr>
          <w:p>
            <w:pPr>
              <w:spacing w:after="0"/>
              <w:rPr>
                <w:sz w:val="18"/>
                <w:szCs w:val="18"/>
                <w:color w:val="auto"/>
              </w:rPr>
            </w:pPr>
          </w:p>
        </w:tc>
      </w:tr>
      <w:tr>
        <w:trPr>
          <w:trHeight w:val="864"/>
        </w:trPr>
        <w:tc>
          <w:tcPr>
            <w:tcW w:w="4940" w:type="dxa"/>
            <w:vAlign w:val="bottom"/>
          </w:tcPr>
          <w:p>
            <w:pPr>
              <w:spacing w:after="0"/>
              <w:rPr>
                <w:sz w:val="24"/>
                <w:szCs w:val="24"/>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12</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9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12" w:name="page13"/>
    <w:bookmarkEnd w:id="12"/>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7: Long-term Debt</w:t>
      </w:r>
    </w:p>
    <w:p>
      <w:pPr>
        <w:spacing w:after="0" w:line="229" w:lineRule="exact"/>
        <w:rPr>
          <w:sz w:val="20"/>
          <w:szCs w:val="20"/>
          <w:color w:val="auto"/>
        </w:rPr>
      </w:pPr>
    </w:p>
    <w:p>
      <w:pPr>
        <w:jc w:val="both"/>
        <w:ind w:left="4"/>
        <w:spacing w:after="0" w:line="270"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rate of adjusted LIBOR plus 1.75% and may bear interest in a range between adjusted LIBOR plus 1.50% to adjusted LIBOR plus 2.25%, depending on The Tile Shop’s consolidated total rent adjusted leverage ratio. At June 30, 2019 the base interest rate was 6.50% and the LIBOR-based interest rate was 4.40%. Borrowings outstanding consisted of $63.0 million on the revolving line of credit as of June 30, 2019. In addition, the Company has standby letters of credit outstanding related to its workers compensation and medical insurance policies. As of June 30, 2019 and 2018, the standby letters of credit totaled $1.3 million and $1.1 million, respectively. There was $35.7 million available for borrowing on the revolving line of credit as of June 30, 2019, which may be used to support the Company’s growth and for working capital purposes.</w:t>
      </w:r>
    </w:p>
    <w:p>
      <w:pPr>
        <w:spacing w:after="0" w:line="178"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June 30, 2019.</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ind w:left="4" w:right="260"/>
        <w:spacing w:after="0" w:line="302" w:lineRule="auto"/>
        <w:rPr>
          <w:sz w:val="20"/>
          <w:szCs w:val="20"/>
          <w:color w:val="auto"/>
        </w:rPr>
      </w:pPr>
      <w:r>
        <w:rPr>
          <w:rFonts w:ascii="Arial" w:cs="Arial" w:eastAsia="Arial" w:hAnsi="Arial"/>
          <w:sz w:val="16"/>
          <w:szCs w:val="16"/>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Leases (in thousands)</w:t>
            </w:r>
          </w:p>
        </w:tc>
        <w:tc>
          <w:tcPr>
            <w:tcW w:w="4620" w:type="dxa"/>
            <w:vAlign w:val="bottom"/>
          </w:tcPr>
          <w:p>
            <w:pPr>
              <w:ind w:left="800"/>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w w:val="85"/>
              </w:rPr>
              <w:t>June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620" w:type="dxa"/>
            <w:vAlign w:val="bottom"/>
          </w:tcPr>
          <w:p>
            <w:pPr>
              <w:ind w:left="800"/>
              <w:spacing w:after="0"/>
              <w:rPr>
                <w:sz w:val="20"/>
                <w:szCs w:val="20"/>
                <w:color w:val="auto"/>
              </w:rPr>
            </w:pPr>
            <w:r>
              <w:rPr>
                <w:rFonts w:ascii="Arial" w:cs="Arial" w:eastAsia="Arial" w:hAnsi="Arial"/>
                <w:sz w:val="18"/>
                <w:szCs w:val="18"/>
                <w:color w:val="auto"/>
              </w:rPr>
              <w:t>Right of use asset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assets</w:t>
            </w:r>
          </w:p>
        </w:tc>
        <w:tc>
          <w:tcPr>
            <w:tcW w:w="6160" w:type="dxa"/>
            <w:vAlign w:val="bottom"/>
            <w:gridSpan w:val="7"/>
            <w:shd w:val="clear" w:color="auto" w:fill="CCEEFF"/>
          </w:tcPr>
          <w:p>
            <w:pPr>
              <w:ind w:left="800"/>
              <w:spacing w:after="0"/>
              <w:rPr>
                <w:sz w:val="20"/>
                <w:szCs w:val="20"/>
                <w:color w:val="auto"/>
              </w:rPr>
            </w:pPr>
            <w:r>
              <w:rPr>
                <w:rFonts w:ascii="Arial" w:cs="Arial" w:eastAsia="Arial" w:hAnsi="Arial"/>
                <w:sz w:val="18"/>
                <w:szCs w:val="18"/>
                <w:color w:val="auto"/>
              </w:rPr>
              <w:t>Property, plant and equipment, net of accumulated depreciation</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Total leased assets</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Liabilities</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ind w:left="80"/>
              <w:spacing w:after="0"/>
              <w:rPr>
                <w:sz w:val="20"/>
                <w:szCs w:val="20"/>
                <w:color w:val="auto"/>
              </w:rPr>
            </w:pPr>
            <w:r>
              <w:rPr>
                <w:rFonts w:ascii="Arial" w:cs="Arial" w:eastAsia="Arial" w:hAnsi="Arial"/>
                <w:sz w:val="18"/>
                <w:szCs w:val="18"/>
                <w:color w:val="auto"/>
              </w:rPr>
              <w:t>Operating</w:t>
            </w:r>
          </w:p>
        </w:tc>
        <w:tc>
          <w:tcPr>
            <w:tcW w:w="4620" w:type="dxa"/>
            <w:vAlign w:val="bottom"/>
          </w:tcPr>
          <w:p>
            <w:pPr>
              <w:ind w:left="800"/>
              <w:spacing w:after="0"/>
              <w:rPr>
                <w:sz w:val="20"/>
                <w:szCs w:val="20"/>
                <w:color w:val="auto"/>
              </w:rPr>
            </w:pPr>
            <w:r>
              <w:rPr>
                <w:rFonts w:ascii="Arial" w:cs="Arial" w:eastAsia="Arial" w:hAnsi="Arial"/>
                <w:sz w:val="18"/>
                <w:szCs w:val="18"/>
                <w:color w:val="auto"/>
              </w:rPr>
              <w:t>Current portion of lease liability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Financing</w:t>
            </w:r>
          </w:p>
        </w:tc>
        <w:tc>
          <w:tcPr>
            <w:tcW w:w="4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accrued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Noncurrent</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w:t>
            </w:r>
          </w:p>
        </w:tc>
        <w:tc>
          <w:tcPr>
            <w:tcW w:w="4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Long-term lease liability, net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Financing</w:t>
            </w:r>
          </w:p>
        </w:tc>
        <w:tc>
          <w:tcPr>
            <w:tcW w:w="462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163,846</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Three Months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30"/>
        </w:trPr>
        <w:tc>
          <w:tcPr>
            <w:tcW w:w="2540" w:type="dxa"/>
            <w:vAlign w:val="bottom"/>
            <w:gridSpan w:val="2"/>
            <w:vMerge w:val="restart"/>
          </w:tcPr>
          <w:p>
            <w:pPr>
              <w:spacing w:after="0"/>
              <w:rPr>
                <w:sz w:val="20"/>
                <w:szCs w:val="20"/>
                <w:color w:val="auto"/>
              </w:rPr>
            </w:pPr>
            <w:r>
              <w:rPr>
                <w:rFonts w:ascii="Arial" w:cs="Arial" w:eastAsia="Arial" w:hAnsi="Arial"/>
                <w:sz w:val="18"/>
                <w:szCs w:val="18"/>
                <w:color w:val="auto"/>
              </w:rPr>
              <w:t>Lease cost (in thousands)</w:t>
            </w:r>
          </w:p>
        </w:tc>
        <w:tc>
          <w:tcPr>
            <w:tcW w:w="4620" w:type="dxa"/>
            <w:vAlign w:val="bottom"/>
            <w:vMerge w:val="restart"/>
          </w:tcPr>
          <w:p>
            <w:pPr>
              <w:ind w:left="300"/>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color w:val="auto"/>
              </w:rPr>
              <w:t>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10"/>
        </w:trPr>
        <w:tc>
          <w:tcPr>
            <w:tcW w:w="2540" w:type="dxa"/>
            <w:vAlign w:val="bottom"/>
            <w:gridSpan w:val="2"/>
            <w:vMerge w:val="continue"/>
          </w:tcPr>
          <w:p>
            <w:pPr>
              <w:spacing w:after="0"/>
              <w:rPr>
                <w:sz w:val="18"/>
                <w:szCs w:val="18"/>
                <w:color w:val="auto"/>
              </w:rPr>
            </w:pPr>
          </w:p>
        </w:tc>
        <w:tc>
          <w:tcPr>
            <w:tcW w:w="4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7"/>
          </w:tcPr>
          <w:p>
            <w:pPr>
              <w:jc w:val="right"/>
              <w:ind w:right="83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6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SG&amp;A expenses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Financing lease cost</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leased assets</w:t>
            </w:r>
          </w:p>
        </w:tc>
        <w:tc>
          <w:tcPr>
            <w:tcW w:w="4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ind w:left="80"/>
              <w:spacing w:after="0"/>
              <w:rPr>
                <w:sz w:val="20"/>
                <w:szCs w:val="20"/>
                <w:color w:val="auto"/>
              </w:rPr>
            </w:pPr>
            <w:r>
              <w:rPr>
                <w:rFonts w:ascii="Arial" w:cs="Arial" w:eastAsia="Arial" w:hAnsi="Arial"/>
                <w:sz w:val="18"/>
                <w:szCs w:val="18"/>
                <w:color w:val="auto"/>
              </w:rPr>
              <w:t>Interest on lease liabilities</w:t>
            </w:r>
          </w:p>
        </w:tc>
        <w:tc>
          <w:tcPr>
            <w:tcW w:w="462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8"/>
                <w:szCs w:val="8"/>
                <w:color w:val="auto"/>
              </w:rPr>
              <w:t>(1)</w:t>
            </w:r>
          </w:p>
        </w:tc>
        <w:tc>
          <w:tcPr>
            <w:tcW w:w="4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SG&amp;A expenses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 term lease cost</w:t>
            </w:r>
          </w:p>
        </w:tc>
        <w:tc>
          <w:tcPr>
            <w:tcW w:w="46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SG&amp;A expenses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4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23,114</w:t>
            </w:r>
          </w:p>
        </w:tc>
        <w:tc>
          <w:tcPr>
            <w:tcW w:w="0" w:type="dxa"/>
            <w:vAlign w:val="bottom"/>
          </w:tcPr>
          <w:p>
            <w:pPr>
              <w:spacing w:after="0"/>
              <w:rPr>
                <w:sz w:val="1"/>
                <w:szCs w:val="1"/>
                <w:color w:val="auto"/>
              </w:rPr>
            </w:pPr>
          </w:p>
        </w:tc>
      </w:tr>
    </w:tbl>
    <w:p>
      <w:pPr>
        <w:ind w:left="124" w:hanging="124"/>
        <w:spacing w:after="0"/>
        <w:tabs>
          <w:tab w:leader="none" w:pos="124" w:val="left"/>
        </w:tabs>
        <w:numPr>
          <w:ilvl w:val="0"/>
          <w:numId w:val="4"/>
        </w:numPr>
        <w:rPr>
          <w:rFonts w:ascii="Arial" w:cs="Arial" w:eastAsia="Arial" w:hAnsi="Arial"/>
          <w:sz w:val="8"/>
          <w:szCs w:val="8"/>
          <w:color w:val="auto"/>
        </w:rPr>
      </w:pPr>
      <w:r>
        <w:rPr>
          <w:rFonts w:ascii="Arial" w:cs="Arial" w:eastAsia="Arial" w:hAnsi="Arial"/>
          <w:sz w:val="16"/>
          <w:szCs w:val="16"/>
          <w:color w:val="auto"/>
        </w:rPr>
        <w:t>Variable lease costs consist primarily of taxes, insurance, and common area or other maintenance costs for the Company’s leased facilities.</w:t>
      </w:r>
    </w:p>
    <w:p>
      <w:pPr>
        <w:spacing w:after="0" w:line="200" w:lineRule="exact"/>
        <w:rPr>
          <w:rFonts w:ascii="Arial" w:cs="Arial" w:eastAsia="Arial" w:hAnsi="Arial"/>
          <w:sz w:val="8"/>
          <w:szCs w:val="8"/>
          <w:color w:val="auto"/>
        </w:rPr>
      </w:pPr>
    </w:p>
    <w:p>
      <w:pPr>
        <w:spacing w:after="0" w:line="200" w:lineRule="exact"/>
        <w:rPr>
          <w:rFonts w:ascii="Arial" w:cs="Arial" w:eastAsia="Arial" w:hAnsi="Arial"/>
          <w:sz w:val="8"/>
          <w:szCs w:val="8"/>
          <w:color w:val="auto"/>
        </w:rPr>
      </w:pPr>
    </w:p>
    <w:p>
      <w:pPr>
        <w:spacing w:after="0" w:line="320" w:lineRule="exact"/>
        <w:rPr>
          <w:rFonts w:ascii="Arial" w:cs="Arial" w:eastAsia="Arial" w:hAnsi="Arial"/>
          <w:sz w:val="8"/>
          <w:szCs w:val="8"/>
          <w:color w:val="auto"/>
        </w:rPr>
      </w:pPr>
    </w:p>
    <w:p>
      <w:pPr>
        <w:ind w:left="4964"/>
        <w:spacing w:after="0"/>
        <w:rPr>
          <w:rFonts w:ascii="Arial" w:cs="Arial" w:eastAsia="Arial" w:hAnsi="Arial"/>
          <w:sz w:val="8"/>
          <w:szCs w:val="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Maturity of Lease Liabilities (in thousands)</w:t>
            </w:r>
          </w:p>
        </w:tc>
        <w:tc>
          <w:tcPr>
            <w:tcW w:w="220" w:type="dxa"/>
            <w:vAlign w:val="bottom"/>
          </w:tcPr>
          <w:p>
            <w:pPr>
              <w:spacing w:after="0"/>
              <w:rPr>
                <w:sz w:val="20"/>
                <w:szCs w:val="20"/>
                <w:color w:val="auto"/>
              </w:rPr>
            </w:pPr>
          </w:p>
        </w:tc>
        <w:tc>
          <w:tcPr>
            <w:tcW w:w="1780" w:type="dxa"/>
            <w:vAlign w:val="bottom"/>
            <w:gridSpan w:val="4"/>
          </w:tcPr>
          <w:p>
            <w:pPr>
              <w:jc w:val="right"/>
              <w:ind w:right="32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1500" w:type="dxa"/>
            <w:vAlign w:val="bottom"/>
            <w:gridSpan w:val="5"/>
          </w:tcPr>
          <w:p>
            <w:pPr>
              <w:ind w:left="20"/>
              <w:spacing w:after="0"/>
              <w:rPr>
                <w:sz w:val="20"/>
                <w:szCs w:val="20"/>
                <w:color w:val="auto"/>
              </w:rPr>
            </w:pPr>
            <w:r>
              <w:rPr>
                <w:rFonts w:ascii="Arial" w:cs="Arial" w:eastAsia="Arial" w:hAnsi="Arial"/>
                <w:sz w:val="18"/>
                <w:szCs w:val="18"/>
                <w:color w:val="auto"/>
              </w:rPr>
              <w:t>Financing Leases</w:t>
            </w:r>
          </w:p>
        </w:tc>
        <w:tc>
          <w:tcPr>
            <w:tcW w:w="26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960" w:type="dxa"/>
            <w:vAlign w:val="bottom"/>
            <w:tcBorders>
              <w:top w:val="single" w:sz="8" w:color="auto"/>
            </w:tcBorders>
            <w:gridSpan w:val="2"/>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108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17,714</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99"/>
              </w:rPr>
              <w:t>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34,653</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33,083</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30,028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53,377</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629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193,959</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Less: interest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(29,993)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(120)</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(30,113)</w:t>
            </w:r>
          </w:p>
        </w:tc>
        <w:tc>
          <w:tcPr>
            <w:tcW w:w="0" w:type="dxa"/>
            <w:vAlign w:val="bottom"/>
          </w:tcPr>
          <w:p>
            <w:pPr>
              <w:spacing w:after="0"/>
              <w:rPr>
                <w:sz w:val="1"/>
                <w:szCs w:val="1"/>
                <w:color w:val="auto"/>
              </w:rPr>
            </w:pPr>
          </w:p>
        </w:tc>
      </w:tr>
      <w:tr>
        <w:trPr>
          <w:trHeight w:val="217"/>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509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163,846</w:t>
            </w:r>
          </w:p>
        </w:tc>
        <w:tc>
          <w:tcPr>
            <w:tcW w:w="0" w:type="dxa"/>
            <w:vAlign w:val="bottom"/>
          </w:tcPr>
          <w:p>
            <w:pPr>
              <w:spacing w:after="0"/>
              <w:rPr>
                <w:sz w:val="1"/>
                <w:szCs w:val="1"/>
                <w:color w:val="auto"/>
              </w:rPr>
            </w:pPr>
          </w:p>
        </w:tc>
      </w:tr>
      <w:tr>
        <w:trPr>
          <w:trHeight w:val="486"/>
        </w:trPr>
        <w:tc>
          <w:tcPr>
            <w:tcW w:w="5260" w:type="dxa"/>
            <w:vAlign w:val="bottom"/>
            <w:vMerge w:val="restart"/>
          </w:tcPr>
          <w:p>
            <w:pPr>
              <w:spacing w:after="0"/>
              <w:rPr>
                <w:sz w:val="20"/>
                <w:szCs w:val="20"/>
                <w:color w:val="auto"/>
              </w:rPr>
            </w:pPr>
            <w:r>
              <w:rPr>
                <w:rFonts w:ascii="Arial" w:cs="Arial" w:eastAsia="Arial" w:hAnsi="Arial"/>
                <w:sz w:val="18"/>
                <w:szCs w:val="18"/>
                <w:color w:val="auto"/>
              </w:rPr>
              <w:t>Other Information (in thousands)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90"/>
              </w:rPr>
              <w:t>Three Months Ended</w:t>
            </w:r>
          </w:p>
        </w:tc>
        <w:tc>
          <w:tcPr>
            <w:tcW w:w="18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w w:val="98"/>
              </w:rPr>
              <w:t>June 30, 2019</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8,709</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from financing leases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260" w:type="dxa"/>
            <w:vAlign w:val="bottom"/>
          </w:tcPr>
          <w:p>
            <w:pPr>
              <w:ind w:left="100"/>
              <w:spacing w:after="0"/>
              <w:rPr>
                <w:sz w:val="20"/>
                <w:szCs w:val="20"/>
                <w:color w:val="auto"/>
              </w:rPr>
            </w:pPr>
            <w:r>
              <w:rPr>
                <w:rFonts w:ascii="Arial" w:cs="Arial" w:eastAsia="Arial" w:hAnsi="Arial"/>
                <w:sz w:val="18"/>
                <w:szCs w:val="18"/>
                <w:color w:val="auto"/>
              </w:rPr>
              <w:t>Financing cash flows from financing leases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34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7"/>
              </w:rPr>
              <w:t>Lease right-of-use assets obtained or modified in exchange for lease obligations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5,993</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716"/>
        </w:trPr>
        <w:tc>
          <w:tcPr>
            <w:tcW w:w="5260" w:type="dxa"/>
            <w:vAlign w:val="bottom"/>
          </w:tcPr>
          <w:p>
            <w:pPr>
              <w:spacing w:after="0"/>
              <w:rPr>
                <w:sz w:val="20"/>
                <w:szCs w:val="20"/>
                <w:color w:val="auto"/>
              </w:rPr>
            </w:pPr>
            <w:r>
              <w:rPr>
                <w:rFonts w:ascii="Arial" w:cs="Arial" w:eastAsia="Arial" w:hAnsi="Arial"/>
                <w:sz w:val="18"/>
                <w:szCs w:val="18"/>
                <w:color w:val="auto"/>
              </w:rPr>
              <w:t>Lease Term and Discount Rate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gridSpan w:val="5"/>
          </w:tcPr>
          <w:p>
            <w:pPr>
              <w:jc w:val="right"/>
              <w:ind w:right="760"/>
              <w:spacing w:after="0"/>
              <w:rPr>
                <w:sz w:val="20"/>
                <w:szCs w:val="20"/>
                <w:color w:val="auto"/>
              </w:rPr>
            </w:pPr>
            <w:r>
              <w:rPr>
                <w:rFonts w:ascii="Arial" w:cs="Arial" w:eastAsia="Arial" w:hAnsi="Arial"/>
                <w:sz w:val="18"/>
                <w:szCs w:val="18"/>
                <w:color w:val="auto"/>
                <w:w w:val="91"/>
              </w:rPr>
              <w:t>June 30, 2019</w:t>
            </w:r>
          </w:p>
        </w:tc>
        <w:tc>
          <w:tcPr>
            <w:tcW w:w="0" w:type="dxa"/>
            <w:vAlign w:val="bottom"/>
          </w:tcPr>
          <w:p>
            <w:pPr>
              <w:spacing w:after="0"/>
              <w:rPr>
                <w:sz w:val="1"/>
                <w:szCs w:val="1"/>
                <w:color w:val="auto"/>
              </w:rPr>
            </w:pPr>
          </w:p>
        </w:tc>
      </w:tr>
      <w:tr>
        <w:trPr>
          <w:trHeight w:val="210"/>
        </w:trPr>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remaining term (years)</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Financing leases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6.19 %</w:t>
            </w:r>
          </w:p>
        </w:tc>
        <w:tc>
          <w:tcPr>
            <w:tcW w:w="0" w:type="dxa"/>
            <w:vAlign w:val="bottom"/>
          </w:tcPr>
          <w:p>
            <w:pPr>
              <w:spacing w:after="0"/>
              <w:rPr>
                <w:sz w:val="1"/>
                <w:szCs w:val="1"/>
                <w:color w:val="auto"/>
              </w:rPr>
            </w:pPr>
          </w:p>
        </w:tc>
      </w:tr>
      <w:tr>
        <w:trPr>
          <w:trHeight w:val="230"/>
        </w:trPr>
        <w:tc>
          <w:tcPr>
            <w:tcW w:w="5260" w:type="dxa"/>
            <w:vAlign w:val="bottom"/>
          </w:tcPr>
          <w:p>
            <w:pPr>
              <w:ind w:left="100"/>
              <w:spacing w:after="0"/>
              <w:rPr>
                <w:sz w:val="20"/>
                <w:szCs w:val="20"/>
                <w:color w:val="auto"/>
              </w:rPr>
            </w:pPr>
            <w:r>
              <w:rPr>
                <w:rFonts w:ascii="Arial" w:cs="Arial" w:eastAsia="Arial" w:hAnsi="Arial"/>
                <w:sz w:val="18"/>
                <w:szCs w:val="18"/>
                <w:color w:val="auto"/>
              </w:rPr>
              <w:t>Financing leases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14.73 %</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66"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0"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30" w:lineRule="exact"/>
        <w:rPr>
          <w:sz w:val="20"/>
          <w:szCs w:val="20"/>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84"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that were accounted for at fair value on a recurring basis at June 30, 2019 and December 31, 2018 according to the valuation techniques the Company uses to determine their fair values. There have been no transfers of assets among the fair value hierarchies presented.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320" w:type="dxa"/>
            <w:vAlign w:val="bottom"/>
          </w:tcPr>
          <w:p>
            <w:pPr>
              <w:spacing w:after="0"/>
              <w:rPr>
                <w:sz w:val="19"/>
                <w:szCs w:val="19"/>
                <w:color w:val="auto"/>
              </w:rPr>
            </w:pPr>
          </w:p>
        </w:tc>
        <w:tc>
          <w:tcPr>
            <w:tcW w:w="2160" w:type="dxa"/>
            <w:vAlign w:val="bottom"/>
            <w:gridSpan w:val="2"/>
          </w:tcPr>
          <w:p>
            <w:pPr>
              <w:jc w:val="right"/>
              <w:ind w:right="230"/>
              <w:spacing w:after="0"/>
              <w:rPr>
                <w:sz w:val="20"/>
                <w:szCs w:val="20"/>
                <w:color w:val="auto"/>
              </w:rPr>
            </w:pPr>
            <w:r>
              <w:rPr>
                <w:rFonts w:ascii="Arial" w:cs="Arial" w:eastAsia="Arial" w:hAnsi="Arial"/>
                <w:sz w:val="18"/>
                <w:szCs w:val="18"/>
                <w:color w:val="auto"/>
              </w:rPr>
              <w:t>Fair Value at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June 30, 2019</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December 31, 2018</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4,403</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3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70" w:lineRule="exact"/>
        <w:rPr>
          <w:sz w:val="20"/>
          <w:szCs w:val="20"/>
          <w:color w:val="auto"/>
        </w:rPr>
      </w:pPr>
    </w:p>
    <w:p>
      <w:pPr>
        <w:ind w:left="960" w:right="100" w:hanging="315"/>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The carrying amount approximates fair value.</w:t>
      </w:r>
    </w:p>
    <w:p>
      <w:pPr>
        <w:spacing w:after="0" w:line="170" w:lineRule="exact"/>
        <w:rPr>
          <w:rFonts w:ascii="Arial" w:cs="Arial" w:eastAsia="Arial" w:hAnsi="Arial"/>
          <w:sz w:val="18"/>
          <w:szCs w:val="18"/>
          <w:color w:val="auto"/>
        </w:rPr>
      </w:pPr>
    </w:p>
    <w:p>
      <w:pPr>
        <w:jc w:val="both"/>
        <w:ind w:left="960" w:right="340" w:hanging="315"/>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use for current operations. The value was measured using quoted market prices in active markets. The carrying amount approximates fair value.</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The Company measured the fair value of these assets based on projected cash flows and an estimated risk-adjusted rate of return. Projected cash flows are considered Level 3 inputs. During the three and six months ended June 30, 2018, the Company identified property, plant and equipment that would be disposed of prior to the end of their useful lives, which resulted in the recognition of a $0.3 million charge to write-down these assets to their estimated fair value. The Company did not recognize any significant impairment losses during the three and six months ended June 30, 2019.</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measures and recognizes compensation expense for all stock based awards at fair value. The financial statements for the three and six months ended June 30, 2019 and 2018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$0.3 million and $0.2 million for the three months ended June 30, 2019 and 2018, respectively. Total stock based compensation expense related to stock options was $0.5 million for both the six months ended June 30, 2019 and 2018. Stock based compensation expense pertaining to stock options is included in selling, general and administrative expenses in the accompanying Consolidated Statements of Income.</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June 30, 2019, the Company had outstanding stock options to purchase 1,538,369 shares of common stock at a weighted average exercise price of $11.19.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condition. Total stock based compensation expense related to restricted stock was $0.5 million and $0.4 million for the three months ended June 30, 2019 and 2018, respectively. Total stock based compensation expense related to restricted stock was $1.0 million and $0.7 million for the three months ended June 30, 2019 and 2018, respectively. Stock based compensation expense pertaining to restricted stock awards is included in selling, general and administrative expenses in the accompanying Consolidated Statements of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Company had 918,292 outstanding restricted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 Tax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 Tax Credit</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December 2016, the Company entered into a financing transaction with U.S. Bank Community, LLC (“U.S. Bank”) related to a $9.2 million expansion of the Company’s facility in Durant, Oklahoma. In this transaction, which was conducted under a qualified New Markets Tax Credit (“NMTC”) program, Tile Shop Lending, Inc. (“Tile Shop Lending”) loaned $6.7 million to Twain Investment Fund 192 LLC (the “Investment Fund”) at an interest rate of 1.37% per year and with a maturity date of December 31, 2046. The Investment Fund then contributed the loan to a community development entity (a “CDE”), which, in turn, loaned the funds on similar terms to Tile Shop of Oklahoma, LLC, an indirect, wholly-owned subsidiary of Holdings. In December 2016, U.S. Bank also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6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 Company has determined that the financing arrangement with the Investment Fund and the CDE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$3.2 million, net of syndication fees, were included in cash, restricted cash, other accrued liabilities and other long-term liabilities in the consolidated balance sheet. The Company incurred $1.3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June 30, 2019, the balance of the contribution liability was $2.1 million, of which $0.5 million was classified as other accrued liabilities on the Consolidated Balance Sheet and $1.6 million was classified as other long-term liabilities on the Consolidated Balance Sheet.</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its distribution center in Durant, Oklahoma from the Investment Fund. Expenditures that qualify for reimbursement include building costs, equipment purchases, and other expenditures tied to the expansion of the facility. As of June 30, 2019, the balance in the Investment Fund available for reimbursement to the Company was $0.8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 Tax Credit</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US. Bank, the “investors”) related to the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1" w:right="9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determined that this financing arrangement contains a VIE. The ongoing activities of the Tile Shop Investment Fund LLC</w:t>
      </w:r>
    </w:p>
    <w:p>
      <w:pPr>
        <w:spacing w:after="0" w:line="35"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Tile Shop Investment Fund LLC.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June 30, 2019, the balance of the contribution liability was $0.7 million, of which $0.6 million was classified as other accrued liabilities on the Consolidated Balance Sheet and $0.1 million was classified as other long-term liabilities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July 9, 2018, Fumitake Nishi, the brother-in-law of the Company’s director Robert Rucker and a former Company employee, informed the Company he had reacquired a majority of the equity of one of its key vendors, Nanyang Helin Stone Co. Ltd (“Nanyang”). Nanyang supplies the Company with natural stone products including hand-crafted mosaics, listellos and other accessories. During the twelve months ended December 31, 2018, the Company purchased $12.0 million of products from Nanyang. During the three and six months ended June 30, 2019, the Company purchased $0.9 million and $2.1 million of products from Nanyang, respectively.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6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Audit Committee have and will continue to review future purchases from Nanyang and compare the pricing for products purchased from Nanyang to the pricing of same or similar products purchased from unrelated vendors.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 Repurchase</w:t>
      </w:r>
    </w:p>
    <w:p>
      <w:pPr>
        <w:spacing w:after="0" w:line="22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April 29, 2019, the Board of Directors of the Company authorized a share repurchase program (the “Program”), pursuant to which the Company may, from time to time, purchase shares of its common stock for an aggregate repurchase price not to exceed $15,000,000. The Program began on May 2, 2019 and will continue indefinitely until the full repurchase amount has been utilized or the Board of Directors terminates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Three and Six Months</w:t>
            </w:r>
          </w:p>
        </w:tc>
        <w:tc>
          <w:tcPr>
            <w:tcW w:w="20" w:type="dxa"/>
            <w:vAlign w:val="bottom"/>
          </w:tcPr>
          <w:p>
            <w:pPr>
              <w:spacing w:after="0"/>
              <w:rPr>
                <w:sz w:val="18"/>
                <w:szCs w:val="18"/>
                <w:color w:val="auto"/>
              </w:rPr>
            </w:pPr>
          </w:p>
        </w:tc>
      </w:tr>
      <w:tr>
        <w:trPr>
          <w:trHeight w:val="230"/>
        </w:trPr>
        <w:tc>
          <w:tcPr>
            <w:tcW w:w="39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9"/>
                <w:szCs w:val="19"/>
                <w:color w:val="auto"/>
              </w:rPr>
            </w:pPr>
          </w:p>
        </w:tc>
      </w:tr>
      <w:tr>
        <w:trPr>
          <w:trHeight w:val="230"/>
        </w:trPr>
        <w:tc>
          <w:tcPr>
            <w:tcW w:w="394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30, 2019</w:t>
            </w:r>
          </w:p>
        </w:tc>
        <w:tc>
          <w:tcPr>
            <w:tcW w:w="2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w:t>
            </w:r>
          </w:p>
        </w:tc>
        <w:tc>
          <w:tcPr>
            <w:tcW w:w="3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2,307,023</w:t>
            </w:r>
          </w:p>
        </w:tc>
        <w:tc>
          <w:tcPr>
            <w:tcW w:w="2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Aggregate purchase price (in thousands)</w:t>
            </w:r>
          </w:p>
        </w:tc>
        <w:tc>
          <w:tcPr>
            <w:tcW w:w="4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10,455</w:t>
            </w:r>
          </w:p>
        </w:tc>
        <w:tc>
          <w:tcPr>
            <w:tcW w:w="20" w:type="dxa"/>
            <w:vAlign w:val="bottom"/>
          </w:tcPr>
          <w:p>
            <w:pPr>
              <w:spacing w:after="0"/>
              <w:rPr>
                <w:sz w:val="20"/>
                <w:szCs w:val="20"/>
                <w:color w:val="auto"/>
              </w:rPr>
            </w:pPr>
          </w:p>
        </w:tc>
      </w:tr>
      <w:tr>
        <w:trPr>
          <w:trHeight w:val="891"/>
        </w:trPr>
        <w:tc>
          <w:tcPr>
            <w:tcW w:w="3940" w:type="dxa"/>
            <w:vAlign w:val="bottom"/>
          </w:tcPr>
          <w:p>
            <w:pPr>
              <w:spacing w:after="0"/>
              <w:rPr>
                <w:sz w:val="24"/>
                <w:szCs w:val="24"/>
                <w:color w:val="auto"/>
              </w:rPr>
            </w:pPr>
          </w:p>
        </w:tc>
        <w:tc>
          <w:tcPr>
            <w:tcW w:w="3840" w:type="dxa"/>
            <w:vAlign w:val="bottom"/>
          </w:tcPr>
          <w:p>
            <w:pPr>
              <w:jc w:val="right"/>
              <w:ind w:right="255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9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394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23, 2019, the Company declared a $0.05 dividend to stockholders of record as of the close of business on July 29, 2019. The dividend will be paid on August 9, 2019.</w:t>
      </w:r>
    </w:p>
    <w:p>
      <w:pPr>
        <w:spacing w:after="0" w:line="3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60"/>
          </w:cols>
          <w:pgMar w:left="900" w:top="121" w:right="1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2018 and our consolidated financial statements and related notes appearing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relate to, among other things, our anticipated new store openings, remodeling plans, and growth opportunities; our business strengths, marketing strategies, competitive advantages and role in our industry and markets; our expectations regarding financing arrangements; our expectations with respect to dividend payments; our expectations with respect to ongoing compliance with the terms of our credit facility; and our expectations with respect to remediation of our identified material weaknesses.</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include, but are not limited to, the level of demand for our products and our ability to introduce new products that satisfy market demand; our ability to grow and remain profitable in the highly competitive retail tile industry, our ability to access additional capital; our ability to attract and retain qualified personnel; unexpected delays or expenses related to opening new stores and maintaining or renovating existing stores; changes to economic or market conditions and customer preferences; disruptions in our supply chain or inventory management; unanticipated issues with respect to remediation of our identified material weaknesses; and those factors set forth in the section captioned “Risk Factors” in our Annual Report on Form 10-K for the year ended December 31, 2018 and the additional Risk Factors set forth in Part II, Item 1A of this Quarterly Report on Form 10-Q.</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June 30, 2019, we operated 140 stores in 31 states and the District of Columbia, with an average size of approximately 20,200 square feet.</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the highly-fragmented United States retail tile market provides us with a significant opportunity to expand our store base. We opened one new store and closed one store at the end of its lease in the first six months of 2019, and opened two new stores during 2018. Between July 1, 2018 and June 30, 2019, we opened one new store and closed one store. We plan to open an additional four stores in 2019, of which one is a relocation.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three months ended June 30, 2019 and 2018, we reported net sales of $88.9 million and $92.9 million, respectively. The decrease in sales for the three months ended June 30, 2019 compared to the three months ended June 30, 2018 was primarily due to a</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20"/>
          </w:cols>
          <w:pgMar w:left="900" w:top="121" w:right="9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decline in comparable stores sales of 4.2%, or $3.8 million. In addition, net sales generated by stores not included in the comparable store base decreased by $0.2 million.</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six months ended June 30, 2019 and 2018, we reported net sales of $175.8 million and $184.0 million, respectively. The decrease in sales for the six months ended June 30, 2019 compared to the six months ended June 30, 2018 was primarily due to a decline in comparable store sales of 4.2%, or $7.6 million. In addition, net sales generated by stores not included in the comparable store base decreased by $0.6 million.</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decrease in sales at comparable stores for the three and six months ended June 30, 2019 was due to weaker store traffic and customer experience issues following the implementation of a new enterprise resource planning system and the launch of our new website.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about our comparable store sales decline for the three and six months ended June 30, 2019 and 2018.</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21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For the three months ended</w:t>
            </w:r>
          </w:p>
        </w:tc>
        <w:tc>
          <w:tcPr>
            <w:tcW w:w="1960" w:type="dxa"/>
            <w:vAlign w:val="bottom"/>
            <w:gridSpan w:val="4"/>
          </w:tcPr>
          <w:p>
            <w:pPr>
              <w:jc w:val="center"/>
              <w:spacing w:after="0"/>
              <w:rPr>
                <w:sz w:val="20"/>
                <w:szCs w:val="20"/>
                <w:color w:val="auto"/>
              </w:rPr>
            </w:pPr>
            <w:r>
              <w:rPr>
                <w:rFonts w:ascii="Arial" w:cs="Arial" w:eastAsia="Arial" w:hAnsi="Arial"/>
                <w:sz w:val="18"/>
                <w:szCs w:val="18"/>
                <w:color w:val="auto"/>
                <w:w w:val="89"/>
              </w:rPr>
              <w:t>For the six months ended</w:t>
            </w:r>
          </w:p>
        </w:tc>
      </w:tr>
      <w:tr>
        <w:trPr>
          <w:trHeight w:val="230"/>
        </w:trPr>
        <w:tc>
          <w:tcPr>
            <w:tcW w:w="6020" w:type="dxa"/>
            <w:vAlign w:val="bottom"/>
          </w:tcPr>
          <w:p>
            <w:pPr>
              <w:spacing w:after="0"/>
              <w:rPr>
                <w:sz w:val="20"/>
                <w:szCs w:val="20"/>
                <w:color w:val="auto"/>
              </w:rPr>
            </w:pPr>
          </w:p>
        </w:tc>
        <w:tc>
          <w:tcPr>
            <w:tcW w:w="134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660" w:type="dxa"/>
            <w:vAlign w:val="bottom"/>
            <w:tcBorders>
              <w:bottom w:val="single" w:sz="8" w:color="auto"/>
            </w:tcBorders>
          </w:tcPr>
          <w:p>
            <w:pPr>
              <w:spacing w:after="0"/>
              <w:rPr>
                <w:sz w:val="20"/>
                <w:szCs w:val="20"/>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2018</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decline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June 30, 2019 and 2018, we reported gross profit of $61.4 million and $65.3 million, respectively. The gross margin rate was 69.0% and 70.3% for the three months ended June 30, 2019 and 2018, respectively. For the six months ended June 30, 2019 and 2018, we reported gross profit of $123.2 million and $129.4 million, respectively. The gross margin rate was 70.1% and 70.3% for the six months ended June 30, 2019 and 2018, respectively. The decrease in gross margin rate was primarily driven by increased shrink expense and damaged inventory recognized upon completion of physical inventory counts at all stores and distribution centers during the three months ended June 30, 2019.</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June 30, 2019 and 2018, we reported income from operations of $0.8 million and $7.4 million, respectively. For the six months ended June 30, 2019 and 2018, we reported income from operations of $3.7 million and $13.6 million, respectively. The decrease in income from operations was primarily driven by a decrease in net sales and increased selling, general and administrative expenses.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provided by operating activities was $22.0 million and $19.3 million for the six months ended June 30, 2019 and 2018, respectively, which was used to fund operations, new store construction activities, store remodels, merchandising, information technology investment and dividends. Share repurchases were funded by increased debt during the quarter. We expect to continue to fund our capital expenditures and daily operations from our operating cash flows.</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repurchased 2.3 million shares for $10.5 million during the three months ended June 30, 2019. Our Board of Directors had previously authorized a $15.0 million share repurchase, to commence on May 2, 2019, and $4.5 million remains available under this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Income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represents total charges to customers, net of returns, and includes freight charged to customers. We recognize sales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8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Comparable store sales growth is a percentage change in sales of comparable stores period-over-period. A store is considered comparable on the first day of the 13th full month of operation. When a store is relocated, it is excluded from the comparable stores sales growth calculation. Comparable store sales growth amounts include total charges to customers less any actual returns. We include the change in allowance for anticipated sales returns applicable to comparable stores in the comparable store sales calculation.</w:t>
      </w:r>
    </w:p>
    <w:p>
      <w:pPr>
        <w:spacing w:after="0" w:line="15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 Cost of sales consists primarily of material costs, freight, customs and duties fees, and storage and delivery of product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customers, as well as physical inventory losses and costs associated with manufacturing of setting and maintenance materials.</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consists primarily of compensation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utilities, maintenance costs, advertising costs, shipping and transportation expenses to move inventory from our distribution centers to our stores, depreciation and amortization.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compensation costs and promotional costs. We expense pre-opening costs as incurred and include these costs in selling, general, and administrative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We are subject to income tax in the United States as well as other tax jurisdictions in which we conduct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that this non-GAAP financial measure provides useful information to management and investors regarding certain financial and business trends relating to our financial condition and results of operations. Our management uses this non-GAAP financial measure to compare our performance to that of prior periods for trend analyses, for purposes of determining management incentive compensation, and for budgeting and planning purposes. This non-GAAP financial measure is used in monthly financial reports prepared for management and our Board of Directors. We believe that the use of this non-GAAP financial measure provides an additional tool for investors to use in evaluating ongoing operating results and trends and in comparing our financial performance with other specialty retailers, many of which present a similar non-GAAP financial measure to investors.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and six months ended June 30, 2019 and 2018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8"/>
          </w:tcPr>
          <w:p>
            <w:pPr>
              <w:ind w:left="76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8"/>
          </w:tcPr>
          <w:p>
            <w:pPr>
              <w:jc w:val="center"/>
              <w:ind w:left="90"/>
              <w:spacing w:after="0"/>
              <w:rPr>
                <w:sz w:val="20"/>
                <w:szCs w:val="20"/>
                <w:color w:val="auto"/>
              </w:rPr>
            </w:pPr>
            <w:r>
              <w:rPr>
                <w:rFonts w:ascii="Arial" w:cs="Arial" w:eastAsia="Arial" w:hAnsi="Arial"/>
                <w:sz w:val="18"/>
                <w:szCs w:val="18"/>
                <w:color w:val="auto"/>
                <w:w w:val="90"/>
              </w:rPr>
              <w:t>Three Months Ended</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6"/>
              </w:rPr>
              <w:t>June 30,</w:t>
            </w: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 of sales</w:t>
            </w:r>
            <w:r>
              <w:rPr>
                <w:rFonts w:ascii="Arial" w:cs="Arial" w:eastAsia="Arial" w:hAnsi="Arial"/>
                <w:sz w:val="8"/>
                <w:szCs w:val="8"/>
                <w:color w:val="auto"/>
                <w:w w:val="99"/>
              </w:rPr>
              <w:t>(1)</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2018</w:t>
            </w:r>
          </w:p>
        </w:tc>
        <w:tc>
          <w:tcPr>
            <w:tcW w:w="1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5.3 %</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r>
      <w:tr>
        <w:trPr>
          <w:trHeight w:val="499"/>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8"/>
          </w:tcPr>
          <w:p>
            <w:pPr>
              <w:ind w:left="76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0"/>
        </w:trPr>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8"/>
          </w:tcPr>
          <w:p>
            <w:pPr>
              <w:jc w:val="center"/>
              <w:ind w:left="110"/>
              <w:spacing w:after="0"/>
              <w:rPr>
                <w:sz w:val="20"/>
                <w:szCs w:val="20"/>
                <w:color w:val="auto"/>
              </w:rPr>
            </w:pPr>
            <w:r>
              <w:rPr>
                <w:rFonts w:ascii="Arial" w:cs="Arial" w:eastAsia="Arial" w:hAnsi="Arial"/>
                <w:sz w:val="18"/>
                <w:szCs w:val="18"/>
                <w:color w:val="auto"/>
                <w:w w:val="91"/>
              </w:rPr>
              <w:t>Six Months Ended</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6"/>
              </w:rPr>
              <w:t>June 30,</w:t>
            </w: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 of sales</w:t>
            </w:r>
            <w:r>
              <w:rPr>
                <w:rFonts w:ascii="Arial" w:cs="Arial" w:eastAsia="Arial" w:hAnsi="Arial"/>
                <w:sz w:val="8"/>
                <w:szCs w:val="8"/>
                <w:color w:val="auto"/>
                <w:w w:val="99"/>
              </w:rPr>
              <w:t>(1)</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2018</w:t>
            </w:r>
          </w:p>
        </w:tc>
        <w:tc>
          <w:tcPr>
            <w:tcW w:w="1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 of sales</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4.9 %</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16,200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13,978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9"/>
                <w:szCs w:val="19"/>
                <w:color w:val="auto"/>
              </w:rPr>
            </w:pP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jc w:val="right"/>
              <w:ind w:right="25"/>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rPr>
              <w:t>21,418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0" w:type="dxa"/>
            <w:vAlign w:val="bottom"/>
            <w:gridSpan w:val="3"/>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rPr>
              <w:t>28,818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-8255</wp:posOffset>
            </wp:positionV>
            <wp:extent cx="6089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965" cy="1714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-8255</wp:posOffset>
            </wp:positionV>
            <wp:extent cx="4889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950" cy="17145"/>
                    </a:xfrm>
                    <a:prstGeom prst="rect">
                      <a:avLst/>
                    </a:prstGeom>
                    <a:noFill/>
                  </pic:spPr>
                </pic:pic>
              </a:graphicData>
            </a:graphic>
          </wp:anchor>
        </w:drawing>
      </w:r>
    </w:p>
    <w:p>
      <w:pPr>
        <w:ind w:left="160" w:hanging="141"/>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8"/>
          <w:szCs w:val="18"/>
          <w:color w:val="auto"/>
        </w:rPr>
        <w:t>Amounts do not foot due to rounding.</w:t>
      </w:r>
    </w:p>
    <w:p>
      <w:pPr>
        <w:spacing w:after="0" w:line="2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calculate pretax return on capital employed by taking income from operations divided by capital employed. Capital employed equals total assets less accounts payable, income taxes payable, other accrued liabilities, lease liability, deferred rent and other long-term liabilities. We believe this non-GAAP financial measure is useful in assessing the effectiveness of our capital allocation over time. Other companies may calculate pretax return on capital employed differently, which limits the usefulness of the measure for comparative purposes.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tbl>
      <w:tblPr>
        <w:tblLayout w:type="fixed"/>
        <w:tblInd w:w="4"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00" w:type="dxa"/>
            <w:vAlign w:val="bottom"/>
            <w:gridSpan w:val="3"/>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200" w:type="dxa"/>
            <w:vAlign w:val="bottom"/>
            <w:gridSpan w:val="3"/>
          </w:tcPr>
          <w:p>
            <w:pPr>
              <w:spacing w:after="0"/>
              <w:rPr>
                <w:sz w:val="20"/>
                <w:szCs w:val="20"/>
                <w:color w:val="auto"/>
              </w:rPr>
            </w:pPr>
            <w:r>
              <w:rPr>
                <w:rFonts w:ascii="Arial" w:cs="Arial" w:eastAsia="Arial" w:hAnsi="Arial"/>
                <w:sz w:val="18"/>
                <w:szCs w:val="18"/>
                <w:color w:val="auto"/>
              </w:rPr>
              <w:t>($ in thousands)</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58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r>
              <w:rPr>
                <w:rFonts w:ascii="Arial" w:cs="Arial" w:eastAsia="Arial" w:hAnsi="Arial"/>
                <w:sz w:val="8"/>
                <w:szCs w:val="8"/>
                <w:color w:val="auto"/>
              </w:rPr>
              <w:t>(1)</w:t>
            </w: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r>
              <w:rPr>
                <w:rFonts w:ascii="Arial" w:cs="Arial" w:eastAsia="Arial" w:hAnsi="Arial"/>
                <w:sz w:val="8"/>
                <w:szCs w:val="8"/>
                <w:color w:val="auto"/>
              </w:rPr>
              <w:t>(1)</w:t>
            </w:r>
          </w:p>
        </w:tc>
        <w:tc>
          <w:tcPr>
            <w:tcW w:w="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(trailing twelve months)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360,696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274,258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80"/>
              <w:spacing w:after="0"/>
              <w:rPr>
                <w:sz w:val="20"/>
                <w:szCs w:val="20"/>
                <w:color w:val="auto"/>
              </w:rPr>
            </w:pPr>
            <w:r>
              <w:rPr>
                <w:rFonts w:ascii="Arial" w:cs="Arial" w:eastAsia="Arial" w:hAnsi="Arial"/>
                <w:sz w:val="18"/>
                <w:szCs w:val="18"/>
                <w:color w:val="auto"/>
              </w:rPr>
              <w:t>Less: Accounts payable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(26,747)</w:t>
            </w:r>
          </w:p>
        </w:tc>
        <w:tc>
          <w:tcPr>
            <w:tcW w:w="2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(29,685)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Less: Income tax payable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80"/>
              <w:spacing w:after="0"/>
              <w:rPr>
                <w:sz w:val="20"/>
                <w:szCs w:val="20"/>
                <w:color w:val="auto"/>
              </w:rPr>
            </w:pPr>
            <w:r>
              <w:rPr>
                <w:rFonts w:ascii="Arial" w:cs="Arial" w:eastAsia="Arial" w:hAnsi="Arial"/>
                <w:sz w:val="18"/>
                <w:szCs w:val="18"/>
                <w:color w:val="auto"/>
              </w:rPr>
              <w:t>Less: Other accrued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(26,599)</w:t>
            </w:r>
          </w:p>
        </w:tc>
        <w:tc>
          <w:tcPr>
            <w:tcW w:w="2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(25,796)</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Less: Lease liability</w:t>
            </w:r>
            <w:r>
              <w:rPr>
                <w:rFonts w:ascii="Arial" w:cs="Arial" w:eastAsia="Arial" w:hAnsi="Arial"/>
                <w:sz w:val="8"/>
                <w:szCs w:val="8"/>
                <w:color w:val="auto"/>
              </w:rPr>
              <w:t>(2)</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(90,722)</w:t>
            </w:r>
          </w:p>
        </w:tc>
        <w:tc>
          <w:tcPr>
            <w:tcW w:w="2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80"/>
              <w:spacing w:after="0"/>
              <w:rPr>
                <w:sz w:val="20"/>
                <w:szCs w:val="20"/>
                <w:color w:val="auto"/>
              </w:rPr>
            </w:pPr>
            <w:r>
              <w:rPr>
                <w:rFonts w:ascii="Arial" w:cs="Arial" w:eastAsia="Arial" w:hAnsi="Arial"/>
                <w:sz w:val="18"/>
                <w:szCs w:val="18"/>
                <w:color w:val="auto"/>
              </w:rPr>
              <w:t>Less: Other long-term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(3,781)</w:t>
            </w:r>
          </w:p>
        </w:tc>
        <w:tc>
          <w:tcPr>
            <w:tcW w:w="2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Employed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Return on Capital Employed</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3.9 %</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20" w:hanging="4"/>
        <w:spacing w:after="0" w:line="274" w:lineRule="auto"/>
        <w:tabs>
          <w:tab w:leader="none" w:pos="157" w:val="left"/>
        </w:tabs>
        <w:numPr>
          <w:ilvl w:val="0"/>
          <w:numId w:val="9"/>
        </w:numPr>
        <w:rPr>
          <w:rFonts w:ascii="Arial" w:cs="Arial" w:eastAsia="Arial" w:hAnsi="Arial"/>
          <w:sz w:val="9"/>
          <w:szCs w:val="9"/>
          <w:color w:val="auto"/>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ind w:left="144" w:hanging="144"/>
        <w:spacing w:after="0"/>
        <w:tabs>
          <w:tab w:leader="none" w:pos="144" w:val="left"/>
        </w:tabs>
        <w:numPr>
          <w:ilvl w:val="0"/>
          <w:numId w:val="9"/>
        </w:numPr>
        <w:rPr>
          <w:rFonts w:ascii="Arial" w:cs="Arial" w:eastAsia="Arial" w:hAnsi="Arial"/>
          <w:sz w:val="8"/>
          <w:szCs w:val="8"/>
          <w:color w:val="auto"/>
        </w:rPr>
      </w:pPr>
      <w:r>
        <w:rPr>
          <w:rFonts w:ascii="Arial" w:cs="Arial" w:eastAsia="Arial" w:hAnsi="Arial"/>
          <w:sz w:val="16"/>
          <w:szCs w:val="16"/>
          <w:color w:val="auto"/>
        </w:rPr>
        <w:t>Represents the average lease liability and deferred rent account balances for the four quarters ended as of each of the balance sheet dates.</w:t>
      </w:r>
    </w:p>
    <w:p>
      <w:pPr>
        <w:spacing w:after="0" w:line="234" w:lineRule="exact"/>
        <w:rPr>
          <w:sz w:val="20"/>
          <w:szCs w:val="20"/>
          <w:color w:val="auto"/>
        </w:rPr>
      </w:pPr>
    </w:p>
    <w:p>
      <w:pPr>
        <w:ind w:left="4" w:right="200"/>
        <w:spacing w:after="0" w:line="291" w:lineRule="auto"/>
        <w:rPr>
          <w:sz w:val="20"/>
          <w:szCs w:val="20"/>
          <w:color w:val="auto"/>
        </w:rPr>
      </w:pPr>
      <w:r>
        <w:rPr>
          <w:rFonts w:ascii="Arial" w:cs="Arial" w:eastAsia="Arial" w:hAnsi="Arial"/>
          <w:sz w:val="16"/>
          <w:szCs w:val="16"/>
          <w:color w:val="auto"/>
        </w:rPr>
        <w:t>Our management does not consider these non-GAAP financial measures in isolation or as an alternative to financial measures determined in accordance with GAAP. The principal limitation of these non-GAAP financial measures is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its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200" w:lineRule="exact"/>
        <w:rPr>
          <w:sz w:val="20"/>
          <w:szCs w:val="20"/>
          <w:color w:val="auto"/>
        </w:rPr>
      </w:pP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Comparison of the three months ended June 30, 2019 to the three months ended June 30,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 of sales</w:t>
            </w:r>
          </w:p>
        </w:tc>
        <w:tc>
          <w:tcPr>
            <w:tcW w:w="4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2018</w:t>
            </w:r>
          </w:p>
        </w:tc>
        <w:tc>
          <w:tcPr>
            <w:tcW w:w="16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88,903</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27,543</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27,602</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60,562</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57,870</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(943)</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(1,924)</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(loss)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5.3 %</w:t>
            </w:r>
          </w:p>
        </w:tc>
      </w:tr>
      <w:tr>
        <w:trPr>
          <w:trHeight w:val="216"/>
        </w:trPr>
        <w:tc>
          <w:tcPr>
            <w:tcW w:w="400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do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second quarter of 2019 decreased $4.0 million, or 4.3%, compared with the second quarter of 2018,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$3.8 million decrease in net sales generated by comparable stores. The decrease in sales at comparable stores for the three months ended June 30, 2019 was due to weaker store traffic. In addition, net sales generated by stores not included in the comparable store base decreased $0.2 million.</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second quarter of 2019 decreased $4.0 million, or 6.1%, compared with the second quarter of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a decrease in net sales. The gross margin rate was 69.0% and 70.3% for the three months ended June 30, 2019 and 2018, respectively. The decrease in gross margin rate was primarily driven by increased shrink expense and damaged inventory recognized upon completion of physical inventory counts at all stores and distribution centers during the second quarter of 2019.</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for the second quarter of 2019 increased $2.7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4.7%, compared with the second quarter of 2018. The increase in selling, general, and administrative expenses was due to $1.1 million of investments in store and distribution center compensation, regional sales leadership and pro market managers, which reflect a full-quarter of activity in the second quarter of 2019 as compared to only a partial quarter in the second quarter of 2018. Second quarter selling, general and administrative expenses also included approximately $1.3 million of expense related to our new enterprise resource planning system which went live on January 1, 2019.</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was $0.9 million and $0.6 million for the second quarter of 2019 and 2018, respectively. The increase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due to higher average debt balances and higher interest rates during the second quarter of 2019.</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Income tax provision decreased $1.9 million for the second quarter of 2019 compared with the second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2018 due to a decrease in income before income taxes. Our effective tax rate for the three months ended June 30, 2019 and 2018 was (7.7)% and 28.0%, respectively.</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Comparison of the six months ended June 30, 2019 to the six months ended June 30,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c>
          <w:tcPr>
            <w:tcW w:w="1760" w:type="dxa"/>
            <w:vAlign w:val="bottom"/>
            <w:gridSpan w:val="3"/>
          </w:tcPr>
          <w:p>
            <w:pPr>
              <w:jc w:val="right"/>
              <w:ind w:right="665"/>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2018</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c>
          <w:tcPr>
            <w:tcW w:w="20" w:type="dxa"/>
            <w:vAlign w:val="bottom"/>
          </w:tcPr>
          <w:p>
            <w:pPr>
              <w:spacing w:after="0"/>
              <w:rPr>
                <w:sz w:val="24"/>
                <w:szCs w:val="24"/>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175,811</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184,048</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52,609</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54,698</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29.7 %</w:t>
            </w:r>
          </w:p>
        </w:tc>
        <w:tc>
          <w:tcPr>
            <w:tcW w:w="20" w:type="dxa"/>
            <w:vAlign w:val="bottom"/>
          </w:tcPr>
          <w:p>
            <w:pPr>
              <w:spacing w:after="0"/>
              <w:rPr>
                <w:sz w:val="19"/>
                <w:szCs w:val="19"/>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70.3 %</w:t>
            </w:r>
          </w:p>
        </w:tc>
        <w:tc>
          <w:tcPr>
            <w:tcW w:w="20" w:type="dxa"/>
            <w:vAlign w:val="bottom"/>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119,510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115,797</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62.9 %</w:t>
            </w:r>
          </w:p>
        </w:tc>
        <w:tc>
          <w:tcPr>
            <w:tcW w:w="20" w:type="dxa"/>
            <w:vAlign w:val="bottom"/>
          </w:tcPr>
          <w:p>
            <w:pPr>
              <w:spacing w:after="0"/>
              <w:rPr>
                <w:sz w:val="19"/>
                <w:szCs w:val="19"/>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7.4 %</w:t>
            </w:r>
          </w:p>
        </w:tc>
        <w:tc>
          <w:tcPr>
            <w:tcW w:w="2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(1,921)</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(1,151)</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9"/>
                <w:szCs w:val="19"/>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1,788</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12,474</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6.8 %</w:t>
            </w:r>
          </w:p>
        </w:tc>
        <w:tc>
          <w:tcPr>
            <w:tcW w:w="20" w:type="dxa"/>
            <w:vAlign w:val="bottom"/>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(3,505)</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0.7 %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4.9 %</w:t>
            </w:r>
          </w:p>
        </w:tc>
        <w:tc>
          <w:tcPr>
            <w:tcW w:w="20" w:type="dxa"/>
            <w:vAlign w:val="bottom"/>
          </w:tcPr>
          <w:p>
            <w:pPr>
              <w:spacing w:after="0"/>
              <w:rPr>
                <w:sz w:val="18"/>
                <w:szCs w:val="18"/>
                <w:color w:val="auto"/>
              </w:rPr>
            </w:pPr>
          </w:p>
        </w:tc>
      </w:tr>
      <w:tr>
        <w:trPr>
          <w:trHeight w:val="86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850"/>
              <w:spacing w:after="0"/>
              <w:rPr>
                <w:sz w:val="20"/>
                <w:szCs w:val="20"/>
                <w:color w:val="auto"/>
              </w:rPr>
            </w:pPr>
            <w:r>
              <w:rPr>
                <w:rFonts w:ascii="Arial" w:cs="Arial" w:eastAsia="Arial" w:hAnsi="Arial"/>
                <w:sz w:val="18"/>
                <w:szCs w:val="18"/>
                <w:color w:val="auto"/>
                <w:w w:val="89"/>
              </w:rPr>
              <w:t>23</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0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0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six months ended June 30, 2019 decreased $8.2 million, or 4.5%, compared with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primarily due to a $7.6 million decrease in net sales generated by comparable stores. The decrease in sales at comparable stores for the six months ended June 30, 2019 was due to weaker store traffic. In addition, net sales generated by stores not included in the comparable store base decreased $0.6 million.</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six months ended June 30, 2019 decreased $6.1 million, or 4.8%, compared with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2018. The gross margin rate was 70.1% and 70.3% for the six months ended June 30, 2019 and 2018, respectively. The decrease in gross margin rate was primarily driven by increased shrink expense and damaged inventory recognized upon completion of physical inventory counts at all stores and distribution centers during the second quarter of 2019.</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six months ended June 30,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$3.7 million, or 3.2%, compared with the six months ended June 30, 2018. The increase in selling, general, and administrative expenses was due to $2.1 million of investments in store and distribution center compensation, regional sales leadership and pro market managers, which reflect a full six months of activity in 2019 as compared to only a portion of the first six months of 2018. The increases in expenses were partially offset by a $0.8 million decrease in transportation expenses, a $0.5 million decrease in travel expenses, and a $0.3 million decrease in advertising expenses. Selling, general, and administrative expenses also included approximately $3.8 million of expense related to our new enterprise resource planning systems which went live of January 1, 2019.</w:t>
      </w:r>
    </w:p>
    <w:p>
      <w:pPr>
        <w:spacing w:after="0" w:line="16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was $1.9 million and $1.2 million for the six months ended June 30, 2019 and 2018, respectively.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was due to higher average debt balances and higher interest rates during the six months ended June 30, 2019.</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Income tax provision decreased $2.9 million for the six months ended June 30, 2019 compared with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2018 due to a decrease in income before income taxes. Our effective tax rate for the six months ended June 30, 2019 and 2018 was 34.8% and 28.1%, respectively. The increase in the effective tax rate was primarily due to stock based compensation tax shortfall charges.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$4.4 million of cash and cash equivalents at June 30, 2019, our cash flow from operations, and borrowings available under our credit facility. We expect to use this liquidity for opening new stores, purchasing additional merchandise inventory, maintaining our existing stores, executing share repurchases, reducing outstanding debt, and general corporate purposes. We intend to continue our regular quarterly dividend, which will enable us to return excess cash to stockholders. Future dividend payments are subject to the approval of our Board of Directors each quarter.</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September 18, 2018, we and our operating subsidiary, The Tile Shop, LLC, entered into a credit agreement with Bank of America, N.A., Fifth Third Bank and Citizens Bank (the “Credit Agreement”). The Credit Agreement provides us with a senior credit facility consisting of a $100.0 million revolving line of credit through September 18, 2023. Borrowings pursuant to the Credit Agreement initially bear interest at a rate of adjusted LIBOR plus 1.75% and may bear interest in a range between adjusted LIBOR plus 1.50% to adjusted LIBOR plus 2.25%, depending on The Tile Shop’s consolidated total rent adjusted leverage ratio. At June 30, 2019, the base interest rate was 6.50% and the LIBOR-based interest rate was 4.40%. Borrowings outstanding consisted of $63.0 million on the revolving line of credit as of June 30, 2019. We also have standby letters of credit outstanding related to our workers compensation and medical insurance policies. As of</w:t>
      </w:r>
    </w:p>
    <w:p>
      <w:pPr>
        <w:spacing w:after="0" w:line="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June 30, 2019 and 2018, the standby letters of credit totaled $1.3 million and $1.1 million, respectively. There was $35.7 million available for borrowing on the revolving line of credit as of June 30, 2019, which may be used to support our growth and for working capital purposes.</w:t>
      </w:r>
    </w:p>
    <w:p>
      <w:pPr>
        <w:spacing w:after="0" w:line="190" w:lineRule="exact"/>
        <w:rPr>
          <w:sz w:val="20"/>
          <w:szCs w:val="20"/>
          <w:color w:val="auto"/>
        </w:rPr>
      </w:pPr>
    </w:p>
    <w:p>
      <w:pPr>
        <w:ind w:right="480"/>
        <w:spacing w:after="0" w:line="297" w:lineRule="auto"/>
        <w:rPr>
          <w:sz w:val="20"/>
          <w:szCs w:val="20"/>
          <w:color w:val="auto"/>
        </w:rPr>
      </w:pPr>
      <w:r>
        <w:rPr>
          <w:rFonts w:ascii="Arial" w:cs="Arial" w:eastAsia="Arial" w:hAnsi="Arial"/>
          <w:sz w:val="16"/>
          <w:szCs w:val="16"/>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June 30, 2019.</w:t>
      </w:r>
    </w:p>
    <w:p>
      <w:pPr>
        <w:spacing w:after="0" w:line="15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twelve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Capital expenditures were $17.8 million and $13.1 million for the six months ended June 30, 2019 and 2018, respectively. The increase in capital expenditures is primarily due to increased investments in store merchandising, store remodels, and information technology.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for the six months ended June 30, 2019 and 2018.</w:t>
      </w:r>
    </w:p>
    <w:p>
      <w:pPr>
        <w:spacing w:after="0" w:line="29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(17,213)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(13,134)</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operating activities during the six months ended June 30, 2019 was $22.0 million compared with $19.3 million during the six months ended June 30, 2018. The increase is attributable to improved working capital management, partially offset by lower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Net cash used in investing activities totaled $17.2 million for the six months ended June 30, 2019 compared with $13.1 million for the six months ended June 30, 2018. Net cash used in investing activities in each period was primarily for capital purchases of store fixtures, equipment, building improvements and leasehold improvements for stores opened or remodeled, asset additions in our distribution and manufacturing facilities, information technology infrastructure, and general corporate information technology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Net cash used in financing activities was $5.9 million for the six months ended June 30, 2019 compared with $2.9 million for the six months ended June 30, 2018. Net cash used in financing activities during the six months ended June 30, 2019 was primarily $33.1 million for the payments of long-term debt and financing lease obligations, $10.5 million for repurchases of common stock, and $5.2 million in dividends paid to stockholders, offset by advances on the revolving line of credit of $43.0 million.</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Cash and cash equivalents totaled $4.4 million at June 30, 2019 compared with $5.6 million at December 31, 2018. Working capital was $52.9 million at June 30, 2019 compared with $79.8 million at December 31, 2018. The decrease in working capital during the second quarter of 2019 was due to the new accounting standard for leases, which added a current portion of lease liability to the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June 30, 2019 and December 31, 2018,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there were no material changes to our contractual obligations outside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February 2016, the Financial Accounting Standards Board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We adopted this standard effective January 1, 2019 using a modified retrospective approach through a cumulative effect adjustment to retained earnings as of the beginning of the period of adoption.</w:t>
      </w:r>
    </w:p>
    <w:p>
      <w:pPr>
        <w:spacing w:after="0" w:line="1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determine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we use the incremental borrowing rate based on the information available at commencement date in determining the present value of future payments. The right of use asset is also adjusted for any lease payments made and excludes lease incentives and initial direct costs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incurred. Our lease terms may include options to extend or terminate the lease typically at our own discretion. We regularly evaluate the renewal options and when they are reasonably certain of exercise, we include the renewal period in its lease term.</w:t>
      </w:r>
    </w:p>
    <w:p>
      <w:pPr>
        <w:spacing w:after="0" w:line="14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This standard provides a number of optional practical expedients in transition. We elected the package of three practical expedients permitted under the transition guidance within this standard, which among other things, allows us to carryforward the historical lease classification. We did not separate non-lease components from lease components by class of underlying assets and we did not apply the recognition requirements of the standard to short-term leases, as allowed by the standard.</w:t>
      </w:r>
    </w:p>
    <w:p>
      <w:pPr>
        <w:spacing w:after="0" w:line="17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also elected to apply the hindsight practical expedient. Our election of the hindsight practical expedient resulted in the shortening of lease terms for certain existing leases and the useful lives of corresponding leasehold improvements. In our application of the hindsight practical expedient, we considered recent investments in leased properties and our overall real estate strategy, which resulted in the determination that most renewal options would not be reasonably certain in determining the expected lease term.</w:t>
      </w:r>
    </w:p>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Upon adopting this standard, we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We also adjusted the useful life assigned to certain leasehold improvements, which resulted in a $15.3 million reduction in fixed assets and retained earnings. The net impact of the cumulative effect adjustments also resulted in a $1.7 million reduction of deferred tax assets and a corresponding adjustment to retained earnings that was recorded during the three months ended June 30, 2019. The adoption of this standard did not have a material impact on net income or cash flows during the three and six months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2016, the FASB issued a final standard on accounting for credit losses. This standard is effective for us in fiscal 2020 and requires a change in credit loss calculations using the expected loss method. We are evaluating the effect of this standard on our consolidated financial statements and related disclosures.</w:t>
      </w:r>
    </w:p>
    <w:p>
      <w:pPr>
        <w:spacing w:after="0" w:line="18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August 2018, the FASB issued a final standard which provides guidance on the accounting for costs of implementation activities performed in a cloud computing arrangement that is a service contract. The standard requires customers of cloud computing services to recognize an intangible asset for the software license and, to the extent that payments attributable to the software license are made over time, a liability is also recognized. The standard also allows customers of cloud computing services to capitalize certain implementation costs. The standard is effective for fiscal years, and interim periods within those fiscal years, beginning after December 15, 2019. The standard will become effective for us at the beginning of its 2020 fiscal year, although early adoption is permitted for all entities. We are evaluating the effect of the standard on our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June 30, 2019 and have concluded that our disclosure controls and procedures were not effective as of June 30, 2019 due to material weaknesses in our internal control over financial reporting as described below.</w:t>
      </w:r>
    </w:p>
    <w:p>
      <w:pPr>
        <w:spacing w:after="0" w:line="16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On January 1, 2019, we implemented a new enterprise resource planning (“ERP”) system on a company-wide basis. As previously disclosed, during the three and six months ended June 30, 2019, we identified two material weaknesses in internal control over financial reporting that arose from the new ERP system implementation. The two material weaknesses are:</w:t>
      </w:r>
    </w:p>
    <w:p>
      <w:pPr>
        <w:spacing w:after="0" w:line="166" w:lineRule="exact"/>
        <w:rPr>
          <w:sz w:val="20"/>
          <w:szCs w:val="20"/>
          <w:color w:val="auto"/>
        </w:rPr>
      </w:pPr>
    </w:p>
    <w:p>
      <w:pPr>
        <w:ind w:left="640" w:right="160" w:hanging="320"/>
        <w:spacing w:after="0" w:line="30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ineffective design and implementation of effective controls with respect to the ERP system conversion. Specifically, we did not exercise sufficient corporate governance and oversight, design effective controls over the ERP implementation</w:t>
      </w: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21" w:right="9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640" w:right="60"/>
        <w:spacing w:after="0" w:line="258" w:lineRule="auto"/>
        <w:rPr>
          <w:sz w:val="20"/>
          <w:szCs w:val="20"/>
          <w:color w:val="auto"/>
        </w:rPr>
      </w:pPr>
      <w:r>
        <w:rPr>
          <w:rFonts w:ascii="Arial" w:cs="Arial" w:eastAsia="Arial" w:hAnsi="Arial"/>
          <w:sz w:val="18"/>
          <w:szCs w:val="18"/>
          <w:color w:val="auto"/>
        </w:rPr>
        <w:t>to ensure appropriate data conversion and data integrity, or provide sufficient end user training to our employees to ensure that our employees could effectively operate the system and carry out their responsibilities.</w:t>
      </w:r>
    </w:p>
    <w:p>
      <w:pPr>
        <w:spacing w:after="0" w:line="1" w:lineRule="exact"/>
        <w:rPr>
          <w:sz w:val="20"/>
          <w:szCs w:val="20"/>
          <w:color w:val="auto"/>
        </w:rPr>
      </w:pPr>
    </w:p>
    <w:p>
      <w:pPr>
        <w:ind w:left="640" w:right="100" w:hanging="320"/>
        <w:spacing w:after="0" w:line="295"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ineffective design and implementation of information technology (“IT”) general controls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w:t>
      </w:r>
    </w:p>
    <w:p>
      <w:pPr>
        <w:spacing w:after="0" w:line="16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Management has been actively engaged in developing remediation plans to address the control deficiencies outlined above. The remediation efforts include the following:</w:t>
      </w:r>
    </w:p>
    <w:p>
      <w:pPr>
        <w:spacing w:after="0" w:line="170" w:lineRule="exact"/>
        <w:rPr>
          <w:sz w:val="20"/>
          <w:szCs w:val="20"/>
          <w:color w:val="auto"/>
        </w:rPr>
      </w:pPr>
    </w:p>
    <w:p>
      <w:pPr>
        <w:ind w:left="640" w:right="240" w:hanging="320"/>
        <w:spacing w:after="0" w:line="25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Governance and Oversight – We have established a plan to help stabilize the ERP system and address the control deficiencies arising from the conversion. We have shared this plan with our Audit Committee and will provide periodic updates with respect to our progress. Additionally, we have hired a senior professional overseeing the effort to design, implement, and ensure the ongoing execution of our IT general controls.</w:t>
      </w:r>
    </w:p>
    <w:p>
      <w:pPr>
        <w:spacing w:after="0" w:line="2" w:lineRule="exact"/>
        <w:rPr>
          <w:rFonts w:ascii="Arial" w:cs="Arial" w:eastAsia="Arial" w:hAnsi="Arial"/>
          <w:sz w:val="18"/>
          <w:szCs w:val="18"/>
          <w:color w:val="auto"/>
        </w:rPr>
      </w:pPr>
    </w:p>
    <w:p>
      <w:pPr>
        <w:ind w:left="640" w:hanging="32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Integrity and Data Conversion – We continue to perform validations on data included in the new ERP system.</w:t>
      </w:r>
    </w:p>
    <w:p>
      <w:pPr>
        <w:spacing w:after="0" w:line="9" w:lineRule="exact"/>
        <w:rPr>
          <w:rFonts w:ascii="Arial" w:cs="Arial" w:eastAsia="Arial" w:hAnsi="Arial"/>
          <w:sz w:val="18"/>
          <w:szCs w:val="18"/>
          <w:color w:val="auto"/>
        </w:rPr>
      </w:pPr>
    </w:p>
    <w:p>
      <w:pPr>
        <w:ind w:left="640" w:right="120" w:hanging="320"/>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 User Training – We are developing and providing additional training to employees to enhance their understanding of the new ERP system.</w:t>
      </w:r>
    </w:p>
    <w:p>
      <w:pPr>
        <w:ind w:left="640" w:right="120" w:hanging="320"/>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User Access – We are addressing segregation of duties by establishing user roles specific to the nature of each job function. We are also establishing controls to ensure appropriate authorization of new user access requests and we will perform routine reviews of user access.</w:t>
      </w:r>
    </w:p>
    <w:p>
      <w:pPr>
        <w:spacing w:after="0" w:line="1" w:lineRule="exact"/>
        <w:rPr>
          <w:rFonts w:ascii="Arial" w:cs="Arial" w:eastAsia="Arial" w:hAnsi="Arial"/>
          <w:sz w:val="18"/>
          <w:szCs w:val="18"/>
          <w:color w:val="auto"/>
        </w:rPr>
      </w:pPr>
    </w:p>
    <w:p>
      <w:pPr>
        <w:ind w:left="640" w:hanging="320"/>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Management – We are restricting the number of users who have the ability to make changes to the ERP system. We are also establishing documentation requirements surrounding the testing, approval and implementation of changes that affect financial applications.</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committed to maintaining a strong internal control environment, and believe that these remediation actions will represent significant improvements in our controls. However, the identified material weaknesses in internal control over financial reporting will not be considered remediated until controls have been designed and/or controls are in operation for a sufficient period of time for our management to conclude that the material weaknesses have been remediated. Additional remediation measures may be required, which may require additional implementation time. We will continue to assess the effectiveness of our remediation efforts in connection with our evaluations of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On January 1, 2019, we implemented an ERP system on a company-wide basis. The implementation resulted in the two material weaknesses identified above. We believe we have developed an appropriate plan to remediate the material weaknesses and the remediation measures identified above have materially affected, or are reasonably likely to materially affect, our internal control over financial reporting (as defined in Rules 13a-15(f) and 15d-15(f) under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from time to time, subject to claims and disputes arising in the normal course of business. In the opinion of management, while the outcome of such claims and disputes cannot be predicted with certainty, our ultimate liability in connection with these matters is not expected to have a material adverse effect on our results of operations, financial position,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2018 other than with respect to the risk factors discussed below.</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Implementation of our new enterprise resource planning system has adversely impacted and could continue to negatively affect our business.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rely extensively on our information technology (“IT”) systems to assist us in managing our business and summarizing our operational results. On January 1, 2019 we deployed a company-wide new enterprise resource planning (“ERP”) system. The new ERP system was implemented to position the Company for long-term growth, further enhance operating efficiencies and provide more effective management of our business operations, including sales order processing, inventory control, purchasing and supply chain management, and financial reporting. Implementing the new ERP system has been costly and has required, and may continue to require, the investment of significant personnel and financial resources. In addition to the risks inherent in the conversion to any new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system, including the loss of information, disruption to our normal operations, and changes in accounting procedures, the implementation of our new ERP system has resulted in operational and reporting disruptions related to the conversion of existing customer orders, processing of new customer orders and maintaining an effective internal control environment.</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Failure to properly or adequately address any issues with our new ERP system could result in increased costs and the diversion of management’s and employees’ attention and resources and could materially adversely affect our operating results, internal control over financial reporting and ability to manage our business effectively. While the ERP system is intended to further improve and enhance our information management systems, the ongoing implementation of this new ERP system exposes us to the risks of integrating that system with our existing systems and processes, including possible continued disruption of our financial reporting.</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identified two material weaknesses in our internal control over financial reporting which, if not remediated, could result in material misstatements of our financial statements.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identified material weaknesses in internal control over financial reporting that pertain to our ERP system conversion that took place on January 1, 2019 involving (1) the ineffective design and implementation of effective controls with respect to the ERP system conversion, and (2) the ineffective design and implementation of IT general controls for information systems that are relevant to the preparation of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Although we have developed and are implementing a plan to remediate these material weaknesses and believe, based on our evaluation to date, that these material weaknesses will be remediated in a timely fashion, we cannot ensure that this will occur within a specific timeframe. These material weaknesses will not be remediated until all necessary internal controls have been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financial statements. Moreover, we cannot ensure that we will not identify additional material weaknesses in our internal control over financial reporting in the future.</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are unable to remediate the material weaknesses, our ability to record, process and report financial information accurately, and to prepare financial statements within the time periods specified by the rules and forms of the Securities and Exchange Commission, could be adversely affected. This failure could negatively affect the market price and trading liquidity of our common stock, cause investors to lose confidence in our reported financial information, subject us to civil and criminal investigations and penalties and materially and adversely impact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21" w:right="999" w:bottom="1440" w:gutter="0" w:footer="0" w:header="0"/>
        </w:sectPr>
      </w:pPr>
    </w:p>
    <w:bookmarkStart w:id="28" w:name="page29"/>
    <w:bookmarkEnd w:id="28"/>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6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Approximate</w:t>
            </w:r>
          </w:p>
        </w:tc>
      </w:tr>
      <w:tr>
        <w:trPr>
          <w:trHeight w:val="216"/>
        </w:trPr>
        <w:tc>
          <w:tcPr>
            <w:tcW w:w="4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Total Number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3"/>
              </w:rPr>
              <w:t>Dollar Value of</w:t>
            </w:r>
          </w:p>
        </w:tc>
      </w:tr>
      <w:tr>
        <w:trPr>
          <w:trHeight w:val="216"/>
        </w:trPr>
        <w:tc>
          <w:tcPr>
            <w:tcW w:w="4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Shares Purchased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Shares that May</w:t>
            </w:r>
          </w:p>
        </w:tc>
      </w:tr>
      <w:tr>
        <w:trPr>
          <w:trHeight w:val="216"/>
        </w:trPr>
        <w:tc>
          <w:tcPr>
            <w:tcW w:w="4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as Part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8"/>
              </w:rPr>
              <w:t>Yet be Purchased</w:t>
            </w:r>
          </w:p>
        </w:tc>
      </w:tr>
      <w:tr>
        <w:trPr>
          <w:trHeight w:val="216"/>
        </w:trPr>
        <w:tc>
          <w:tcPr>
            <w:tcW w:w="4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Publicly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89"/>
              </w:rPr>
              <w:t>Under Plans or</w:t>
            </w:r>
          </w:p>
        </w:tc>
      </w:tr>
      <w:tr>
        <w:trPr>
          <w:trHeight w:val="216"/>
        </w:trPr>
        <w:tc>
          <w:tcPr>
            <w:tcW w:w="428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Total Number of</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0"/>
              </w:rPr>
              <w:t>Average Price</w:t>
            </w:r>
          </w:p>
        </w:tc>
        <w:tc>
          <w:tcPr>
            <w:tcW w:w="22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Announced Plans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Programs</w:t>
            </w:r>
          </w:p>
        </w:tc>
      </w:tr>
      <w:tr>
        <w:trPr>
          <w:trHeight w:val="230"/>
        </w:trPr>
        <w:tc>
          <w:tcPr>
            <w:tcW w:w="42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Shares Purchased</w:t>
            </w:r>
          </w:p>
        </w:tc>
        <w:tc>
          <w:tcPr>
            <w:tcW w:w="2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Paid per Share</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or Program</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(in thousands)</w:t>
            </w:r>
          </w:p>
        </w:tc>
      </w:tr>
      <w:tr>
        <w:trPr>
          <w:trHeight w:val="264"/>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April 1, 2019 - April 30, 2019</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7,067 </w:t>
            </w:r>
            <w:r>
              <w:rPr>
                <w:rFonts w:ascii="Arial" w:cs="Arial" w:eastAsia="Arial" w:hAnsi="Arial"/>
                <w:sz w:val="8"/>
                <w:szCs w:val="8"/>
                <w:color w:val="auto"/>
              </w:rPr>
              <w:t>(1)</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w w:val="72"/>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May 1, 2019 - May 31, 2019</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2,313,173 </w:t>
            </w:r>
            <w:r>
              <w:rPr>
                <w:rFonts w:ascii="Arial" w:cs="Arial" w:eastAsia="Arial" w:hAnsi="Arial"/>
                <w:sz w:val="8"/>
                <w:szCs w:val="8"/>
                <w:color w:val="auto"/>
              </w:rPr>
              <w:t>(2)</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jc w:val="right"/>
              <w:ind w:right="75"/>
              <w:spacing w:after="0"/>
              <w:rPr>
                <w:sz w:val="20"/>
                <w:szCs w:val="20"/>
                <w:color w:val="auto"/>
              </w:rPr>
            </w:pPr>
            <w:r>
              <w:rPr>
                <w:rFonts w:ascii="Arial" w:cs="Arial" w:eastAsia="Arial" w:hAnsi="Arial"/>
                <w:sz w:val="9"/>
                <w:szCs w:val="9"/>
                <w:color w:val="auto"/>
                <w:w w:val="72"/>
              </w:rPr>
              <w:t>(2)</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w w:val="96"/>
              </w:rPr>
              <w:t xml:space="preserve">2,307,023 </w:t>
            </w:r>
            <w:r>
              <w:rPr>
                <w:rFonts w:ascii="Arial" w:cs="Arial" w:eastAsia="Arial" w:hAnsi="Arial"/>
                <w:sz w:val="8"/>
                <w:szCs w:val="8"/>
                <w:color w:val="auto"/>
                <w:w w:val="96"/>
              </w:rPr>
              <w:t>(3)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4,545</w:t>
            </w:r>
          </w:p>
        </w:tc>
      </w:tr>
      <w:tr>
        <w:trPr>
          <w:trHeight w:val="284"/>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June 1, 2019 - June 30,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r>
      <w:tr>
        <w:trPr>
          <w:trHeight w:val="224"/>
        </w:trPr>
        <w:tc>
          <w:tcPr>
            <w:tcW w:w="4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2,320,240</w:t>
            </w:r>
          </w:p>
        </w:tc>
        <w:tc>
          <w:tcPr>
            <w:tcW w:w="240" w:type="dxa"/>
            <w:vAlign w:val="bottom"/>
          </w:tcPr>
          <w:p>
            <w:pPr>
              <w:spacing w:after="0"/>
              <w:rPr>
                <w:sz w:val="19"/>
                <w:szCs w:val="19"/>
                <w:color w:val="auto"/>
              </w:rPr>
            </w:pPr>
          </w:p>
        </w:tc>
        <w:tc>
          <w:tcPr>
            <w:tcW w:w="400" w:type="dxa"/>
            <w:vAlign w:val="bottom"/>
          </w:tcPr>
          <w:p>
            <w:pPr>
              <w:jc w:val="right"/>
              <w:ind w:right="23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9"/>
                <w:szCs w:val="19"/>
                <w:color w:val="auto"/>
              </w:rPr>
            </w:pPr>
          </w:p>
        </w:tc>
        <w:tc>
          <w:tcPr>
            <w:tcW w:w="1320" w:type="dxa"/>
            <w:vAlign w:val="bottom"/>
          </w:tcPr>
          <w:p>
            <w:pPr>
              <w:ind w:left="540"/>
              <w:spacing w:after="0"/>
              <w:rPr>
                <w:sz w:val="20"/>
                <w:szCs w:val="20"/>
                <w:color w:val="auto"/>
              </w:rPr>
            </w:pPr>
            <w:r>
              <w:rPr>
                <w:rFonts w:ascii="Arial" w:cs="Arial" w:eastAsia="Arial" w:hAnsi="Arial"/>
                <w:sz w:val="18"/>
                <w:szCs w:val="18"/>
                <w:color w:val="auto"/>
                <w:w w:val="94"/>
              </w:rPr>
              <w:t>2,307,023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0</wp:posOffset>
            </wp:positionV>
            <wp:extent cx="3704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04590" cy="17145"/>
                    </a:xfrm>
                    <a:prstGeom prst="rect">
                      <a:avLst/>
                    </a:prstGeom>
                    <a:noFill/>
                  </pic:spPr>
                </pic:pic>
              </a:graphicData>
            </a:graphic>
          </wp:anchor>
        </w:drawing>
      </w:r>
    </w:p>
    <w:p>
      <w:pPr>
        <w:jc w:val="both"/>
        <w:ind w:left="324" w:right="240" w:hanging="324"/>
        <w:spacing w:after="0" w:line="256"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shares were withheld by the Company to satisfy tax withholding obligations due upon the vesting of restricted stock grants, as allowed by the 2012 Omnibus Incentive Plan. The Company did not pay cash to repurchase these shares, nor were these repurchases part of a publicly announced plan or program.</w:t>
      </w:r>
    </w:p>
    <w:p>
      <w:pPr>
        <w:ind w:left="324" w:right="180" w:hanging="324"/>
        <w:spacing w:after="0" w:line="265" w:lineRule="auto"/>
        <w:tabs>
          <w:tab w:leader="none" w:pos="3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total of 3,060 shares were withheld by the Company to satisfy tax withholding obligations due upon the vesting of restricted stock grants, as allowed by the 2012 Omnibus Incentive Plan. The Company did not pay cash to repurchase these shares, nor were these repurchases part of a publicly announced plan or program. An additional 3,090 shares were repurchased by the Company pursuant to the terms of the underlying restricted stock agreements, as allowed by the 2012 Omnibus Incentive Plan. The Company paid $0.0001 per share, the par value, to repurchase these shares. These repurchases were not part of a publicly announced plan or program. The remaining 2,307,023 shares were repurchased by the Company pursuant to its previously-announced share repurchase program for an aggregate purchase price of $10.5 million.</w:t>
      </w:r>
    </w:p>
    <w:p>
      <w:pPr>
        <w:spacing w:after="0" w:line="1" w:lineRule="exact"/>
        <w:rPr>
          <w:rFonts w:ascii="Arial" w:cs="Arial" w:eastAsia="Arial" w:hAnsi="Arial"/>
          <w:sz w:val="17"/>
          <w:szCs w:val="17"/>
          <w:color w:val="auto"/>
        </w:rPr>
      </w:pPr>
    </w:p>
    <w:p>
      <w:pPr>
        <w:ind w:left="324" w:right="160" w:hanging="324"/>
        <w:spacing w:after="0" w:line="295" w:lineRule="auto"/>
        <w:tabs>
          <w:tab w:leader="none" w:pos="3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April 29, 2019, the Company’s Board of Directors authorized a share repurchase program (the “Program”), pursuant to which the Company may, from time to time, purchase shares of its common stock for an aggregate repurchase price not to exceed $15.0 million. The Program began on May 2, 2019 and will continue indefinitely until the full repurchase amount has been utilized or the Board of Directors terminates the Program. Approximately $4.5 million remains available for repurchase under the Program.</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29" w:name="page30"/>
    <w:bookmarkEnd w:id="29"/>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Exhibits</w:t>
      </w:r>
    </w:p>
    <w:tbl>
      <w:tblPr>
        <w:tblLayout w:type="fixed"/>
        <w:tblInd w:w="16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80" w:type="dxa"/>
            <w:vAlign w:val="bottom"/>
            <w:gridSpan w:val="2"/>
            <w:shd w:val="clear" w:color="auto" w:fill="CCEEFF"/>
          </w:tcPr>
          <w:p>
            <w:pPr>
              <w:spacing w:after="0" w:line="199" w:lineRule="exact"/>
              <w:rPr>
                <w:rFonts w:ascii="Arial" w:cs="Arial" w:eastAsia="Arial" w:hAnsi="Arial"/>
                <w:sz w:val="18"/>
                <w:szCs w:val="18"/>
                <w:color w:val="0000EE"/>
              </w:rPr>
            </w:pPr>
            <w:hyperlink r:id="rId4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2"/>
            <w:shd w:val="clear" w:color="auto" w:fill="CCEEFF"/>
          </w:tcPr>
          <w:p>
            <w:pPr>
              <w:spacing w:after="0" w:line="199"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Certificate of Incorporation of Tile Shop Holdings, Inc. (incorporated by reference to Exhibit 3.1 to the Company’s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w w:val="98"/>
              </w:rPr>
            </w:pPr>
            <w:hyperlink r:id="rId47">
              <w:r>
                <w:rPr>
                  <w:rFonts w:ascii="Arial" w:cs="Arial" w:eastAsia="Arial" w:hAnsi="Arial"/>
                  <w:sz w:val="18"/>
                  <w:szCs w:val="18"/>
                  <w:color w:val="0000EE"/>
                  <w:w w:val="98"/>
                </w:rPr>
                <w:t>Statement on Form S-4 (Reg. No. 333-182482) filed with the Securities and Exchange Commission on July 2, 2012).</w:t>
              </w:r>
            </w:hyperlink>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7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2"/>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80" w:type="dxa"/>
            <w:vAlign w:val="bottom"/>
            <w:gridSpan w:val="12"/>
          </w:tcPr>
          <w:p>
            <w:pPr>
              <w:spacing w:after="0" w:line="176" w:lineRule="exact"/>
              <w:rPr>
                <w:rFonts w:ascii="Arial" w:cs="Arial" w:eastAsia="Arial" w:hAnsi="Arial"/>
                <w:sz w:val="18"/>
                <w:szCs w:val="18"/>
                <w:color w:val="0000EE"/>
                <w:w w:val="95"/>
              </w:rPr>
            </w:pPr>
            <w:hyperlink r:id="rId48">
              <w:r>
                <w:rPr>
                  <w:rFonts w:ascii="Arial" w:cs="Arial" w:eastAsia="Arial" w:hAnsi="Arial"/>
                  <w:sz w:val="18"/>
                  <w:szCs w:val="18"/>
                  <w:color w:val="0000EE"/>
                  <w:w w:val="95"/>
                </w:rPr>
                <w:t>By-Laws of Tile Shop Holdings, Inc. (incorporated by reference to Exhibit 3.2 to the Company’s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Form S-4 (Reg. No. 333-182482) filed with the Securities and Exchange Commission on July 2, 2012).</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12"/>
            <w:shd w:val="clear" w:color="auto" w:fill="CCEEFF"/>
          </w:tcPr>
          <w:p>
            <w:pPr>
              <w:spacing w:after="0" w:line="176" w:lineRule="exact"/>
              <w:rPr>
                <w:rFonts w:ascii="Arial" w:cs="Arial" w:eastAsia="Arial" w:hAnsi="Arial"/>
                <w:sz w:val="18"/>
                <w:szCs w:val="18"/>
                <w:color w:val="0000EE"/>
                <w:w w:val="99"/>
              </w:rPr>
            </w:pPr>
            <w:hyperlink r:id="rId49">
              <w:r>
                <w:rPr>
                  <w:rFonts w:ascii="Arial" w:cs="Arial" w:eastAsia="Arial" w:hAnsi="Arial"/>
                  <w:sz w:val="18"/>
                  <w:szCs w:val="18"/>
                  <w:color w:val="0000EE"/>
                  <w:w w:val="99"/>
                </w:rPr>
                <w:t>Specimen Common Stock Certificate (incorporated by reference to Exhibit 4.1 of Amendment No. 1 to the Company’s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2"/>
            <w:shd w:val="clear" w:color="auto" w:fill="CCEEFF"/>
          </w:tcPr>
          <w:p>
            <w:pPr>
              <w:spacing w:after="0" w:line="196" w:lineRule="exact"/>
              <w:rPr>
                <w:rFonts w:ascii="Arial" w:cs="Arial" w:eastAsia="Arial" w:hAnsi="Arial"/>
                <w:sz w:val="18"/>
                <w:szCs w:val="18"/>
                <w:color w:val="0000EE"/>
                <w:w w:val="94"/>
              </w:rPr>
            </w:pPr>
            <w:hyperlink r:id="rId49">
              <w:r>
                <w:rPr>
                  <w:rFonts w:ascii="Arial" w:cs="Arial" w:eastAsia="Arial" w:hAnsi="Arial"/>
                  <w:sz w:val="18"/>
                  <w:szCs w:val="18"/>
                  <w:color w:val="0000EE"/>
                  <w:w w:val="94"/>
                </w:rPr>
                <w:t>Registration Statement on Form S-4 (Reg. No. 333-182482) filed with the Securities and Exchange Commission on July 23,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2012).</w:t>
              </w:r>
            </w:hyperlink>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40" w:type="dxa"/>
            <w:vAlign w:val="bottom"/>
          </w:tcPr>
          <w:p>
            <w:pPr>
              <w:spacing w:after="0"/>
              <w:rPr>
                <w:sz w:val="15"/>
                <w:szCs w:val="15"/>
                <w:color w:val="auto"/>
              </w:rPr>
            </w:pPr>
          </w:p>
        </w:tc>
        <w:tc>
          <w:tcPr>
            <w:tcW w:w="9280" w:type="dxa"/>
            <w:vAlign w:val="bottom"/>
            <w:gridSpan w:val="1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Certification of Chief Executive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40" w:type="dxa"/>
            <w:vAlign w:val="bottom"/>
            <w:shd w:val="clear" w:color="auto" w:fill="CCEEFF"/>
          </w:tcPr>
          <w:p>
            <w:pPr>
              <w:spacing w:after="0"/>
              <w:rPr>
                <w:sz w:val="15"/>
                <w:szCs w:val="15"/>
                <w:color w:val="auto"/>
              </w:rPr>
            </w:pPr>
          </w:p>
        </w:tc>
        <w:tc>
          <w:tcPr>
            <w:tcW w:w="9280" w:type="dxa"/>
            <w:vAlign w:val="bottom"/>
            <w:gridSpan w:val="1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Certification of Chief Financial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7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9280" w:type="dxa"/>
            <w:vAlign w:val="bottom"/>
            <w:gridSpan w:val="12"/>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Certifications of Chief Executive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4"/>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9280" w:type="dxa"/>
            <w:vAlign w:val="bottom"/>
            <w:gridSpan w:val="1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Certifications of Chief Financial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7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160"/>
        <w:spacing w:after="0"/>
        <w:tabs>
          <w:tab w:leader="none" w:pos="9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101.LAB* XBRL Taxonomy Extension Label Linkbase Document.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-121920</wp:posOffset>
            </wp:positionV>
            <wp:extent cx="6423025" cy="248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381" w:lineRule="exact"/>
        <w:rPr>
          <w:sz w:val="20"/>
          <w:szCs w:val="20"/>
          <w:color w:val="auto"/>
        </w:rPr>
      </w:pPr>
    </w:p>
    <w:p>
      <w:pPr>
        <w:ind w:left="16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70485</wp:posOffset>
            </wp:positionV>
            <wp:extent cx="646557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21" w:right="8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TILE SHOP HOLDINGS,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Dated: August 2, 2019</w:t>
            </w:r>
          </w:p>
        </w:tc>
        <w:tc>
          <w:tcPr>
            <w:tcW w:w="5560" w:type="dxa"/>
            <w:vAlign w:val="bottom"/>
            <w:gridSpan w:val="2"/>
          </w:tcPr>
          <w:p>
            <w:pPr>
              <w:ind w:left="1720"/>
              <w:spacing w:after="0"/>
              <w:rPr>
                <w:sz w:val="20"/>
                <w:szCs w:val="20"/>
                <w:color w:val="auto"/>
              </w:rPr>
            </w:pPr>
            <w:r>
              <w:rPr>
                <w:rFonts w:ascii="Arial" w:cs="Arial" w:eastAsia="Arial" w:hAnsi="Arial"/>
                <w:sz w:val="18"/>
                <w:szCs w:val="18"/>
                <w:color w:val="auto"/>
              </w:rPr>
              <w:t>By: /s/ CABELL H. LOLMAUGH</w:t>
            </w:r>
          </w:p>
        </w:tc>
      </w:tr>
      <w:tr>
        <w:trPr>
          <w:trHeight w:val="195"/>
        </w:trPr>
        <w:tc>
          <w:tcPr>
            <w:tcW w:w="3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Cabell H. Lolmaugh</w:t>
            </w:r>
          </w:p>
        </w:tc>
      </w:tr>
      <w:tr>
        <w:trPr>
          <w:trHeight w:val="230"/>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662"/>
        </w:trPr>
        <w:tc>
          <w:tcPr>
            <w:tcW w:w="3340" w:type="dxa"/>
            <w:vAlign w:val="bottom"/>
          </w:tcPr>
          <w:p>
            <w:pPr>
              <w:spacing w:after="0"/>
              <w:rPr>
                <w:sz w:val="20"/>
                <w:szCs w:val="20"/>
                <w:color w:val="auto"/>
              </w:rPr>
            </w:pPr>
            <w:r>
              <w:rPr>
                <w:rFonts w:ascii="Arial" w:cs="Arial" w:eastAsia="Arial" w:hAnsi="Arial"/>
                <w:sz w:val="18"/>
                <w:szCs w:val="18"/>
                <w:color w:val="auto"/>
              </w:rPr>
              <w:t>Dated: August 2, 2019</w:t>
            </w:r>
          </w:p>
        </w:tc>
        <w:tc>
          <w:tcPr>
            <w:tcW w:w="5560" w:type="dxa"/>
            <w:vAlign w:val="bottom"/>
            <w:gridSpan w:val="2"/>
          </w:tcPr>
          <w:p>
            <w:pPr>
              <w:ind w:left="1720"/>
              <w:spacing w:after="0"/>
              <w:rPr>
                <w:sz w:val="20"/>
                <w:szCs w:val="20"/>
                <w:color w:val="auto"/>
              </w:rPr>
            </w:pPr>
            <w:r>
              <w:rPr>
                <w:rFonts w:ascii="Arial" w:cs="Arial" w:eastAsia="Arial" w:hAnsi="Arial"/>
                <w:sz w:val="18"/>
                <w:szCs w:val="18"/>
                <w:color w:val="auto"/>
              </w:rPr>
              <w:t>By: /s/ KIRK L. GEADELMANN</w:t>
            </w:r>
          </w:p>
        </w:tc>
      </w:tr>
      <w:tr>
        <w:trPr>
          <w:trHeight w:val="195"/>
        </w:trPr>
        <w:tc>
          <w:tcPr>
            <w:tcW w:w="3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Kirk L. Geadelmann</w:t>
            </w:r>
          </w:p>
        </w:tc>
      </w:tr>
      <w:tr>
        <w:trPr>
          <w:trHeight w:val="230"/>
        </w:trPr>
        <w:tc>
          <w:tcPr>
            <w:tcW w:w="3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21" w:right="999" w:bottom="1440" w:gutter="0" w:footer="0" w:header="0"/>
        </w:sectPr>
      </w:pPr>
    </w:p>
    <w:bookmarkStart w:id="31" w:name="page32"/>
    <w:bookmarkEnd w:id="31"/>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Cabell H. Lolmaugh, certify that:</w:t>
      </w:r>
    </w:p>
    <w:p>
      <w:pPr>
        <w:spacing w:after="0" w:line="144" w:lineRule="exact"/>
        <w:rPr>
          <w:sz w:val="20"/>
          <w:szCs w:val="20"/>
          <w:color w:val="auto"/>
        </w:rPr>
      </w:pPr>
    </w:p>
    <w:p>
      <w:pPr>
        <w:ind w:left="420" w:hanging="315"/>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August 2, 2019</w:t>
      </w:r>
    </w:p>
    <w:p>
      <w:pPr>
        <w:ind w:left="4800"/>
        <w:spacing w:after="0" w:line="219" w:lineRule="auto"/>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Cabell H. Lolmaugh</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Kirk L. Geadelmann, certify that:</w:t>
      </w:r>
    </w:p>
    <w:p>
      <w:pPr>
        <w:spacing w:after="0" w:line="144" w:lineRule="exact"/>
        <w:rPr>
          <w:sz w:val="20"/>
          <w:szCs w:val="20"/>
          <w:color w:val="auto"/>
        </w:rPr>
      </w:pPr>
    </w:p>
    <w:p>
      <w:pPr>
        <w:ind w:left="420" w:hanging="315"/>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August 2, 2019</w:t>
      </w:r>
    </w:p>
    <w:p>
      <w:pPr>
        <w:ind w:left="4800"/>
        <w:spacing w:after="0" w:line="219" w:lineRule="auto"/>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2019 as filed with the Securities and Exchange Commission on the date hereof (the “Report”), I, Cabell H. Lolmaugh, Chief Executive Officer of the Company, certify, pursuant to 18 U.S.C. Section 1350, as adopted pursuant to Section 906 of the Sarbanes-Oxley Act of 2002, that:</w:t>
      </w:r>
    </w:p>
    <w:p>
      <w:pPr>
        <w:spacing w:after="0" w:line="298" w:lineRule="exact"/>
        <w:rPr>
          <w:sz w:val="20"/>
          <w:szCs w:val="20"/>
          <w:color w:val="auto"/>
        </w:rPr>
      </w:pPr>
    </w:p>
    <w:p>
      <w:pPr>
        <w:ind w:left="760" w:right="459" w:hanging="331"/>
        <w:spacing w:after="0" w:line="235"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Cabell H. Lolmaugh</w:t>
      </w:r>
    </w:p>
    <w:p>
      <w:pPr>
        <w:ind w:left="30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2, 2019</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195580</wp:posOffset>
            </wp:positionV>
            <wp:extent cx="56426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2019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right="459" w:hanging="331"/>
        <w:spacing w:after="0" w:line="235"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Kirk L. Geadelmann</w:t>
      </w:r>
    </w:p>
    <w:p>
      <w:pPr>
        <w:ind w:left="30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2, 2019</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306705</wp:posOffset>
            </wp:positionV>
            <wp:extent cx="564261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endash "/>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47" Type="http://schemas.openxmlformats.org/officeDocument/2006/relationships/hyperlink" Target="http://www.sec.gov/Archives/edgar/data/1552800/000114420412037509/v316486_ex3-1.htm" TargetMode="External"/><Relationship Id="rId48" Type="http://schemas.openxmlformats.org/officeDocument/2006/relationships/hyperlink" Target="http://www.sec.gov/Archives/edgar/data/1552800/000114420412037509/v316486_ex3-2.htm" TargetMode="External"/><Relationship Id="rId49" Type="http://schemas.openxmlformats.org/officeDocument/2006/relationships/hyperlink" Target="http://www.sec.gov/Archives/edgar/data/1552800/000114420412040584/v31834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2019-12-28T09:29:18Z</dcterms:created>
  <dcterms:modified xsi:type="dcterms:W3CDTF">2019-12-28T09:29:18Z</dcterms:modified>
</cp:coreProperties>
</file>