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494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494145"/>
                    </a:xfrm>
                    <a:prstGeom prst="rect">
                      <a:avLst/>
                    </a:prstGeom>
                    <a:noFill/>
                  </pic:spPr>
                </pic:pic>
              </a:graphicData>
            </a:graphic>
          </wp:anchor>
        </w:drawing>
      </w:r>
    </w:p>
    <w:p>
      <w:pPr>
        <w:spacing w:after="0" w:line="1235" w:lineRule="exact"/>
        <w:rPr>
          <w:sz w:val="24"/>
          <w:szCs w:val="24"/>
          <w:color w:val="auto"/>
        </w:rPr>
      </w:pPr>
    </w:p>
    <w:p>
      <w:pPr>
        <w:sectPr>
          <w:pgSz w:w="11900" w:h="17010" w:orient="portrait"/>
          <w:cols w:equalWidth="0" w:num="2">
            <w:col w:w="2320" w:space="260"/>
            <w:col w:w="850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Lolmaugh Cabell</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200" w:type="dxa"/>
            <w:vAlign w:val="bottom"/>
          </w:tcPr>
          <w:p>
            <w:pPr>
              <w:ind w:left="160"/>
              <w:spacing w:after="0"/>
              <w:rPr>
                <w:sz w:val="20"/>
                <w:szCs w:val="20"/>
                <w:color w:val="auto"/>
              </w:rPr>
            </w:pPr>
            <w:r>
              <w:rPr>
                <w:rFonts w:ascii="Arial" w:cs="Arial" w:eastAsia="Arial" w:hAnsi="Arial"/>
                <w:sz w:val="13"/>
                <w:szCs w:val="13"/>
                <w:color w:val="auto"/>
              </w:rPr>
              <w:t>(First)</w:t>
            </w:r>
          </w:p>
        </w:tc>
        <w:tc>
          <w:tcPr>
            <w:tcW w:w="138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TILE SHOP HOLDINGS, INC.</w:t>
            </w:r>
          </w:p>
        </w:tc>
      </w:tr>
      <w:tr>
        <w:trPr>
          <w:trHeight w:val="258"/>
        </w:trPr>
        <w:tc>
          <w:tcPr>
            <w:tcW w:w="20" w:type="dxa"/>
            <w:vAlign w:val="bottom"/>
          </w:tcPr>
          <w:p>
            <w:pPr>
              <w:spacing w:after="0"/>
              <w:rPr>
                <w:sz w:val="22"/>
                <w:szCs w:val="22"/>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14000 CARLSON PARKWAY</w:t>
            </w:r>
          </w:p>
        </w:tc>
        <w:tc>
          <w:tcPr>
            <w:tcW w:w="138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PLYMOUTH</w:t>
            </w:r>
          </w:p>
        </w:tc>
        <w:tc>
          <w:tcPr>
            <w:tcW w:w="12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MN</w:t>
            </w:r>
          </w:p>
        </w:tc>
        <w:tc>
          <w:tcPr>
            <w:tcW w:w="13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55441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00" w:type="dxa"/>
            <w:vAlign w:val="bottom"/>
          </w:tcPr>
          <w:p>
            <w:pPr>
              <w:ind w:left="160"/>
              <w:spacing w:after="0"/>
              <w:rPr>
                <w:sz w:val="20"/>
                <w:szCs w:val="20"/>
                <w:color w:val="auto"/>
              </w:rPr>
            </w:pPr>
            <w:r>
              <w:rPr>
                <w:rFonts w:ascii="Arial" w:cs="Arial" w:eastAsia="Arial" w:hAnsi="Arial"/>
                <w:sz w:val="13"/>
                <w:szCs w:val="13"/>
                <w:color w:val="auto"/>
              </w:rPr>
              <w:t>(State)</w:t>
            </w:r>
          </w:p>
        </w:tc>
        <w:tc>
          <w:tcPr>
            <w:tcW w:w="138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TILE SHOP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TTSH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52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03/03/2026</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33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7010"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362"/>
              <w:spacing w:after="0"/>
              <w:rPr>
                <w:sz w:val="20"/>
                <w:szCs w:val="20"/>
                <w:color w:val="auto"/>
              </w:rPr>
            </w:pPr>
            <w:r>
              <w:rPr>
                <w:rFonts w:ascii="Arial" w:cs="Arial" w:eastAsia="Arial" w:hAnsi="Arial"/>
                <w:sz w:val="12"/>
                <w:szCs w:val="12"/>
                <w:b w:val="1"/>
                <w:bCs w:val="1"/>
                <w:color w:val="auto"/>
                <w:w w:val="79"/>
              </w:rPr>
              <w:t>3.</w:t>
            </w:r>
          </w:p>
        </w:tc>
        <w:tc>
          <w:tcPr>
            <w:tcW w:w="220" w:type="dxa"/>
            <w:vAlign w:val="bottom"/>
          </w:tcPr>
          <w:p>
            <w:pPr>
              <w:spacing w:after="0"/>
              <w:rPr>
                <w:sz w:val="13"/>
                <w:szCs w:val="13"/>
                <w:color w:val="auto"/>
              </w:rPr>
            </w:pPr>
          </w:p>
        </w:tc>
        <w:tc>
          <w:tcPr>
            <w:tcW w:w="18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jc w:val="center"/>
              <w:ind w:right="253"/>
              <w:spacing w:after="0" w:line="129" w:lineRule="exact"/>
              <w:rPr>
                <w:sz w:val="20"/>
                <w:szCs w:val="20"/>
                <w:color w:val="auto"/>
              </w:rPr>
            </w:pPr>
            <w:r>
              <w:rPr>
                <w:rFonts w:ascii="Arial" w:cs="Arial" w:eastAsia="Arial" w:hAnsi="Arial"/>
                <w:sz w:val="12"/>
                <w:szCs w:val="12"/>
                <w:b w:val="1"/>
                <w:bCs w:val="1"/>
                <w:color w:val="auto"/>
                <w:w w:val="93"/>
              </w:rPr>
              <w:t>5)</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jc w:val="right"/>
              <w:ind w:right="362"/>
              <w:spacing w:after="0" w:line="129" w:lineRule="exact"/>
              <w:rPr>
                <w:sz w:val="20"/>
                <w:szCs w:val="20"/>
                <w:color w:val="auto"/>
              </w:rPr>
            </w:pPr>
            <w:r>
              <w:rPr>
                <w:rFonts w:ascii="Arial" w:cs="Arial" w:eastAsia="Arial" w:hAnsi="Arial"/>
                <w:sz w:val="12"/>
                <w:szCs w:val="12"/>
                <w:b w:val="1"/>
                <w:bCs w:val="1"/>
                <w:color w:val="auto"/>
                <w:w w:val="74"/>
              </w:rPr>
              <w:t>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680" w:type="dxa"/>
            <w:vAlign w:val="bottom"/>
            <w:gridSpan w:val="3"/>
          </w:tcPr>
          <w:p>
            <w:pPr>
              <w:ind w:left="360"/>
              <w:spacing w:after="0" w:line="129"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03/03/2026</w:t>
            </w: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right"/>
              <w:ind w:right="262"/>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rPr>
              <w:t>1,621</w:t>
            </w:r>
            <w:r>
              <w:rPr>
                <w:rFonts w:ascii="Times New Roman" w:cs="Times New Roman" w:eastAsia="Times New Roman" w:hAnsi="Times New Roman"/>
                <w:sz w:val="21"/>
                <w:szCs w:val="21"/>
                <w:color w:val="008000"/>
                <w:vertAlign w:val="superscript"/>
              </w:rPr>
              <w:t>(1)</w:t>
            </w:r>
          </w:p>
        </w:tc>
        <w:tc>
          <w:tcPr>
            <w:tcW w:w="1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w w:val="97"/>
              </w:rPr>
              <w:t>D</w:t>
            </w:r>
          </w:p>
        </w:tc>
        <w:tc>
          <w:tcPr>
            <w:tcW w:w="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3.42</w:t>
            </w:r>
          </w:p>
        </w:tc>
        <w:tc>
          <w:tcPr>
            <w:tcW w:w="130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196,193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03/04/2026</w:t>
            </w: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right"/>
              <w:ind w:right="262"/>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rPr>
              <w:t>1,811</w:t>
            </w:r>
            <w:r>
              <w:rPr>
                <w:rFonts w:ascii="Times New Roman" w:cs="Times New Roman" w:eastAsia="Times New Roman" w:hAnsi="Times New Roman"/>
                <w:sz w:val="21"/>
                <w:szCs w:val="21"/>
                <w:color w:val="008000"/>
                <w:vertAlign w:val="superscript"/>
              </w:rPr>
              <w:t>(1)</w:t>
            </w:r>
          </w:p>
        </w:tc>
        <w:tc>
          <w:tcPr>
            <w:tcW w:w="1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w w:val="97"/>
              </w:rPr>
              <w:t>D</w:t>
            </w:r>
          </w:p>
        </w:tc>
        <w:tc>
          <w:tcPr>
            <w:tcW w:w="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3.42</w:t>
            </w:r>
          </w:p>
        </w:tc>
        <w:tc>
          <w:tcPr>
            <w:tcW w:w="1300" w:type="dxa"/>
            <w:vAlign w:val="bottom"/>
            <w:tcBorders>
              <w:bottom w:val="single" w:sz="8" w:color="2C2C2C"/>
            </w:tcBorders>
            <w:gridSpan w:val="3"/>
          </w:tcPr>
          <w:p>
            <w:pPr>
              <w:jc w:val="center"/>
              <w:ind w:right="140"/>
              <w:spacing w:after="0"/>
              <w:rPr>
                <w:sz w:val="20"/>
                <w:szCs w:val="20"/>
                <w:color w:val="auto"/>
              </w:rPr>
            </w:pPr>
            <w:r>
              <w:rPr>
                <w:rFonts w:ascii="Times New Roman" w:cs="Times New Roman" w:eastAsia="Times New Roman" w:hAnsi="Times New Roman"/>
                <w:sz w:val="17"/>
                <w:szCs w:val="17"/>
                <w:color w:val="0000FF"/>
              </w:rPr>
              <w:t>194,382</w:t>
            </w:r>
            <w:r>
              <w:rPr>
                <w:rFonts w:ascii="Times New Roman" w:cs="Times New Roman" w:eastAsia="Times New Roman" w:hAnsi="Times New Roman"/>
                <w:sz w:val="21"/>
                <w:szCs w:val="21"/>
                <w:color w:val="008000"/>
                <w:vertAlign w:val="superscript"/>
              </w:rPr>
              <w:t>(2)(3)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3"/>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5"/>
          </w:tcPr>
          <w:p>
            <w:pPr>
              <w:spacing w:after="0"/>
              <w:rPr>
                <w:sz w:val="2"/>
                <w:szCs w:val="2"/>
                <w:color w:val="auto"/>
              </w:rPr>
            </w:pPr>
          </w:p>
        </w:tc>
        <w:tc>
          <w:tcPr>
            <w:tcW w:w="12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Date</w:t>
            </w:r>
          </w:p>
        </w:tc>
        <w:tc>
          <w:tcPr>
            <w:tcW w:w="52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8.5</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vMerge w:val="restart"/>
          </w:tcPr>
          <w:p>
            <w:pPr>
              <w:jc w:val="right"/>
              <w:ind w:right="322"/>
              <w:spacing w:after="0"/>
              <w:rPr>
                <w:sz w:val="20"/>
                <w:szCs w:val="20"/>
                <w:color w:val="auto"/>
              </w:rPr>
            </w:pPr>
            <w:r>
              <w:rPr>
                <w:rFonts w:ascii="Times New Roman" w:cs="Times New Roman" w:eastAsia="Times New Roman" w:hAnsi="Times New Roman"/>
                <w:sz w:val="11"/>
                <w:szCs w:val="11"/>
                <w:color w:val="008000"/>
                <w:w w:val="93"/>
              </w:rPr>
              <w:t>(5)</w:t>
            </w:r>
          </w:p>
        </w:tc>
        <w:tc>
          <w:tcPr>
            <w:tcW w:w="720" w:type="dxa"/>
            <w:vAlign w:val="bottom"/>
            <w:gridSpan w:val="2"/>
            <w:vMerge w:val="restart"/>
          </w:tcPr>
          <w:p>
            <w:pPr>
              <w:jc w:val="center"/>
              <w:ind w:right="33"/>
              <w:spacing w:after="0"/>
              <w:rPr>
                <w:sz w:val="20"/>
                <w:szCs w:val="20"/>
                <w:color w:val="auto"/>
              </w:rPr>
            </w:pPr>
            <w:r>
              <w:rPr>
                <w:rFonts w:ascii="Times New Roman" w:cs="Times New Roman" w:eastAsia="Times New Roman" w:hAnsi="Times New Roman"/>
                <w:sz w:val="13"/>
                <w:szCs w:val="13"/>
                <w:color w:val="0000FF"/>
                <w:w w:val="97"/>
              </w:rPr>
              <w:t>11/06/2027</w:t>
            </w:r>
          </w:p>
        </w:tc>
        <w:tc>
          <w:tcPr>
            <w:tcW w:w="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0" w:type="dxa"/>
            <w:vAlign w:val="bottom"/>
          </w:tcPr>
          <w:p>
            <w:pPr>
              <w:spacing w:after="0"/>
              <w:rPr>
                <w:sz w:val="12"/>
                <w:szCs w:val="12"/>
                <w:color w:val="auto"/>
              </w:rPr>
            </w:pPr>
          </w:p>
        </w:tc>
        <w:tc>
          <w:tcPr>
            <w:tcW w:w="580" w:type="dxa"/>
            <w:vAlign w:val="bottom"/>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w w:val="98"/>
              </w:rPr>
              <w:t>26,900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jc w:val="center"/>
              <w:ind w:left="180"/>
              <w:spacing w:after="0"/>
              <w:rPr>
                <w:sz w:val="20"/>
                <w:szCs w:val="20"/>
                <w:color w:val="auto"/>
              </w:rPr>
            </w:pPr>
            <w:r>
              <w:rPr>
                <w:rFonts w:ascii="Times New Roman" w:cs="Times New Roman" w:eastAsia="Times New Roman" w:hAnsi="Times New Roman"/>
                <w:sz w:val="13"/>
                <w:szCs w:val="13"/>
                <w:color w:val="0000FF"/>
              </w:rPr>
              <w:t>26,900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4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5.55</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vMerge w:val="restart"/>
          </w:tcPr>
          <w:p>
            <w:pPr>
              <w:jc w:val="right"/>
              <w:ind w:right="322"/>
              <w:spacing w:after="0"/>
              <w:rPr>
                <w:sz w:val="20"/>
                <w:szCs w:val="20"/>
                <w:color w:val="auto"/>
              </w:rPr>
            </w:pPr>
            <w:r>
              <w:rPr>
                <w:rFonts w:ascii="Times New Roman" w:cs="Times New Roman" w:eastAsia="Times New Roman" w:hAnsi="Times New Roman"/>
                <w:sz w:val="11"/>
                <w:szCs w:val="11"/>
                <w:color w:val="008000"/>
                <w:w w:val="93"/>
              </w:rPr>
              <w:t>(5)</w:t>
            </w:r>
          </w:p>
        </w:tc>
        <w:tc>
          <w:tcPr>
            <w:tcW w:w="720" w:type="dxa"/>
            <w:vAlign w:val="bottom"/>
            <w:gridSpan w:val="2"/>
            <w:vMerge w:val="restart"/>
          </w:tcPr>
          <w:p>
            <w:pPr>
              <w:jc w:val="center"/>
              <w:ind w:right="33"/>
              <w:spacing w:after="0"/>
              <w:rPr>
                <w:sz w:val="20"/>
                <w:szCs w:val="20"/>
                <w:color w:val="auto"/>
              </w:rPr>
            </w:pPr>
            <w:r>
              <w:rPr>
                <w:rFonts w:ascii="Times New Roman" w:cs="Times New Roman" w:eastAsia="Times New Roman" w:hAnsi="Times New Roman"/>
                <w:sz w:val="13"/>
                <w:szCs w:val="13"/>
                <w:color w:val="0000FF"/>
                <w:w w:val="97"/>
              </w:rPr>
              <w:t>02/22/2028</w:t>
            </w:r>
          </w:p>
        </w:tc>
        <w:tc>
          <w:tcPr>
            <w:tcW w:w="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0" w:type="dxa"/>
            <w:vAlign w:val="bottom"/>
          </w:tcPr>
          <w:p>
            <w:pPr>
              <w:spacing w:after="0"/>
              <w:rPr>
                <w:sz w:val="12"/>
                <w:szCs w:val="12"/>
                <w:color w:val="auto"/>
              </w:rPr>
            </w:pPr>
          </w:p>
        </w:tc>
        <w:tc>
          <w:tcPr>
            <w:tcW w:w="580" w:type="dxa"/>
            <w:vAlign w:val="bottom"/>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w w:val="98"/>
              </w:rPr>
              <w:t>56,000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jc w:val="center"/>
              <w:ind w:left="180"/>
              <w:spacing w:after="0"/>
              <w:rPr>
                <w:sz w:val="20"/>
                <w:szCs w:val="20"/>
                <w:color w:val="auto"/>
              </w:rPr>
            </w:pPr>
            <w:r>
              <w:rPr>
                <w:rFonts w:ascii="Times New Roman" w:cs="Times New Roman" w:eastAsia="Times New Roman" w:hAnsi="Times New Roman"/>
                <w:sz w:val="13"/>
                <w:szCs w:val="13"/>
                <w:color w:val="0000FF"/>
              </w:rPr>
              <w:t>56,000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4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6.26</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vMerge w:val="restart"/>
          </w:tcPr>
          <w:p>
            <w:pPr>
              <w:jc w:val="right"/>
              <w:ind w:right="322"/>
              <w:spacing w:after="0"/>
              <w:rPr>
                <w:sz w:val="20"/>
                <w:szCs w:val="20"/>
                <w:color w:val="auto"/>
              </w:rPr>
            </w:pPr>
            <w:r>
              <w:rPr>
                <w:rFonts w:ascii="Times New Roman" w:cs="Times New Roman" w:eastAsia="Times New Roman" w:hAnsi="Times New Roman"/>
                <w:sz w:val="11"/>
                <w:szCs w:val="11"/>
                <w:color w:val="008000"/>
                <w:w w:val="93"/>
              </w:rPr>
              <w:t>(5)</w:t>
            </w:r>
          </w:p>
        </w:tc>
        <w:tc>
          <w:tcPr>
            <w:tcW w:w="720" w:type="dxa"/>
            <w:vAlign w:val="bottom"/>
            <w:gridSpan w:val="2"/>
            <w:vMerge w:val="restart"/>
          </w:tcPr>
          <w:p>
            <w:pPr>
              <w:jc w:val="center"/>
              <w:ind w:right="33"/>
              <w:spacing w:after="0"/>
              <w:rPr>
                <w:sz w:val="20"/>
                <w:szCs w:val="20"/>
                <w:color w:val="auto"/>
              </w:rPr>
            </w:pPr>
            <w:r>
              <w:rPr>
                <w:rFonts w:ascii="Times New Roman" w:cs="Times New Roman" w:eastAsia="Times New Roman" w:hAnsi="Times New Roman"/>
                <w:sz w:val="13"/>
                <w:szCs w:val="13"/>
                <w:color w:val="0000FF"/>
                <w:w w:val="97"/>
              </w:rPr>
              <w:t>02/20/2029</w:t>
            </w:r>
          </w:p>
        </w:tc>
        <w:tc>
          <w:tcPr>
            <w:tcW w:w="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0" w:type="dxa"/>
            <w:vAlign w:val="bottom"/>
          </w:tcPr>
          <w:p>
            <w:pPr>
              <w:spacing w:after="0"/>
              <w:rPr>
                <w:sz w:val="12"/>
                <w:szCs w:val="12"/>
                <w:color w:val="auto"/>
              </w:rPr>
            </w:pPr>
          </w:p>
        </w:tc>
        <w:tc>
          <w:tcPr>
            <w:tcW w:w="580" w:type="dxa"/>
            <w:vAlign w:val="bottom"/>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w w:val="98"/>
              </w:rPr>
              <w:t>97,067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jc w:val="center"/>
              <w:ind w:left="180"/>
              <w:spacing w:after="0"/>
              <w:rPr>
                <w:sz w:val="20"/>
                <w:szCs w:val="20"/>
                <w:color w:val="auto"/>
              </w:rPr>
            </w:pPr>
            <w:r>
              <w:rPr>
                <w:rFonts w:ascii="Times New Roman" w:cs="Times New Roman" w:eastAsia="Times New Roman" w:hAnsi="Times New Roman"/>
                <w:sz w:val="13"/>
                <w:szCs w:val="13"/>
                <w:color w:val="0000FF"/>
              </w:rPr>
              <w:t>97,067</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4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3.41</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ind w:right="322"/>
              <w:spacing w:after="0"/>
              <w:rPr>
                <w:sz w:val="20"/>
                <w:szCs w:val="20"/>
                <w:color w:val="auto"/>
              </w:rPr>
            </w:pPr>
            <w:r>
              <w:rPr>
                <w:rFonts w:ascii="Times New Roman" w:cs="Times New Roman" w:eastAsia="Times New Roman" w:hAnsi="Times New Roman"/>
                <w:sz w:val="11"/>
                <w:szCs w:val="11"/>
                <w:color w:val="008000"/>
                <w:w w:val="93"/>
              </w:rPr>
              <w:t>(4)</w:t>
            </w:r>
          </w:p>
        </w:tc>
        <w:tc>
          <w:tcPr>
            <w:tcW w:w="720" w:type="dxa"/>
            <w:vAlign w:val="bottom"/>
            <w:gridSpan w:val="2"/>
          </w:tcPr>
          <w:p>
            <w:pPr>
              <w:jc w:val="center"/>
              <w:ind w:right="33"/>
              <w:spacing w:after="0"/>
              <w:rPr>
                <w:sz w:val="20"/>
                <w:szCs w:val="20"/>
                <w:color w:val="auto"/>
              </w:rPr>
            </w:pPr>
            <w:r>
              <w:rPr>
                <w:rFonts w:ascii="Times New Roman" w:cs="Times New Roman" w:eastAsia="Times New Roman" w:hAnsi="Times New Roman"/>
                <w:sz w:val="13"/>
                <w:szCs w:val="13"/>
                <w:color w:val="0000FF"/>
                <w:w w:val="97"/>
              </w:rPr>
              <w:t>03/02/2036</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120,000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gridSpan w:val="2"/>
          </w:tcPr>
          <w:p>
            <w:pPr>
              <w:jc w:val="center"/>
              <w:ind w:right="2"/>
              <w:spacing w:after="0"/>
              <w:rPr>
                <w:sz w:val="20"/>
                <w:szCs w:val="20"/>
                <w:color w:val="auto"/>
              </w:rPr>
            </w:pPr>
            <w:r>
              <w:rPr>
                <w:rFonts w:ascii="Times New Roman" w:cs="Times New Roman" w:eastAsia="Times New Roman" w:hAnsi="Times New Roman"/>
                <w:sz w:val="13"/>
                <w:szCs w:val="13"/>
                <w:color w:val="0000FF"/>
                <w:w w:val="99"/>
              </w:rPr>
              <w:t>120,000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ind w:left="12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elected to satisfy his tax withholding obligation in connection with the vesting of a prior restricted stock grant by directing the Issuer to withhold shares otherwise issuable upon vesting of the previously reported grant.</w:t>
      </w:r>
    </w:p>
    <w:p>
      <w:pPr>
        <w:spacing w:after="0" w:line="17" w:lineRule="exact"/>
        <w:rPr>
          <w:rFonts w:ascii="Times New Roman" w:cs="Times New Roman" w:eastAsia="Times New Roman" w:hAnsi="Times New Roman"/>
          <w:sz w:val="13"/>
          <w:szCs w:val="13"/>
          <w:color w:val="008000"/>
        </w:rPr>
      </w:pPr>
    </w:p>
    <w:p>
      <w:pPr>
        <w:ind w:left="40" w:right="3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6,173 shares of restricted stock for which the risks of forfeiture will lapse on 3/6/26; (ii) 5,041 shares of restricted stock for which the risks of forfeiture will lapse on 3/4/27; (iii) 9,028 shares of restricted stock for which the risks of forfeiture will lapse in equal annual installments on each of 3/3/27 and 3/3/28; and</w:t>
      </w:r>
    </w:p>
    <w:p>
      <w:pPr>
        <w:spacing w:after="0" w:line="17" w:lineRule="exact"/>
        <w:rPr>
          <w:rFonts w:ascii="Times New Roman" w:cs="Times New Roman" w:eastAsia="Times New Roman" w:hAnsi="Times New Roman"/>
          <w:sz w:val="13"/>
          <w:szCs w:val="13"/>
          <w:color w:val="008000"/>
        </w:rPr>
      </w:pPr>
    </w:p>
    <w:p>
      <w:pPr>
        <w:ind w:left="40" w:right="16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(iv) the following shares of performance-based restricted stock, which are, in each case, subject to Mr. Lolmaugh remaining in continuous employment with the Issuer through December 31 of the year preceding the applicable vesting date and the Issuer achieving its performance target for each respective year: (A) 12,099 shares for which the risks of forfeiture will lapse on the date the Issuer releases its annual financial statements for the 2026 fiscal year; and (B) 10,833 shares for which the risks of forfeiture will lapse as to 30% and 40% of the initial number of shares granted on each of the dates the Issuer releases its annual financial statements for the 2026 and 2027 fiscal years, respectively. The Issuer's Form 10-K for the year ended December 31, 2025 contains additional information regarding the applicable performance targets.</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in three substantially equal installments on each of 3/2/2027, 3/2/2028 and 3/2/2029, subject to continuous employment as of the applicable vesting date.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exercisable.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Mark B. Davis, as Attorney- </w:t>
      </w:r>
      <w:r>
        <w:rPr>
          <w:rFonts w:ascii="Times New Roman" w:cs="Times New Roman" w:eastAsia="Times New Roman" w:hAnsi="Times New Roman"/>
          <w:sz w:val="33"/>
          <w:szCs w:val="33"/>
          <w:color w:val="0000FF"/>
          <w:vertAlign w:val="subscript"/>
        </w:rPr>
        <w:t>03/05/2026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39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89"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7010"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31797" TargetMode="External"/><Relationship Id="rId14" Type="http://schemas.openxmlformats.org/officeDocument/2006/relationships/hyperlink" Target="http://www.sec.gov/cgi-bin/browse-edgar?action=getcompany&amp;CIK=0001552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2026-03-05T17:02:20Z</dcterms:created>
  <dcterms:modified xsi:type="dcterms:W3CDTF">2026-03-05T17:02:20Z</dcterms:modified>
</cp:coreProperties>
</file>